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78740</wp:posOffset>
            </wp:positionV>
            <wp:extent cx="1045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94615</wp:posOffset>
            </wp:positionV>
            <wp:extent cx="1045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OR</w:t>
      </w:r>
    </w:p>
    <w:p>
      <w:pPr>
        <w:spacing w:after="0" w:line="3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40" w:type="dxa"/>
            <w:vAlign w:val="bottom"/>
            <w:tcBorders>
              <w:bottom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 _______</w:t>
            </w:r>
          </w:p>
        </w:tc>
      </w:tr>
      <w:tr>
        <w:trPr>
          <w:trHeight w:val="200"/>
        </w:trPr>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001-40161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49530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3" w:lineRule="exact"/>
        <w:rPr>
          <w:sz w:val="24"/>
          <w:szCs w:val="24"/>
          <w:color w:val="auto"/>
        </w:rPr>
      </w:pPr>
    </w:p>
    <w:tbl>
      <w:tblPr>
        <w:tblLayout w:type="fixed"/>
        <w:tblInd w:w="100" w:type="dxa"/>
        <w:tblCellMar>
          <w:top w:w="0" w:type="dxa"/>
          <w:left w:w="0" w:type="dxa"/>
          <w:bottom w:w="0" w:type="dxa"/>
          <w:right w:w="0" w:type="dxa"/>
        </w:tblCellMar>
      </w:tblPr>
      <w:tr>
        <w:trPr>
          <w:trHeight w:val="351"/>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w w:val="97"/>
              </w:rPr>
              <w:t>DAVE INC.</w:t>
            </w: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78"/>
        </w:trPr>
        <w:tc>
          <w:tcPr>
            <w:tcW w:w="3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3680" w:type="dxa"/>
            <w:vAlign w:val="bottom"/>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2"/>
          </w:tcPr>
          <w:p>
            <w:pPr>
              <w:jc w:val="right"/>
              <w:ind w:right="1751"/>
              <w:spacing w:after="0"/>
              <w:rPr>
                <w:sz w:val="20"/>
                <w:szCs w:val="20"/>
                <w:color w:val="auto"/>
              </w:rPr>
            </w:pPr>
            <w:r>
              <w:rPr>
                <w:rFonts w:ascii="Times New Roman" w:cs="Times New Roman" w:eastAsia="Times New Roman" w:hAnsi="Times New Roman"/>
                <w:sz w:val="14"/>
                <w:szCs w:val="14"/>
                <w:b w:val="1"/>
                <w:bCs w:val="1"/>
                <w:color w:val="auto"/>
              </w:rPr>
              <w:t>86-1481509</w:t>
            </w:r>
          </w:p>
        </w:tc>
        <w:tc>
          <w:tcPr>
            <w:tcW w:w="0" w:type="dxa"/>
            <w:vAlign w:val="bottom"/>
          </w:tcPr>
          <w:p>
            <w:pPr>
              <w:spacing w:after="0"/>
              <w:rPr>
                <w:sz w:val="1"/>
                <w:szCs w:val="1"/>
                <w:color w:val="auto"/>
              </w:rPr>
            </w:pPr>
          </w:p>
        </w:tc>
      </w:tr>
      <w:tr>
        <w:trPr>
          <w:trHeight w:val="148"/>
        </w:trPr>
        <w:tc>
          <w:tcPr>
            <w:tcW w:w="3680" w:type="dxa"/>
            <w:vAlign w:val="bottom"/>
          </w:tcPr>
          <w:p>
            <w:pPr>
              <w:jc w:val="center"/>
              <w:ind w:left="169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20" w:type="dxa"/>
            <w:vAlign w:val="bottom"/>
          </w:tcPr>
          <w:p>
            <w:pPr>
              <w:spacing w:after="0"/>
              <w:rPr>
                <w:sz w:val="16"/>
                <w:szCs w:val="16"/>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1265 South Cochran Ave</w:t>
            </w:r>
          </w:p>
        </w:tc>
        <w:tc>
          <w:tcPr>
            <w:tcW w:w="80" w:type="dxa"/>
            <w:vAlign w:val="bottom"/>
          </w:tcPr>
          <w:p>
            <w:pPr>
              <w:spacing w:after="0"/>
              <w:rPr>
                <w:sz w:val="16"/>
                <w:szCs w:val="16"/>
                <w:color w:val="auto"/>
              </w:rPr>
            </w:pPr>
          </w:p>
        </w:tc>
        <w:tc>
          <w:tcPr>
            <w:tcW w:w="41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7"/>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 Angeles, CA 90019</w:t>
            </w: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320" w:type="dxa"/>
            <w:vAlign w:val="bottom"/>
            <w:gridSpan w:val="3"/>
          </w:tcPr>
          <w:p>
            <w:pPr>
              <w:jc w:val="center"/>
              <w:ind w:left="1269"/>
              <w:spacing w:after="0" w:line="149" w:lineRule="exact"/>
              <w:rPr>
                <w:sz w:val="20"/>
                <w:szCs w:val="20"/>
                <w:color w:val="auto"/>
              </w:rPr>
            </w:pPr>
            <w:r>
              <w:rPr>
                <w:rFonts w:ascii="Times New Roman" w:cs="Times New Roman" w:eastAsia="Times New Roman" w:hAnsi="Times New Roman"/>
                <w:sz w:val="14"/>
                <w:szCs w:val="14"/>
                <w:b w:val="1"/>
                <w:bCs w:val="1"/>
                <w:color w:val="auto"/>
              </w:rPr>
              <w:t>(844) 857-3283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500" w:type="dxa"/>
            <w:vAlign w:val="bottom"/>
            <w:gridSpan w:val="7"/>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and telephone number, including area code, of registrant’s principal executive offices)</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8"/>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20" w:type="dxa"/>
            <w:vAlign w:val="bottom"/>
          </w:tcPr>
          <w:p>
            <w:pPr>
              <w:spacing w:after="0"/>
              <w:rPr>
                <w:sz w:val="17"/>
                <w:szCs w:val="17"/>
                <w:color w:val="auto"/>
              </w:rPr>
            </w:pPr>
          </w:p>
        </w:tc>
        <w:tc>
          <w:tcPr>
            <w:tcW w:w="1560" w:type="dxa"/>
            <w:vAlign w:val="bottom"/>
            <w:gridSpan w:val="3"/>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80" w:type="dxa"/>
            <w:vAlign w:val="bottom"/>
          </w:tcPr>
          <w:p>
            <w:pPr>
              <w:spacing w:after="0"/>
              <w:rPr>
                <w:sz w:val="17"/>
                <w:szCs w:val="17"/>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81"/>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Class A common stock, par value $0.0001</w:t>
            </w:r>
          </w:p>
        </w:tc>
        <w:tc>
          <w:tcPr>
            <w:tcW w:w="1020" w:type="dxa"/>
            <w:vAlign w:val="bottom"/>
          </w:tcPr>
          <w:p>
            <w:pPr>
              <w:spacing w:after="0"/>
              <w:rPr>
                <w:sz w:val="24"/>
                <w:szCs w:val="24"/>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warrants, each whole warrant exercisable for one</w:t>
            </w:r>
          </w:p>
        </w:tc>
        <w:tc>
          <w:tcPr>
            <w:tcW w:w="1020" w:type="dxa"/>
            <w:vAlign w:val="bottom"/>
          </w:tcPr>
          <w:p>
            <w:pPr>
              <w:spacing w:after="0"/>
              <w:rPr>
                <w:sz w:val="12"/>
                <w:szCs w:val="12"/>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5520" w:type="dxa"/>
            <w:vAlign w:val="bottom"/>
            <w:gridSpan w:val="3"/>
          </w:tcPr>
          <w:p>
            <w:pPr>
              <w:jc w:val="center"/>
              <w:ind w:right="1718"/>
              <w:spacing w:after="0"/>
              <w:rPr>
                <w:sz w:val="20"/>
                <w:szCs w:val="20"/>
                <w:color w:val="auto"/>
              </w:rPr>
            </w:pPr>
            <w:r>
              <w:rPr>
                <w:rFonts w:ascii="Times New Roman" w:cs="Times New Roman" w:eastAsia="Times New Roman" w:hAnsi="Times New Roman"/>
                <w:sz w:val="13"/>
                <w:szCs w:val="13"/>
                <w:b w:val="1"/>
                <w:bCs w:val="1"/>
                <w:color w:val="auto"/>
              </w:rPr>
              <w:t>share of Class A common stock, each at an exercise price of $368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6820" w:type="dxa"/>
            <w:vAlign w:val="bottom"/>
            <w:gridSpan w:val="6"/>
          </w:tcPr>
          <w:p>
            <w:pPr>
              <w:jc w:val="center"/>
              <w:ind w:right="3091"/>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82"/>
        </w:trPr>
        <w:tc>
          <w:tcPr>
            <w:tcW w:w="4700" w:type="dxa"/>
            <w:vAlign w:val="bottom"/>
            <w:gridSpan w:val="2"/>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a well-known seasoned issuer, as defined in Rule 405 of the Securities Act.</w:t>
            </w:r>
          </w:p>
        </w:tc>
        <w:tc>
          <w:tcPr>
            <w:tcW w:w="480" w:type="dxa"/>
            <w:vAlign w:val="bottom"/>
          </w:tcPr>
          <w:p>
            <w:pPr>
              <w:ind w:left="8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w:t>
            </w:r>
          </w:p>
        </w:tc>
        <w:tc>
          <w:tcPr>
            <w:tcW w:w="4240" w:type="dxa"/>
            <w:vAlign w:val="bottom"/>
            <w:gridSpan w:val="2"/>
          </w:tcPr>
          <w:p>
            <w:pPr>
              <w:ind w:left="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r>
        <w:trPr>
          <w:trHeight w:val="168"/>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 of the Act.</w:t>
            </w:r>
          </w:p>
        </w:tc>
        <w:tc>
          <w:tcPr>
            <w:tcW w:w="480" w:type="dxa"/>
            <w:vAlign w:val="bottom"/>
          </w:tcPr>
          <w:p>
            <w:pPr>
              <w:ind w:left="4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w:t>
            </w:r>
          </w:p>
        </w:tc>
        <w:tc>
          <w:tcPr>
            <w:tcW w:w="4240" w:type="dxa"/>
            <w:vAlign w:val="bottom"/>
            <w:gridSpan w:val="2"/>
          </w:tcPr>
          <w:p>
            <w:pPr>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0" w:type="dxa"/>
            <w:vAlign w:val="bottom"/>
          </w:tcPr>
          <w:p>
            <w:pPr>
              <w:spacing w:after="0"/>
              <w:rPr>
                <w:sz w:val="1"/>
                <w:szCs w:val="1"/>
                <w:color w:val="auto"/>
              </w:rPr>
            </w:pPr>
          </w:p>
        </w:tc>
      </w:tr>
    </w:tbl>
    <w:p>
      <w:pPr>
        <w:spacing w:after="0" w:line="10" w:lineRule="exact"/>
        <w:rPr>
          <w:sz w:val="24"/>
          <w:szCs w:val="24"/>
          <w:color w:val="auto"/>
        </w:rPr>
      </w:pPr>
    </w:p>
    <w:p>
      <w:pPr>
        <w:ind w:right="80" w:firstLine="509"/>
        <w:spacing w:after="0" w:line="13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1" w:lineRule="exact"/>
        <w:rPr>
          <w:sz w:val="24"/>
          <w:szCs w:val="24"/>
          <w:color w:val="auto"/>
        </w:rPr>
      </w:pPr>
    </w:p>
    <w:p>
      <w:pPr>
        <w:ind w:right="80" w:firstLine="509"/>
        <w:spacing w:after="0" w:line="13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right="160" w:firstLine="509"/>
        <w:spacing w:after="0" w:line="24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Accelerated filer</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56"/>
        </w:trPr>
        <w:tc>
          <w:tcPr>
            <w:tcW w:w="1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Emerging growth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bl>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1"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Act. </w:t>
      </w:r>
      <w:r>
        <w:rPr>
          <w:rFonts w:ascii="Arial Unicode MS" w:cs="Arial Unicode MS" w:eastAsia="Arial Unicode MS" w:hAnsi="Arial Unicode MS"/>
          <w:sz w:val="11"/>
          <w:szCs w:val="11"/>
          <w:color w:val="auto"/>
        </w:rPr>
        <w:t>☐</w:t>
      </w:r>
    </w:p>
    <w:p>
      <w:pPr>
        <w:spacing w:after="0" w:line="10" w:lineRule="exact"/>
        <w:rPr>
          <w:sz w:val="24"/>
          <w:szCs w:val="24"/>
          <w:color w:val="auto"/>
        </w:rPr>
      </w:pPr>
    </w:p>
    <w:p>
      <w:pPr>
        <w:ind w:right="340" w:firstLine="509"/>
        <w:spacing w:after="0" w:line="13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520"/>
        <w:spacing w:after="0" w:line="148" w:lineRule="exact"/>
        <w:tabs>
          <w:tab w:leader="none" w:pos="5060" w:val="left"/>
          <w:tab w:leader="none" w:pos="55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520"/>
        <w:spacing w:after="0" w:line="148"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15" w:lineRule="exact"/>
        <w:rPr>
          <w:sz w:val="24"/>
          <w:szCs w:val="24"/>
          <w:color w:val="auto"/>
        </w:rPr>
      </w:pPr>
    </w:p>
    <w:p>
      <w:pPr>
        <w:ind w:right="20" w:firstLine="536"/>
        <w:spacing w:after="0" w:line="142"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right="80" w:firstLine="509"/>
        <w:spacing w:after="0" w:line="237" w:lineRule="auto"/>
        <w:rPr>
          <w:sz w:val="20"/>
          <w:szCs w:val="20"/>
          <w:color w:val="auto"/>
        </w:rPr>
      </w:pPr>
      <w:r>
        <w:rPr>
          <w:rFonts w:ascii="Times New Roman" w:cs="Times New Roman" w:eastAsia="Times New Roman" w:hAnsi="Times New Roman"/>
          <w:sz w:val="11"/>
          <w:szCs w:val="11"/>
          <w:color w:val="auto"/>
        </w:rPr>
        <w:t>As of June 30, 2022, the last business day of the registrant’s most recently completed second fiscal quarter, the aggregate market value of voting ordinary shares held by non-affiliates of the registrant was approximately $220.9 million, determined using the per share closing price of $22.02 on The Nasdaq Global Market on June 30, 2022, as adjusted for the 32-for-1 reverse stock split of Dave Inc.’s common stock effected on January 5, 2023. Ordinary shares held by each director and executive officer (and their respective affiliates) and each person who owns 10 percent or more of the outstanding ordinary shares or who is otherwise believed by the registrant to be in a control position have been excluded. This determination of affiliate status is not necessarily a conclusive determination for other purposes.</w:t>
      </w: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color w:val="auto"/>
        </w:rPr>
        <w:t>As of March 1 , 2023, there were 10,337,394 shares of Class A common stock, $0.0001 par value and 1,514,082 shares of Class V common stock, $0.0001 par value, issued and outstanding.</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 w:lineRule="exact"/>
        <w:rPr>
          <w:sz w:val="24"/>
          <w:szCs w:val="24"/>
          <w:color w:val="auto"/>
        </w:rPr>
      </w:pPr>
    </w:p>
    <w:p>
      <w:pPr>
        <w:ind w:right="420"/>
        <w:spacing w:after="0" w:line="236" w:lineRule="auto"/>
        <w:rPr>
          <w:sz w:val="20"/>
          <w:szCs w:val="20"/>
          <w:color w:val="auto"/>
        </w:rPr>
      </w:pPr>
      <w:r>
        <w:rPr>
          <w:rFonts w:ascii="Times New Roman" w:cs="Times New Roman" w:eastAsia="Times New Roman" w:hAnsi="Times New Roman"/>
          <w:sz w:val="11"/>
          <w:szCs w:val="11"/>
          <w:color w:val="auto"/>
        </w:rPr>
        <w:t>Part III incorporates by reference certain information from the registrant’s definitive proxy statement (the “Proxy Statement”) relating to its Annual Meeting of Stockholders to be held in 2023. The Proxy Statement will be filed with the Securities and Exchange Commission within 120 days after the end of the fiscal year to which this report relates.</w:t>
      </w:r>
    </w:p>
    <w:p>
      <w:pPr>
        <w:spacing w:after="0" w:line="23" w:lineRule="exact"/>
        <w:rPr>
          <w:sz w:val="24"/>
          <w:szCs w:val="24"/>
          <w:color w:val="auto"/>
        </w:rPr>
      </w:pPr>
    </w:p>
    <w:p>
      <w:pPr>
        <w:ind w:left="20"/>
        <w:spacing w:after="0"/>
        <w:tabs>
          <w:tab w:leader="none" w:pos="3760" w:val="left"/>
          <w:tab w:leader="none" w:pos="7500" w:val="left"/>
        </w:tabs>
        <w:rPr>
          <w:sz w:val="20"/>
          <w:szCs w:val="20"/>
          <w:color w:val="auto"/>
        </w:rPr>
      </w:pPr>
      <w:r>
        <w:rPr>
          <w:rFonts w:ascii="Times New Roman" w:cs="Times New Roman" w:eastAsia="Times New Roman" w:hAnsi="Times New Roman"/>
          <w:sz w:val="11"/>
          <w:szCs w:val="11"/>
          <w:color w:val="auto"/>
        </w:rPr>
        <w:t>Auditor Firm ID: 34</w:t>
      </w:r>
      <w:r>
        <w:rPr>
          <w:sz w:val="20"/>
          <w:szCs w:val="20"/>
          <w:color w:val="auto"/>
        </w:rPr>
        <w:tab/>
      </w:r>
      <w:r>
        <w:rPr>
          <w:rFonts w:ascii="Times New Roman" w:cs="Times New Roman" w:eastAsia="Times New Roman" w:hAnsi="Times New Roman"/>
          <w:sz w:val="11"/>
          <w:szCs w:val="11"/>
          <w:color w:val="auto"/>
        </w:rPr>
        <w:t>Auditor Name: Deloitte &amp; Touche LLP</w:t>
      </w:r>
      <w:r>
        <w:rPr>
          <w:sz w:val="20"/>
          <w:szCs w:val="20"/>
          <w:color w:val="auto"/>
        </w:rPr>
        <w:tab/>
      </w:r>
      <w:r>
        <w:rPr>
          <w:rFonts w:ascii="Times New Roman" w:cs="Times New Roman" w:eastAsia="Times New Roman" w:hAnsi="Times New Roman"/>
          <w:sz w:val="10"/>
          <w:szCs w:val="10"/>
          <w:color w:val="auto"/>
        </w:rPr>
        <w:t>Auditor Location: Los Angeles, 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80" w:type="dxa"/>
            <w:vAlign w:val="bottom"/>
            <w:gridSpan w:val="8"/>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6"/>
              </w:rPr>
              <w:t>DAVE INC.</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11"/>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00" w:type="dxa"/>
            <w:vAlign w:val="bottom"/>
            <w:gridSpan w:val="1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14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9"/>
        </w:trPr>
        <w:tc>
          <w:tcPr>
            <w:tcW w:w="416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Basis of Presentation</w:t>
            </w:r>
          </w:p>
        </w:tc>
        <w:tc>
          <w:tcPr>
            <w:tcW w:w="5980" w:type="dxa"/>
            <w:vAlign w:val="bottom"/>
            <w:gridSpan w:val="11"/>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3"/>
              </w:rPr>
              <w:t>ITEM 1A.</w:t>
            </w:r>
          </w:p>
        </w:tc>
        <w:tc>
          <w:tcPr>
            <w:tcW w:w="680" w:type="dxa"/>
            <w:vAlign w:val="bottom"/>
          </w:tcPr>
          <w:p>
            <w:pPr>
              <w:spacing w:after="0"/>
              <w:rPr>
                <w:sz w:val="18"/>
                <w:szCs w:val="18"/>
                <w:color w:val="auto"/>
              </w:rPr>
            </w:pP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4"/>
              </w:rPr>
              <w:t>ITEM 1B.</w:t>
            </w:r>
          </w:p>
        </w:tc>
        <w:tc>
          <w:tcPr>
            <w:tcW w:w="680" w:type="dxa"/>
            <w:vAlign w:val="bottom"/>
          </w:tcPr>
          <w:p>
            <w:pPr>
              <w:spacing w:after="0"/>
              <w:rPr>
                <w:sz w:val="18"/>
                <w:szCs w:val="18"/>
                <w:color w:val="auto"/>
              </w:rPr>
            </w:pP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60" w:type="dxa"/>
            <w:vAlign w:val="bottom"/>
            <w:gridSpan w:val="12"/>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479"/>
        </w:trPr>
        <w:tc>
          <w:tcPr>
            <w:tcW w:w="6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3"/>
              </w:rPr>
              <w:t>ITEM 7A.</w:t>
            </w:r>
          </w:p>
        </w:tc>
        <w:tc>
          <w:tcPr>
            <w:tcW w:w="680" w:type="dxa"/>
            <w:vAlign w:val="bottom"/>
          </w:tcPr>
          <w:p>
            <w:pPr>
              <w:spacing w:after="0"/>
              <w:rPr>
                <w:sz w:val="18"/>
                <w:szCs w:val="18"/>
                <w:color w:val="auto"/>
              </w:rPr>
            </w:pP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40" w:type="dxa"/>
            <w:vAlign w:val="bottom"/>
            <w:gridSpan w:val="6"/>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9"/>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8.</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3"/>
              </w:rPr>
              <w:t>ITEM 9A.</w:t>
            </w:r>
          </w:p>
        </w:tc>
        <w:tc>
          <w:tcPr>
            <w:tcW w:w="680" w:type="dxa"/>
            <w:vAlign w:val="bottom"/>
          </w:tcPr>
          <w:p>
            <w:pPr>
              <w:spacing w:after="0"/>
              <w:rPr>
                <w:sz w:val="18"/>
                <w:szCs w:val="18"/>
                <w:color w:val="auto"/>
              </w:rPr>
            </w:pP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4"/>
              </w:rPr>
              <w:t>ITEM 9B.</w:t>
            </w:r>
          </w:p>
        </w:tc>
        <w:tc>
          <w:tcPr>
            <w:tcW w:w="680" w:type="dxa"/>
            <w:vAlign w:val="bottom"/>
          </w:tcPr>
          <w:p>
            <w:pPr>
              <w:spacing w:after="0"/>
              <w:rPr>
                <w:sz w:val="18"/>
                <w:szCs w:val="18"/>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4"/>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8"/>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10.</w:t>
            </w:r>
          </w:p>
        </w:tc>
        <w:tc>
          <w:tcPr>
            <w:tcW w:w="680" w:type="dxa"/>
            <w:vAlign w:val="bottom"/>
          </w:tcPr>
          <w:p>
            <w:pPr>
              <w:spacing w:after="0"/>
              <w:rPr>
                <w:sz w:val="24"/>
                <w:szCs w:val="24"/>
                <w:color w:val="auto"/>
              </w:rPr>
            </w:pP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00" w:type="dxa"/>
            <w:vAlign w:val="bottom"/>
            <w:gridSpan w:val="7"/>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10"/>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11.</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12.</w:t>
            </w:r>
          </w:p>
        </w:tc>
        <w:tc>
          <w:tcPr>
            <w:tcW w:w="680" w:type="dxa"/>
            <w:vAlign w:val="bottom"/>
          </w:tcPr>
          <w:p>
            <w:pPr>
              <w:spacing w:after="0"/>
              <w:rPr>
                <w:sz w:val="18"/>
                <w:szCs w:val="18"/>
                <w:color w:val="auto"/>
              </w:rPr>
            </w:pP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13.</w:t>
            </w:r>
          </w:p>
        </w:tc>
        <w:tc>
          <w:tcPr>
            <w:tcW w:w="680" w:type="dxa"/>
            <w:vAlign w:val="bottom"/>
          </w:tcPr>
          <w:p>
            <w:pPr>
              <w:spacing w:after="0"/>
              <w:rPr>
                <w:sz w:val="18"/>
                <w:szCs w:val="18"/>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20" w:type="dxa"/>
            <w:vAlign w:val="bottom"/>
            <w:gridSpan w:val="2"/>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10"/>
        </w:trPr>
        <w:tc>
          <w:tcPr>
            <w:tcW w:w="7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14.</w:t>
            </w:r>
          </w:p>
        </w:tc>
        <w:tc>
          <w:tcPr>
            <w:tcW w:w="680" w:type="dxa"/>
            <w:vAlign w:val="bottom"/>
          </w:tcPr>
          <w:p>
            <w:pPr>
              <w:spacing w:after="0"/>
              <w:rPr>
                <w:sz w:val="18"/>
                <w:szCs w:val="18"/>
                <w:color w:val="auto"/>
              </w:rPr>
            </w:pP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60" w:type="dxa"/>
            <w:vAlign w:val="bottom"/>
            <w:gridSpan w:val="5"/>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8"/>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15.</w:t>
            </w:r>
          </w:p>
        </w:tc>
        <w:tc>
          <w:tcPr>
            <w:tcW w:w="680" w:type="dxa"/>
            <w:vAlign w:val="bottom"/>
          </w:tcPr>
          <w:p>
            <w:pPr>
              <w:spacing w:after="0"/>
              <w:rPr>
                <w:sz w:val="24"/>
                <w:szCs w:val="24"/>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40" w:type="dxa"/>
            <w:vAlign w:val="bottom"/>
            <w:gridSpan w:val="9"/>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210"/>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ITEM 16.</w:t>
            </w:r>
          </w:p>
        </w:tc>
        <w:tc>
          <w:tcPr>
            <w:tcW w:w="680" w:type="dxa"/>
            <w:vAlign w:val="bottom"/>
          </w:tcPr>
          <w:p>
            <w:pPr>
              <w:spacing w:after="0"/>
              <w:rPr>
                <w:sz w:val="18"/>
                <w:szCs w:val="18"/>
                <w:color w:val="auto"/>
              </w:rPr>
            </w:pP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0" w:type="dxa"/>
            <w:vAlign w:val="bottom"/>
          </w:tcPr>
          <w:p>
            <w:pPr>
              <w:spacing w:after="0"/>
              <w:rPr>
                <w:sz w:val="1"/>
                <w:szCs w:val="1"/>
                <w:color w:val="auto"/>
              </w:rPr>
            </w:pPr>
          </w:p>
        </w:tc>
      </w:tr>
      <w:tr>
        <w:trPr>
          <w:trHeight w:val="756"/>
        </w:trPr>
        <w:tc>
          <w:tcPr>
            <w:tcW w:w="6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or this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spacing w:after="0" w:line="8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its growth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Dave members (“Members”) to use competitors’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on Dave’s business;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economic factors, including rising interest rates, and business, and/or competitive factors;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Item 1A., “Risk Factors” of this Annual Report on Form 10-K.</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right="48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w:t>
      </w:r>
    </w:p>
    <w:p>
      <w:pPr>
        <w:spacing w:after="0" w:line="17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5, 2022, we consummated the transactions contemplated by that certain Agreement and Plan of Merger, dated as of June 7, 2021 (the “Merger Agreement”), by and among VPC Impact Acquisition Holdings III, Inc. (“VPCC”), Dave Inc., a Delaware corporation (“Legacy Dave”),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 Pursuant to the Merger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Merger Agreement, the “Business Combination”), with Second Merger Sub being the surviving company of the Second Merger as a wholly owned subsidiary of VPCC. In connection with the closing of the Business Combination, we changed our name from “VPC Impact Acquisition Holdings III, Inc.” to “Dave Inc.,” and the Surviving Entity operates under the name “Dave Operating LLC.”</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is now listed on The Nasdaq Global Market (“Nasdaq”) under the symbol “DAVE,” and warrants to purchase the Class A Common Stock at an exercise price of $368 per share are listed on Nasdaq under the symbol “DAVEW.” Prior to the Business Combination, VPCC neither engaged in any operations nor generated any revenue. Until the Business Combination, based on VPCC’s business activities, VPCC was a “shell company” as defined under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otherwise noted or the context otherwise requires:</w:t>
      </w:r>
    </w:p>
    <w:p>
      <w:pPr>
        <w:spacing w:after="0" w:line="117" w:lineRule="exact"/>
        <w:rPr>
          <w:sz w:val="20"/>
          <w:szCs w:val="20"/>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“Company,” “Dave,” “we,” “us,” “our” and similar terms refer to Dave Inc. (f/k/a VPC Impact Acquisition Holdings III, Inc.) and its consolidated subsidiaries;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“VPCC” are to VPC Impact Acquisition Holdings III, Inc. and its consolidated subsidiaries prior to the close of the Business Combination;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“Sponsor” are to VPC Impact Acquisition Holdings Sponsor III, LLC.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 refer to Dave Inc. and its consolidated subsidiaries following the consummation of the Business Combination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story of David vs. Goliath, the small underdog is able to outsmart and defeat his larger adversary. This is the spirit behind the name “Dave.” We have built an integrated and fully digital financial services platform that provides millions of Americans with seamless access to a variety of intuitive financial products at a fraction of the cost and with much greater transparency and higher speed to value than that of the legacy financial services incumbents, such as traditional banks, credit unions, and independent finance companies. Our mission is to build products that level the financial playing field. Our strategy is focused on delivering a superior banking experience for anyone living paycheck to paycheck.</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Based on our observation and analysis of Member data, legacy financial institutions charge high fees for consumer banking and other financial services products, which disproportionately burdens tens of millions of Americans who can least afford them. We witness this dynamic playing out with our Members who we believe are on average paying between $300-$400 per year in overdraft fees, maintenance and other fees to their existing bank for basic checking services.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we see a significant opportunity to address the broader short-term credit market. According to a report by The Financial Health Network (“FHN”), legacy financial institutions charge approximately $30 billion in fees annually. The FHN estimates that financially “coping” and “vulnerable” populations pay over $120 billion a year in fees and interest for access to short-term credit.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prospective Member opportunity is also significant. The FHN estimates that approximately 176 million Americans are “financially vulnerable” or “financially coping” based on financial health scores which reflect spending patterns relative to income, the sufficiency of liquid savings, and the manageability of debt obligations; this figure grew 6% or by 9 million Americans in 2022 as fiscal stimulus impacts waned and as inflationary and interest rate pressures mounted. The FHN study implies that approximately 70% of Americans fall into these low or volatile income and credit-challenged categories, which is up from 66% in 2021, which is the first notable increase in the five years of this FHN study. Similarly, the December 2022 Paycheck to Paycheck Report published by PYMNTS found that, in November 2022, 63%, or approximately 160 million, of all U.S. consumers were living paycheck to paycheck, up from 58% merely six months earlier. Given these dynamics, we estimate that our total addressable market consists of between 160 million to 180 million Americans who are in need of financial stability and are either not served or underserved by legacy financial institutions.</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our Side Hustle product, where we present Members with supplemental work opportunities, and through our recently launched Surveys product, where Members can earn supplemental income by taking surveys. Our budgeting tool helps Members manage their upcoming bills to avoid overspending.</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higher interest rates requires direct deposit or higher minimum daily balances). Even new challenger banks often take multiple days or even weeks before allowing members to access certain premium features, according to the same research. In contrast, Dave's Members are able to utilize all of Dave’s products individually and instantly, whether or not their primary banking relationship is with us. As an example, our ExtraCash product allows Members to access up to $500 to cover an overdraft at their existing bank or everyday expenses such as rent, gas or groceries. We are able to do this by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 w:name="page7"/>
    <w:bookmarkEnd w:id="6"/>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leveraging our proprietary machine learning engine that analyzes a Member’s prior transaction history at their existing bank. This flexible approach to Member choice and speed to value has been a key driver of our highly efficient customer acquisition costs, Member engagement and growth as well as best-in-class brand favorability. Dave leads its peers in Apple’s app-store ratings, with a 4.8 average rating from over 625,000 reviews.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only begun to address the many inequities in financial services, but our progress to date demonstrates the demand for Dave to rewire the financial system for the everyday person. Since inception and through the date of this Annual Report on Form 10-K, over 10 million Members have registered on the Dave app and over eight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4, 2023, the Board of Directors of the Company approved an amendment to the Company’s certificate of incorporation to complete a 1-for-32 reverse stock split effective January 5, 2023. The primary goal of the reverse stock split is to bring the Company’s stock price above the share bid price requirement for continued listing on Nasdaq. Unless otherwise indicated, the effects of the reverse stock split have been reflected in this Annual Report on Form 10-K, including the consolidated financial statements and the footnotes in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Americans have been underserved by existing financial products for decades. We take a unique approach to serving our large addressable market with the following strategy:</w:t>
      </w:r>
    </w:p>
    <w:p>
      <w:pPr>
        <w:spacing w:after="0" w:line="54" w:lineRule="exact"/>
        <w:rPr>
          <w:sz w:val="20"/>
          <w:szCs w:val="20"/>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suite of products that help solve critical Member pain points, driving low acquisition costs.</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frictionless access to a suite of financial products.</w:t>
      </w:r>
    </w:p>
    <w:p>
      <w:pPr>
        <w:spacing w:after="0" w:line="117" w:lineRule="exact"/>
        <w:rPr>
          <w:rFonts w:ascii="Times New Roman" w:cs="Times New Roman" w:eastAsia="Times New Roman" w:hAnsi="Times New Roman"/>
          <w:sz w:val="18"/>
          <w:szCs w:val="18"/>
          <w:color w:val="auto"/>
        </w:rPr>
      </w:pPr>
    </w:p>
    <w:p>
      <w:pPr>
        <w:ind w:left="1280" w:right="320" w:hanging="509"/>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data and proprietary artificial intelligence-based underwriting technology to offer ExtraCash at affordable prices and with leading expediency.</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community building with our Member base.</w:t>
      </w:r>
    </w:p>
    <w:p>
      <w:pPr>
        <w:spacing w:after="0" w:line="117"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a “flywheel” by cross-selling existing Members to new, complementary products at no additional Member acquisition costs, resulting in lower consumer pricing.</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Offering products to solve critical Member pain points</w:t>
      </w:r>
      <w:r>
        <w:rPr>
          <w:rFonts w:ascii="Times New Roman" w:cs="Times New Roman" w:eastAsia="Times New Roman" w:hAnsi="Times New Roman"/>
          <w:sz w:val="18"/>
          <w:szCs w:val="18"/>
          <w:color w:val="auto"/>
        </w:rPr>
        <w:t>: One in five Americans are either unbanked (no checking account) or underbanked (access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checking account, but pays significant fees and/or has limited access to credit). Household financial insecurity is even more pervasive. Today, more than 176 million Americans are either financially vulnerable or financially coping, with over 30% unable to afford a one-time $400 emergency expense, according to the Federal Reserve's report on the Economic Well-Being of U.S. Households, and 63% are living paycheck-to-paycheck, according to results from the December 2022 Paycheck to Paycheck Report published by PYMNTS.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Retail banks—large-scale depository institutions, regional banks, credit unions and other traditional financial institutions—are largely set up to serve Americans who are financially stable. For these Americans, existing financial services offerings largely address their needs; they offer mortgages, savings accounts, credit cards, wealth management and more. In contrast, low-income or low-balance consumers are discouraged or disqualified from traditional financial services offerings as a result of their onerous overdraft fees, minimum account balance fees, minimum credit score requirements and other stringent requirements. Historically, Members have incurred an average of $300-400 per year in fees from their legacy banks.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At Dave, we have built an all-in-one mobile platform that offers the following financial products to directly address the financial instability that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Americans face:</w:t>
      </w:r>
    </w:p>
    <w:p>
      <w:pPr>
        <w:spacing w:after="0" w:line="203"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ExtraCash: </w:t>
      </w:r>
      <w:r>
        <w:rPr>
          <w:rFonts w:ascii="Times New Roman" w:cs="Times New Roman" w:eastAsia="Times New Roman" w:hAnsi="Times New Roman"/>
          <w:sz w:val="18"/>
          <w:szCs w:val="18"/>
          <w:color w:val="auto"/>
        </w:rPr>
        <w:t>Many Americans are often unable to maintain a positive balance between paychecks, driving a reliance on overdraft products, payday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auto title loans and other forms of expensive credit to put food on the table, gas in their car or pay for unexpected emergencies. For example, traditional banks charge up to $34 for access to as little as $5 of overdraft, whereas many others in the financial services sector do not allow for overdraft at all. Dave invented a short-term liquidity alternative called ExtraCash, which allows Members to receive a cash advance of up to $500 with an option to advance funds to their bank account via the automated clearing house (ACH) network (which typically takes two to five business days) and avoid fees altogether. Members also have the option to advance funds to their bank account via the debit card network (which typically takes minutes or hours) for an express service fee.</w:t>
      </w:r>
    </w:p>
    <w:p>
      <w:pPr>
        <w:spacing w:after="0" w:line="183" w:lineRule="exact"/>
        <w:rPr>
          <w:sz w:val="20"/>
          <w:szCs w:val="20"/>
          <w:color w:val="auto"/>
        </w:rPr>
      </w:pPr>
    </w:p>
    <w:p>
      <w:pPr>
        <w:ind w:left="5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Dave Banking: </w:t>
      </w:r>
      <w:r>
        <w:rPr>
          <w:rFonts w:ascii="Times New Roman" w:cs="Times New Roman" w:eastAsia="Times New Roman" w:hAnsi="Times New Roman"/>
          <w:sz w:val="18"/>
          <w:szCs w:val="18"/>
          <w:color w:val="auto"/>
        </w:rPr>
        <w:t>Dave offers a full-service digital checking account through our partnership with Evolve Bank and Trust (“Evolve”), an Arkansas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state-chartered bank owned by Evolve Bancorp Inc. Dave Banking accounts do not have overdraft or minimum balance fees, allow for early paycheck payment, offer a Dave debit card to facilitate everyday spending including cashback reward offers, and provide Federal Deposit Insurance Corporation (“FDIC”) insurance on checking account balances up to $250,000. Moreover, Dave Banking Members receive features to support their financial health such as Goals savings accounts and opt-in round-up savings on debit transactions in addition to receiving lower ExtraCash instant transfer fees.</w:t>
      </w:r>
    </w:p>
    <w:p>
      <w:pPr>
        <w:spacing w:after="0" w:line="182" w:lineRule="exact"/>
        <w:rPr>
          <w:sz w:val="20"/>
          <w:szCs w:val="20"/>
          <w:color w:val="auto"/>
        </w:rPr>
      </w:pPr>
    </w:p>
    <w:p>
      <w:pPr>
        <w:ind w:left="5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Budget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spending and earning dynamics have become more complex over time, Dave offers a personal financial management tool to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with budgeting, wherever someone banks. With Budget, Dave helps Members to manage their income and expenses between paychecks and avoid liquidity jams that may cause them to overdraft. Dave tracks Members’ income and expenses, and we let them know about estimated upcoming bills and other expenses. Budget will monitor their linked bank account held at a depository institution, including a Dave Banking account, and will let them know when they're in danger of having insufficient funds in their account. This helps Members avoid overdrafts, returned transactions and bank fees.</w:t>
      </w:r>
    </w:p>
    <w:p>
      <w:pPr>
        <w:spacing w:after="0" w:line="182" w:lineRule="exact"/>
        <w:rPr>
          <w:sz w:val="20"/>
          <w:szCs w:val="20"/>
          <w:color w:val="auto"/>
        </w:rPr>
      </w:pPr>
    </w:p>
    <w:p>
      <w:pPr>
        <w:ind w:left="5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Side Hustle and Surveys: </w:t>
      </w:r>
      <w:r>
        <w:rPr>
          <w:rFonts w:ascii="Times New Roman" w:cs="Times New Roman" w:eastAsia="Times New Roman" w:hAnsi="Times New Roman"/>
          <w:sz w:val="18"/>
          <w:szCs w:val="18"/>
          <w:color w:val="auto"/>
        </w:rPr>
        <w:t>Dave seeks to help Members improve their financial health by offering them opportunities to generate supplemental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through two channels: Side Hustle and Surveys. Side Hustle Members can quickly submit applications to leading employers, including DoorDash, Airbnb, Lyft, Rover and more that can lead to increased income with flexible employment. Our Surveys product allows for additional earning opportunities, allowing Members to take paid surveys anytime within the Dave mobile application. These channels drive engagement within the Dave ecosystem and deepen our relationship to our Members’ financial wellbeing.</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Creating frictionless access to high-impact products: </w:t>
      </w:r>
      <w:r>
        <w:rPr>
          <w:rFonts w:ascii="Times New Roman" w:cs="Times New Roman" w:eastAsia="Times New Roman" w:hAnsi="Times New Roman"/>
          <w:sz w:val="18"/>
          <w:szCs w:val="18"/>
          <w:color w:val="auto"/>
        </w:rPr>
        <w:t>In order to access the financial tools many retail banks offer, consumers are often first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a checking account with that bank. Banks may also require a direct deposit relationship to discourage switching banks. Most financial technology companies in the consumer banking space have largely retained this model, requiring a primary banking relationship in order to access their tools around financial health.</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Dave, we believe this approach is exclusionary and discourages participation in the banking system for tens of millions of Americans who need it most. As part of our philosophy of solving critical financial pain points for consumers, we deliberately offer each of our products on a standalone basis, meeting Members where they are and allowing them to engage with Dave on their own terms. We believe that high-impact products that are easy to access and easy to use will engender Member loyalty and engagement across multiple products and expand the lifetime value of these Member relationships.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Leveraging data to offer high impact products quickly and at advantageous pricing: </w:t>
      </w:r>
      <w:r>
        <w:rPr>
          <w:rFonts w:ascii="Times New Roman" w:cs="Times New Roman" w:eastAsia="Times New Roman" w:hAnsi="Times New Roman"/>
          <w:sz w:val="18"/>
          <w:szCs w:val="18"/>
          <w:color w:val="auto"/>
        </w:rPr>
        <w:t>We offer our high impact ExtraCash and Budget products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within a matter of minutes of installing the Dave mobile application. When a Member connects their existing bank account to Dave, we analyze several months of historical spending and income data using our proprietary machine-learning and income-detection algorithms. To date, we have analyzed tens of billions Member transactions. This allows us to offer immediate budgeting insights such as an upcoming utility bill and rapidly approve Members for up to $500 of ExtraCash which can be accessed within hours. While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220"/>
        <w:spacing w:after="0" w:line="261" w:lineRule="auto"/>
        <w:rPr>
          <w:sz w:val="20"/>
          <w:szCs w:val="20"/>
          <w:color w:val="auto"/>
        </w:rPr>
      </w:pPr>
      <w:r>
        <w:rPr>
          <w:rFonts w:ascii="Times New Roman" w:cs="Times New Roman" w:eastAsia="Times New Roman" w:hAnsi="Times New Roman"/>
          <w:sz w:val="18"/>
          <w:szCs w:val="18"/>
          <w:color w:val="auto"/>
        </w:rPr>
        <w:t>early wage access and cash advance products have become increasingly common across banking innovators, these products typically depend on multiple direct deposits into a bank account—often requiring multiple weeks and pay cycles. At Dave, a Member can receive much-needed cash in a matter of minutes and, while Members receive a new bank account in conjunction with signing up for Dave, it is an additional benefit to Members and not a requirement to obtain ExtraCash.</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wealth of data, combined with our machine-learning capabilities and underwriting excellence, is competitive advantages that will increase with Member scale. We expect to continue to develop these technologies and use them for product expansion in the future.</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Focusing on community building with our Members: </w:t>
      </w:r>
      <w:r>
        <w:rPr>
          <w:rFonts w:ascii="Times New Roman" w:cs="Times New Roman" w:eastAsia="Times New Roman" w:hAnsi="Times New Roman"/>
          <w:sz w:val="18"/>
          <w:szCs w:val="18"/>
          <w:color w:val="auto"/>
        </w:rPr>
        <w:t>We take our mission to build products that level the financial playing field seriously. That is why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developed financial products that address the needs of more than 160 million Americans.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date, we have helped our Members avoid nearly $2 billion in overdraft fees from their legacy bank relationships through our ExtraCash product. Through our charity program, we have delivered 80 million meals and pledged over $8 million to Feeding America and other causes. Dave has been named a Best Place to Work by Built In for three consecutive years, most recently being recognized as one of the best remote workplaces in the U.S.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Generating a virtual “flywheel”: </w:t>
      </w:r>
      <w:r>
        <w:rPr>
          <w:rFonts w:ascii="Times New Roman" w:cs="Times New Roman" w:eastAsia="Times New Roman" w:hAnsi="Times New Roman"/>
          <w:sz w:val="18"/>
          <w:szCs w:val="18"/>
          <w:color w:val="auto"/>
        </w:rPr>
        <w:t>Our aim is to create the most trusted, integrated financial services platform that will generate a cycle whereby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experiences will lead to more products adopted per Member and enhanced profitability for each additional product at no additional acquisition cost. We refer to this cycle as our “Dave Flywheel.” Over ten million Americans have downloaded and registered accounts on the Dave app, and more than six million Americans have connected their existing bank accounts to Dave.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Member acquisition efficiency is a testament to Dave’s product-market fit and trusted brand. Our unique ability to offer an immediate short-term solution to near-term financial instability, without direct deposit or bank account relationship length requirements, has proven highly compelling to a broad range of Members. Further, our digitally-native interface and the community impact of our products creates a compelling Member experience that paves the way to offer additional products within our ecosystem.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Platform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intuitive and Member-friendly app provides a fast, seamless experience across all of our products. We are committed to delivering a delightful Member experience; we continuously listen to our Members’ feedback and implement improvements on a rapid release cycle. As of December 31, 2022, we had received nearly 625,000 ratings on the Apple app store, with a 4.8 rating.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Dave’s current product platform includes: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“ExtraCash” Advance Product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ExtraCash is our 0% APR cash advance product that gives Members access to much-needed liquidity to avoid overdraft fees or bridge themselves to their next paycheck. No credit check is required and eligibility for ExtraCash is based on the verification of the Member’s checking account and the Member’s identity. Beginning in the summer of 2022, all new Members receive a Dave Banking account to which they can receive their ExtraCash advance; alternatively, Members can disburse their advance to a checking account with another financial institution. Once a Member connects his or her bank account to the Dave app, data regarding the Member’s account is gathered and analyzed. The amount of the advance available to a Member is a function of a proprietary machine-learning algorithm that analyzes historical spending, savings and earnings patterns based on data gathered from the Member’s bank account, among other data points. This process is fully automated unless there are any issues flagged via our Member identification processes. Timing of the repayment of the ExtraCash advance is determined when the ExtraCash advance is made and is based on the estimated date that the Member will receive his or her next paycheck, which typically ranges from seven to 10 days from when they apply for an ExtraCash advance. A Member is limited to one ExtraCash advance per pay period and may only have one ExtraCash advance outstanding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40"/>
        <w:spacing w:after="0" w:line="256" w:lineRule="auto"/>
        <w:rPr>
          <w:sz w:val="20"/>
          <w:szCs w:val="20"/>
          <w:color w:val="auto"/>
        </w:rPr>
      </w:pPr>
      <w:r>
        <w:rPr>
          <w:rFonts w:ascii="Times New Roman" w:cs="Times New Roman" w:eastAsia="Times New Roman" w:hAnsi="Times New Roman"/>
          <w:sz w:val="18"/>
          <w:szCs w:val="18"/>
          <w:color w:val="auto"/>
        </w:rPr>
        <w:t>at any given time. The maximum term for an ExtraCash advance is 31 days. Dave develops and manages the entire risk management and decisioning process associated with issuing and servicing ExtraCash advances. Since the payback date is an estimate of the Member’s next paycheck date, we primarily monitor and manage delinquency and loss performance based on repayment experience following the estimated repayment date. Specifically, we assess dollars repaid relative to dollars owed over this period. The table below summarizes delinquency repayment performance over the historical period where the 28-day delinquency rate for a particular month represents the total delinquent principal disbursed in that calendar month (inclusive of the delinquent pledged instant transfer fees and tips) divided by the total receivables created in that particular calendar month.</w:t>
      </w:r>
    </w:p>
    <w:p>
      <w:pPr>
        <w:spacing w:after="0" w:line="398" w:lineRule="exact"/>
        <w:rPr>
          <w:sz w:val="20"/>
          <w:szCs w:val="20"/>
          <w:color w:val="auto"/>
        </w:rPr>
      </w:pPr>
    </w:p>
    <w:tbl>
      <w:tblPr>
        <w:tblLayout w:type="fixed"/>
        <w:tblInd w:w="2610" w:type="dxa"/>
        <w:tblCellMar>
          <w:top w:w="0" w:type="dxa"/>
          <w:left w:w="0" w:type="dxa"/>
          <w:bottom w:w="0" w:type="dxa"/>
          <w:right w:w="0" w:type="dxa"/>
        </w:tblCellMar>
      </w:tblPr>
      <w:tr>
        <w:trPr>
          <w:trHeight w:val="277"/>
        </w:trPr>
        <w:tc>
          <w:tcPr>
            <w:tcW w:w="2240" w:type="dxa"/>
            <w:vAlign w:val="bottom"/>
            <w:tcBorders>
              <w:top w:val="single" w:sz="8" w:color="auto"/>
              <w:left w:val="single" w:sz="8" w:color="auto"/>
              <w:bottom w:val="single" w:sz="8" w:color="auto"/>
              <w:right w:val="single" w:sz="8" w:color="auto"/>
            </w:tcBorders>
            <w:shd w:val="clear" w:color="auto" w:fill="B6DEE8"/>
          </w:tcPr>
          <w:p>
            <w:pPr>
              <w:ind w:left="9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Borders>
              <w:top w:val="single" w:sz="8" w:color="auto"/>
              <w:bottom w:val="single" w:sz="8" w:color="auto"/>
            </w:tcBorders>
            <w:shd w:val="clear" w:color="auto" w:fill="B6DEE8"/>
          </w:tcPr>
          <w:p>
            <w:pPr>
              <w:spacing w:after="0"/>
              <w:rPr>
                <w:sz w:val="24"/>
                <w:szCs w:val="24"/>
                <w:color w:val="auto"/>
              </w:rPr>
            </w:pPr>
          </w:p>
        </w:tc>
        <w:tc>
          <w:tcPr>
            <w:tcW w:w="3800" w:type="dxa"/>
            <w:vAlign w:val="bottom"/>
            <w:tcBorders>
              <w:top w:val="single" w:sz="8" w:color="auto"/>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28-Day Delinquency Rate</w:t>
            </w:r>
          </w:p>
        </w:tc>
      </w:tr>
      <w:tr>
        <w:trPr>
          <w:trHeight w:val="217"/>
        </w:trPr>
        <w:tc>
          <w:tcPr>
            <w:tcW w:w="22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4.34%</w:t>
            </w:r>
          </w:p>
        </w:tc>
      </w:tr>
      <w:tr>
        <w:trPr>
          <w:trHeight w:val="235"/>
        </w:trPr>
        <w:tc>
          <w:tcPr>
            <w:tcW w:w="2240" w:type="dxa"/>
            <w:vAlign w:val="bottom"/>
            <w:tcBorders>
              <w:left w:val="single" w:sz="8" w:color="B6DEE8"/>
              <w:bottom w:val="single" w:sz="8" w:color="auto"/>
              <w:right w:val="single" w:sz="8" w:color="auto"/>
            </w:tcBorders>
            <w:shd w:val="clear" w:color="auto" w:fill="B6DEE8"/>
          </w:tcPr>
          <w:p>
            <w:pPr>
              <w:ind w:left="920"/>
              <w:spacing w:after="0"/>
              <w:rPr>
                <w:sz w:val="20"/>
                <w:szCs w:val="20"/>
                <w:color w:val="auto"/>
              </w:rPr>
            </w:pPr>
            <w:r>
              <w:rPr>
                <w:rFonts w:ascii="Times New Roman" w:cs="Times New Roman" w:eastAsia="Times New Roman" w:hAnsi="Times New Roman"/>
                <w:sz w:val="18"/>
                <w:szCs w:val="18"/>
                <w:color w:val="auto"/>
              </w:rPr>
              <w:t>2021</w:t>
            </w:r>
          </w:p>
        </w:tc>
        <w:tc>
          <w:tcPr>
            <w:tcW w:w="3820" w:type="dxa"/>
            <w:vAlign w:val="bottom"/>
            <w:tcBorders>
              <w:bottom w:val="single" w:sz="8" w:color="auto"/>
              <w:right w:val="single" w:sz="8" w:color="auto"/>
            </w:tcBorders>
            <w:gridSpan w:val="2"/>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8"/>
              </w:rPr>
              <w:t>3.93%</w:t>
            </w:r>
          </w:p>
        </w:tc>
      </w:tr>
      <w:tr>
        <w:trPr>
          <w:trHeight w:val="237"/>
        </w:trPr>
        <w:tc>
          <w:tcPr>
            <w:tcW w:w="22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2022</w:t>
            </w:r>
          </w:p>
        </w:tc>
        <w:tc>
          <w:tcPr>
            <w:tcW w:w="38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-487680</wp:posOffset>
            </wp:positionV>
            <wp:extent cx="384873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8735" cy="162560"/>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no fees associated with the delivery of ExtraCash funds to a checking account (typically delivered within two to five business days) via ACH. Should a Member wish to receive their funds on an expedited basis (guaranteed within eight hours, though often significantly faster), there is an optional instant transfer fee. The instant transfer fee ranges from $1.99 to $12.99, depending on the size of the advance taken and whether the ExtraCash advance is disbursed to an external account or the Members’s Dave Banking account. Members are offered lower instant transfer fees if they elect to disburse ExtraCash funds internally to their Dave Banking account. Use of the expedited transfer feature is entirely optional. Further, we give Members the option to leave a tip based on what they think is fair when they use ExtraCash if they feel we have provided value to them.</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the repayment date, we trigger an automated withdrawal from the Member’s account for the ExtraCash advance amount plus the optional instant transfer fee and optional tip if a Member opted for those services. We take a consumer-friendly approach to the withdrawal process by attempting to check Member balances before initiating all withdrawals. In the event there are insufficient funds to cover the repayment amount, we do not attempt the withdrawal and will wait until the Member has a sufficient balance before initiating the transaction in order to minimize the possibility of triggering an overdraft for our Members. Consistent with our reserve methodology, we deem a Member advance that has been outstanding for more than 120 days to be uncollectible and is therefore written off.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Deposit Account: “Dave Banking”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Dave Banking is our FDIC-insured digital demand deposit account with premium features, cashback rewards, and no account minimums or corresponding fees. Our Dave Banking demand deposit accounts are currently issued by Evolve.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Members can open a Dave Banking account in minutes through the Dave mobile application, add funds to their account and begin spending using a Dave Banking virtual debit card. Dave Banking accounts also include a physical Dave Debit MasterCard that can be used for everyday purchases and spending transactions as well as at any of the nearly 40,000 MoneyPass ATM network locations to make no-fee withdrawals at these in-network ATMs.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Banking accounts can be funded with an ExtraCash advance, direct deposit, an external debit card, an external bank account, or mobile check capture.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fees for a Dave Banking account, making it accessible for people of all financial situations.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Dave Banking account includes some of the best features and rewards in banking, including:</w:t>
      </w:r>
    </w:p>
    <w:p>
      <w:pPr>
        <w:spacing w:after="0" w:line="117" w:lineRule="exact"/>
        <w:rPr>
          <w:sz w:val="20"/>
          <w:szCs w:val="20"/>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account minimums;</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MoneyPass ATM network locations to make no-fee withdrawals;</w:t>
      </w:r>
    </w:p>
    <w:p>
      <w:pPr>
        <w:spacing w:after="0" w:line="117" w:lineRule="exact"/>
        <w:rPr>
          <w:rFonts w:ascii="Times New Roman" w:cs="Times New Roman" w:eastAsia="Times New Roman" w:hAnsi="Times New Roman"/>
          <w:sz w:val="18"/>
          <w:szCs w:val="18"/>
          <w:color w:val="auto"/>
        </w:rPr>
      </w:pPr>
    </w:p>
    <w:p>
      <w:pPr>
        <w:ind w:left="1280" w:right="12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Paychecks delivered up to two days earlier than the scheduled payment date with direct deposit into the Dave Banking account, a feature accessible with no additional mandatory fees;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mobile wallets such as Apple Pay and Google Pay;</w:t>
      </w:r>
    </w:p>
    <w:p>
      <w:pPr>
        <w:spacing w:after="0" w:line="117" w:lineRule="exact"/>
        <w:rPr>
          <w:rFonts w:ascii="Times New Roman" w:cs="Times New Roman" w:eastAsia="Times New Roman" w:hAnsi="Times New Roman"/>
          <w:sz w:val="18"/>
          <w:szCs w:val="18"/>
          <w:color w:val="auto"/>
        </w:rPr>
      </w:pPr>
    </w:p>
    <w:p>
      <w:pPr>
        <w:ind w:left="1280" w:right="40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Round-up feature allowing Members to round-up their debit card transaction into a Goals account which helps Members accumulate savings; and</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 in ExtraCash capacity for short-term liquidity.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Dave Banking offers robust security controls such as multi-factor authentication, contactless payment, instant card lock and protection against unauthorized purchases if cards are lost or stolen.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Dave Banking demand deposit accounts are currently issued by Evolve. Evolve is also the issuer of all Dave Banking debit cards and sponsors access to debit networks for payment transactions, funding transactions and associated settlement of funds under a sponsorship agreement with Dave. Evolve also provides sponsorship and support for ACH and associated funds settlement. Under the agreement between Dave and Evolve related to Dave Banking, Evolve receives all of the program revenue and transaction fees, and passes them on to Dave, minus any obligations owed to Evolve. Dave pays all payment network fees and other program-specific expenses associated with Dave Banking. These payment network fees are set directly by the various payment networks and based on the transactions processed on their respective network. See “Our Business Model” below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Financial Management Tool: “Budget”</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believe that understanding and visibility are core to a Member’s financial health. That’s why we developed our product offering called Budget, a personal financial management tool that helps Members understand their spending and savings habits and learn better financial management.</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This automated financial management tool leverages historical bank account data to help Members understand both recurring and commonly occurring charges, helping Members understand potential upcoming pain points. Budget notifies Members when there is a chance of an overdraft, and allows Members to qualify for Dave’s ExtraCash product for up to $500 of additional liquidity. We charge a $1 monthly subscription for access to the Budget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 Application Portal: “Side Hustle”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Side Hustle is our streamlined job application portal for Dave Members to find supplemental or temporary work. We focus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Income Generation: “Surveys”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recently launched Surveys product allows for additional earning opportunities, allowing Members to take paid surveys anytime within the Dave mobile application. This functionality drives engagement within the Dave ecosystem and deepen our relationship to our Members’ financial wellbeing.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a range of financial products and services through a single platform delivered via a mobile application.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primarily broken into the following categories:</w:t>
      </w:r>
    </w:p>
    <w:p>
      <w:pPr>
        <w:spacing w:after="0" w:line="113" w:lineRule="exact"/>
        <w:rPr>
          <w:sz w:val="20"/>
          <w:szCs w:val="20"/>
          <w:color w:val="auto"/>
        </w:rPr>
      </w:pPr>
    </w:p>
    <w:p>
      <w:pPr>
        <w:ind w:left="1280" w:hanging="509"/>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Based Revenue</w:t>
      </w:r>
      <w:r>
        <w:rPr>
          <w:rFonts w:ascii="Times New Roman" w:cs="Times New Roman" w:eastAsia="Times New Roman" w:hAnsi="Times New Roman"/>
          <w:sz w:val="18"/>
          <w:szCs w:val="18"/>
          <w:color w:val="auto"/>
        </w:rPr>
        <w:t>: in 2022, 92% of revenue, approximately $188.9 million in revenue</w:t>
      </w:r>
    </w:p>
    <w:p>
      <w:pPr>
        <w:spacing w:after="0" w:line="121"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ExtraCash (optional instant transfer convenience fees and optional tips)</w:t>
      </w:r>
    </w:p>
    <w:p>
      <w:pPr>
        <w:spacing w:after="0" w:line="117"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(subscription fee)</w:t>
      </w:r>
    </w:p>
    <w:p>
      <w:pPr>
        <w:spacing w:after="0" w:line="117"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(Side Hustle lead)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ind w:left="1280" w:hanging="509"/>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Based Revenue</w:t>
      </w:r>
      <w:r>
        <w:rPr>
          <w:rFonts w:ascii="Times New Roman" w:cs="Times New Roman" w:eastAsia="Times New Roman" w:hAnsi="Times New Roman"/>
          <w:sz w:val="18"/>
          <w:szCs w:val="18"/>
          <w:color w:val="auto"/>
        </w:rPr>
        <w:t>: in 2022, 8% of revenue, approximately $16.0 million in revenue</w:t>
      </w:r>
    </w:p>
    <w:p>
      <w:pPr>
        <w:spacing w:after="0" w:line="121"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Dave Banking (interchange fees, network incentives, deposit referral fees and out-of-network ATM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originate ExtraCash advances directly, and we service all the advances that we originate.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ExtraCash advances have historically been funded through balance sheet cash. Beginning in January 2021, subsequent to the formation of Dave OD Funding I, LLC (“Dave OD Funding”), a subsidiary of Dave which is consolidated in Dave’s financial statements, ExtraCash advances have been funded through a combination of balance sheet cash and funding available under Dave OD Funding’s debt facility with Victory Park Capital, an affiliate of VPCC. ExtraCash advances are originated at Dave and transferred to Dave OD Funding for servicing. Cash is transferred back from Dave OD Funding to Dave through the acquisition of newly originated advance receivables and by distributions following the repayment of advances by Members. Proceeds of borrowings under the debt facility are used by Dave OD Funding to purchase advance receivables. The Company, through Dave OD Funding, continues to service all advances that it originates.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depend on certain key third-party partners to provide certain of our products and services. Our Dave Banking demand deposit accounts and associated debit cards are currently issued by Evolve. We are party to a Bank Services Agreement with Evolve, with a term which is set to automatically renew on July 13, 2023 and which will automatically renew for successive one-year periods unless either party provides written notice of non-renewal, which may be provided without cause to the other party at least 180 days prior to the end of any such term. In addition, upon the occurrence of certain early termination events, either we or Evolve may terminate the agreement immediately upon written notice to the other party. The Bank Services Agreement does not prohibit Evolve from working with our competitors or from offering competing services, nor does it prevent us from working with other banks to provide similar services. Our partnership with Evolve allows us to provide deposit accounts and debit cards while complying with various federal, state, and other laws. Evolve also sponsors access to debit networks and ACH for payment transactions, funding transactions and associated settlement of funds.</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connection with our arrangements with Evolve, we have also entered into a multi-year service agreement with Galileo Financial Technologies, LLC (f/k/a Galileo Financial Technologies, Inc.) (“Galileo”), a payment processing platform, in which Galileo has agreed to process all transactions for our Dave Banking accounts and debit cards, and to handle corresponding payments and adjustments. Galileo also maintains cardholder information, implements certain fraud control processes and procedures, and provides related services in connection with the Dave Banking accounts and debit cards. We pay the greater of actual fees or the minimum monthly fee for these services. In January 2023, we executed an amended agreement with Galileo that should significantly reduce the fees that we pay to Galileo for these services. In conjunction with the amended agreement, the term of the agreement was amended such that the agreement expires on the fifth anniversary of the effective date of the amended agreement. Following the amended term of the agreement, the agreement renews for successive one-year periods unless either party provides written notice of non-renewal, which may be provided without cause, to the other party at least four months prior to the end of any such renewal term. The occurrence of certain events would provide each party with an early termination right under the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we are in the early stages of realizing the full value of our existing platform. We seek to capitalize on the structural advantages inherent in being a digitally native, customer-centric, and built-to-scale platform as we continue capturing share of the growing market opportunity. Our multi-pronged growth strategy is designed to continue building upon the momentum we have generated to date to create even greater value for consumers:</w:t>
      </w:r>
    </w:p>
    <w:p>
      <w:pPr>
        <w:spacing w:after="0" w:line="68" w:lineRule="exact"/>
        <w:rPr>
          <w:sz w:val="20"/>
          <w:szCs w:val="20"/>
          <w:color w:val="auto"/>
        </w:rPr>
      </w:pPr>
    </w:p>
    <w:p>
      <w:pPr>
        <w:ind w:left="1280" w:hanging="509"/>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penetrating our large addressable market;</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cross-sell into Dave Banking;</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new products and features to cross-sell to Members; and</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additional strategic acquisitions.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 w:name="page13"/>
    <w:bookmarkEnd w:id="12"/>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Continue penetrating our large addressable market: </w:t>
      </w:r>
      <w:r>
        <w:rPr>
          <w:rFonts w:ascii="Times New Roman" w:cs="Times New Roman" w:eastAsia="Times New Roman" w:hAnsi="Times New Roman"/>
          <w:sz w:val="18"/>
          <w:szCs w:val="18"/>
          <w:color w:val="auto"/>
        </w:rPr>
        <w:t>More than 160 million Americans are in need of more financial stability. Approximately one in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Americans are “unbanked” or “underbanked”—without access to a checking account, or with access to a checking account but burdened excessively with interest and fees. Approximately 10% of households overdraft their account over 10 times per year, and approximately half of all banked financially vulnerable households overdrafted at least once per year. Framed differently, more than 30% of Americans are unable to afford a one-time $400 emergency and more than 63% of U.S. consumers are living paycheck-to-paycheck. Therefore, while we have achieved significant user scale, there remains significant runway for growth in our core product markets.</w:t>
      </w:r>
    </w:p>
    <w:p>
      <w:pPr>
        <w:spacing w:after="0" w:line="18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Accelerate cross-sell into Dave Banking: </w:t>
      </w:r>
      <w:r>
        <w:rPr>
          <w:rFonts w:ascii="Times New Roman" w:cs="Times New Roman" w:eastAsia="Times New Roman" w:hAnsi="Times New Roman"/>
          <w:sz w:val="18"/>
          <w:szCs w:val="18"/>
          <w:color w:val="auto"/>
        </w:rPr>
        <w:t>We are focused on continuing to expand the relationships we have with our Members into Dave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who engage in recurring funding and spending on our platform. As of the summer of 2022, all new Members receive a Dave Banking account to which they can receive an ExtraCash advance and with which they can satisfy their major funding and spending needs. Our goal is to expand the synergies between our ExtraCash product and the Dave Banking solution, build long-term, high-value direct deposit relationships with our Members and, ultimately, become the primary banking service for our Members.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Deliver and market new products and features: </w:t>
      </w:r>
      <w:r>
        <w:rPr>
          <w:rFonts w:ascii="Times New Roman" w:cs="Times New Roman" w:eastAsia="Times New Roman" w:hAnsi="Times New Roman"/>
          <w:sz w:val="18"/>
          <w:szCs w:val="18"/>
          <w:color w:val="auto"/>
        </w:rPr>
        <w:t>Our product development teams, inclusive of Product Management, Engineering, Design and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 are constantly innovating. We are continually optimizing our current products, while also developing new features and solutions. We build products for our Members that we believe not only impact their daily financial lives, but are also intuitive and easy to use. At the same time, we design our products to drive value for our business and be technically scalable.</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Leveraging both quantitative and qualitative Member data, we seek to solve Member financial challenges and drive greater engagement. We begin by listening to our Members and then flowing through our phases of product development—research and development, prototyping and design, Member validation and Member testing, development and launch—and then ongoing learning and iterating.</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Evaluate Additional Strategic Acquisitions: </w:t>
      </w:r>
      <w:r>
        <w:rPr>
          <w:rFonts w:ascii="Times New Roman" w:cs="Times New Roman" w:eastAsia="Times New Roman" w:hAnsi="Times New Roman"/>
          <w:sz w:val="18"/>
          <w:szCs w:val="18"/>
          <w:color w:val="auto"/>
        </w:rPr>
        <w:t>We believe acquisitions will be an important tool to accelerate realization of our strategic roadmap 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We plan to be intentional in evaluating opportunities to serve larger populations with our leading products, to develop new avenues for engagement with and retention of our current Members and to enter new and synergistic product categories.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service based revenue is typically weakest in the first quarter when the Company tends to reduce its marketing expense in order to optimize returns on our advertising spend. The efficiency of the Company's marketing expense, based on relative levels of customer acquisition costs, is typically softest in the first quarter given how tax refunds help to support the liquidity needs of the Company's Members. Beyond the first quarter, service based revenue is typically strongest in the second and third quarter when the Company tends to accelerate marketing expense in a disciplined manner given how it can generally achieve attractive returns on that investment at greater scale. From a delinquency performance perspective, the first quarter is typically the strongest quarter for ExtraCash given the repayment support which tax refunds provide our Members. Transaction based revenue is typically strongest in the first quarter as the liquidity support which tax refunds provide causes higher levels of Dave Banking debit card spending and, hence, interchange revenue.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Member acquisition relies primarily on paid and organic online advertising and social media. Dave also relies on television (streaming and linear), paid search, organic web traffic and e-mail marketing. Referrals and spend incentives drive incremental acquisition and engagement. Marketing creative content and online ads are produced and edited by a lean, experienced, in-house team, well-versed in tailoring messages for our target segments. Product marketing efforts are aimed at increasing Member engagement, through-funnel conversion and retention at a very low cost.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ind w:right="60"/>
        <w:spacing w:after="0" w:line="256" w:lineRule="auto"/>
        <w:rPr>
          <w:sz w:val="20"/>
          <w:szCs w:val="20"/>
          <w:color w:val="auto"/>
        </w:rPr>
      </w:pPr>
      <w:r>
        <w:rPr>
          <w:rFonts w:ascii="Times New Roman" w:cs="Times New Roman" w:eastAsia="Times New Roman" w:hAnsi="Times New Roman"/>
          <w:sz w:val="18"/>
          <w:szCs w:val="18"/>
          <w:color w:val="auto"/>
        </w:rPr>
        <w:t>Dave's management team believes that its customer acquisition cost is one of the lowest in the industry which we attribute to both the sophistication of our marketing strategy and channel optimization as well as ExtraCash’s ability to address what our proprietary research reveals as the primary pain point for our Member base: short term liquidity. We manage and monitor the efficiency of our marketing investment, in part, by comparing it to the number of customers acquired as well as the amount of gross and net revenue which these customers generate for the Company within a given period. The following table outlines Dave’s customer acquisition cost which is defined as total marketing expense in a given period divided by the number of new Members who join the Dave platform in a given period by connecting an existing bank account to the Dave platform or by opening a Dave Banking account:</w:t>
      </w:r>
    </w:p>
    <w:p>
      <w:pPr>
        <w:spacing w:after="0" w:line="398" w:lineRule="exact"/>
        <w:rPr>
          <w:sz w:val="20"/>
          <w:szCs w:val="20"/>
          <w:color w:val="auto"/>
        </w:rPr>
      </w:pPr>
    </w:p>
    <w:tbl>
      <w:tblPr>
        <w:tblLayout w:type="fixed"/>
        <w:tblInd w:w="2890" w:type="dxa"/>
        <w:tblCellMar>
          <w:top w:w="0" w:type="dxa"/>
          <w:left w:w="0" w:type="dxa"/>
          <w:bottom w:w="0" w:type="dxa"/>
          <w:right w:w="0" w:type="dxa"/>
        </w:tblCellMar>
      </w:tblPr>
      <w:tr>
        <w:trPr>
          <w:trHeight w:val="256"/>
        </w:trPr>
        <w:tc>
          <w:tcPr>
            <w:tcW w:w="92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Customer Acquisition Cost (per customer)</w:t>
            </w:r>
          </w:p>
        </w:tc>
        <w:tc>
          <w:tcPr>
            <w:tcW w:w="0" w:type="dxa"/>
            <w:vAlign w:val="bottom"/>
          </w:tcPr>
          <w:p>
            <w:pPr>
              <w:spacing w:after="0"/>
              <w:rPr>
                <w:sz w:val="1"/>
                <w:szCs w:val="1"/>
                <w:color w:val="auto"/>
              </w:rPr>
            </w:pPr>
          </w:p>
        </w:tc>
      </w:tr>
      <w:tr>
        <w:trPr>
          <w:trHeight w:val="20"/>
        </w:trPr>
        <w:tc>
          <w:tcPr>
            <w:tcW w:w="920" w:type="dxa"/>
            <w:vAlign w:val="bottom"/>
            <w:tcBorders>
              <w:left w:val="single" w:sz="8" w:color="B6DEE8"/>
              <w:right w:val="single" w:sz="8" w:color="auto"/>
            </w:tcBorders>
            <w:vMerge w:val="restart"/>
            <w:shd w:val="clear" w:color="auto" w:fill="B6DEE8"/>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4580" w:type="dxa"/>
            <w:vAlign w:val="bottom"/>
            <w:tcBorders>
              <w:right w:val="single" w:sz="8" w:color="auto"/>
            </w:tcBorders>
            <w:vMerge w:val="restart"/>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line="20" w:lineRule="exact"/>
              <w:rPr>
                <w:sz w:val="1"/>
                <w:szCs w:val="1"/>
                <w:color w:val="auto"/>
              </w:rPr>
            </w:pPr>
          </w:p>
        </w:tc>
      </w:tr>
      <w:tr>
        <w:trPr>
          <w:trHeight w:val="220"/>
        </w:trPr>
        <w:tc>
          <w:tcPr>
            <w:tcW w:w="920" w:type="dxa"/>
            <w:vAlign w:val="bottom"/>
            <w:tcBorders>
              <w:left w:val="single" w:sz="8" w:color="B6DEE8"/>
              <w:bottom w:val="single" w:sz="8" w:color="auto"/>
              <w:right w:val="single" w:sz="8" w:color="auto"/>
            </w:tcBorders>
            <w:vMerge w:val="continue"/>
            <w:shd w:val="clear" w:color="auto" w:fill="B6DEE8"/>
          </w:tcPr>
          <w:p>
            <w:pPr>
              <w:spacing w:after="0"/>
              <w:rPr>
                <w:sz w:val="18"/>
                <w:szCs w:val="18"/>
                <w:color w:val="auto"/>
              </w:rPr>
            </w:pPr>
          </w:p>
        </w:tc>
        <w:tc>
          <w:tcPr>
            <w:tcW w:w="4580" w:type="dxa"/>
            <w:vAlign w:val="bottom"/>
            <w:tcBorders>
              <w:bottom w:val="single" w:sz="8" w:color="auto"/>
              <w:right w:val="single" w:sz="8" w:color="auto"/>
            </w:tcBorders>
            <w:vMerge w:val="continue"/>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37"/>
        </w:trPr>
        <w:tc>
          <w:tcPr>
            <w:tcW w:w="920" w:type="dxa"/>
            <w:vAlign w:val="bottom"/>
            <w:tcBorders>
              <w:left w:val="single" w:sz="8" w:color="B6DEE8"/>
              <w:bottom w:val="single" w:sz="8" w:color="auto"/>
              <w:right w:val="single" w:sz="8" w:color="auto"/>
            </w:tcBorders>
            <w:shd w:val="clear" w:color="auto" w:fill="B6DEE8"/>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4580" w:type="dxa"/>
            <w:vAlign w:val="bottom"/>
            <w:tcBorders>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-659130</wp:posOffset>
            </wp:positionV>
            <wp:extent cx="29146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14650" cy="17145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Customer Acquisition Cost is defined as all advertising and marketing operating expenses in a given period divided by the number of new members who join the Dave platform in a given period by connecting an existing bank account to the Dave service or by opening a new Dave Banking account.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Consumer financial services is a large, fragmented, and competitive market, and we compete in varying degrees with a range of existing providers of consumer-focused banking, lending, commerce and other financial products. Our competitors are generally large, well-capitalized financial services companies. Some of our current and potential competitors have longer operating histories, particularly with respect to financial products similar to what we offer, significantly greater financial, technical, marketing and other resources, and a larger Member base. These competitors include:</w:t>
      </w:r>
    </w:p>
    <w:p>
      <w:pPr>
        <w:spacing w:after="0" w:line="68" w:lineRule="exact"/>
        <w:rPr>
          <w:sz w:val="20"/>
          <w:szCs w:val="20"/>
          <w:color w:val="auto"/>
        </w:rPr>
      </w:pPr>
    </w:p>
    <w:p>
      <w:pPr>
        <w:ind w:left="1280" w:right="40" w:hanging="509"/>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Banking Competitors</w:t>
      </w:r>
      <w:r>
        <w:rPr>
          <w:rFonts w:ascii="Times New Roman" w:cs="Times New Roman" w:eastAsia="Times New Roman" w:hAnsi="Times New Roman"/>
          <w:sz w:val="18"/>
          <w:szCs w:val="18"/>
          <w:color w:val="auto"/>
        </w:rPr>
        <w:t>: Traditional banks and credit unions (e.g., Bank of America, Chase, Wells Fargo), new entrants obtaining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(e.g., Varo Money), and other non-bank digital providers that white-label regulated products, offering banking-related services (e.g., Chime).</w:t>
      </w:r>
    </w:p>
    <w:p>
      <w:pPr>
        <w:spacing w:after="0" w:line="62" w:lineRule="exact"/>
        <w:rPr>
          <w:rFonts w:ascii="Times New Roman" w:cs="Times New Roman" w:eastAsia="Times New Roman" w:hAnsi="Times New Roman"/>
          <w:sz w:val="18"/>
          <w:szCs w:val="18"/>
          <w:color w:val="auto"/>
        </w:rPr>
      </w:pPr>
    </w:p>
    <w:p>
      <w:pPr>
        <w:ind w:left="1280" w:right="620" w:hanging="509"/>
        <w:spacing w:after="0" w:line="28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Lending and Earned Income Advance Competitors</w:t>
      </w:r>
      <w:r>
        <w:rPr>
          <w:rFonts w:ascii="Times New Roman" w:cs="Times New Roman" w:eastAsia="Times New Roman" w:hAnsi="Times New Roman"/>
          <w:sz w:val="18"/>
          <w:szCs w:val="18"/>
          <w:color w:val="auto"/>
        </w:rPr>
        <w:t>: Traditional banks and credit unions, specialty finance and other non-bank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offering consumer lending-related or advance products (e.g., Upstart, MoneyLion).</w:t>
      </w:r>
    </w:p>
    <w:p>
      <w:pPr>
        <w:spacing w:after="0" w:line="46" w:lineRule="exact"/>
        <w:rPr>
          <w:rFonts w:ascii="Times New Roman" w:cs="Times New Roman" w:eastAsia="Times New Roman" w:hAnsi="Times New Roman"/>
          <w:sz w:val="18"/>
          <w:szCs w:val="18"/>
          <w:color w:val="auto"/>
        </w:rPr>
      </w:pPr>
    </w:p>
    <w:p>
      <w:pPr>
        <w:ind w:left="1280" w:right="20" w:hanging="509"/>
        <w:spacing w:after="0" w:line="28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Innovators in Consumer Finance</w:t>
      </w:r>
      <w:r>
        <w:rPr>
          <w:rFonts w:ascii="Times New Roman" w:cs="Times New Roman" w:eastAsia="Times New Roman" w:hAnsi="Times New Roman"/>
          <w:sz w:val="18"/>
          <w:szCs w:val="18"/>
          <w:color w:val="auto"/>
        </w:rPr>
        <w:t>: Consumer-oriented commerce enablement platforms (e.g., Affirm, Afterpay), finance-oriented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(e.g., CashApp, Venmo), and lending platforms (e.g., OpenLending, LendingClub).</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other market participants do not adequately meet the needs of an estimated 160 to 180 million Americans who make up our target market. We believe our ease of access, speed-to-value, data-driven approach and powerful flywheel will allow us to continue to efficiently scale and generate strong returns.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mission is to deliver a “center of excellence” utilizing the voice of our Members to ensure they have successful interactions with our platform. We are customer-centric and devoted to providing transformational experiences. We offer omni channel support guided by Member data and artificial intelligence to augment all of our responses via chatbot, chatting with an agent, contacting us by phone, emailing with us or reaching out via social media. We use seamless tools to give us a 360-degree view of our Members’ journeys with the goal of offering the right resolutions to the right problems. Our 24/7 knowledge center provides best practices to empower Members to employ our tools and services effectively. We also review feedback from Members via Member satisfaction surveys, net promoter score tracking and app ratings to guide process updates and optimize our products. Our approach enables us to resolve a large variety of inquiries with ease, customization and efficiency.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Leadership talent and vision are core priorities at Dave. We have carefully built our team to include experts who will help develop our unique and innovative solutions. Our founding team includes serial entrepreneurs, experienced designers and technology experts. Sourcing from some of the largest and most successful companies in consumer and financial technology, we have hired leaders in People, Product and Marketing. Our Legal and Regulatory functions are led by veterans from high-growth financial services firms. We will continue to focus on building our leadership team as we grow and diversify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Culture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day, our small but mighty team works together to level the financial playing field. It is this mission and the opportunity to impact the lives of tens of millions of current and future Members that gets us out of bed each day. But, being mission driven alone is not enough to attract great talent. We have made significant strides towards setting the foundation to becoming a great place to work.</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Over the past year, we have invested in embedding the OKR (Objectives and Key Results) framework utilized by many high performing technology organizations into our ways of working here at Dave. We have also implemented Quarterly Business Reviews, which are an opportunity for the most senior leaders of the company to review KPI performance from the previous quarter and ensure alignment on our plans for the upcoming quarter. These two changes to the way we operate have been transformational for Dave, leading to increased accountability, more effective cross-functional collaboration, and ultimately ensuring every team member has a clear understanding of Dave’s goals and what they can do to contribute.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our investment in great people leadership as we know that great people leaders have a multiplying effect on what a business is able to achieve. This insight has led us to invest very early in defining what it means to be a great leader at Dave. Our leaders aspire to create purpose, foster growth, lead through change, communicate with clarity and consistency and prioritize Dave-wide success. We continue to embed this definition of leadership into all aspects of the employee experience at Dave to ensure that over time, we are building the cadre of high performing leaders that inspire their teams to deliver our mission and business results.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Over the last year, we have continued to see the benefits from our strategic decision to operate as a Virtual First company. We now have team members in over 30 states and have greatly changed the profile of talent at Dave by removing geographic limitations. And, in this model, by removing daily commutes and in-office distractions, we have found that we are developing and launching more products and at a faster rate than historical experience. Finally, we know there is value in in-person collaboration and, with that in mind, we encourage team offsites and have implemented a co-working stipend to help give team members optionality in where they work.</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Given our mission, we have invested in supporting the financial wellness of our own team by providing market competitive compensation and benefits programs, a 401k match and a benefits offering that allows all Dave employees access to a dedicated personal financial advisor to meet with as frequently as they choose.</w:t>
      </w:r>
    </w:p>
    <w:p>
      <w:pPr>
        <w:spacing w:after="0" w:line="17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Finally, as a fintech company working to reinvent so many aspects of our legacy financial system, we are no strangers to the unknown. We acknowledge that building a company and culture that employees can be proud of and recommend to their closest friends is not always linear. As such, we have mechanisms in place, including semi-annual engagement pulse surveys, to track how we are doing so that we can listen, learn and course correct.</w:t>
      </w:r>
    </w:p>
    <w:p>
      <w:pPr>
        <w:spacing w:after="0" w:line="15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320 full time employees across all locations. None of our employees are represented by a labor union or covered by a collective bargaining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complex regulatory environment consisting of U.S. federal and state laws that is rapidly evolving. These laws cover most aspects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include laws, regulations, rules and guidance relating to, among other things, consumer finance and protection, privacy and data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and payments. For example, with respect to our ExtraCash advance product, certain state laws may, if applicable, regulate the charges or fees we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5" w:name="page16"/>
    <w:bookmarkEnd w:id="15"/>
    <w:p>
      <w:pPr>
        <w:ind w:right="60"/>
        <w:spacing w:after="0" w:line="255" w:lineRule="auto"/>
        <w:rPr>
          <w:sz w:val="20"/>
          <w:szCs w:val="20"/>
          <w:color w:val="auto"/>
        </w:rPr>
      </w:pPr>
      <w:r>
        <w:rPr>
          <w:rFonts w:ascii="Times New Roman" w:cs="Times New Roman" w:eastAsia="Times New Roman" w:hAnsi="Times New Roman"/>
          <w:sz w:val="18"/>
          <w:szCs w:val="18"/>
          <w:color w:val="auto"/>
        </w:rPr>
        <w:t>can assess and how we may obtain repayment from our Members. In addition, other federal and state laws, public policy, and general principles of equity, such as laws prohibiting unfair and deceptive acts or practices, may apply to our activities in banking, ExtraCash advances, payments, and other areas. These laws and regulations impact our business both directly and indirectly, including by way of our partnership with Evolve, which provides deposit accounts and debit cards to our Members. Ensuring ongoing compliance with these laws and regulations imposes significant burdens on our business operations. See “</w:t>
      </w:r>
      <w:r>
        <w:rPr>
          <w:rFonts w:ascii="Times New Roman" w:cs="Times New Roman" w:eastAsia="Times New Roman" w:hAnsi="Times New Roman"/>
          <w:sz w:val="18"/>
          <w:szCs w:val="18"/>
          <w:i w:val="1"/>
          <w:iCs w:val="1"/>
          <w:color w:val="auto"/>
        </w:rPr>
        <w:t>Risk Factors—We operate in an uncertain regulatory environment and may from time to time be subject to governmental investigations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inquiries by state, federal and local governmental authorities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is subject to extensive regulation and oversight in a variety of areas, including registration and licensing requirements under federal, state and local laws and regulations.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we may become subject to additional legal or regulatory requirements we are not subject to today if laws or regulations change in the jurisdictions in which we operate, or if we were to release new products or services. In addition, the regulatory framework for our products and services is evolving and uncertain and specifically the framework that applies to our ExtraCash advance business, as federal and state governments and regulators consider the application of existing laws and potential adoption of new laws. The potential for new laws and regulations, as well as ongoing uncertainty regarding the application of existing laws and regulations to our current products and services, may negatively affect our business. This could include the need to modify the way in which we generate revenue from certain business lines, obtain new licenses, or comply with additional laws and regulations in order to conduct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 and regulation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none of our current business lines require us to obtain any state licenses. However, the application of state licensing requirements (including those applicable to consumer lenders) to our business model is not always clear and state regulators may request or require that we obtain licenses or otherwise comply with additional requirements in the future, which may result in changes to our business practices. In addition, if we are found to have engaged in activities subject to state licensure for which we lack the requisite license, or in activities that are otherwise deemed to be in violation of state lending laws, the relevant state authority may impose fines, impose restrictions on our operations in the relevant state, or seek other remedies for activities conducted in the state.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consumer protection requirements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Here we summarize several of the material federal consumer protection and other laws applicable to our business. Many states have laws and regulations that are similar to the federal laws described, but the degree and nature of such laws and regulations vary from state to state. We must comply with various federal consumer protection regimes, both pursuant to the financial products and services we provide directly and as a service provider to Evolve.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regulation by the Consumer Financial Protection Bureau (“CFPB”), which oversees compliance with and enforces federal consumer financial protection laws. The CFPB directly and significantly influences the regulation of consumer financial products and services, including the products and services we provide. The CFPB has substantial power to regulate such products and services and the banks and non-bank entities that provide them, as well as their respective third-party service providers. This power includes rule making authority in enumerated areas of federal law such as truth in lending, credit discrimination, electronic fund transfers and truth in savings. Under Title X of the Dodd-Frank Act, the CFPB also has the authority to pursue enforcement actions against companies that offer or provide consumer financial products or services that engage in unfair, deceptive or abusive acts or practices, commonly referred to as “UDAAPs.” The CFPB may also seek a range of other remedies, including restitution, refunds of money, disgorgement of profits or compensation for unjust enrichment, civil money penalties, rescission of contracts, public notification of the violation, and restrictions on the target’s conduct, activities and functions. Moreover, where a company has violated Title X of the Dodd-Frank Act or CFPB regulations under Title X, the Dodd-Frank Act empowers state attorneys general and state regulators to bring civil actions to enforce such laws and regulations.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ind w:right="320"/>
        <w:spacing w:after="0" w:line="282" w:lineRule="auto"/>
        <w:rPr>
          <w:sz w:val="20"/>
          <w:szCs w:val="20"/>
          <w:color w:val="auto"/>
        </w:rPr>
      </w:pPr>
      <w:r>
        <w:rPr>
          <w:rFonts w:ascii="Times New Roman" w:cs="Times New Roman" w:eastAsia="Times New Roman" w:hAnsi="Times New Roman"/>
          <w:sz w:val="18"/>
          <w:szCs w:val="18"/>
          <w:color w:val="auto"/>
        </w:rPr>
        <w:t>Our business activities, either directly or indirectly through our partnership with Evolve, are also subject to applicable requirements under other federal statutes and regulations, including but not limited to:</w:t>
      </w:r>
    </w:p>
    <w:p>
      <w:pPr>
        <w:spacing w:after="0" w:line="50" w:lineRule="exact"/>
        <w:rPr>
          <w:sz w:val="20"/>
          <w:szCs w:val="20"/>
          <w:color w:val="auto"/>
        </w:rPr>
      </w:pPr>
    </w:p>
    <w:p>
      <w:pPr>
        <w:ind w:left="1280" w:right="100" w:hanging="509"/>
        <w:spacing w:after="0" w:line="26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Federal Trade Commission Act</w:t>
      </w:r>
      <w:r>
        <w:rPr>
          <w:rFonts w:ascii="Times New Roman" w:cs="Times New Roman" w:eastAsia="Times New Roman" w:hAnsi="Times New Roman"/>
          <w:sz w:val="18"/>
          <w:szCs w:val="18"/>
          <w:color w:val="auto"/>
        </w:rPr>
        <w:t>. The Federal Trade Commission Act prohibits unfair and deceptive acts and practices in business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commerce and grants the FTC and bank regulators enforcement authority to prevent and redress violations of this prohibition. Whether a particular act or practice violates these laws or the prohibition against UDAAPs enforced by the CFPB frequently involves a highly subjective and/or fact-specific judgment.</w:t>
      </w:r>
    </w:p>
    <w:p>
      <w:pPr>
        <w:spacing w:after="0" w:line="68" w:lineRule="exact"/>
        <w:rPr>
          <w:rFonts w:ascii="Times New Roman" w:cs="Times New Roman" w:eastAsia="Times New Roman" w:hAnsi="Times New Roman"/>
          <w:sz w:val="18"/>
          <w:szCs w:val="18"/>
          <w:color w:val="auto"/>
        </w:rPr>
      </w:pPr>
    </w:p>
    <w:p>
      <w:pPr>
        <w:ind w:left="1280" w:right="300" w:hanging="509"/>
        <w:spacing w:after="0" w:line="26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Savings Act. </w:t>
      </w:r>
      <w:r>
        <w:rPr>
          <w:rFonts w:ascii="Times New Roman" w:cs="Times New Roman" w:eastAsia="Times New Roman" w:hAnsi="Times New Roman"/>
          <w:sz w:val="18"/>
          <w:szCs w:val="18"/>
          <w:color w:val="auto"/>
        </w:rPr>
        <w:t>The federal Truth in Savings Act (“TISA”) and Regulation DD which implements it require that consumers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various disclosures concerning terms and conditions of deposit accounts. They also impose disclosure requirements and restrictions on advertising regarding deposit accounts. TISA and Regulation DD apply to the demand deposit accounts opened by our Members at Evolve</w:t>
      </w:r>
      <w:r>
        <w:rPr>
          <w:rFonts w:ascii="Times New Roman" w:cs="Times New Roman" w:eastAsia="Times New Roman" w:hAnsi="Times New Roman"/>
          <w:sz w:val="18"/>
          <w:szCs w:val="18"/>
          <w:i w:val="1"/>
          <w:iCs w:val="1"/>
          <w:color w:val="auto"/>
        </w:rPr>
        <w:t>.</w:t>
      </w:r>
    </w:p>
    <w:p>
      <w:pPr>
        <w:spacing w:after="0" w:line="68" w:lineRule="exact"/>
        <w:rPr>
          <w:rFonts w:ascii="Times New Roman" w:cs="Times New Roman" w:eastAsia="Times New Roman" w:hAnsi="Times New Roman"/>
          <w:sz w:val="18"/>
          <w:szCs w:val="18"/>
          <w:color w:val="auto"/>
        </w:rPr>
      </w:pPr>
    </w:p>
    <w:p>
      <w:pPr>
        <w:ind w:left="1280" w:right="120" w:hanging="509"/>
        <w:spacing w:after="0" w:line="25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Fund Transfer Act and NACHA Rules</w:t>
      </w:r>
      <w:r>
        <w:rPr>
          <w:rFonts w:ascii="Times New Roman" w:cs="Times New Roman" w:eastAsia="Times New Roman" w:hAnsi="Times New Roman"/>
          <w:sz w:val="18"/>
          <w:szCs w:val="18"/>
          <w:color w:val="auto"/>
        </w:rPr>
        <w:t>. The federal Electronic Fund Transfer Act (“EFTA”) and Regulation 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implements it provide guidelines and restrictions on the provision of electronic fund transfer services to consumers, and on making an electronic transfer of funds from consumers’ bank accounts. EFTA also limits consumers’ liability for unauthorized electronic fund transfers and requires banks and other financial services companies to comply with certain transaction error resolution procedures. Electronic fund transfers within the scope of EFTA include ACH transfers and debit card transfers. In addition, transfers performed by ACH are subject to specific authorization, timing and notification rules and guidelines administered by the National Automated Clearinghouse Association (“NACHA”). NACHA operating rules further imposes maximum tolerances on the volume of ACH transfers that may be returned as unauthorized or for other reasons. Exceeding those tolerances may result in limitations being imposed on our ability to initiate ACH transactions. Many transfers of funds in connection with the provision and repayment of our ExtraCash advances are performed by electronic fund transfers, including ACH transfers. We also facilitate the electronic transfer of funds requested by our Members between their deposit accounts with Evolve and their accounts at other financial institutions.</w:t>
      </w:r>
    </w:p>
    <w:p>
      <w:pPr>
        <w:spacing w:after="0" w:line="74" w:lineRule="exact"/>
        <w:rPr>
          <w:rFonts w:ascii="Times New Roman" w:cs="Times New Roman" w:eastAsia="Times New Roman" w:hAnsi="Times New Roman"/>
          <w:sz w:val="18"/>
          <w:szCs w:val="18"/>
          <w:color w:val="auto"/>
        </w:rPr>
      </w:pPr>
    </w:p>
    <w:p>
      <w:pPr>
        <w:ind w:left="1280" w:hanging="509"/>
        <w:spacing w:after="0" w:line="255"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Payday, Vehicle Title, and Certain High-Cost Installment Loans Final Rule</w:t>
      </w:r>
      <w:r>
        <w:rPr>
          <w:rFonts w:ascii="Times New Roman" w:cs="Times New Roman" w:eastAsia="Times New Roman" w:hAnsi="Times New Roman"/>
          <w:sz w:val="18"/>
          <w:szCs w:val="18"/>
          <w:color w:val="auto"/>
        </w:rPr>
        <w:t>. In 2017, the CFPB issued a final rule intended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consumer protections with respect to certain short-term credit products. The rule was later stayed by a federal district court order in an industry challenge to the rule, and the effective date of many provisions of the rule was separately delayed by the CFPB in June 2019. A section pertaining to underwriting was subsequently rescinded in July 2020. The CFPB may engage in rule making in the future to amend the regulation and implement new underwriting and other requirements and restrictions that could negatively impact our business and require us to change our practices should they be deemed to apply to us. However, certain nonrecourse advance products are currently excluded from coverage by the rule provided certain consumer contract requirements are met and the advance provider does not engage in certain activities with respect to such products.</w:t>
      </w:r>
    </w:p>
    <w:p>
      <w:pPr>
        <w:spacing w:after="0" w:line="76" w:lineRule="exact"/>
        <w:rPr>
          <w:rFonts w:ascii="Times New Roman" w:cs="Times New Roman" w:eastAsia="Times New Roman" w:hAnsi="Times New Roman"/>
          <w:sz w:val="18"/>
          <w:szCs w:val="18"/>
          <w:color w:val="auto"/>
        </w:rPr>
      </w:pPr>
    </w:p>
    <w:p>
      <w:pPr>
        <w:ind w:left="1280" w:right="120" w:hanging="509"/>
        <w:spacing w:after="0" w:line="259"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Gramm-Leach-Bliley Act. </w:t>
      </w:r>
      <w:r>
        <w:rPr>
          <w:rFonts w:ascii="Times New Roman" w:cs="Times New Roman" w:eastAsia="Times New Roman" w:hAnsi="Times New Roman"/>
          <w:sz w:val="18"/>
          <w:szCs w:val="18"/>
          <w:color w:val="auto"/>
        </w:rPr>
        <w:t>The Gramm-Leach-Bliley Act (“GLBA”) imposes limitations on financial institutions’ disclosure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personal information about a consumer to nonaffiliated third parties. In certain circumstances, GLBA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Member information.</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Given our novel business model and products, and the subjective nature of certain laws and regulations such as the prohibition against UDAAPs, we have been and may in the future become subject to regulatory scrutiny or legal challenge with respect to our compliance with these and other regulatory requirements. Additional or different requirements may also apply to our business in the future as the regulatory framework in which we operate is evolving and uncertain. While we have developed policies and procedures designed to assist in compliance with these laws and regulations, we may not have been, and may not always be, in compliance with these and other laws.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ind w:right="160"/>
        <w:spacing w:after="0" w:line="282" w:lineRule="auto"/>
        <w:rPr>
          <w:sz w:val="20"/>
          <w:szCs w:val="20"/>
          <w:color w:val="auto"/>
        </w:rPr>
      </w:pPr>
      <w:r>
        <w:rPr>
          <w:rFonts w:ascii="Times New Roman" w:cs="Times New Roman" w:eastAsia="Times New Roman" w:hAnsi="Times New Roman"/>
          <w:sz w:val="18"/>
          <w:szCs w:val="18"/>
          <w:color w:val="auto"/>
        </w:rPr>
        <w:t>No assurance is given that our compliance policies and procedures have been or will be effective or adequate as laws change or are applied to us in a new manner.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bank partnership model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our partnership with Evolve, we offer our Members FDIC-insured, non-interest-bearing deposit accounts and debit cards that Members can use to access their account balances. These deposit accounts and debit cards are provided by Evolve. Under the terms of our agreement with Evolve, as well as the agreements between our Members and Evolve, each Member that chooses to open a deposit account has a deposit account at Evolve and a debit card issued by Evolve. With respect to these deposit accounts and debit cards, we act as the program manager and service provider to Evolve to provide customer support and technology features to Members using their Evolve accounts through our platform.</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Evolve is subject to regulation and supervision by the FDIC. Many laws and regulations that apply directly to Evolve indirectly impact us (and our products) as Evolve’s service provider. As such, our partnership with Evolve is subject to the supervision and enforcement authority of the Federal Reserve, Evolve’s primary banking regulator.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work to comply with other state and federal laws and regulations applicable to consumer financial products and services. These laws and regulations may be enforced by various state banking and consumer protection agencies, state attorneys general, the CFPB, and private litigants, among others.</w:t>
      </w:r>
    </w:p>
    <w:p>
      <w:pPr>
        <w:spacing w:after="0" w:line="17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Bank Secrecy Act and Anti-Money Laundering. </w:t>
      </w:r>
      <w:r>
        <w:rPr>
          <w:rFonts w:ascii="Times New Roman" w:cs="Times New Roman" w:eastAsia="Times New Roman" w:hAnsi="Times New Roman"/>
          <w:sz w:val="17"/>
          <w:szCs w:val="17"/>
          <w:color w:val="auto"/>
        </w:rPr>
        <w:t>Given our involvement in payments, banking transactions, and our arrangements with Evolve,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compliance obligations related to U.S. anti-money laundering (“AML”) laws and regulations. We have developed and currently operate an AML program designed to prevent our products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Our programs are designed to address these legal and regulatory requirements and to assist in managing risks associated with money laundering and terrorist financing.</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Privacy and Information Security Laws. </w:t>
      </w:r>
      <w:r>
        <w:rPr>
          <w:rFonts w:ascii="Times New Roman" w:cs="Times New Roman" w:eastAsia="Times New Roman" w:hAnsi="Times New Roman"/>
          <w:sz w:val="18"/>
          <w:szCs w:val="18"/>
          <w:color w:val="auto"/>
        </w:rPr>
        <w:t>We collect, store, use, disclose, and otherwise process a wide variety of information and data,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(“PII”) that we acquire in connection with our Members’ use of our products and services, for various purposes in our business, including to help ensure the integrity of our services and to provide features and functionality to our Members. This aspect of our business is subject to numerous privacy, cybersecurity, and other laws and regulations in the United States, including the federal GLBA and various state laws such as the California Consumer Privacy Act (“CCPA”). Accordingly, we publish our privacy policies and terms of service, which describe our practices concerning the collection, storage, use, disclosure, transmission, processing, and protection of information.</w:t>
      </w:r>
    </w:p>
    <w:p>
      <w:pPr>
        <w:spacing w:after="0" w:line="1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legal and regulatory framework for privacy and security issues is rapidly evolving, and, although we endeavor to comply with these laws and regulations and our own policies and documentation, we may fail to do so or be alleged to have failed to do so. Any actual or perceived failure to comply with legal and regulatory requirements applicable to us, including those relating to privacy or security, or any failure to protect the information that we collect from our Members from cyberattacks, or any similar actual or perceived failure by our third-party service providers and partners, may result in private litigation, regulatory or governmental investigations, administrative enforcement actions, sanctions, civil and criminal liability, and constraints on our ability to continue to operate, among other things. Please see the section titled “</w:t>
      </w:r>
      <w:r>
        <w:rPr>
          <w:rFonts w:ascii="Times New Roman" w:cs="Times New Roman" w:eastAsia="Times New Roman" w:hAnsi="Times New Roman"/>
          <w:sz w:val="18"/>
          <w:szCs w:val="18"/>
          <w:i w:val="1"/>
          <w:iCs w:val="1"/>
          <w:color w:val="auto"/>
        </w:rPr>
        <w:t>Risk Factors—Risks Relating to Dave’s Business and Industry—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Stringent and changing laws and regulations relating to privacy and data protection could result in claims, harm our results of operations, financial condition, and future prospects, or otherwise harm our business.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Laws Governing Marketing and Member Communications. </w:t>
      </w:r>
      <w:r>
        <w:rPr>
          <w:rFonts w:ascii="Times New Roman" w:cs="Times New Roman" w:eastAsia="Times New Roman" w:hAnsi="Times New Roman"/>
          <w:sz w:val="18"/>
          <w:szCs w:val="18"/>
          <w:color w:val="auto"/>
        </w:rPr>
        <w:t>In addition, there are federal and state laws and regulations on marketing activities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internet, through email, or by mail or telephone, including the federal Telephone Consumer Protection Act (“TCPA”), the federal Controlling the Assault of Non-Solicited Pornography and Marketing Act (“CAN-SPAM Act”), FTC regulations and guidelines that implement, among other things, the FTC’s Do-Not-Call Registry and other requirements in connection with telemarketing activities, and state telemarketing laws. Our marketing activities may subject us to some or all of these laws and regulations.</w:t>
      </w:r>
    </w:p>
    <w:p>
      <w:pPr>
        <w:spacing w:after="0" w:line="18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New Laws and Regulations. </w:t>
      </w:r>
      <w:r>
        <w:rPr>
          <w:rFonts w:ascii="Times New Roman" w:cs="Times New Roman" w:eastAsia="Times New Roman" w:hAnsi="Times New Roman"/>
          <w:sz w:val="17"/>
          <w:szCs w:val="17"/>
          <w:color w:val="auto"/>
        </w:rPr>
        <w:t>Various federal and state regulatory agencies in the United States continue to examine a wide variety of issues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to us and may impact our business. These issues include consumer protection, cybersecurity, privacy, electronic transfers, state licensing, and the regulation of cash advance services. As we continue to develop and expand, we monitor for additional rules and regulations that may impact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In the future we will be looking closely at the possibility of filing design and utility patents to further enhance the measures of intellectual property protection for the company. However, these laws, agreements, and procedures provide only limited protection. As of December 31, 2022, we own five registered trademarks in the United States and have ten pending trademark applications in various stages of review by the PTO. 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patents,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7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 for a more comprehensive description of risks related to our intellectual property and proprietary rights.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Our SEC filings are also available free of charge on the Investor Relations portion of our website at dave.com as soon as reasonably practicable after they are filed with or furnished to the SEC. Our website and the information contained on or through that site are not incorporated into this report. All website addresses in this report are intended to be inactive textual references only.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tc>
        <w:tc>
          <w:tcPr>
            <w:tcW w:w="10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391"/>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Executive Officers</w:t>
            </w: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5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1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r>
      <w:tr>
        <w:trPr>
          <w:trHeight w:val="228"/>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140" w:type="dxa"/>
            <w:vAlign w:val="bottom"/>
            <w:shd w:val="clear" w:color="auto" w:fill="B6DEE8"/>
          </w:tcPr>
          <w:p>
            <w:pPr>
              <w:spacing w:after="0"/>
              <w:rPr>
                <w:sz w:val="19"/>
                <w:szCs w:val="19"/>
                <w:color w:val="auto"/>
              </w:rPr>
            </w:pPr>
          </w:p>
        </w:tc>
        <w:tc>
          <w:tcPr>
            <w:tcW w:w="78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5"/>
        </w:trPr>
        <w:tc>
          <w:tcPr>
            <w:tcW w:w="1360" w:type="dxa"/>
            <w:vAlign w:val="bottom"/>
            <w:shd w:val="clear" w:color="auto" w:fill="B6DEE8"/>
          </w:tcPr>
          <w:p>
            <w:pPr>
              <w:spacing w:after="0"/>
              <w:rPr>
                <w:sz w:val="19"/>
                <w:szCs w:val="19"/>
                <w:color w:val="auto"/>
              </w:rPr>
            </w:pPr>
          </w:p>
        </w:tc>
        <w:tc>
          <w:tcPr>
            <w:tcW w:w="2580" w:type="dxa"/>
            <w:vAlign w:val="bottom"/>
            <w:shd w:val="clear" w:color="auto" w:fill="B6DEE8"/>
          </w:tcPr>
          <w:p>
            <w:pPr>
              <w:spacing w:after="0"/>
              <w:rPr>
                <w:sz w:val="19"/>
                <w:szCs w:val="19"/>
                <w:color w:val="auto"/>
              </w:rPr>
            </w:pPr>
          </w:p>
        </w:tc>
        <w:tc>
          <w:tcPr>
            <w:tcW w:w="920" w:type="dxa"/>
            <w:vAlign w:val="bottom"/>
            <w:gridSpan w:val="2"/>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spacing w:after="0"/>
              <w:rPr>
                <w:sz w:val="19"/>
                <w:szCs w:val="19"/>
                <w:color w:val="auto"/>
              </w:rPr>
            </w:pP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Kyle Beilman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Jason Wilk</w:t>
      </w:r>
      <w:r>
        <w:rPr>
          <w:rFonts w:ascii="Times New Roman" w:cs="Times New Roman" w:eastAsia="Times New Roman" w:hAnsi="Times New Roman"/>
          <w:sz w:val="18"/>
          <w:szCs w:val="18"/>
          <w:color w:val="auto"/>
        </w:rPr>
        <w:t>. Mr. Wilk co-founded Dave Inc. and has served as President and Chief Executive Officer since the closing of the Business Combination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Business Combination as Legacy Dave’s Chief Executive Officer since May 2016.</w:t>
      </w:r>
    </w:p>
    <w:p>
      <w:pPr>
        <w:spacing w:after="0" w:line="15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Kyle Beilman</w:t>
      </w:r>
      <w:r>
        <w:rPr>
          <w:rFonts w:ascii="Times New Roman" w:cs="Times New Roman" w:eastAsia="Times New Roman" w:hAnsi="Times New Roman"/>
          <w:sz w:val="18"/>
          <w:szCs w:val="18"/>
          <w:color w:val="auto"/>
        </w:rPr>
        <w:t>. Mr. Beilman has served as Chief Financial Officer and Secretary since the closing of the Business Combination and prior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served as Legacy Dave’s Chief Financial Officer since January 2021 and between July 2017 to October 2019 and Chief Operating Officer from October 2019 to January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Pr>
          <w:p>
            <w:pPr>
              <w:spacing w:after="0"/>
              <w:rPr>
                <w:sz w:val="17"/>
                <w:szCs w:val="17"/>
                <w:color w:val="auto"/>
              </w:rPr>
            </w:pPr>
          </w:p>
        </w:tc>
      </w:tr>
      <w:tr>
        <w:trPr>
          <w:trHeight w:val="25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1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r>
      <w:tr>
        <w:trPr>
          <w:trHeight w:val="228"/>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140" w:type="dxa"/>
            <w:vAlign w:val="bottom"/>
            <w:shd w:val="clear" w:color="auto" w:fill="B6DEE8"/>
          </w:tcPr>
          <w:p>
            <w:pPr>
              <w:spacing w:after="0"/>
              <w:rPr>
                <w:sz w:val="19"/>
                <w:szCs w:val="19"/>
                <w:color w:val="auto"/>
              </w:rPr>
            </w:pPr>
          </w:p>
        </w:tc>
        <w:tc>
          <w:tcPr>
            <w:tcW w:w="78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5"/>
        </w:trPr>
        <w:tc>
          <w:tcPr>
            <w:tcW w:w="1360" w:type="dxa"/>
            <w:vAlign w:val="bottom"/>
            <w:shd w:val="clear" w:color="auto" w:fill="B6DEE8"/>
          </w:tcPr>
          <w:p>
            <w:pPr>
              <w:spacing w:after="0"/>
              <w:rPr>
                <w:sz w:val="19"/>
                <w:szCs w:val="19"/>
                <w:color w:val="auto"/>
              </w:rPr>
            </w:pPr>
          </w:p>
        </w:tc>
        <w:tc>
          <w:tcPr>
            <w:tcW w:w="2580" w:type="dxa"/>
            <w:vAlign w:val="bottom"/>
            <w:shd w:val="clear" w:color="auto" w:fill="B6DEE8"/>
          </w:tcPr>
          <w:p>
            <w:pPr>
              <w:spacing w:after="0"/>
              <w:rPr>
                <w:sz w:val="19"/>
                <w:szCs w:val="19"/>
                <w:color w:val="auto"/>
              </w:rPr>
            </w:pPr>
          </w:p>
        </w:tc>
        <w:tc>
          <w:tcPr>
            <w:tcW w:w="920" w:type="dxa"/>
            <w:vAlign w:val="bottom"/>
            <w:gridSpan w:val="2"/>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spacing w:after="0"/>
              <w:rPr>
                <w:sz w:val="19"/>
                <w:szCs w:val="19"/>
                <w:color w:val="auto"/>
              </w:rPr>
            </w:pP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Teresa Aragones</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Advisor</w:t>
            </w:r>
          </w:p>
        </w:tc>
      </w:tr>
      <w:tr>
        <w:trPr>
          <w:trHeight w:val="225"/>
        </w:trPr>
        <w:tc>
          <w:tcPr>
            <w:tcW w:w="1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234"/>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Brendan Carroll</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B6DEE8"/>
          </w:tcPr>
          <w:p>
            <w:pPr>
              <w:spacing w:after="0"/>
              <w:rPr>
                <w:sz w:val="20"/>
                <w:szCs w:val="20"/>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Senior Partner, Victory Park Capital Advisors, LLC</w:t>
            </w:r>
          </w:p>
        </w:tc>
      </w:tr>
      <w:tr>
        <w:trPr>
          <w:trHeight w:val="225"/>
        </w:trPr>
        <w:tc>
          <w:tcPr>
            <w:tcW w:w="1360" w:type="dxa"/>
            <w:vAlign w:val="bottom"/>
            <w:shd w:val="clear" w:color="auto" w:fill="B6DEE8"/>
          </w:tcPr>
          <w:p>
            <w:pPr>
              <w:spacing w:after="0"/>
              <w:rPr>
                <w:sz w:val="19"/>
                <w:szCs w:val="19"/>
                <w:color w:val="auto"/>
              </w:rPr>
            </w:pPr>
          </w:p>
        </w:tc>
        <w:tc>
          <w:tcPr>
            <w:tcW w:w="2580" w:type="dxa"/>
            <w:vAlign w:val="bottom"/>
            <w:shd w:val="clear" w:color="auto" w:fill="B6DEE8"/>
          </w:tcPr>
          <w:p>
            <w:pPr>
              <w:spacing w:after="0"/>
              <w:rPr>
                <w:sz w:val="19"/>
                <w:szCs w:val="19"/>
                <w:color w:val="auto"/>
              </w:rPr>
            </w:pPr>
          </w:p>
        </w:tc>
        <w:tc>
          <w:tcPr>
            <w:tcW w:w="920" w:type="dxa"/>
            <w:vAlign w:val="bottom"/>
            <w:gridSpan w:val="2"/>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spacing w:after="0"/>
              <w:rPr>
                <w:sz w:val="19"/>
                <w:szCs w:val="19"/>
                <w:color w:val="auto"/>
              </w:rPr>
            </w:pP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Mitchell</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Law firm of Mitchell Sandler LLC</w:t>
            </w:r>
          </w:p>
        </w:tc>
      </w:tr>
      <w:tr>
        <w:trPr>
          <w:trHeight w:val="225"/>
        </w:trPr>
        <w:tc>
          <w:tcPr>
            <w:tcW w:w="1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234"/>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Michael Pope</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B6DEE8"/>
          </w:tcPr>
          <w:p>
            <w:pPr>
              <w:spacing w:after="0"/>
              <w:rPr>
                <w:sz w:val="20"/>
                <w:szCs w:val="20"/>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Former Chief Financial Officer and Senior Vice President, Shutterfly, Inc.</w:t>
            </w:r>
          </w:p>
        </w:tc>
      </w:tr>
      <w:tr>
        <w:trPr>
          <w:trHeight w:val="225"/>
        </w:trPr>
        <w:tc>
          <w:tcPr>
            <w:tcW w:w="1360" w:type="dxa"/>
            <w:vAlign w:val="bottom"/>
            <w:shd w:val="clear" w:color="auto" w:fill="B6DEE8"/>
          </w:tcPr>
          <w:p>
            <w:pPr>
              <w:spacing w:after="0"/>
              <w:rPr>
                <w:sz w:val="19"/>
                <w:szCs w:val="19"/>
                <w:color w:val="auto"/>
              </w:rPr>
            </w:pPr>
          </w:p>
        </w:tc>
        <w:tc>
          <w:tcPr>
            <w:tcW w:w="2580" w:type="dxa"/>
            <w:vAlign w:val="bottom"/>
            <w:shd w:val="clear" w:color="auto" w:fill="B6DEE8"/>
          </w:tcPr>
          <w:p>
            <w:pPr>
              <w:spacing w:after="0"/>
              <w:rPr>
                <w:sz w:val="19"/>
                <w:szCs w:val="19"/>
                <w:color w:val="auto"/>
              </w:rPr>
            </w:pPr>
          </w:p>
        </w:tc>
        <w:tc>
          <w:tcPr>
            <w:tcW w:w="920" w:type="dxa"/>
            <w:vAlign w:val="bottom"/>
            <w:gridSpan w:val="2"/>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6280" w:type="dxa"/>
            <w:vAlign w:val="bottom"/>
            <w:shd w:val="clear" w:color="auto" w:fill="B6DEE8"/>
          </w:tcPr>
          <w:p>
            <w:pPr>
              <w:spacing w:after="0"/>
              <w:rPr>
                <w:sz w:val="19"/>
                <w:szCs w:val="19"/>
                <w:color w:val="auto"/>
              </w:rPr>
            </w:pP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Preston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Chief Executive Officer and Director, Metromile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18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1A refer to Dave Inc. and its consolidated subsidiaries following the consummation of the Business Combination.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compete are highly competitive, which could adversely affect our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 In addition, if the prices we charge for our products and services are unacceptable to our Members, our operating results will be harmed.</w:t>
      </w:r>
    </w:p>
    <w:p>
      <w:pPr>
        <w:spacing w:after="0" w:line="71"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ExtraCash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ExtraCash advance they receive.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ind w:left="503"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our business quickly enough to meet our Members’ growing needs, and if we are not able to grow efficiently, our operating results could be harmed.</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acquire new Members and retain our current members or sell additional functionality and services to them, our revenue growth will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has historically incurred losses in the operation of its business. We may never achieve or sustain profitability.</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uncertain regulatory environment and may from time to time be subject to governmental investigations or other inquiries by state, federal and local governmental authorities.</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services industry continues to be targeted by new laws or regulations in many jurisdictions, including the U.S. states in which we operate, that could restrict the products and services we offer, impose additional compliance costs on us, render our current operations unprofitable or even prohibit our current operations.</w:t>
      </w:r>
    </w:p>
    <w:p>
      <w:pPr>
        <w:spacing w:after="0" w:line="67"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and oversight in a variety of areas, including registration and licensing requirements under federal, state and local laws and regulations.</w:t>
      </w:r>
    </w:p>
    <w:p>
      <w:pPr>
        <w:spacing w:after="0" w:line="53"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laws and regulations relating to privacy and data protection could result in claims, harm our results of operations, financial condition, and future prospects, or otherwise harm our business.</w:t>
      </w:r>
    </w:p>
    <w:p>
      <w:pPr>
        <w:spacing w:after="0" w:line="53" w:lineRule="exact"/>
        <w:rPr>
          <w:rFonts w:ascii="Times New Roman" w:cs="Times New Roman" w:eastAsia="Times New Roman" w:hAnsi="Times New Roman"/>
          <w:sz w:val="18"/>
          <w:szCs w:val="18"/>
          <w:color w:val="auto"/>
        </w:rPr>
      </w:pPr>
    </w:p>
    <w:p>
      <w:pPr>
        <w:ind w:left="503" w:right="40" w:hanging="503"/>
        <w:spacing w:after="0" w:line="261"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identified material weaknesses in its internal control over financial reporting in its audited financial statements for the years ended December 31, 2022 and 2021.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71"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forecasted operating results and projections rely in large part upon assumptions, analyses and internal estimates developed by Dave’s management. If these assumptions, analyses or estimates prove to be incorrect or inaccurate, Dave’s actual operating results may differ materially and adversely from those forecasted or projected.</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and other illegal activity involving our products and services could lead to reputational damage to us, reduce the use of our platform and services and may adversely affect our financial position and results of operations.</w:t>
      </w:r>
    </w:p>
    <w:p>
      <w:pPr>
        <w:spacing w:after="0" w:line="53" w:lineRule="exact"/>
        <w:rPr>
          <w:rFonts w:ascii="Times New Roman" w:cs="Times New Roman" w:eastAsia="Times New Roman" w:hAnsi="Times New Roman"/>
          <w:sz w:val="18"/>
          <w:szCs w:val="18"/>
          <w:color w:val="auto"/>
        </w:rPr>
      </w:pPr>
    </w:p>
    <w:p>
      <w:pPr>
        <w:ind w:left="503" w:right="20" w:hanging="503"/>
        <w:spacing w:after="0" w:line="261"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A data security breach could expose us to liability and protracted and costly litigation, and could adversely affect our reputation and operating revenues.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management has limited experience in operating a public company.</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53" w:lineRule="exact"/>
        <w:rPr>
          <w:rFonts w:ascii="Times New Roman" w:cs="Times New Roman" w:eastAsia="Times New Roman" w:hAnsi="Times New Roman"/>
          <w:sz w:val="18"/>
          <w:szCs w:val="18"/>
          <w:color w:val="auto"/>
        </w:rPr>
      </w:pPr>
    </w:p>
    <w:p>
      <w:pPr>
        <w:ind w:left="503" w:right="14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Inc. has guaranteed up to $25,000,000 of one of its subsidiary’s obligations under a debt facility, and currently that limited guaranty is secured by a first-priority lien against substantially all of Dave Inc.’s assets. The debt facility contains financial covenants and other restrictions on our actions, which could limit our operational flexibility and otherwise adversely affect our financial condition.</w:t>
      </w:r>
    </w:p>
    <w:p>
      <w:pPr>
        <w:spacing w:after="0" w:line="6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present or any future key banking relationships are terminated and we are not able to secure or successfully migrate client portfolios to a new bank partner or partners, our business would be adversely affected.</w:t>
      </w:r>
    </w:p>
    <w:p>
      <w:pPr>
        <w:spacing w:after="0" w:line="121"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229" w:right="359" w:bottom="1440" w:gutter="0" w:footer="0" w:header="0"/>
        </w:sectPr>
      </w:pPr>
    </w:p>
    <w:bookmarkStart w:id="21" w:name="page22"/>
    <w:bookmarkEnd w:id="21"/>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including growth in our volume of payments, may not be indicative of future growth, and if we continue to grow rapidly, we may not be able to manage our growth effectively. Our rapid growth also makes it difficult to evaluate our future prospects and may increase the risk that we will not be successful.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compete are highly competitive, which could adversely affect our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industries in which we compete are highly competitive and subject to rapid and significant changes. We compete against companies and financial institutions across the retail banking, financial services, consumer technology and financial technology services industries, as well as other nonbank lenders serving credit-challenged consumers, including online marketplace lenders, check cashers, point-of-sale lenders and payday lenders. We may compete with others in the market who may in the future provide offerings similar to ours, particularly companies who may provide money management, lending and other services though a platform similar to our platform. These and other competitors in the banking and financial technology industries are introducing innovative products and services that may compete with ours. We expect that this competition will continue as banking and financial technology industries continue to evolve, particularly if non-traditional non-recourse advance providers and other parties gain greater market share in these industries. If we are unable to differentiate our products and platform from and successfully compete with those of our competitors, our business, results of operations and financial condition will be materially and adversely affected.</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Many existing and potential competitors are entities substantially larger in size, have more resources, are more highly diversified in revenue and substantially more established with significantly more brand awareness than ours. As such, many of our competitors can leverage their size, robust networks, financial wherewithal, brand awareness, pricing power and technological assets to compete with us. To the extent new entrants gain market share, the purchase and use of our products and services would decline. If price competition materially intensifies, we may have to decrease the prices of our products and services, which would likely adversely affect the results of operations.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long-term success depends on our ability to compete effectively against existing and potential competitors that seek to provide banking and financial technology products and services. If we fail to compete effectively against these competitors, our revenues, results of operations, prospects for future growth and overall business will be materially and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financial services industry is subject to rapid and significant technological changes. We cannot predict the effect of technological changes on our business. We expect that new services and technologies applicable to our industry will continue to emerge, and these new services and technologies may be superior to, or render obsolete, the technologies we currently utilize in our products and services.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 Additionally, we may make future investments in, or enter into strategic partnerships to develop new technologies and services or to implement infrastructure to further our strategic objectives, strengthen our existing businesses and remain competitive. However, our ability to transition to new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ind w:right="620"/>
        <w:spacing w:after="0" w:line="282" w:lineRule="auto"/>
        <w:rPr>
          <w:sz w:val="20"/>
          <w:szCs w:val="20"/>
          <w:color w:val="auto"/>
        </w:rPr>
      </w:pPr>
      <w:r>
        <w:rPr>
          <w:rFonts w:ascii="Times New Roman" w:cs="Times New Roman" w:eastAsia="Times New Roman" w:hAnsi="Times New Roman"/>
          <w:sz w:val="18"/>
          <w:szCs w:val="18"/>
          <w:color w:val="auto"/>
        </w:rPr>
        <w:t>services and technologies that we develop may be inhibited by a lack of industry-wide standards, changes to the regulatory landscape, resistance by consumers to these changes, or by the intellectual property rights of third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prices we charge for our products and services are unacceptable to our Members, our operating results will be harmed.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generate revenue by charging Members a fixed monthly rate for membership to our platform as well as additional fees related to optional expedited delivery of advances. Members who obtain an ExtraCash advance through our platform also have the option to tip us. We also generate revenue from our Dave banking product through interchange and out-of-network ATM fees, as well as from our job portal service through referral fees from partner companies. As the market for our platform matures, as new or existing competitors introduce new products or services that compete with ours or if general inflationary pressures continue, we may experience pricing pressure and be unable to retain current Members and attract new Members at prices that are consistent with our pricing model and operating budget. Our pricing strategy for new products and services we introduce may prove to be unappealing to our Members, and our competitors could choose to bundle certain products and services competitive with ours. If this were to occur, it is possible that we would have to change our pricing strategies or reduce our prices, which could harm our revenue, gross profits, and operating results.</w:t>
      </w:r>
    </w:p>
    <w:p>
      <w:pPr>
        <w:spacing w:after="0" w:line="296"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ExtraCash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ExtraCash advance they receive.</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ExtraCash advance product exposes us to financial losses if Members do not repay the advance we provide to them. The timing and volume of advance repayments have a significant impact on our financial results and cash flows. If a large number of Members do not repay advances, our financial condition and operating results would be adversely affected.</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underwriting standards may not offer adequate protection against the risk of non-payment, especially in periods of economic uncertainty such as has existed with the onset of the COVID-19 pandemic and more recently with rising interest rates and inflationary pressures.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accurately forecast performance and determine an appropriate provision and allowance for credit losses, is critical to our business and financial results. The allowance for credit losses is established through a provision for credit losses based on management’s evaluation of the risk inherent in the cash advance portfolio, the composition of the portfolio, specific impaired advances, and current economic conditions. Please see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Operations—Critical Accounting Policies and Estimates</w:t>
      </w:r>
      <w:r>
        <w:rPr>
          <w:rFonts w:ascii="Times New Roman" w:cs="Times New Roman" w:eastAsia="Times New Roman" w:hAnsi="Times New Roman"/>
          <w:sz w:val="18"/>
          <w:szCs w:val="18"/>
          <w:color w:val="auto"/>
        </w:rPr>
        <w:t>”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performance forecasts will be accurate. In periods with changing economic conditions, rising interest rates and increasing inflationary pressures, accurately forecasting repayment of advances is more difficult. Our allowance for losses is an estimate, and if actual repayment defaults are materially greater than our allowance for losses, or more generally, if our forecasts are not accurate, our financial position, liquidity and results of operations could be materially adversely affected. For example, uncertainty surrounding the continuing economic impact of COVID-19 on our Members has made historical information on credit losses slightly less reliable in the current environment, and there can be no assurances that we have accurately estimated repayment rates.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Members’ growing needs, and if we are not able to grow efficiently, our operating results could be harmed.</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usage of our platform grows and we sign additional strategic partners, we will need to devote additional resources to improving and maintaining our infrastructure and computer network and integrating with third-party applications to maintain the performance of our platform. In addition, we will need to appropriately scale our internal business systems and our services organization, including customer support, risk and compliance operations, and professional services, to serve our growing Member base.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t>Any failure of or delay in these efforts could result in service interruptions, impaired system performance, and reduced Member satisfaction, which could hurt our revenue growth. If sustained or repeated, performance issues could reduce the attractiveness of our platform to Members and could result in lost Member opportunities, which could hurt our revenue growth, Member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acquire new Members and retain our current members or sell additional functionality and services to them, our revenue growth will be adversely affected.</w:t>
      </w:r>
    </w:p>
    <w:p>
      <w:pPr>
        <w:spacing w:after="0" w:line="5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To increase our revenue, in addition to acquiring new Members, we must continue to retain existing Members and convince them to expand their use of our platform by increasing the number of Members and incentivizing them to pay for additional functionality. Our ability to retain our Members and increase their usage could be impaired for a variety of reasons, including member reaction to changes in the pricing of our products or the other risks described in this Annual Report on Form 10-K. As a result, we may be unable to retain existing Members or increase the usage of our platform by them, which would have an adverse effect on our business, revenue, gross margins, and other operating results, and accordingly, on the trading price of our common stock.</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ability to sell additional functionality to our existing Members may require more sophisticated and costly sales efforts. Similarly, the rate at which our Members purchase additional products from us depends on several factors, including general economic conditions, such as rising interest rates and inflation, and the pricing of additional product functionality. If our efforts to sell additional functionality to our Members are not successful, our business and growth prospects would suffer.</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member subscriptions are open-ended arrangements that can be terminated by the Member without penalty at any time. For us to maintain or improve our operating results, it is important that our Members continue to maintain their subscriptions on the same or more favorable terms. We cannot accurately predict renewal or expansion rates given the diversity of our member base in terms of size, industry, and geography. Our renewal and expansion rates may decline or fluctuate as a result of several factors, including member spending levels, member satisfaction with our platform, decreases in the number of Members, pricing changes, competitive conditions, the acquisition of our Members by other companies, and general economic conditions. If our Members do not renew their subscriptions, or if they reduce their usage of our platform, our revenue and other operating results will decline and our business will be adversely affected. If our renewal or expansion rates fall significantly below the expectations of the public market, securities analysts, or investors, the trading price of our common stock would likely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face significant challenges as a new entrant in our industry.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Legacy Dave was incorporated in October 2015 and we have a relatively short operating history in the financial services industry, which is continuously evolving. We have limited experience to date in building consumer financial services technology. We cannot assure you that we will be able to develop products and services on our platform that will enable us to meet quality, price and engineering standards, as well as comply with any regulatory standards we may be subject to. You should consider our business and prospects in light of the risks and significant challenges we face as a new entrant in our industry, including, among other things, with respect to our ability to:</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trusted and respected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Member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services and successfully anticipate the usage of such services by our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our future revenues and appropriately budget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trends that may emerge and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debit interchange rates could adversely affect our business, financial position and results of operations.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interchange revenues from fees charged to merchants by card networks for processing a debit or credit payment to represent a significant percentage of our total operating revenues as adoption of our Dave banking product increases. The amount of interchange revenues that we earn is highly dependent on the interchange rates that the payment networks set and adjust from time to time.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enactment of the Dodd-Frank Act required the Federal Reserve Board to implement regulations that have substantially limited interchange fees for many debit card issuers. While the interchange rates that may be earned by us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To the extent we change the pricing of our Dave banking product, we might find it more difficult to acquire new Members, to maintain or grow Dave banking debit card usage and to retain existing Members. As a result, our total operating revenues, operating results, prospects for future growth and overall business could be materially and adversely affected.</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if their reputations are damaged, or if we are unable to attract and retain executives and employees we need to support our operations and growth, our business may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and other key employees who are critical to our overall management, as well as the continued development of our products, strategic partnerships, our culture and our strategic direction. We currently do not have “key person” insurance on any of our employees. The loss of one or more of our senior management team members or other key employees could disrupt or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or if our support is more expensive than anticipated, our business and reputation could suffer.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Members rely on our customer support services to resolve issues and realize the full benefits provided by our platform. High-quality support is also important for the renewal and expansion of our subscriptions with existing Members. We primarily provide customer support over chat and email. If we do not help our Members quickly resolve issues and provide effective ongoing support, or if our support personnel or methods of providing support are insufficient to meet the needs of our Members, our ability to retain Members, increase adoption by our existing Members and acquire new Members could suffer, and our reputation with existing or potential Members could be harmed. If we are not able to meet the customer support needs of our Members by chat and email during the hours that we currently provide support, we may need to increase our support coverage and provide additional phone-based support, which may reduce our profitability.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5" w:name="page26"/>
    <w:bookmarkEnd w:id="25"/>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or any future key banking relationships are terminated and we are not able to secure or successfully migrate client portfolios to a new bank partner or partners, our business would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on agreements with Evolve to provide deposit accounts, debit card services and other transaction services to us and our Members. These agreements and corresponding regulations governing banks and financial institutions may give Evolve substantial discretion in approving certain aspects of our business practices, including our application and qualification procedures for Members and require us to comply with certain legal requirements. Evolve discretionary actions under these agreements could impose material limitations to, or have a material adverse effect on, our business, financial condition and results of operations. If our relationship with Evolve Bank is terminated, we would need to find another financial institution to provide those services, which could be difficult and expensive. If we are unable to find a replacement financial institution to provide the services we receive from Evolve, we would not be able to service our deposit accounts, debit cards and other services, which would have a material adverse effect on our business, financial condition and results of operations. Furthermore, our financial results could be adversely affected if our costs associated with using Evolve materially change or if any penalty or claim for damages is imposed as a result of our breach of our agreements with them or their other requirements.</w:t>
      </w:r>
    </w:p>
    <w:p>
      <w:pPr>
        <w:spacing w:after="0" w:line="2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including growth in our volume of payments, may not be indicative of our future growth, and if we continue to grow rapidly, we may not be able to manage our growth effectively. Our rapid growth also makes it difficult to evaluate our future prospects and may increase the risk that we will not be successful.</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operating revenues increased from $153.0 million in 2021 to $204.8 million in 2022. Although we have recently experienced significant growth in our revenue and transaction volume, even if our revenue continues to increase, we expect our growth rate will decline in the future as a result of a variety of factors, including the increasing scale of our business. Overall growth of our revenue depends on a number of factors, including our ability to:</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and services effectively to attract new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products and expand the functionality and scope of the products we offer on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rates at which Members subscribe to and continue to use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Members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our products to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risks related to the effects of the COVID-19 pandemic, rising interest rates and inflation on our business and operations.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it may be difficult to achieve and maintain profitability. You should not rely on our revenue from any prior quarterly or annual periods as any indication of our future revenue or revenue or payment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expect to continue to expand substantial financial and other resources on:</w:t>
      </w:r>
    </w:p>
    <w:p>
      <w:pPr>
        <w:spacing w:after="0" w:line="117" w:lineRule="exact"/>
        <w:rPr>
          <w:sz w:val="20"/>
          <w:szCs w:val="20"/>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customer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and/or strategic investments;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6" w:name="page27"/>
    <w:bookmarkEnd w:id="26"/>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 risk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or if we encounter difficulties in managing a growing volume of payments, our business, financial position and operating results will be adversely affected, and we may not be able to achieve or maintain profitability over the long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historically incurred losses in the operation of its business. We may never achieve or sustain profitability.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incorporation in October 2015, we have been engaged in growth activities related to building our business, which requires substantial capital and other expenditures. We have incurred net losses in previous fiscal years, including fiscal year 2022, and we may incur losses again in the future. We expect our cash needs to increase significantly for the next several years as we:</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marketing, client support, engineering, product development and administrative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client support and service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upgraded operational and financial systems, procedures and controls.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a result of these continuing costs and expenses, we need to generate significant revenues to attain and maintain profitability and positive cash flow. To date, our operations have been supported by equity and debt financings. If we do not continue to increase our revenues, our business, results of operations and financial condition could be materially and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may not be available on acceptable terms, if at all.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financings, sales of memberships to our platform, optional expedited processing fees and Member tips.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have sufficient capital to fund our planned operations for the next 12 months. We may need to raise additional funds through the issuance of equity, equity related or debt securities, or through obtaining credit from government, financial institutions or other lenders. We cannot be certain that additional funds will be available to us on favorable terms when required, or at all. If we cannot raise additional funds when we need them, our financial condition, results of operations, business and prospects could be materially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in the future.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in the future, which may adversely affect our stock price. Fluctuations in our quarterly or annual results of operations might result from a number of factors, many of which are outside of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our Members of expedited processing of our ExtraCash advance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tips our Members send to us, advance payments and subscriptions and use of our products and services;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27" w:name="page28"/>
    <w:bookmarkEnd w:id="27"/>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Member retention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and services that we provide to our Members;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of new product development and initiatives, the timing of costs of existing product roll-outs and the length of time we must invest in those new products before they generate material operating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sell our products through direct-to-consumer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 our competitors’ pricing policies or sales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significant changes in our risk policies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fraud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commencement and termination of major advertising campaigns, including partnerships and sponsorships;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performance of our products and services, and the associated financial impact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of any major litigation to which we are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acquisition of complementary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and expansion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executive leadership team;</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third-party service provider costs and sales and marketing expenses in an increasingly competitive market;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regulatory environment affecting the banking or financial technology service industries.</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Criminals are using increasingly sophisticated methods to engage in illegal activities using deposit account products or Member information. Illegal activities involving products and services like ours often include malicious social engineering schemes. Illegal activities may also include fraudulent payment or refund schemes and identity theft. We rely upon third parties for transaction processing services, which subjects us and our Members to risks related to the vulnerabilities of those third parties. A single significant incident of fraud, or increases in the overall level of fraud, involving our products and services, have in the past and could in the future, result in reputational damage to us. Such damage could reduce the use and acceptance of our products and services, cause our banking and strategic partners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in February 2021, we observed anomalous “chargeback” transaction volume in connection with the funding of Dave Banking accounts via debit card networks. After investigating, we discovered that these were fraudulent transactions exposing us to losses under the debit card network rules. In the third quarter of 2022, we experienced a fraud event which resulted in member advance write-offs of approximately $3.0 million. To address the challenges we face with respect to fraudulent activity of the nature outlined above and other activity as well, we have implemented risk control mechanisms that have made it more difficult for all Members, including legitimate Members, to obtain and use our Dave banking product. We believe it is likely that our risk control mechanisms may continue to adversely affect the growth of our Dave banking product for the foreseeable future and as a result, negatively impact our operating revenues.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losses from Dave banking Member accounts.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Fraudulent activity involving our Dave banking account may lead to Member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 Additionally, our Members can incur charges in excess of the funds available in their accounts, and we may become liable for these overdrafts. While we decline authorization attempts for amounts that exceed the available balance in a Member’s account, the application of payment network rules and the timing of the settlement of transactions, among other things, can result in overdrawn accounts.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remaining overdraft exposure arises primarily from late-posting. A late-post occurs when a merchant posts a transaction within a payment network-permitted timeframe, but subsequent to our release of the authorization for that transaction, as permitted by payment network rules. Under payment network rules, we may be liable for the transaction amount even if the Member has made additional purchases in the intervening period and funds are no longer available in the Member’s account at the time the transaction is posted.</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grown rapidly and seek to continue to grow, and although we maintain a robust and multi-faceted risk management process, our business is always subject to the risk of financial losses as a result of operational errors, software defects, service disruption, employee misconduct, security breaches, or other similar actions or errors on our platform. Software errors in our platform and operational errors by our employees may also expose us to losses.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Moreover, our trustworthiness and reputation are fundamental to our business. The occurrence of any operational errors, software defects, service disruption, employee misconduct, security breaches, or other similar actions or errors on our platform could result in financial losses to our business and our Members, loss of trust, damage to our reputation, or termination of our agreements with strategic partners, each of which could result in: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delayed market acceptance and sales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 including through increased service expenses or financial concessions, and increased insurance costs.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we maintain insurance to cover losses resulting from our errors and omissions, there can be no assurance that our insurance will cover all losses or our coverage will be sufficient to cover our losses. If we suffer significant losses or reputational harm as a result, our business, operating results, and financial condition could be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that require us to share consumer information. Information security risks in the financial services industry continue to increase generally,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ind w:right="40"/>
        <w:spacing w:after="0" w:line="266" w:lineRule="auto"/>
        <w:rPr>
          <w:sz w:val="20"/>
          <w:szCs w:val="20"/>
          <w:color w:val="auto"/>
        </w:rPr>
      </w:pPr>
      <w:r>
        <w:rPr>
          <w:rFonts w:ascii="Times New Roman" w:cs="Times New Roman" w:eastAsia="Times New Roman" w:hAnsi="Times New Roman"/>
          <w:sz w:val="18"/>
          <w:szCs w:val="18"/>
          <w:color w:val="auto"/>
        </w:rPr>
        <w:t>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websites.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cybersecurity challenges, including threats to our own IT infrastructure or those of third-party providers, may take a variety of forms ranging from stolen bank accounts, business email compromise, user fraud, account takeover, check fraud or cybersecurity attacks, such as ransomware, unauthorized encryption, denial-of-service attacks, social engineering, unauthorized access, spam or other attacks, to “mega breaches” targeted against cloud-based services and other hosted software, which could be initiated by individual or groups of hackers or sophisticated cyber criminals. A cybersecurity incident or breach could result in disclosure of confidential information and intellectual property, or cause service interruptions and compromised data. We may be unable to anticipate or prevent techniques used in the future to obtain unauthorized access or to sabotage systems because they change frequently and often are not detected until after an incident has occurred. We have administrative, technical, and physical security measures in place, and we have policies and procedures in place to contractually require service providers to whom we disclose data to implement and maintain reasonable privacy and security measures. Despite our security measures, and those of our third-party vendors, our information technology and infrastructure has experienced breaches and may be subject or vulnerable in the future to breaches or attacks. If our own confidential business information were improperly disclosed, our business could be materially and adversely affected.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we could experience a loss of confidence by our partners and Members in the security of our systems, products and services and prevent us from obtaining new partners and Members, and we could incur significant costs to remedy problems caused by breaches and implement measures to prevent further breaches, and expose us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a security breach. Such mandatory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advances requested on the Dave system. We provided notice to relevant parties as required under applicable law and agreements and took steps to set up alerts to detect abnormal request volumes and introduced rate limiting at the IP address level. In addition, in June 2020, we were notified of an unauthorized third party breach of our Dave database. The third party was able to access to Dave’s system by breaching the system of one of Dave’s third party service providers. The attacker was able to download a large data set, including encrypted social security numbers for some Members; however, there was no evidence that unauthorized transactions were made or advances requested on the Dave system, nor do we believe that the third party gained access to decryption keys or was otherwise able to decrypt encrypted information.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these breaches, Dave did not experience any material adverse impact to its business or operation and any costs and expenses relating to such security breaches were not material to Dave. As we have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ind w:right="120"/>
        <w:spacing w:after="0" w:line="282" w:lineRule="auto"/>
        <w:rPr>
          <w:sz w:val="20"/>
          <w:szCs w:val="20"/>
          <w:color w:val="auto"/>
        </w:rPr>
      </w:pPr>
      <w:r>
        <w:rPr>
          <w:rFonts w:ascii="Times New Roman" w:cs="Times New Roman" w:eastAsia="Times New Roman" w:hAnsi="Times New Roman"/>
          <w:sz w:val="18"/>
          <w:szCs w:val="18"/>
          <w:color w:val="auto"/>
        </w:rPr>
        <w:t>increased our Member base and our brand has become more widely known and recognized, third parties may continue to seek to compromise our security controls or gain unauthorized access to our sensitive corporate information or our Members’ data.</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our banking partner or other strategic partners were to conclude that our systems and procedures are insufficiently rigorous, they could terminate their relationships with us, and our financial results and business could be adversely affected. Under our terms of service and our contracts with strategic partners, if there is a breach of nonpublic personal information of our Members that we store, we could be liable to the partner for their losses and related expenses.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we maintain cybersecurity insurance,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9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guarantee certain obligations of one of our wholly-owned subsidiaries, which guaranty is secured by a first-priority lien against substantially all of our assets, and contains financial covenants and other restrictions on our actions, which could limit our operational flexibility and otherwise adversely affect our financial condition.</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of our wholly-owned subsidiaries, Dave OD Funding has a senior secured debt facility with Victory Park Capital Advisors, LLC and its affiliates (the “Debt Facility”). We have guaranteed up to $25,000,000 of Dave OD Funding’s obligations under the Debt Facility, and currently that limited guaranty is secured by a first-priority lien against substantially all of our assets. The Debt Facility contains financial covenants and other restrictions on our actions, which could limit our operational flexibility and otherwise adversely affect our financial condition.</w:t>
      </w:r>
    </w:p>
    <w:p>
      <w:pPr>
        <w:spacing w:after="0" w:line="28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involves processing of large numbers of transactions and management of the data necessary to do so. Our success depends upon the efficient and error-free handling of the money that is collected, remitted or deposited in connection with the provision of our products and services. We rely on the ability of our vendors and third-parties to process and facilitate these transactions, including ACH processing (as we are not a bank), and debit card payment processing, in an efficient, uninterrupted and error-free manner. We also rely on third-party service providers to perform various functions relating to our business, including software development, marketing, operational functions, fraud detection, cloud infrastructure services, information technology, data analysis, and, because we are not a bank and cannot belong or directly access the ACH payment network, ACH processing, and debit card payment processing.</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oversee these service providers to ensure they provide services in accordance with our agreements and regulatory requirements, we do not have control over the operations of any of the third-party service providers that we utilize. In the event that a third-party service provider fails to perform such functions for any reason, including negligence, willful misconduct or fraud, fire, natural disaster, power loss, telecommunication failures, software and hardware defects, terrorist attacks and similar events, our ability to process payments and perform other operational functions for which we currently rely on such third-party service providers will suffer and our business, cash flows and future prospects may be negatively impacted.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both internally developed and third-party systems, including cloud computing and storage systems, for our services and certain aspects of transaction processing. Any damage to, or failure of, third party computer network systems or data centers generally, or those of our vendors (including as a result of disruptions at our third-party data center hosting facilities and cloud providers), or an improper action by our employees, agents or third-party vendors,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right="40"/>
        <w:spacing w:after="0" w:line="258" w:lineRule="auto"/>
        <w:rPr>
          <w:sz w:val="20"/>
          <w:szCs w:val="20"/>
          <w:color w:val="auto"/>
        </w:rPr>
      </w:pPr>
      <w:r>
        <w:rPr>
          <w:rFonts w:ascii="Times New Roman" w:cs="Times New Roman" w:eastAsia="Times New Roman" w:hAnsi="Times New Roman"/>
          <w:sz w:val="18"/>
          <w:szCs w:val="18"/>
          <w:color w:val="auto"/>
        </w:rPr>
        <w:t>could result in interruptions in our services, causing Members and other partners to become dissatisfied with our products and services or subject us to potential financial losses. Sustained or repeated system failures could reduce the attractiveness of our products and services, and result in Member attrition, thereby reducing operating revenue and harming our results of operations. Further, negative publicity arising from these types of disruptions could be damaging to our reputation and may adversely impact use of our products and services, including our platform, and adversely affect our ability to attract new Members and business partners.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and rights. We rely on a combination of copyrights, trademarks, trade secret laws, and contractual provisions to establish and protect our proprietary rights. However, the steps we take to protect our intellectual property may be inadequate. Any of our trademarks or other intellectual property rights may be challenged or circumvented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contractual agreements we enter into to establish and protect our proprietary rights will be effective in controlling access to and distribution of our products and proprietary information. Further, these agreements do not prevent our competitors or partners from independently developing technologies that are substantially equivalent or superior to our platform.</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from third parties, especially when updates or new products or services are released.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our Members use our platform and could result in outages or degraded quality of service on our platform that could adversely impact our business, as well as cause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Members, retain existing Members, or expand their use of our products and services, which would adversely affect our business, results of operations, financial condition,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management has limited experience in operating a public company.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Many of our senior management team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company’s operations. We may not have adequate personnel with the appropriate level of knowledge, experience and training in accounting policies, compliance practices or internal controls required of public companies. For example, lack of a sufficient number of accounting and finance professionals contributed to material weaknesses in our internal control over financial reporting as described in Item 9A of this Annual Report on Form 10-K. The development and implementation of the standards and controls and the hiring of experienced personnel necessary to achieve the level of accounting standards required of a public company may require expenditures greater than expected, and a delay could impact our ability to accurately and timely report our operating results, timely file required reports with the SEC and comply with Section 404 of the Sarbanes-Oxley Act of 2002 (the “Sarbanes-Oxley Act”). We have expanded our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ind w:right="380"/>
        <w:spacing w:after="0" w:line="282" w:lineRule="auto"/>
        <w:rPr>
          <w:sz w:val="20"/>
          <w:szCs w:val="20"/>
          <w:color w:val="auto"/>
        </w:rPr>
      </w:pPr>
      <w:r>
        <w:rPr>
          <w:rFonts w:ascii="Times New Roman" w:cs="Times New Roman" w:eastAsia="Times New Roman" w:hAnsi="Times New Roman"/>
          <w:sz w:val="18"/>
          <w:szCs w:val="18"/>
          <w:color w:val="auto"/>
        </w:rPr>
        <w:t>employee base to support our operations as a public company and it is possible that additional employees may need to be hired, which will increase its operating costs in future periods.</w:t>
      </w:r>
    </w:p>
    <w:p>
      <w:pPr>
        <w:spacing w:after="0" w:line="26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Dave identified material weaknesses in its internal control over financial reporting in its audited financial statements for the years ended December 31, 2022 and 2021.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audits of our consolidated financial statements for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2022, material weaknesses were identified in our internal control over financial reporting. These material weaknesses, as well as our remediation plans, are described in Item 9A of this Annual Report on Form 10-K.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believe these efforts will be sufficient to remediate the material weaknesses, we cannot assure you that we will be able to complete our evaluation, testing or any required remediation in a timely fashion, or at all or that the measures we have taken to date and may take in the future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or identify additional material weakness in the future, our ability to record, process and report financial information accurately, and to prepare financial statements within the time periods required by the SEC, could be adversely affected which, in turn, may adversely affect our reputation and business and the market price of the Company’s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strive to deliver simple, transparent, and fair financial products, which may conflict with the short-term interests of our stockholders.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core principle, and the foundation on which we have built our company, is to deliver simple, transparent, and fair financial products. Therefore, we have made in the past, and may make in the future, decisions that we believe will benefit our Members and therefore provide long-term benefits for our business, even if our decision negatively impacts our short-term results of operations. For example, the advances facilitated through our platform have no mandatory fees. Our decisions may negatively impact our short-term financial results or not provide the long-term benefits that we expect, in which case the success of our business and results of operations could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us or our industry could adversely affect our business, results of operations, financial condition, and future prospects.</w:t>
      </w:r>
    </w:p>
    <w:p>
      <w:pPr>
        <w:spacing w:after="0" w:line="12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Negative publicity about us or our industry, even if inaccurate, could adversely affect our reputation and the confidence in, and use of our platform, potentially harming our reputation and causing disruptions to our platform. Such negative publicity could involve: the transparency, fairness, Member experience, quality, and reliability of our platform or consumer fintech platforms in general, the effectiveness of our risk models, our ability to effectively manage and resolve complaints, our privacy and security practices, litigation, regulatory activity, misconduct by our employees, funding sources, bank partners, service providers, or others in our industry, the experience of consumers with our platform or services. Any such reputational harm could further affect the behavior of consumers, including their willingness to obtain advances, deposit accounts, and other products and services facilitated through our platform. As a result, our business, results of operations, financial condition, and future prospects would be materially and adversely affected.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have and may continue to be adversely affected by the COVID-19 pandemic or other similar epidemics or adverse public health developments, including government responses to such events.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are many uncertainties regarding the current global pandemic involving a novel strain of coronavirus, and the Company continues to closely monitor the impact of the pandemic on all aspects of its business, including how it has and may in the future impact its Members, employees, suppliers, vendors, and business partners. The duration and magnitude of the continuing effects of COVID-19 on the Company’s Members remain uncertain and dependent on various factors, including the continued severity and transmission rate of the virus, new variants of the virus which may evade vaccines and developed treatments for COVID-19, the nature of and duration for which preventative measures are instituted and remain in place, the extent and effectiveness of containment and mitigation efforts, including vaccination programs, and the type of stimulus measures and other policy responses that the U.S. government may further adopt.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business and operations were disrupted by the conditions caused by COVID-19, which adversely affected Members’ spending levels and disposable income. In general, overall economic conditions potentially increases Members’ credit risk. Economic conditions that affect personal finances of Members could also impact repayment of advances that we make to our Members. The Company is concurrently evaluating its policies around the level and extent of Members’ cash advances and corresponding credit risk. The Company expects to continue to assess the evolving impact of the COVID-19 pandemic and intends to make adjustments to its responses accordingly.</w:t>
      </w:r>
    </w:p>
    <w:p>
      <w:pPr>
        <w:spacing w:after="0" w:line="18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Additionally, concerns over the economic impact of the COVID-19 pandemic and variants of the virus that have emerged have in the past caused volatility in financial and other capital markets and any such volatility may adversely affect our stock price and our ability to access capital markets in the future.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may be harmed.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From time to time, there have been claims challenging the ownership of open source software against companies that incorporate it into their products. As a result, we could be subject to lawsuits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under certain open source licenses, we could be required to release the source code of our proprietary software products.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catastrophic events, pandemics and man-made problems such as power disruptions, computer viruses, data security breaches, and terrorism may disrupt our business.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Natural disasters, pandemics such as COVID-19, or other catastrophic events may cause damage or disruption to our operations, international commerce and the global economy, and thus could harm our business. We have a large employee presence in Los Angeles, California, and our data centers are located in the Midwest. The west coast of the United States contains active earthquake zones and the greater Los Angeles area has experienced major fire danger in the past five years and may experience major fires in the future. In the event of a major earthquake,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ind w:right="40"/>
        <w:spacing w:after="0" w:line="289" w:lineRule="auto"/>
        <w:rPr>
          <w:sz w:val="20"/>
          <w:szCs w:val="20"/>
          <w:color w:val="auto"/>
        </w:rPr>
      </w:pPr>
      <w:r>
        <w:rPr>
          <w:rFonts w:ascii="Times New Roman" w:cs="Times New Roman" w:eastAsia="Times New Roman" w:hAnsi="Times New Roman"/>
          <w:sz w:val="17"/>
          <w:szCs w:val="17"/>
          <w:color w:val="auto"/>
        </w:rPr>
        <w:t>hurricane or catastrophic event such as fire, power loss, telecommunications failure, cyber-attack, war, or terrorist attack, we may be unable to continue our operations and may endure system interruptions, reputational harm, delays in our application development, lengthy interruptions in the availability of our products and services, breaches of data security, and loss of critical data, all of which could harm our business, operating results, and financial condition.</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the insurance we maintain may be insufficient to cover our losses resulting from disasters, cyber-attacks, or other business interruptions, and any incidents may result in loss of, or increased costs of, such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including registration and licensing requirements under federal, state and local laws and regulations.</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remediations,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which could materially and adversely affect our business. Moreover, any competitors subject to different, or in some cases less restrictive, legislative or regulatory regimes may have or obtain a competitive advantage over us.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which oversees compliance with federal consumer financial protection laws. In addition, our partnership with Evolve is subject to the supervisory authority of the Federal Reserve, which is Evolve’s primary federal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2020, we received a Civil Investigative Demand (“CID”) notifying us that the CFPB had opened a non-public investigation into various aspects of our ExtraCash advance business in compliance with the prohibition against UDAAPs, the EFTA, and, to the extent it applies, the Truth in Lending Act. We provided the CFPB with all information and documents required by the CID, and on September 27, 2021, the CFPB staff notified us that it currently did not intend to recommend that the CFPB take any enforcement action. In addition, on July 15, 2022, a purported class action was filed in the U.S. District Court for the Northern District of California alleging violations of California consumer protection laws and state and federal lending laws, among other things.</w:t>
      </w:r>
    </w:p>
    <w:p>
      <w:pPr>
        <w:spacing w:after="0" w:line="3"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The complaint seeks injunctive relief, damages, restitution, nonrestitutionary disgorgement, pre- and post-judgment interest and reasonable attorneys’ fees and costs. The Company is actively litigating this matter and cannot estimate the likely outcome at this time.</w:t>
      </w:r>
    </w:p>
    <w:p>
      <w:pPr>
        <w:spacing w:after="0" w:line="1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t>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targeted by new laws or regulations in many jurisdictions, including the U.S. states in which we operate, that could restrict the products and services we offer, impose additional compliance costs on us, render our current operations unprofitable or even prohibit our current operations.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regulators are interpreting existing laws, regulations and rules in new and different ways as they attempt to apply them to novel products and business models such as ours.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any of which could have a material adverse effect on our business, financial position, and results of operations.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become directly subject to banking regulations or be subjected to additional third-party risk management obligations, our business model may need to be substantially altered and we may not be able to continue to operate our business as it is currently operated.</w:t>
      </w:r>
    </w:p>
    <w:p>
      <w:pPr>
        <w:spacing w:after="0" w:line="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not currently subject to laws and regulations applicable to traditional banks. However, 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right="80"/>
        <w:spacing w:after="0" w:line="282" w:lineRule="auto"/>
        <w:rPr>
          <w:sz w:val="20"/>
          <w:szCs w:val="20"/>
          <w:color w:val="auto"/>
        </w:rPr>
      </w:pPr>
      <w:r>
        <w:rPr>
          <w:rFonts w:ascii="Times New Roman" w:cs="Times New Roman" w:eastAsia="Times New Roman" w:hAnsi="Times New Roman"/>
          <w:sz w:val="18"/>
          <w:szCs w:val="18"/>
          <w:color w:val="auto"/>
        </w:rPr>
        <w:t>operate our business as it is currently operated. Failure by us, or any of our business partners, to comply with applicable laws and regulations could have a material adverse effect on our business, financial position and results of operations.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uncertain regulatory environment and may from time to time be subject to governmental investigations or other inquiries by state, federal and local governmental authorities.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Determinations of compliance with applicable legal and regulatory requirements can be highly technical and subject to varying interpretations. From time to time we become aware of instances where our products and services have not fully complied with requirements under applicable laws and regulations. When we become aware of such an instance, whether as a result of our compliance reviews, regulatory inquiry, Member complaint or otherwise, we generally conduct a review of the activity in question and determine how to address it, such as modifying the product, making Member refunds or taking other remedial actions.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Failure to comply with applicable laws, regulations, rules and guidance, or any finding that our past forms, practices, processes, procedures, controls or infrastructure were insufficient or not in compliance, could subject us to regulatory enforcement actions, result in the assessment against us of civil, monetary, criminal or other penalties (some of which could be significant in the case of knowing or reckless violations), result in the issuance of cease and desist orders (which can include orders for restitution, as well as other kinds of affirmative relief), require us to refund payments, interest or fees, result in a determination that certain financial products are not collectible, result in a suspension or revocation of licenses or authorization to transact business, result in a finding that we have engaged in unfair and deceptive acts or practices, limit our access to services provided by third-party financial institutions or cause damage to our reputation, brands and valued Member relationships. We may also incur additional, substantial expenses to bring those products and services into compliance with the laws of various jurisdictions or as a result choose to stop offering certain products and services in certain jurisdictions.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failure to comply with any regulations, rules, or guidance applicable to our business could have a material adverse effect on our business. In addition, changes to, or the discontinuation of, certain products and services necessary to maintain compliance with regulatory and legal requirements or to adequately manage compliance-related risks may result in corresponding changes to or limitations on the fees we can charge and other sources of revenue we currently rely upon. Such failures or changes to our products, services or business may have substantial adverse effects on our prospects, results of operations, financial condition and cash flows and could prohibit or directly or indirectly impair our ability to continue current operations.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activities regarding consumer finance transactions.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in legislation seeking to impose licensing requirements and regulation of parties engaged in non-recourse advance activities.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advances facilitated through our platform could be rendered void in whole or in part, any of which could have an adverse effect on our business, results of operations, and financial condition. For example, we have received and responded to inquiries from various states, in each case regarding whether the advance products we offer in those states should subject us to state licensing and related requirements. In December 2021, we entered into a Memorandum of Understanding (“MOU”) with the California Department of Financial Protection and Innovation (“CA DFPI”). The MOU requires us to provide the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CA DFPI with certain information as requested by the CA DFPI and adhere to certain best practices in connection with our ExtraCash advance product (including certain disclosures related to us not being licensed by the CA DFPI).</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5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failure, or the failure of any third party with whom we work, to comply with privacy and data protection laws could result in potentially significant regulatory investigations and government actions, litigation, fines, or sanctions, consumer, funding source, or bank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or others.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which could have an adverse effect on our business.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Members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Member base and increase revenue. Future restrictions on the collection, use, sharing, or disclosure of data, or additional requirements for express or implied consent of our Members, partners, or end users for the use and disclosure of such information could require us to incur additional costs or modify our platform, possibly in a material manner, and could limit our ability to develop new functionality.</w:t>
      </w:r>
    </w:p>
    <w:p>
      <w:pPr>
        <w:spacing w:after="0" w:line="18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products, which would negatively affect our business, financial condition, and operating results. In addition, the increased attention focused upon liability issues as a result of lawsuits and legislative proposals could harm our reputation or otherwise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adversely affect the growth of our business. Furthermore, any costs incurred as a result of this potential liability could harm our operating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Members in connection with commercial disputes, employment claims made by our current or former employees, or claims for reimbursement following misappropriation of Member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Jason Wilk, Dave’s founder, Chief Executive Officer and President and a member of the Dave Board of Directors. This will limit or preclude your ability to influence corporate matters, including the outcome of important transactions, including a change in control.</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Dave Class V Common Stock will have 10 votes per share, while shares of Dave Class A Common Stock will have one vote per share. Jason Wilk, Dave’s co-founder and its Chief Executive Officer and President, respectively, holds all of the issued and outstanding shares of Dave Class V Common Stock. Accordingly, as of March 1, 2023, Mr. Wilk holds approximately 60.0% of the voting power of our capital stock on an outstanding basis and will be able to control matters submitted to its stockholders for approval, including the election of directors, amendments of our organizational documents and any merger, consolidation, sale of all or substantially all of Dave’s assets or other major corporate transactions. Mr. Wilk may have interests that differ from yours and may vote in a way with which you disagree and which may be adverse to your interests This concentrated control may have the effect of delaying, preventing or deterring a change in control of Dave, could deprive its stockholders of an opportunity to receive a premium for their capital stock as part of a sale of Dave and might ultimately affect the market price of shares of Dave Class A Common Stock. For information about Dave’s dual class structure, see the section titled “Description of Securities.”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dual class structure may depress the trading price of our Dave Class A Common Stock.</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Dave cannot predict whether its dual class structure will result in a lower or more volatile market price of the Dave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Dave’s Common Stock may cause stockholder advisory firms to publish negative commentary about Dave’s corporate governance practices or otherwise seek to cause Dave to change its capital structure. Any such exclusion from indices or any actions or publications by stockholder advisory firms critical of Dave’s corporate governance practices or capital structure could adversely affect the value and trading market of the Dave Class A Common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trading price of the Dave Class A Common Stock and Public Warrants is volatile and could be subject to wide fluctuations in response to various factors, some of which are beyond Dave’s control. These factors include:</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Dave provides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the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in the industry or related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investments in the growth of the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intellectual property or other proprietary rights, including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Dave Class A Common Stock by Dave’s directors, executive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future issuances of securities or the incurrence of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rising interest rates.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 prices of technology companies in particular, have experienced extreme price and volume fluctuations that have often been unrelated or disproportionate to the operating performance of those companies. Broad market and industry factors may seriously affect the market price of Dave Class A Common Stock,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could result in substantial costs and a diversion of management’s attention and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never paid cash dividends on our capital stock and does not anticipate paying dividends in the foreseeable future.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Dave has never paid cash dividends on our capital stock and currently intends to retain any future earnings to fund the growth of its business. Any determination to pay dividends in the future will be at the discretion of the Board and will depend on Dave’s financial condition, operating results, capital requirements, general business conditions and other factors that the Board may deem relevant. As a result, capital appreciation, if any, of our Dave Class A Common Stock will be the sole source of gain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applicable laws could impair a takeover attempt.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afford certain rights and powers to the Board that could contribute to the delay or prevention of an acquisition that it deems undesirable. Dave is also subject to Section 203 of the DGCL and other provisions of Delaware law that limit the ability of stockholders in certain situations to effect certain business combinations. Any of the foregoing provisions and terms that have the effect of delaying or deterring a change in control could limit the opportunity for stockholders to receive a premium for their shares of Dave Class A Common Stock, and could also affect the price that some investors are willing to pay for the Dave Class A Common Stock.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Dave is subject to risks related to taxation in the United States.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Significant judgments based on interpretations of existing tax laws or regulations are required in determining Dave’s provision for income taxes. Dave’s effective income tax rate could be adversely affected by various factors, including, but not limited to, changes in the mix of earnings in tax jurisdictions with different statutory tax rates, changes in the valuation of deferred tax assets and liabilities, changes in existing tax policies, laws, regulations or rates, changes in the level of non-deductible expenses (including share-based compensation), changes in the location of Dave’s operations, changes in Dave’s future levels of research and development spending, mergers and acquisitions or the results of examinations by various tax authorities. Although Dave believes its tax estimates are reasonable, if the IRS or any other taxing authority disagrees with the positions taken on its tax returns, Dave could have additional tax liability, including interest and penalties. If material, payment of such additional amounts upon final adjudication of any disputes could have a material impact on our results of operations and financial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Dave’s business and future profitability.</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Dave is a U.S. corporation and thus subject to U.S. corporate income tax on its worldwide income. Further, since Dave’s operations and customers are located throughout the United States, Dave will be subject to various U.S. state and local taxes. U.S. federal, state, local and non-U.S. tax laws, policies, statutes, rules, regulations or ordinances could be interpreted, changed, modified or applied adversely to Dave and may have an adverse effect on its business and future profitability.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several tax proposals have been set forth that would, if enacted, make significant changes to U.S. tax laws. Such proposals include an increase in the U.S. income tax rate applicable to corporations (such as Dave) from 21% to 28%. Congress may consider, and could include, some or all of these proposals in connection with tax reform that may be undertaken. It is unclear whether these or similar changes will be enacted and, if enacted, how soon any such changes could take effect. The passage of any legislation as a result of these proposals and other similar changes in U.S. federal income tax laws could adversely affect Dave’s business and future profitability.</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Dave’s business operations, including to jurisdictions in which tax laws may not be favorable, its obligations may change or fluctuate, become significantly more complex or become subject to greater risk of examination by taxing authorities, any of which could adversely affect Dave’s after-tax profitability and financial results.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that Dave’s business expands domestically or internationally, its effective tax rates may fluctuate widely in the future. Future effective tax rates could be affected by operating losses in jurisdictions where no tax benefit can be recorded under U.S. GAAP, changes in deferred tax assets and liabilities, or changes in tax laws. Factors that could materially affect Dave’s future effective tax rates include, but are not limited to: (a) changes in tax laws or the regulatory environment, (b) changes in accounting and tax standards or practices, (c) changes in the composition of operating income by tax jurisdiction, and (d) pre-tax operating results of Dave’s business.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Dave may be subject to significant income, withholding, and other tax obligations in the United States and may become subject to taxation in numerous additional U.S. state and local and non-U.S. jurisdictions with respect to income, operations and subsidiaries related to those jurisdictions. Dave’s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w:t>
      </w:r>
    </w:p>
    <w:p>
      <w:pPr>
        <w:spacing w:after="0" w:line="3" w:lineRule="exact"/>
        <w:rPr>
          <w:sz w:val="20"/>
          <w:szCs w:val="20"/>
          <w:color w:val="auto"/>
        </w:rPr>
      </w:pPr>
    </w:p>
    <w:p>
      <w:pPr>
        <w:ind w:right="100" w:firstLine="8"/>
        <w:spacing w:after="0" w:line="251"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Dave’s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Dave’s intercompany charges,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1" w:name="page42"/>
    <w:bookmarkEnd w:id="41"/>
    <w:p>
      <w:pPr>
        <w:ind w:right="240"/>
        <w:spacing w:after="0" w:line="282" w:lineRule="auto"/>
        <w:rPr>
          <w:sz w:val="20"/>
          <w:szCs w:val="20"/>
          <w:color w:val="auto"/>
        </w:rPr>
      </w:pPr>
      <w:r>
        <w:rPr>
          <w:rFonts w:ascii="Times New Roman" w:cs="Times New Roman" w:eastAsia="Times New Roman" w:hAnsi="Times New Roman"/>
          <w:sz w:val="18"/>
          <w:szCs w:val="18"/>
          <w:color w:val="auto"/>
        </w:rPr>
        <w:t>cross-jurisdictional transfer pricing or other matters and assess additional taxes. If Dave does not prevail in any such disagreements, Dave’s profitability may be affected.</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Dave’s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ability to utilize its net operating loss and tax credit carryforwards to offset future taxable income may be subject to certain limitations.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The limitations apply if a corporation undergoes an “ownership change,” which is generally defined as a greater than 50 percentage point change (by value) in its equity ownership by certain stockholders over a three-year period. If Dave has experienced an ownership change at any time since its incorporation, Dave may be subject to limitations on its ability to utilize its existing NOLs and other tax attributes to offset taxable income or tax liability. In addition, future changes in Dave’s stock ownership, which may be outside of Dave’s control, may trigger an ownership change. Similar provisions of state tax law may also apply to limit Dave’s use of accumulated state tax attributes. As a result, even if Dave earns net taxable income in the future, its ability to use its pre-change NOL carryforwards and other tax attributes to offset such taxable income or tax liability may be subject to limitations, which could potentially result in increased future income tax liability to Dave.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be in the money at the time they become exercisable, and they may expire worthless.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$368.00 per share of Dave Class A Common Stock. There is no guarantee that the Public Warrants will be in the money following the time they become exercisable and prior to their expiration, and as such, they may expire worthless.</w:t>
      </w:r>
    </w:p>
    <w:p>
      <w:pPr>
        <w:spacing w:after="0" w:line="2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the Public Warrants could be increased, the exercise period could be shortened and the number of shares of Dave Class A Common Stock purchasable upon exercise of a Public Warrant could be decreased, all without a holder’s approval.</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or stock (at a ratio different than initially provided), shorten the exercise period or decrease the number of shares of Dave Class A Common Stock purchasable upon exercise of a Public Warrant.</w:t>
      </w:r>
    </w:p>
    <w:p>
      <w:pPr>
        <w:spacing w:after="0" w:line="29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$0.32 per warrant, provided that the last reported sales price of the Dave Class A Common Stock equals or exceeds $576.00 per share (as adjusted for stock splits, stock dividends, reorganizations, recapitalizations and the like) for any 20 trading days within a 30-trading day period ending on the third trading day prior to the date on which we give proper notice of such redemption and provided certain other conditions are met. If</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auto"/>
        </w:rPr>
        <w:t>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Warrants will be redeemable by us for cash so long as they are held by the initial purchasers or their permitted transferees.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Dave Class A Common Stock determined based on the redemption date and the fair market value of the Dave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Dave Class A Common Stock had your warrants remained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and will continue to issue a substantial number of additional shares of Dave Class A Common Stock under an employee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such issuances dilute the interest of our stockholders and likely present other risks.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issued and will continue to issue additional shares of Dave Class A Common Stock under an employee incentive plan. The issuance of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Class A Common Stock:</w:t>
      </w:r>
    </w:p>
    <w:p>
      <w:pPr>
        <w:spacing w:after="0" w:line="9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Dave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the Dave Class A Common Stock and/or the Public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Dave Class A Common Stock will be able to comply with the listing standards of Nasdaq.</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5, 2023, Dave effected a 1-for-32 reverse stock split in order to regain compliance with Nasdaq’s minimum bid price requirement. There can be no assurance that Dave will be able to continue to comply with Nasdaq’s minimum bid price requirement or other Nasdaq listing standards. If The Nasdaq Stock Market delists the Dave Class A Common Stock from trading on its exchange for failure to meet the listing standards, our stockholders could face significant material adverse consequences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Dave Class A Common Stock is a “penny stock” which will require brokers trading in the Dave Class A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Dave Class A Common Stock in the public market could occur at any time. This could cause the market price of the Dave Class A Common Stock to drop significantly, even if our business is doing well.</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the Dave Class A Common Stock in the public market could occur at any time. These sales, or the perception in the market that the holders of a large number of shares intend to sell shares, could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ind w:right="200"/>
        <w:spacing w:after="0" w:line="266" w:lineRule="auto"/>
        <w:rPr>
          <w:sz w:val="20"/>
          <w:szCs w:val="20"/>
          <w:color w:val="auto"/>
        </w:rPr>
      </w:pPr>
      <w:r>
        <w:rPr>
          <w:rFonts w:ascii="Times New Roman" w:cs="Times New Roman" w:eastAsia="Times New Roman" w:hAnsi="Times New Roman"/>
          <w:sz w:val="18"/>
          <w:szCs w:val="18"/>
          <w:color w:val="auto"/>
        </w:rPr>
        <w:t>reduce the market price of the Dave Class A Common Stock. As of March 1, 2023, our current officers and directors hold approximately 15% of the outstanding shares of Common Stock, including the 1,514,082 shares of Dave Class V Common Stock convertible into shares of Dave Class A Common Stock, which represents approximately 60.0% of the voting power of the outstanding shares of Common Stock.</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Investor Rights Agreement, certain holders are entitled to, among other things, certain registration rights, including the demand of up to three underwritten offerings and customary piggyback registration rights. Further, pursuant to the Subscription Agreements, we are also required to register additional shares of Dave Class A Common Stock. To satisfy these obligations, we previously registered up to 10,356,391 shares (on a post-split adjusted basis) of Dave Class A Common Stock, which also covers shares issuable upon exercise of the Public Warrants. The sale of these shares is likely to have an adverse effect on the trading price of the Dave Class A Common Stock.</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5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the benefits of the Business Combination do not meet the expectations of investors or securities analysts, the market price of our securities prior to the Closing may decline. The market values of our securities at the time of the Business Combination may vary significantly from their prices on the date the Merger Agreement was executed, the date of this Annual Report on Form 10-K or the date on which our stockholders voted on the Business Combination.</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fluctuations in the price of Dave securities could contribute to the loss of all or part of your investment. If an active market for our securities develops and continues, the trading price of Dave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the trading price of Dave securities include:</w:t>
      </w:r>
    </w:p>
    <w:p>
      <w:pPr>
        <w:spacing w:after="0" w:line="117" w:lineRule="exact"/>
        <w:rPr>
          <w:sz w:val="20"/>
          <w:szCs w:val="20"/>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Dave;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Dave’s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Dave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Dave;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ability to market new and enhanced products and technologies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Dave’s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ability to meet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Dave;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Dave’s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Dave Class A Common Stock available for public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4" w:name="page45"/>
    <w:bookmarkEnd w:id="44"/>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Dave Class A Common Stock by Dave’s directors, executive officers or significant stockholders or the perception that such sales could occur;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Stock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Dave could depress our stock price regardless of our business, prospects, financial conditions or results of operations. A decline in the market price of Dave’s securities also could adversely affect its ability to issue additional securities and its ability to obtain additional financing in the future.</w:t>
      </w:r>
    </w:p>
    <w:p>
      <w:pPr>
        <w:spacing w:after="0" w:line="29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Dave, its business or its market, or if they change their recommendations regarding the Dave Class A Common Stock adversely, the price and trading volume of the Dave Class A Common Stock could decline.</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trading market for the Dave Class A Common Stock will be influenced by the research and reports that industry or securities analysts may publish about Dave, its business, its market or its competitors. If any of the analysts who may cover Dave change their recommendation regarding the Dave Class A Common Stock adversely, or provide more favorable relative recommendations about its competitors, the price of the Dave Class A Common Stock would likely decline. If any analyst who may cover Dave were to cease their coverage or fail to regularly publish reports on Dave, we could lose visibility in the financial markets, which could cause the stock price or trading volume of Dave securities to decline.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including (a) the exemption from the auditor attestation requirements with respect to internal control over financial reporting under Section 404 of the Sarbanes-Oxley Act, (b) the exemptions from say-on-pay, say-on-frequency and say-on-golden parachute voting requirements and (c) reduced disclosure obligations regarding executive compensation in our periodic reports and proxy statements. As a result, our stockholders may not have access to certain information they deem important. We will remain an emerging growth company until the earliest of (a) the last day of the fiscal year (i) following March 4, 2025, the fifth anniversary of our IPO, (ii) in which we have total annual gross revenue of at least $1.07 billion (as adjusted for inflation pursuant to SEC rules from time to time) or (iii) in which we are deemed to be a large accelerated filer, which means the market value of the shares of Dave Class A Common Stock that are held by non-affiliates exceeds $700 million as of the last business day of our prior second fiscal quarter, and (b) the date on which we have issued more than $1.0 billion in non-convertible debt during the prior three year period.</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the Dave Class A Common Stock less attractive because we will rely on these exemptions. If some investors find the Dave Class A Common Stock less attractive as a result, there may be a less active trading market for the Dave Class A Common Stock and our share price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out of our headquarters in Los Angeles, California. We maintain two sublease agreements for approximately 9,000 square feet located in Los Angeles, California. The subleases for the Los Angeles spaces are scheduled to expire in October 2023 and December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to our audited consolidated financial statements included in this report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 Market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shares of Dave Class A Common Stock and Public Warrants have traded on Nasdaq under the symbols “DAVE” and “DAVEW,” respectively, since January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2022, there were 84 holders of record of Dave Class A common stock, one holder of record of our Class V common stock and two holders of record of the public warrants. 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Dave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Dave Class A Common Stock in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March 21, 2022, the Company, issued a convertible note in the principal amount of $100.0 million. The terms of the convertible note are described in Note 10 Convertible Note Payable in the notes to our audited consolidated financial statements for the year ended December 31, 2022 contained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 On January 5, 2023, the Board of Directors approved an amendment to the Company’s certificate of incorporation to complete a 1-for-32 reverse stock split effective January 5, 2023. The effects of the reverse stock split have been reflected in the audited consolidated financial statements and the footnotes.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8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we see a significant opportunity to address the broader short-term credit market. According to a report by FHN, legacy financial institutions charge approximately $30 billion in fees annually. The FHN estimates that financially “coping” and “vulnerable” populations pay over $120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our Side Hustle product, where we present Members with supplemental work opportunities, and through our recently launched Surveys product, where Members can earn supplemental income by taking surveys. Our budgeting tool helps Members manage their upcoming bills to avoid overspending.</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only begun to address the many inequities in financial services, but our progress to date demonstrates the demand for Dave to rewire the financial system for the everyday person. Since inception and through the date of this report, over 10 million Members have registered on the Dave app and over eight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many uncertainties regarding the current global pandemic involving a novel strain of coronavirus, and we continue to closely monitor the impact of the pandemic on all aspects of our business, including how it has and may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ind w:right="120"/>
        <w:spacing w:after="0" w:line="256" w:lineRule="auto"/>
        <w:rPr>
          <w:sz w:val="20"/>
          <w:szCs w:val="20"/>
          <w:color w:val="auto"/>
        </w:rPr>
      </w:pPr>
      <w:r>
        <w:rPr>
          <w:rFonts w:ascii="Times New Roman" w:cs="Times New Roman" w:eastAsia="Times New Roman" w:hAnsi="Times New Roman"/>
          <w:sz w:val="18"/>
          <w:szCs w:val="18"/>
          <w:color w:val="auto"/>
        </w:rPr>
        <w:t>in the future impact our Members, employees, suppliers, vendors, and business partners. The duration and magnitude of the continuing effects of COVID-19 and variants of the virus on our Members remain uncertain and dependent on various factors, including new variants of the virus and their severity and transmission rates, the nature of and duration for which preventive and containment measures are taken and remain in place, and the extent and effectiveness of such measures, including vaccination programs, and the type of stimulus measures and other policy responses that the U.S. government may further adopt. Moreover, the global macroeconomic effects of the COVID-19 pandemic and related impacts on Members and their demand for our products and services may persist for an indefinite period, even after the effects of the pandemic have subsided.</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more information concerning risks related to COVID-19, see the section titled “Risk Factors—Our business, financial condition and results of operations have and may continue to be adversely affected by the COVID-19 pandemic or other similar epidemics or adverse public health developments, including government responses to such events” and “Risk Factors—Our ExtraCash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11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audited consolidated financial statements of Dave included in this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11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and ATM-related fees, fees earned from withdrawal-related transactions, volume support from a certain co-branded agreement, and deposit referrals and are recognized at the point in time the transactions occur, as the performance obligations are satisfied and the variable consideration is not constrained.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five categories: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Unrecoverable Advances</w:t>
      </w:r>
    </w:p>
    <w:p>
      <w:pPr>
        <w:spacing w:after="0" w:line="11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provision for unrecoverable advances to Members primarily consists of an allowance for unrecoverable advances at a level estimated to be adequate to absorb credit losses inherent in the outstanding advances receivable. We currently estimate the allowance balance required using historical loss and collections experience, and, if relevant, the nature and volume of the portfolio, economic conditions, and other factors such as cash received subsequent to period-end. Changes to the allowance have a direct impact on the provision for unrecoverable advances in the audited consolidated statement of operations. We consider advances more than 120 days past due or which become uncollectible based on information available to us as impaired. All impaired advances are deemed uncollectible and subsequently written off and are a direct reduction to the allowance for unrecoverable advances. Subsequent recoveries, if any, of Member advances written-off are recorded as a reduction to Member advances, resulting in a reduction to the allowance for unrecoverable advances and a corresponding reduction to the provision for unrecoverable advances in the audited consolidated statements of operations when collected.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1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consist primarily of fees we pay to our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50" w:name="page51"/>
    <w:bookmarkEnd w:id="50"/>
    <w:p>
      <w:pPr>
        <w:ind w:right="12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operating expenses consist primarily of technology and infrastructure (third-party Software as a Service “SaaS”), commitments to charity, transaction based costs (program expenses, association fees, processor fees, losses from Member-disputed transactions, bank card fees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legal settlement and litigation expenses, other strategic financing and transactional expenses, gain on extinguishment of a liability, earnout liabilities fair value adjustments, derivative asset fair value adjustments, and changes in fair value of warrant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the federal and state corporate income taxes accrued on income resulting from the sale of our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For Year Ended</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2022/2021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60" w:type="dxa"/>
            <w:vAlign w:val="bottom"/>
            <w:shd w:val="clear" w:color="auto" w:fill="B6DEE8"/>
          </w:tcPr>
          <w:p>
            <w:pPr>
              <w:spacing w:after="0"/>
              <w:rPr>
                <w:sz w:val="20"/>
                <w:szCs w:val="20"/>
                <w:color w:val="auto"/>
              </w:rPr>
            </w:pPr>
          </w:p>
        </w:tc>
        <w:tc>
          <w:tcPr>
            <w:tcW w:w="94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420" w:type="dxa"/>
            <w:vAlign w:val="bottom"/>
            <w:shd w:val="clear" w:color="auto" w:fill="B6DEE8"/>
          </w:tcPr>
          <w:p>
            <w:pPr>
              <w:spacing w:after="0"/>
              <w:rPr>
                <w:sz w:val="20"/>
                <w:szCs w:val="20"/>
                <w:color w:val="auto"/>
              </w:rPr>
            </w:pPr>
          </w:p>
        </w:tc>
        <w:tc>
          <w:tcPr>
            <w:tcW w:w="820" w:type="dxa"/>
            <w:vAlign w:val="bottom"/>
            <w:shd w:val="clear" w:color="auto" w:fill="B6DEE8"/>
          </w:tcPr>
          <w:p>
            <w:pPr>
              <w:spacing w:after="0"/>
              <w:rPr>
                <w:sz w:val="20"/>
                <w:szCs w:val="20"/>
                <w:color w:val="auto"/>
              </w:rPr>
            </w:pPr>
          </w:p>
        </w:tc>
        <w:tc>
          <w:tcPr>
            <w:tcW w:w="26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200" w:type="dxa"/>
            <w:vAlign w:val="bottom"/>
            <w:shd w:val="clear" w:color="auto" w:fill="B6DEE8"/>
          </w:tcPr>
          <w:p>
            <w:pPr>
              <w:spacing w:after="0"/>
              <w:rPr>
                <w:sz w:val="20"/>
                <w:szCs w:val="20"/>
                <w:color w:val="auto"/>
              </w:rPr>
            </w:pPr>
          </w:p>
        </w:tc>
        <w:tc>
          <w:tcPr>
            <w:tcW w:w="24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106,664</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5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153,013</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Processing fees, net of processor costs associated with advance disbursements, for the year ended December 31, 2022 were $106.7 million, an increase of $27.6 million, or 35% from $79.1 million for the year ended December 31, 2021. The increase was primarily attributable to increases in total advance volume from approximately $1,413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ind w:right="40"/>
        <w:spacing w:after="0" w:line="258" w:lineRule="auto"/>
        <w:rPr>
          <w:sz w:val="20"/>
          <w:szCs w:val="20"/>
          <w:color w:val="auto"/>
        </w:rPr>
      </w:pPr>
      <w:r>
        <w:rPr>
          <w:rFonts w:ascii="Times New Roman" w:cs="Times New Roman" w:eastAsia="Times New Roman" w:hAnsi="Times New Roman"/>
          <w:sz w:val="18"/>
          <w:szCs w:val="18"/>
          <w:color w:val="auto"/>
        </w:rPr>
        <w:t>million to approximately $2,709 million year over year along with average advance amounts that increased from $104 to $144 as of the years ended December 31, 2021 and 2022, respectively. Processing fees tend to increase as advance volume increases, but may not always trend ratably as processing fees vary depending on the total amount of the advance. The percentage of Members that chose to pay a processing fee to expedite an advance remained consistent for the years ended December 31, 2022 and 2021. The average processing fees Members paid to expedite these advances increased modestly for the year ended December 31, 2022 as compared to the year ended December 31,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Tips for the year ended December 31, 2022 were $62.0 million, an increase of $16.8 million, or 37%, from $45.1 million for the year ended December 31, 2021. The increase was primarily attributable to increases in total advance volume from approximately $1,413 million to approximately $2,709 million year over year along with average advance amounts that increased from $104 to $144 as of the years ended December 31, 2021 and 2022, respectively. Tips tend to increase as advance volume increases, but may not always trend ratably as tips often vary depending on the total amount of the advance. The percentage of Members that chose to leave a tip decreased slightly for the year ended December 31, 2022 as compared to the year ended December 31, 2021. The average amount of tip Members chose to leave increased for the year ended December 31, 2022 as compared to the year ended December 31, 2021.</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Subscriptions for the year ended December 31, 2022 were $19.1 million, an increase of $1.9 million, or 11%, from $17.2 million for the year ended December 31, 2021. The increase was primarily attributable to higher subscription engagement with Members on our platform.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revenue for the year ended December 31, 2022 increased by $0.3 million, or 42%, compared to the year ended December 31, 2021. The increase was primarily attributable to increases in average revenue per lead related to amounts received from our Side Hustle advertising partners.</w:t>
      </w:r>
    </w:p>
    <w:p>
      <w:pPr>
        <w:spacing w:after="0" w:line="26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Transaction based revenue, net</w:t>
      </w:r>
      <w:r>
        <w:rPr>
          <w:rFonts w:ascii="Times New Roman" w:cs="Times New Roman" w:eastAsia="Times New Roman" w:hAnsi="Times New Roman"/>
          <w:sz w:val="18"/>
          <w:szCs w:val="18"/>
          <w:color w:val="auto"/>
        </w:rPr>
        <w:t>—Transaction based revenue, net for the year ended December 31, 2022 was $16.0 million, an increase of $5.1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 from $10.8 million, for the year ended December 31, 2021. The increase was primarily attributable to the growth in Members engaging with our Checking Product and corresponding growth in the number of transactions initiated by Members.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Year Ended</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2"/>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16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unrecoverable advances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3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8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58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103,432</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57"/>
        </w:trPr>
        <w:tc>
          <w:tcPr>
            <w:tcW w:w="580" w:type="dxa"/>
            <w:vAlign w:val="bottom"/>
          </w:tcPr>
          <w:p>
            <w:pPr>
              <w:spacing w:after="0"/>
              <w:rPr>
                <w:sz w:val="22"/>
                <w:szCs w:val="22"/>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68,551</w:t>
            </w:r>
          </w:p>
        </w:tc>
        <w:tc>
          <w:tcPr>
            <w:tcW w:w="3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6"/>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339,233</w:t>
            </w:r>
          </w:p>
        </w:tc>
        <w:tc>
          <w:tcPr>
            <w:tcW w:w="8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199,891</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139,342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2230" cy="342900"/>
                    </a:xfrm>
                    <a:prstGeom prst="rect">
                      <a:avLst/>
                    </a:prstGeom>
                    <a:noFill/>
                  </pic:spPr>
                </pic:pic>
              </a:graphicData>
            </a:graphic>
          </wp:anchor>
        </w:drawing>
      </w:r>
    </w:p>
    <w:p>
      <w:pPr>
        <w:spacing w:after="0" w:line="24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unrecoverable advances</w:t>
      </w:r>
      <w:r>
        <w:rPr>
          <w:rFonts w:ascii="Times New Roman" w:cs="Times New Roman" w:eastAsia="Times New Roman" w:hAnsi="Times New Roman"/>
          <w:sz w:val="18"/>
          <w:szCs w:val="18"/>
          <w:color w:val="auto"/>
        </w:rPr>
        <w:t>—The provision for unrecoverable advances totaled $66.3 million for the year ended December 31,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$32.2 million for the year ended December 31, 2021. The increase of $34.1 million, or 106%, was primarily attributable to an increase in provision expense of $21.0 million related to Member</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advances aged over 120 days and those that have become uncollectible based on information available to us, in addition to an increase in provision expense of $13.1 million related to Member advances aged 120 days and 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provision expense related to Member advances aged over 120 days and those which have become uncollectible based on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us, period over period, was attributed to significant increases in average advance amounts and total advance volume from $1,413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$2,709 million for the year ended December 31, 2021 and 2022, respectively. All impaired advances deemed uncollectible are subsequently written-off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 direct reduction to the allowance for unrecoverable advances.</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related to Member advances aged 120 days and under was primarily attributed to significant increases in average advance amounts and total advance volume during the last 4 months for the year ended December 31, 2022 and compared to the last four months of the year ended December 31, 2021. This resulted in an increase to the allowance for unrecoverable advances and corresponding higher provision for unrecoverable advances expense during the year ended December 31, 2022 as compared to December 31, 2021. We anticipate volatility in Member advances outstanding each period as they are directly correlated with the timing and volume of Member advance activity during the last 120 days prior to the end of the period.</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the year ended December 31, 2022, loss and collections experience of Member advances improved, however, historical loss and collections rates utilized in the calculation of the provision for unrecoverable advances decreased slightly when compared to historical rates used in 2021 which reflected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Member advances and a rollforward of the allowance for unrecoverable advances, refer to the tables in Note 6 Member Cash Advances, Net in the accompanying audited consolidated financial statements of Dave included in this report.</w:t>
      </w:r>
    </w:p>
    <w:p>
      <w:pPr>
        <w:spacing w:after="0" w:line="16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i w:val="1"/>
          <w:iCs w:val="1"/>
          <w:color w:val="auto"/>
        </w:rPr>
        <w:t>Processing and service costs</w:t>
      </w:r>
      <w:r>
        <w:rPr>
          <w:rFonts w:ascii="Times New Roman" w:cs="Times New Roman" w:eastAsia="Times New Roman" w:hAnsi="Times New Roman"/>
          <w:sz w:val="17"/>
          <w:szCs w:val="17"/>
          <w:color w:val="auto"/>
        </w:rPr>
        <w:t>—Processing and servicing costs totaled $31.9 million for the year ended December 31, 2022, compared to $23.5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2021. The increase of $8.5 million, or 36%, was primarily attributable to the increase in advance volume from approximately $1,413 million to approximately $2,709 million, offset by volume associated discounts and cost savings due to price reductions from our processors.</w:t>
      </w:r>
    </w:p>
    <w:p>
      <w:pPr>
        <w:spacing w:after="0" w:line="15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Advertising and marketing</w:t>
      </w:r>
      <w:r>
        <w:rPr>
          <w:rFonts w:ascii="Times New Roman" w:cs="Times New Roman" w:eastAsia="Times New Roman" w:hAnsi="Times New Roman"/>
          <w:sz w:val="18"/>
          <w:szCs w:val="18"/>
          <w:color w:val="auto"/>
        </w:rPr>
        <w:t>—Advertising and marketing expenses totaled $69.0 million for the year ended December 31, 2022, compared to $51.5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2021. The increase of $17.6 million, or 34%, was primarily attributable to increased advertising efforts, production costs and promotions across various social media platforms and television.</w:t>
      </w:r>
    </w:p>
    <w:p>
      <w:pPr>
        <w:spacing w:after="0" w:line="173"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$103.4 million for the year ended December 31, 2022, compared to $49.5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2021. The increase of $53.9 million, or 109%, was primarily attributable to the following:</w:t>
      </w:r>
    </w:p>
    <w:p>
      <w:pPr>
        <w:spacing w:after="0" w:line="5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$20.6 million, primarily due to hiring and increased headcount throughout the business; and</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$33.3 million, primarily due to restricted stock units granted during the year ended December 31, 2022 and stock options granted to a certain executive during 2021, which achieved certain performance conditions associated with the close of the Business Combination.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53" w:name="page54"/>
    <w:bookmarkEnd w:id="53"/>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$68.6 million for the year ended December 31, 2022, compared to $43.3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The increase of $25.3 million, or 58%, was primarily attributable to the following:</w:t>
      </w:r>
    </w:p>
    <w:p>
      <w:pPr>
        <w:spacing w:after="0" w:line="5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insurance related costs of $7.0 million, primarily related to director and officer, general liability and cyber insurance premiums;</w:t>
      </w:r>
    </w:p>
    <w:p>
      <w:pPr>
        <w:spacing w:after="0" w:line="128"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accounting costs of $2.3 million, primarily related to various audit, tax and Sarbanes-Oxley compliance readiness related fees associated with the Business Combination in January 2022;</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technology and infrastructure expenses of $3.5 million, primarily due to increased costs to support the growth of our business and development of new products and features;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related to our Checking Product of $8.6 million, primarily attributable to processing fees, card fees and fraud related costs associated with the growth in Members and the number of transactions processed;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fees of $2.9 million primarily due to ongoing litigation, compliance, employment and general corporate related matters;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various administrative expenses of $2.1 million, primarily due to increases in investor relations fees, company meetings, bank service charges, sales tax, licenses and fees, travel and entertainment and other administrative expenses;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of $3.7 million, primarily due to accelerated amortization related to the change in useful life of a certain intangible asset, increased amortization of internally developed software due to increased internally developed capitalized costs, and depreciation related to leasehold improvements and equipment purchases;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rent expense of $0.8 million, due to additional leased office space; offset by</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 expenses of $1.6 million, primarily due to decreased amounts pledged to charitable meal donations related to Members’ tips;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$4.0 million related to primarily due to non-recurring fraudulent activity in relation to our Checking Product during the first quarter of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For Year Ended</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2"/>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160" w:type="dxa"/>
            <w:vAlign w:val="bottom"/>
          </w:tcPr>
          <w:p>
            <w:pPr>
              <w:spacing w:after="0"/>
              <w:rPr>
                <w:sz w:val="20"/>
                <w:szCs w:val="20"/>
                <w:color w:val="auto"/>
              </w:rPr>
            </w:pPr>
          </w:p>
        </w:tc>
      </w:tr>
      <w:tr>
        <w:trPr>
          <w:trHeight w:val="232"/>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1639 %</w:t>
            </w: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280" w:type="dxa"/>
            <w:vAlign w:val="bottom"/>
          </w:tcPr>
          <w:p>
            <w:pPr>
              <w:spacing w:after="0"/>
              <w:rPr>
                <w:sz w:val="21"/>
                <w:szCs w:val="21"/>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(4,290 )</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(4,290 )</w:t>
            </w: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80" w:type="dxa"/>
            <w:vAlign w:val="bottom"/>
          </w:tcPr>
          <w:p>
            <w:pPr>
              <w:spacing w:after="0"/>
              <w:rPr>
                <w:sz w:val="21"/>
                <w:szCs w:val="21"/>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(9,629 )</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(9,629 )</w:t>
            </w: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asset on loans to</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(34,791 )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56"/>
        </w:trPr>
        <w:tc>
          <w:tcPr>
            <w:tcW w:w="5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280" w:type="dxa"/>
            <w:vAlign w:val="bottom"/>
          </w:tcPr>
          <w:p>
            <w:pPr>
              <w:spacing w:after="0"/>
              <w:rPr>
                <w:sz w:val="22"/>
                <w:szCs w:val="22"/>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(14,192 )</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(17,812 )</w:t>
            </w:r>
          </w:p>
        </w:tc>
        <w:tc>
          <w:tcPr>
            <w:tcW w:w="2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7"/>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(26,982</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-1559560</wp:posOffset>
            </wp:positionV>
            <wp:extent cx="641223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-1250950</wp:posOffset>
            </wp:positionV>
            <wp:extent cx="641223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-942340</wp:posOffset>
            </wp:positionV>
            <wp:extent cx="641223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1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$3.0 million for the year ended December 31, 2022, compared to $0.3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increase of $2.7 million, or 929%, was primarily attributable to interest earned from yields from short-term investments and higher interest rates during the year ended December 31, 2022 as compared to the year ended December 31, 2021.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4" w:name="page55"/>
    <w:bookmarkEnd w:id="54"/>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$9.2 million for the year ended December 31, 2022, compared to $2.5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increase of $6.7 million, or 261%, was primarily attributable to interest related to increased borrowings from the delayed draw senior secured loan facility (the “Debt Facility”) which Dave OD Funding I, LLC (“Dave OD”) entered into during January 2021, and which was subsequently amended in November 2021 to include a $20 million line of credit (the “Credit Facility”), along with interest related to the Note with FTX Ventures and higher interest rates on borrowings under the Debt Facility and Credit Facility.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Legal settlement and litigation expenses</w:t>
      </w:r>
      <w:r>
        <w:rPr>
          <w:rFonts w:ascii="Times New Roman" w:cs="Times New Roman" w:eastAsia="Times New Roman" w:hAnsi="Times New Roman"/>
          <w:sz w:val="18"/>
          <w:szCs w:val="18"/>
          <w:color w:val="auto"/>
        </w:rPr>
        <w:t>—Legal settlement and litigation expenses totaled $6.3 million for the year ended December 31,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 million for the year ended December 31, 2021. See Note 14 Commitments and Contingencies in the accompanying audited consolidated financial statements of Dave included in this report for more information regarding pending legal actions. The increase of $4.6 million, or 277%, was primarily attributable to the settlement of an employee-related legal matter.</w:t>
      </w:r>
    </w:p>
    <w:p>
      <w:pPr>
        <w:spacing w:after="0" w:line="18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Other strategic financing and transactional expenses</w:t>
      </w:r>
      <w:r>
        <w:rPr>
          <w:rFonts w:ascii="Times New Roman" w:cs="Times New Roman" w:eastAsia="Times New Roman" w:hAnsi="Times New Roman"/>
          <w:sz w:val="18"/>
          <w:szCs w:val="18"/>
          <w:color w:val="auto"/>
        </w:rPr>
        <w:t>—Other strategic financing and transactional expenses totaled $4.6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compared to $0.3 million for the year ended December 31, 2021. The increase of $4.3 million was related to certain one-time strategic opportunities in addition to certain one-time post-closing expenses associated with the Business Combination.</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Gain on extinguishment of liability</w:t>
      </w:r>
      <w:r>
        <w:rPr>
          <w:rFonts w:ascii="Times New Roman" w:cs="Times New Roman" w:eastAsia="Times New Roman" w:hAnsi="Times New Roman"/>
          <w:sz w:val="18"/>
          <w:szCs w:val="18"/>
          <w:color w:val="auto"/>
        </w:rPr>
        <w:t>—Gain on extinguishment of liability totaled $4.3 million for the year ended December 31, 2022, compared to $0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The increase of $4.3 million, or 100%, was primarily attributable to the extinguishment of a $7.5 million liability related to transaction costs associated with the Business Combination that were settled during 2022 in exchange for shares of our Class A common stock. The $7.5 million in transaction costs were also included as part of additional paid in capital within our audited consolidated balance sheets as the transaction costs were originally capitalized in conjunction with the Business Combination.</w:t>
      </w:r>
    </w:p>
    <w:p>
      <w:pPr>
        <w:spacing w:after="0" w:line="183"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totaled a benefit of $9.6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$0 for the year ended December 31, 2021. The increase of $9.6 million, or 100%, was primarily attributable to fair value adjustments associated with certain earnout shares liability due to decreases in our underlying Class A Common Stock price.</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derivative asset on loans to stockholders</w:t>
      </w:r>
      <w:r>
        <w:rPr>
          <w:rFonts w:ascii="Times New Roman" w:cs="Times New Roman" w:eastAsia="Times New Roman" w:hAnsi="Times New Roman"/>
          <w:sz w:val="18"/>
          <w:szCs w:val="18"/>
          <w:color w:val="auto"/>
        </w:rPr>
        <w:t>—Changes in fair value of derivative asset on loans to stockholders totaled $5.6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2022, compared to a benefit of $34.8 million for the year ended December 31, 2021. The decrease of $40.4 million, or 116%, was primarily attributable to the exercise of the call options and the settlement of this derivative asset at the close of the Business Combination in January 2022. For further details, please refer to Note 2 in the accompanying audited consolidated financial statements of Dave included in this report.</w:t>
      </w:r>
    </w:p>
    <w:p>
      <w:pPr>
        <w:spacing w:after="0" w:line="180"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fair value of warrant liability totaled a benefit of $14.2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an expense of $3.6 million for the year ended December 31, 2021. The increase in benefit of $17.8 million, or 492%, was primarily attributable to fair value adjustments associated with certain public and private warrant liabilities due to decreases in our underlying Class A Common Stock price, offset by fair value adjustments associated with certain warrants issued in connection with the Debt Facility.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For Year Ended</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9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2022/2021</w:t>
            </w:r>
          </w:p>
        </w:tc>
        <w:tc>
          <w:tcPr>
            <w:tcW w:w="6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1"/>
              </w:rPr>
              <w:t>(67</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20"/>
                <w:szCs w:val="20"/>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-169 %</w:t>
            </w:r>
          </w:p>
        </w:tc>
      </w:tr>
      <w:tr>
        <w:trPr>
          <w:trHeight w:val="237"/>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(67 )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(164 )</w:t>
            </w:r>
          </w:p>
        </w:tc>
        <w:tc>
          <w:tcPr>
            <w:tcW w:w="260" w:type="dxa"/>
            <w:vAlign w:val="bottom"/>
          </w:tcPr>
          <w:p>
            <w:pPr>
              <w:spacing w:after="0"/>
              <w:rPr>
                <w:sz w:val="20"/>
                <w:szCs w:val="20"/>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8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-814070</wp:posOffset>
            </wp:positionV>
            <wp:extent cx="6412230" cy="342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5" w:name="page56"/>
    <w:bookmarkEnd w:id="55"/>
    <w:p>
      <w:pPr>
        <w:ind w:right="180"/>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2022 decreased by $0.16 million, or 169%, compared to the year ended December 31, 2021. This decrease was primarily due to a decrease in state taxes, including gross margin state taxes, resulting from a favorable ruling by the Texas Supreme Court regarding the determination of state sourced service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2021 and 2020</w:t>
      </w:r>
    </w:p>
    <w:p>
      <w:pPr>
        <w:spacing w:after="0" w:line="121"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discussion regarding our results of operations for the year ended December 31, 2021 compared to the results for the year ended December 31, 2020 can be found under “Management’s Discussion and Analysis of Financial Condition and Results of Operations of Dave – Results of Operations” in our Form 8-K/A filed with the SEC on </w:t>
      </w:r>
      <w:hyperlink r:id="rId84">
        <w:r>
          <w:rPr>
            <w:rFonts w:ascii="Times New Roman" w:cs="Times New Roman" w:eastAsia="Times New Roman" w:hAnsi="Times New Roman"/>
            <w:sz w:val="18"/>
            <w:szCs w:val="18"/>
            <w:u w:val="single" w:color="auto"/>
            <w:color w:val="0000FF"/>
          </w:rPr>
          <w:t>August 22, 2022</w:t>
        </w:r>
      </w:hyperlink>
      <w:r>
        <w:rPr>
          <w:rFonts w:ascii="Times New Roman" w:cs="Times New Roman" w:eastAsia="Times New Roman" w:hAnsi="Times New Roman"/>
          <w:sz w:val="18"/>
          <w:szCs w:val="18"/>
          <w:color w:val="auto"/>
        </w:rPr>
        <w:t>, which is available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-38735</wp:posOffset>
            </wp:positionV>
            <wp:extent cx="758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“Adjusted EBITDA” is defined as net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loss to Adjusted EBITDA for the years ended December 31 2022 and 2021, respectively: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56" w:name="page57"/>
    <w:bookmarkEnd w:id="56"/>
    <w:tbl>
      <w:tblPr>
        <w:tblLayout w:type="fixed"/>
        <w:tblInd w:w="58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Year Ended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61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B6DEE8"/>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(128,906</w:t>
            </w:r>
          </w:p>
        </w:tc>
        <w:tc>
          <w:tcPr>
            <w:tcW w:w="340" w:type="dxa"/>
            <w:vAlign w:val="bottom"/>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B6DEE8"/>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r>
      <w:tr>
        <w:trPr>
          <w:trHeight w:val="247"/>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8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rPr>
              <w:t>(67 )</w:t>
            </w:r>
          </w:p>
        </w:tc>
        <w:tc>
          <w:tcPr>
            <w:tcW w:w="58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B6DEE8"/>
          </w:tcPr>
          <w:p>
            <w:pPr>
              <w:spacing w:after="0"/>
              <w:rPr>
                <w:sz w:val="21"/>
                <w:szCs w:val="2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20"/>
                <w:szCs w:val="20"/>
                <w:color w:val="auto"/>
              </w:rPr>
            </w:pPr>
          </w:p>
        </w:tc>
      </w:tr>
      <w:tr>
        <w:trPr>
          <w:trHeight w:val="247"/>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B6DEE8"/>
          </w:tcPr>
          <w:p>
            <w:pPr>
              <w:spacing w:after="0"/>
              <w:rPr>
                <w:sz w:val="21"/>
                <w:szCs w:val="21"/>
                <w:color w:val="auto"/>
              </w:rPr>
            </w:pPr>
          </w:p>
        </w:tc>
        <w:tc>
          <w:tcPr>
            <w:tcW w:w="6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340" w:type="dxa"/>
            <w:vAlign w:val="bottom"/>
            <w:shd w:val="clear" w:color="auto" w:fill="B6DEE8"/>
          </w:tcPr>
          <w:p>
            <w:pPr>
              <w:spacing w:after="0"/>
              <w:rPr>
                <w:sz w:val="21"/>
                <w:szCs w:val="21"/>
                <w:color w:val="auto"/>
              </w:rPr>
            </w:pPr>
          </w:p>
        </w:tc>
        <w:tc>
          <w:tcPr>
            <w:tcW w:w="58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B6DEE8"/>
          </w:tcPr>
          <w:p>
            <w:pPr>
              <w:spacing w:after="0"/>
              <w:rPr>
                <w:sz w:val="21"/>
                <w:szCs w:val="2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0"/>
                <w:szCs w:val="20"/>
                <w:color w:val="auto"/>
              </w:rPr>
            </w:pPr>
          </w:p>
        </w:tc>
      </w:tr>
      <w:tr>
        <w:trPr>
          <w:trHeight w:val="247"/>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1080" w:type="dxa"/>
            <w:vAlign w:val="bottom"/>
            <w:shd w:val="clear" w:color="auto" w:fill="B6DEE8"/>
          </w:tcPr>
          <w:p>
            <w:pPr>
              <w:spacing w:after="0"/>
              <w:rPr>
                <w:sz w:val="21"/>
                <w:szCs w:val="21"/>
                <w:color w:val="auto"/>
              </w:rPr>
            </w:pPr>
          </w:p>
        </w:tc>
        <w:tc>
          <w:tcPr>
            <w:tcW w:w="6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340" w:type="dxa"/>
            <w:vAlign w:val="bottom"/>
            <w:shd w:val="clear" w:color="auto" w:fill="B6DEE8"/>
          </w:tcPr>
          <w:p>
            <w:pPr>
              <w:spacing w:after="0"/>
              <w:rPr>
                <w:sz w:val="21"/>
                <w:szCs w:val="21"/>
                <w:color w:val="auto"/>
              </w:rPr>
            </w:pPr>
          </w:p>
        </w:tc>
        <w:tc>
          <w:tcPr>
            <w:tcW w:w="58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B6DEE8"/>
          </w:tcPr>
          <w:p>
            <w:pPr>
              <w:spacing w:after="0"/>
              <w:rPr>
                <w:sz w:val="21"/>
                <w:szCs w:val="2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08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(4,290 )</w:t>
            </w: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08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rPr>
              <w:t>(9,629 )</w:t>
            </w:r>
          </w:p>
        </w:tc>
        <w:tc>
          <w:tcPr>
            <w:tcW w:w="58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(34,791 )</w:t>
            </w:r>
          </w:p>
        </w:tc>
      </w:tr>
      <w:tr>
        <w:trPr>
          <w:trHeight w:val="247"/>
        </w:trPr>
        <w:tc>
          <w:tcPr>
            <w:tcW w:w="61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08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rPr>
              <w:t>(14,192 )</w:t>
            </w:r>
          </w:p>
        </w:tc>
        <w:tc>
          <w:tcPr>
            <w:tcW w:w="58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B6DEE8"/>
          </w:tcPr>
          <w:p>
            <w:pPr>
              <w:spacing w:after="0"/>
              <w:rPr>
                <w:sz w:val="21"/>
                <w:szCs w:val="21"/>
                <w:color w:val="auto"/>
              </w:rPr>
            </w:pPr>
          </w:p>
        </w:tc>
      </w:tr>
      <w:tr>
        <w:trPr>
          <w:trHeight w:val="20"/>
        </w:trPr>
        <w:tc>
          <w:tcPr>
            <w:tcW w:w="6140" w:type="dxa"/>
            <w:vAlign w:val="bottom"/>
            <w:shd w:val="clear" w:color="auto" w:fill="B6DEE8"/>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(87,095 )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(36,521 )</w:t>
            </w:r>
          </w:p>
        </w:tc>
      </w:tr>
      <w:tr>
        <w:trPr>
          <w:trHeight w:val="20"/>
        </w:trPr>
        <w:tc>
          <w:tcPr>
            <w:tcW w:w="6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603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issuance of preferred stock, issuances of convertible notes, funds from borrowings under the Debt Facility and the Credit Facility, and funds received as a result of the Business Combination. As of December 31, 2022 and 2021, our cash and cash equivalents, marketable securities and short-term investments balance was $192.0 million and $40.2 million, respectively.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should be sufficient to meet our working capital and capital expenditure requirements for a period of at least 12 months from the date of this report and sufficient to fund our operations.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the effect of COVID-19 and other macro-economic factors have created economic uncertainty and impacted how we manage our liquidity and capital resources, we intend to continue to invest in people, marketing and user acquisition, technology and infrastructure, and new and existing financial products and programs we believe are critical to meeting our strategic objectives. As growth of our ExtraCash product scales, material cash will be required to fund advances until the point at which those advances are subsequently collected. The amount and timing of these related cash outflows in future periods are difficult to predict and is dependent on a number of factors including the hiring of new employees, the rate of change in technology used in our business and our business outlook as a result of the COVID-19 pandemic. While we anticipate certain cash outflows related to these objectives could exceed amounts spent in prior years, we expect to fund these cash outflows primarily through our cash flows provided by operating, investing and financing activities.</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transactions, however, makes it difficult to predict the amount and timing of such cash requirements.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ind w:right="2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response to our remote employee workforce strategy in the U.S., we have not yet closed our leased office locations. We are required to continue making our contractual payments until our operating leases are formally terminated or expire. Our remaining leases have terms of 10 months to 3 years, subject to renewal options of varying terms, and as of December 31, 2022, we had a total lease liability of $0.8 million. See Note 15, Leases in the notes to our audited consolidated financial statements for additional information regarding our lease liabilities as of December 31, 2022.</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certain contractual payment obligations for principal and interest owed under the Debt Facility. Interest payments are required to be made on a monthly basis. At December 31, 2022, $75.0 million of term loans under the Debt Facility were outstanding. See Note 13, Debt and Credit Facility in the notes to our audited consolidated financial statements in this report. Additionally, we also have certain contractual payment obligations for interest owed under the $100.0 million Note we issued and sold pursuant to the Purchase Agreement entered into with FTX Ventures. Interest payments relating to the Note are required to be made or added to the outstanding principal on a semi-annual basis. At December 31, 2022, $2.4 million of interest was added to the outstanding principal. For more information on the Purchase Agreement with FTX Ventures, see Note 10, Convertible Note Payable.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8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4"/>
                <w:szCs w:val="24"/>
                <w:color w:val="auto"/>
              </w:rPr>
            </w:pPr>
          </w:p>
        </w:tc>
        <w:tc>
          <w:tcPr>
            <w:tcW w:w="4040" w:type="dxa"/>
            <w:vAlign w:val="bottom"/>
            <w:gridSpan w:val="5"/>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For Year Ended</w:t>
            </w:r>
          </w:p>
        </w:tc>
      </w:tr>
      <w:tr>
        <w:trPr>
          <w:trHeight w:val="236"/>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1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59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340" w:type="dxa"/>
            <w:vAlign w:val="bottom"/>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0"/>
                <w:szCs w:val="20"/>
                <w:color w:val="auto"/>
              </w:rPr>
            </w:pPr>
          </w:p>
        </w:tc>
        <w:tc>
          <w:tcPr>
            <w:tcW w:w="2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(285,579 )</w:t>
            </w:r>
          </w:p>
        </w:tc>
        <w:tc>
          <w:tcPr>
            <w:tcW w:w="1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(37,202 )</w:t>
            </w:r>
          </w:p>
        </w:tc>
      </w:tr>
      <w:tr>
        <w:trPr>
          <w:trHeight w:val="247"/>
        </w:trPr>
        <w:tc>
          <w:tcPr>
            <w:tcW w:w="580" w:type="dxa"/>
            <w:vAlign w:val="bottom"/>
          </w:tcPr>
          <w:p>
            <w:pPr>
              <w:spacing w:after="0"/>
              <w:rPr>
                <w:sz w:val="21"/>
                <w:szCs w:val="21"/>
                <w:color w:val="auto"/>
              </w:rPr>
            </w:pPr>
          </w:p>
        </w:tc>
        <w:tc>
          <w:tcPr>
            <w:tcW w:w="59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shd w:val="clear" w:color="auto" w:fill="B6DEE8"/>
          </w:tcPr>
          <w:p>
            <w:pPr>
              <w:spacing w:after="0"/>
              <w:rPr>
                <w:sz w:val="21"/>
                <w:szCs w:val="21"/>
                <w:color w:val="auto"/>
              </w:rPr>
            </w:pPr>
          </w:p>
        </w:tc>
        <w:tc>
          <w:tcPr>
            <w:tcW w:w="1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321,767</w:t>
            </w:r>
          </w:p>
        </w:tc>
        <w:tc>
          <w:tcPr>
            <w:tcW w:w="34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17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65,046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(8,695 )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27,303</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-187960</wp:posOffset>
            </wp:positionV>
            <wp:extent cx="5969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recorded a net loss of $128.9 million for the year ended December 31, 2022, and a net loss of $20.0 million for the year ended December 31, 2021. We reported cash flows used in operating activities of $44.9 million and $0.5 million for the years ended December 31, 2022 and 2021, respectively.</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cash used in operating activities increased compared to the year ended December 31, 2021 due to increases in processing costs, marketing, compensation and other operating expenses to support the growth of the business. Excluding non-cash impacts, changes in cash flows from operations included an increase in receivables related to revenue from Member advances of $6.8 million, an increase in prepaid expenses and other current assets of $6.8 million, a decrease in accrued expenses of $1.7 million, and a decrease in other current liabilities of $0.3 million. These changes were offset primarily by an increase in legal settlement accrual of $5.7 million, a decrease in prepaid income taxes of $0.6 million, and an increase in accounts payable of $0.3 million.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included a net loss of $20.0 million, adjusted for non-cash items of $3.1 million for depreciation and amortization, $32.2 million for provision for unrecoverable advances, $3.6 million for an increase in warrant liability fair value, and $7.4 million for stock-based compensation expense, partially offset by $34.8 million for an increase in derivative asset fair value. Excluding non-cash impacts, changes in cash flows from operations included an increase in receivables related to revenue from Member advances of $2.3 million, a decrease in other current liabilities of $1.6 million and a decrease in other non-current liabilities of $0.5 million. These changes were offset primarily by a decrease in prepaid income taxes of $2.6</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8" w:name="page59"/>
    <w:bookmarkEnd w:id="58"/>
    <w:p>
      <w:pPr>
        <w:ind w:right="40"/>
        <w:spacing w:after="0" w:line="282" w:lineRule="auto"/>
        <w:rPr>
          <w:sz w:val="20"/>
          <w:szCs w:val="20"/>
          <w:color w:val="auto"/>
        </w:rPr>
      </w:pPr>
      <w:r>
        <w:rPr>
          <w:rFonts w:ascii="Times New Roman" w:cs="Times New Roman" w:eastAsia="Times New Roman" w:hAnsi="Times New Roman"/>
          <w:sz w:val="18"/>
          <w:szCs w:val="18"/>
          <w:color w:val="auto"/>
        </w:rPr>
        <w:t>million, an increase in accounts payable of $2.6 million, an increase in accrued expenses of $7.1 million, and an increase in legal settlement accrual of $0.5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net cash used in investing activities was $285.6 million. This included payments for internally developed software costs of $8.6 million, the purchase of property and equipment of $0.7 million, net disbursements and collections of Member advances of $114.3 million, the purchase of short-term investments of $202.1 million, and the purchase of marketable securities of $317.7 million, offset by the sale of marketable securities of $325.6 million and the sale and maturity of short-term investments of $32.2 million.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net cash used in investing activities was $37.2 million. This included an increase in net disbursements and collections of Member advances of $40.2 million the capitalization of internally developed software costs of $6.1 million, and the purchase of property and equipment of $0.4 million, partially offset by the sale of marketable securities of $9.4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$321.8 million, which consisted of $195.0 million in proceeds from PIPE financing in connection with the Business Combination, $29.7 million in proceeds from the Business Combination, net of redemptions, $0.6 million in proceeds from stock option exercises, $100 million in proceeds from borrowings related to the Purchase Agreement with FTX Ventures, and $40.0 million related to debt facility borrowings, partially offset by $23.0 million for the payment of issuance costs related to the Business Combination, $20.0 million related to the repayment of the credit facility borrowings, and $0.5 million related to the repurchase of Class A Common Stock. For more information on the Business Combination, see “— Business Combination and Public Company Costs”.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$65.0 million, which consisted of $70.0 million in borrowings and $1.7 million in proceeds from for stock option exercises, partially offset by $3.9 million in line of credit repayments and $2.8 million in issuance cost payments. The $70 million in borrowings consisted of $55.0 million under the Debt Facility and $15.0 million from a pre-funding of Alameda Research’s PIPE Investment. For more information on the Credit Facility and Alameda Research’s PIPE Investment, see Note 13, Debt and Credit Facility and Note 3, The Reverse Recapitalization and Related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audited consolidated financial statements have been prepared in accordance with U.S GAAP. The preparation of these audited consolidated financial statements requires us to make estimates and assumptions that affect the reported amounts of assets and liabilities and the disclosure of contingent assets and liabilities as of the date of the audited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79" w:lineRule="exact"/>
        <w:rPr>
          <w:sz w:val="20"/>
          <w:szCs w:val="20"/>
          <w:color w:val="auto"/>
        </w:rPr>
      </w:pPr>
    </w:p>
    <w:p>
      <w:pPr>
        <w:ind w:left="740" w:hanging="223"/>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a derivative asset;</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117"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earnout liabilities;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unrecoverable advances;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right="22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audited consolidated financial statements for the years ended December 31, 2022 and 2021 included in this Annual Report on Form 10-K.</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audited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techniques used to measure fair value must maximize the use of observable inputs and minimize the use of unobservable inputs.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Asset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recorded a derivative asset related to call option on loans to stockholders. The derivative asset was carried at its estimated fair value on our audited consolidated balance sheets and was extinguished as at the close of the Business Combination as all of the call options related to the Loans to Stockholders were exercised and the related loans were settled. Changes in the estimated fair value of the derivative asset were driven by changes in the underlying value of our Common stock and any changes in fair value were reported as a loss (gain) on derivatives in the accompanying audited consolidated statements of operations. We utilized the binomial option pricing model to compute the fair value of the derivative asset and to mark to market the fair value of the derivative at each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recorded a warrant liability associated with the Debt Facility. The warrant liability was carried on our audited consolidated balance sheets as a long-term liability estimated at fair value and extinguished immediately prior to close of the Business Combination as the warrants were exercised. Changes in the estimated fair value of this warrant liability were driven by changes in the underlying value of our Common stock and were reported as a loss (gain) in the accompanying audited consolidated statements of operations. We utilized the binomial option-pricing model to compute the fair value and to mark to market the fair value of the warrant liability at each audited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recorded warrant liabilities for both public and private warrants associated with the Business Combination. The warrant liabilities are carried on our audited consolidated balance sheets as a long-term liability estimated at fair value. Changes in the estimated fair value of the warrant liabilities were driven by changes in the underlying value of our Common stock and were reported as a loss (gain) in the accompanying audited consolidated statements of operations. We utilize the Black-Scholes model to compute the fair value and to mark to market the fair value of the private placement warrant liability at the time of the Business Combination and at each audited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Liabilities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earnout liabilities associated with the Business Combination. The earnout liabilities are carried on our audited consolidated balance sheets as a long-term liability estimated at fair value. Changes in the estimated fair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ind w:right="120"/>
        <w:spacing w:after="0" w:line="261" w:lineRule="auto"/>
        <w:rPr>
          <w:sz w:val="20"/>
          <w:szCs w:val="20"/>
          <w:color w:val="auto"/>
        </w:rPr>
      </w:pPr>
      <w:r>
        <w:rPr>
          <w:rFonts w:ascii="Times New Roman" w:cs="Times New Roman" w:eastAsia="Times New Roman" w:hAnsi="Times New Roman"/>
          <w:sz w:val="18"/>
          <w:szCs w:val="18"/>
          <w:color w:val="auto"/>
        </w:rPr>
        <w:t>value of the earnout liabilities are reported as a loss (gain) in the accompanying audited consolidated statements of operations. We utilized a Monte Carlo Simulation Method to compute the fair value and to mark to market the fair value of the earnout liabilities at each audited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Common Stock</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required to estimate the fair value of the common stock underlying our share-based awards. The fair value of the common stock underlying our stock-based awards has been determined, in each case, based on a valuation model as discussed further below, and was approved by our Board of Directors. Our Board of Directors intends all stock options granted to be exercisable at a price per share not less than the fair value per share of the ordinary share underlying those stock options on the date of grant.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Before the Company's shares were traded publicly, there was no public market for its Common Stock. The valuation has been determined using appropriate valuation methodologies in accordance with the guidelines outlined in the American Institute of Certified Public Accountants Practice Guide, Valuation of Privately Held Company Equity Securities Issued as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considered various objective and subjective factors to determine the fair value of our common stock as of each grant date, including:</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external market conditions and trends;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SPAC merger, or strategic sale given prevailing market conditions and the nature and history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privileges, powers, preferences and rights of our convertible preferred stock relative to those of Dave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cash flow projections for Dave’s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traded price of the special purpose acquisition company (“SPAC”);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preferred stock financings and secondary common stock transactions of our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marketability/illiquidity of the common stock underlying our stock-based awards involving securities in a private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The probability of a liquidity event, the derived discount rate, and the selected multiples that are applied to our financial statistics are significant assumptions used to estimate the fair value of our common stock. If we had used different assumptions or estimates, the fair value of our common stock and our stock-based compensation expense could have been materially different.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2019 and 2020, our estimated fair value of our common stock remained relatively consistent before a potential public listing through a business combination with a special purpose acquisition company was first considered in 2021 (“SPAC Transaction”).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fair value for our common stock was estimated to be $29.92 per share (on a post-split adjusted basis) as of August 5, 2019 (“August 2019 Valuation”) and $31.39 (on a post-split adjusted basis) per share as of August 30, 2020 (“August 2020 Valuation”). In 2021, our management team first contemplated a SPAC Transaction, which was incorporated in the June 7, 2021 valuation that resulted in a fair value for our common stock of $277.44 per share (on a post-split adjusted basis) (“June 2021 Valuation”). The SPAC Transaction was considered in the subsequent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ind w:right="540"/>
        <w:spacing w:after="0" w:line="282" w:lineRule="auto"/>
        <w:rPr>
          <w:sz w:val="20"/>
          <w:szCs w:val="20"/>
          <w:color w:val="auto"/>
        </w:rPr>
      </w:pPr>
      <w:r>
        <w:rPr>
          <w:rFonts w:ascii="Times New Roman" w:cs="Times New Roman" w:eastAsia="Times New Roman" w:hAnsi="Times New Roman"/>
          <w:sz w:val="18"/>
          <w:szCs w:val="18"/>
          <w:color w:val="auto"/>
        </w:rPr>
        <w:t>valuation performed as of October 6, 2021 that resulted in a fair value for Dave’s common stock of $345.60 per share (on a post-split adjusted basis) (“October 2021 Valuation”).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August 2019 Valuation and August 2020 Valuations were completed prior to the contemplation of the Business Combination, and at the time of these valuations our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our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our comparative operational performance between the periods.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June 2021 Valuation and October 2021 Valuation both used the hybrid method, wherein a probability-weighted expected return model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Our management’s estimated probability for each scenario occurring at each valuation date was applied to the respective scenario’s indicated common stock value to arrive at the estimated fair value of common stock.</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increase in the fair value of our common stock between the August 2019 and August 2020 Valuations, and the June 2021 Valuation and the October 2021 Valuation was predominantly due to our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our financial and operational performance as well as to reflect changes in the guideline public companies’ multiples and comparative performance, from the close of the Series B financing to the August 2020 valuation date. In early 2021, we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our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Merger Agreement and VPCC’s shareholder vote. Similarly, the increase in the common stock value to $345.60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19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further details, please refer to Note 2 in our accompanying audited consolidated financial statements for the year ended December 31, 2022 included in this Annual Report on Form 10-K.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Unrecoverable Advances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maintain an allowance for unrecoverable advances at a level estimated to be adequate to absorb credit losses inherent in outstanding Member advances. We currently estimate the allowance balance required using historical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right="240"/>
        <w:spacing w:after="0" w:line="261" w:lineRule="auto"/>
        <w:rPr>
          <w:sz w:val="20"/>
          <w:szCs w:val="20"/>
          <w:color w:val="auto"/>
        </w:rPr>
      </w:pPr>
      <w:r>
        <w:rPr>
          <w:rFonts w:ascii="Times New Roman" w:cs="Times New Roman" w:eastAsia="Times New Roman" w:hAnsi="Times New Roman"/>
          <w:sz w:val="18"/>
          <w:szCs w:val="18"/>
          <w:color w:val="auto"/>
        </w:rPr>
        <w:t>loss and collections experience, and, if relevant, the nature and volume of the portfolio, economic conditions, and other factors such as cash received subsequent to period-end. Interpretations of the nature of volume of the portfolio and projections of future economic conditions involve a high degree of subjectivity. Changes to the allowance have a direct impact on the provision for unrecoverable advances in the audited consolidated statement of operations.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consider advances over 120 days past due or which become uncollectible based on information available to us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audited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audited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$0.9 million and $0.5 million of uncertain tax positions as of December 31, 2022 and 2021, respectively, related to state income taxes and federal and state R&amp;D tax credits.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recorded a valuation allowance against our deferred tax assets, net of certain deferred tax liabilities, at December 31, 2022 and December 31, 2021. Based upon management’s assessment of all available evidence, we have concluded that it is more-likely-than-not that the deferred tax assets, net of certain deferred tax liabilities, will not be realized.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audited consolidated financial statements included in this report for the recent accounting pronouncements adopted and the recent accounting pronouncements not yet adopted for the years ended December 31, 2022 and 2021.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audited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audited consolidated financial statements included in this report for a discussion of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0000FF"/>
            </w:tcBorders>
          </w:tcPr>
          <w:p>
            <w:pPr>
              <w:spacing w:after="0"/>
              <w:rPr>
                <w:sz w:val="17"/>
                <w:szCs w:val="17"/>
                <w:color w:val="auto"/>
              </w:rPr>
            </w:pPr>
          </w:p>
        </w:tc>
        <w:tc>
          <w:tcPr>
            <w:tcW w:w="4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Firms</w:t>
            </w:r>
          </w:p>
        </w:tc>
        <w:tc>
          <w:tcPr>
            <w:tcW w:w="4700" w:type="dxa"/>
            <w:vAlign w:val="bottom"/>
            <w:gridSpan w:val="7"/>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66"/>
        </w:trPr>
        <w:tc>
          <w:tcPr>
            <w:tcW w:w="20" w:type="dxa"/>
            <w:vAlign w:val="bottom"/>
            <w:tcBorders>
              <w:bottom w:val="single" w:sz="8" w:color="0000FF"/>
            </w:tcBorders>
          </w:tcPr>
          <w:p>
            <w:pPr>
              <w:spacing w:after="0"/>
              <w:rPr>
                <w:sz w:val="24"/>
                <w:szCs w:val="24"/>
                <w:color w:val="auto"/>
              </w:rPr>
            </w:pPr>
          </w:p>
        </w:tc>
        <w:tc>
          <w:tcPr>
            <w:tcW w:w="47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4400" w:type="dxa"/>
            <w:vAlign w:val="bottom"/>
            <w:gridSpan w:val="6"/>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20" w:type="dxa"/>
            <w:vAlign w:val="bottom"/>
            <w:tcBorders>
              <w:bottom w:val="single" w:sz="8" w:color="0000EE"/>
            </w:tcBorders>
          </w:tcPr>
          <w:p>
            <w:pPr>
              <w:spacing w:after="0"/>
              <w:rPr>
                <w:sz w:val="19"/>
                <w:szCs w:val="19"/>
                <w:color w:val="auto"/>
              </w:rPr>
            </w:pPr>
          </w:p>
        </w:tc>
        <w:tc>
          <w:tcPr>
            <w:tcW w:w="6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2022 and 2021</w:t>
            </w:r>
          </w:p>
        </w:tc>
        <w:tc>
          <w:tcPr>
            <w:tcW w:w="20" w:type="dxa"/>
            <w:vAlign w:val="bottom"/>
            <w:tcBorders>
              <w:bottom w:val="single" w:sz="8" w:color="0000EE"/>
            </w:tcBorders>
          </w:tcPr>
          <w:p>
            <w:pPr>
              <w:spacing w:after="0"/>
              <w:rPr>
                <w:sz w:val="19"/>
                <w:szCs w:val="19"/>
                <w:color w:val="auto"/>
              </w:rPr>
            </w:pPr>
          </w:p>
        </w:tc>
        <w:tc>
          <w:tcPr>
            <w:tcW w:w="2620" w:type="dxa"/>
            <w:vAlign w:val="bottom"/>
            <w:gridSpan w:val="4"/>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20" w:type="dxa"/>
            <w:vAlign w:val="bottom"/>
            <w:tcBorders>
              <w:bottom w:val="single" w:sz="8" w:color="0000EE"/>
            </w:tcBorders>
          </w:tcPr>
          <w:p>
            <w:pPr>
              <w:spacing w:after="0"/>
              <w:rPr>
                <w:sz w:val="19"/>
                <w:szCs w:val="19"/>
                <w:color w:val="auto"/>
              </w:rPr>
            </w:pPr>
          </w:p>
        </w:tc>
        <w:tc>
          <w:tcPr>
            <w:tcW w:w="7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2022 and 2021</w:t>
            </w:r>
          </w:p>
        </w:tc>
        <w:tc>
          <w:tcPr>
            <w:tcW w:w="20" w:type="dxa"/>
            <w:vAlign w:val="bottom"/>
            <w:tcBorders>
              <w:bottom w:val="single" w:sz="8" w:color="0000EE"/>
            </w:tcBorders>
          </w:tcPr>
          <w:p>
            <w:pPr>
              <w:spacing w:after="0"/>
              <w:rPr>
                <w:sz w:val="19"/>
                <w:szCs w:val="19"/>
                <w:color w:val="auto"/>
              </w:rPr>
            </w:pP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Borders>
              <w:bottom w:val="single" w:sz="8" w:color="0000EE"/>
            </w:tcBorders>
          </w:tcPr>
          <w:p>
            <w:pPr>
              <w:spacing w:after="0"/>
              <w:rPr>
                <w:sz w:val="19"/>
                <w:szCs w:val="19"/>
                <w:color w:val="auto"/>
              </w:rPr>
            </w:pPr>
          </w:p>
        </w:tc>
        <w:tc>
          <w:tcPr>
            <w:tcW w:w="7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and 2021</w:t>
            </w: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66"/>
        </w:trPr>
        <w:tc>
          <w:tcPr>
            <w:tcW w:w="20" w:type="dxa"/>
            <w:vAlign w:val="bottom"/>
            <w:tcBorders>
              <w:top w:val="single" w:sz="8" w:color="0000EE"/>
            </w:tcBorders>
          </w:tcPr>
          <w:p>
            <w:pPr>
              <w:spacing w:after="0"/>
              <w:rPr>
                <w:sz w:val="24"/>
                <w:szCs w:val="24"/>
                <w:color w:val="auto"/>
              </w:rPr>
            </w:pPr>
          </w:p>
        </w:tc>
        <w:tc>
          <w:tcPr>
            <w:tcW w:w="6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0" w:type="dxa"/>
            <w:vAlign w:val="bottom"/>
            <w:gridSpan w:val="3"/>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885"/>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3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Dave Inc. and subsidiary (the "Company") as of December 31, 2022 and the related consolidated statements of operations, comprehensive loss, stockholders' equity,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Report of Moss Adams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the Board of Directors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Dave Inc. and subsidiary (the “Company”) as of December 31, 2021, the related consolidated statements of operations, comprehensive loss, stockholders’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2021, and the consolidated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2022</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(except for the effects of the reverse recapitalization described in Note 3, as to which the date is August 22, 2022, and the effects of the 1-for-32 reverse stock split described in Notes 2 and 22, as to which the date is March 13,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2018 to 2022.</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B7DEE8"/>
          </w:tcPr>
          <w:p>
            <w:pPr>
              <w:spacing w:after="0"/>
              <w:rPr>
                <w:sz w:val="14"/>
                <w:szCs w:val="14"/>
                <w:color w:val="auto"/>
              </w:rPr>
            </w:pPr>
          </w:p>
        </w:tc>
        <w:tc>
          <w:tcPr>
            <w:tcW w:w="1460" w:type="dxa"/>
            <w:vAlign w:val="bottom"/>
            <w:shd w:val="clear" w:color="auto" w:fill="B7DEE8"/>
          </w:tcPr>
          <w:p>
            <w:pPr>
              <w:spacing w:after="0"/>
              <w:rPr>
                <w:sz w:val="14"/>
                <w:szCs w:val="14"/>
                <w:color w:val="auto"/>
              </w:rPr>
            </w:pPr>
          </w:p>
        </w:tc>
        <w:tc>
          <w:tcPr>
            <w:tcW w:w="460" w:type="dxa"/>
            <w:vAlign w:val="bottom"/>
            <w:shd w:val="clear" w:color="auto" w:fill="B7DEE8"/>
          </w:tcPr>
          <w:p>
            <w:pPr>
              <w:spacing w:after="0"/>
              <w:rPr>
                <w:sz w:val="14"/>
                <w:szCs w:val="14"/>
                <w:color w:val="auto"/>
              </w:rPr>
            </w:pPr>
          </w:p>
        </w:tc>
        <w:tc>
          <w:tcPr>
            <w:tcW w:w="240" w:type="dxa"/>
            <w:vAlign w:val="bottom"/>
            <w:shd w:val="clear" w:color="auto" w:fill="B7DEE8"/>
          </w:tcPr>
          <w:p>
            <w:pPr>
              <w:spacing w:after="0"/>
              <w:rPr>
                <w:sz w:val="14"/>
                <w:szCs w:val="14"/>
                <w:color w:val="auto"/>
              </w:rPr>
            </w:pPr>
          </w:p>
        </w:tc>
        <w:tc>
          <w:tcPr>
            <w:tcW w:w="142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B7DEE8"/>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22,889</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32,009</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00" w:type="dxa"/>
            <w:vAlign w:val="bottom"/>
            <w:shd w:val="clear" w:color="auto" w:fill="B7DEE8"/>
          </w:tcPr>
          <w:p>
            <w:pPr>
              <w:ind w:left="120"/>
              <w:spacing w:after="0" w:line="139" w:lineRule="exact"/>
              <w:rPr>
                <w:sz w:val="20"/>
                <w:szCs w:val="20"/>
                <w:color w:val="auto"/>
              </w:rPr>
            </w:pPr>
            <w:r>
              <w:rPr>
                <w:rFonts w:ascii="Times New Roman" w:cs="Times New Roman" w:eastAsia="Times New Roman" w:hAnsi="Times New Roman"/>
                <w:sz w:val="14"/>
                <w:szCs w:val="14"/>
                <w:color w:val="auto"/>
              </w:rPr>
              <w:t>Member advances, net of allowance for unrecoverable advances of $24,501 and $11,995 as of December 31, 2022 and</w:t>
            </w:r>
          </w:p>
        </w:tc>
        <w:tc>
          <w:tcPr>
            <w:tcW w:w="260" w:type="dxa"/>
            <w:vAlign w:val="bottom"/>
            <w:shd w:val="clear" w:color="auto" w:fill="B7DEE8"/>
          </w:tcPr>
          <w:p>
            <w:pPr>
              <w:spacing w:after="0"/>
              <w:rPr>
                <w:sz w:val="12"/>
                <w:szCs w:val="12"/>
                <w:color w:val="auto"/>
              </w:rPr>
            </w:pPr>
          </w:p>
        </w:tc>
        <w:tc>
          <w:tcPr>
            <w:tcW w:w="14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104,183</w:t>
            </w:r>
          </w:p>
        </w:tc>
        <w:tc>
          <w:tcPr>
            <w:tcW w:w="4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2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49,013</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260" w:type="dxa"/>
            <w:vAlign w:val="bottom"/>
            <w:shd w:val="clear" w:color="auto" w:fill="B7DEE8"/>
          </w:tcPr>
          <w:p>
            <w:pPr>
              <w:spacing w:after="0"/>
              <w:rPr>
                <w:sz w:val="16"/>
                <w:szCs w:val="16"/>
                <w:color w:val="auto"/>
              </w:rPr>
            </w:pPr>
          </w:p>
        </w:tc>
        <w:tc>
          <w:tcPr>
            <w:tcW w:w="1460" w:type="dxa"/>
            <w:vAlign w:val="bottom"/>
            <w:vMerge w:val="continue"/>
            <w:shd w:val="clear" w:color="auto" w:fill="B7DEE8"/>
          </w:tcPr>
          <w:p>
            <w:pPr>
              <w:spacing w:after="0"/>
              <w:rPr>
                <w:sz w:val="16"/>
                <w:szCs w:val="16"/>
                <w:color w:val="auto"/>
              </w:rPr>
            </w:pPr>
          </w:p>
        </w:tc>
        <w:tc>
          <w:tcPr>
            <w:tcW w:w="460" w:type="dxa"/>
            <w:vAlign w:val="bottom"/>
            <w:shd w:val="clear" w:color="auto" w:fill="B7DEE8"/>
          </w:tcPr>
          <w:p>
            <w:pPr>
              <w:spacing w:after="0"/>
              <w:rPr>
                <w:sz w:val="16"/>
                <w:szCs w:val="16"/>
                <w:color w:val="auto"/>
              </w:rPr>
            </w:pPr>
          </w:p>
        </w:tc>
        <w:tc>
          <w:tcPr>
            <w:tcW w:w="240" w:type="dxa"/>
            <w:vAlign w:val="bottom"/>
            <w:shd w:val="clear" w:color="auto" w:fill="B7DEE8"/>
          </w:tcPr>
          <w:p>
            <w:pPr>
              <w:spacing w:after="0"/>
              <w:rPr>
                <w:sz w:val="16"/>
                <w:szCs w:val="16"/>
                <w:color w:val="auto"/>
              </w:rPr>
            </w:pPr>
          </w:p>
        </w:tc>
        <w:tc>
          <w:tcPr>
            <w:tcW w:w="1420" w:type="dxa"/>
            <w:vAlign w:val="bottom"/>
            <w:vMerge w:val="continue"/>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168,789</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issuance costs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B7DEE8"/>
          </w:tcPr>
          <w:p>
            <w:pPr>
              <w:spacing w:after="0"/>
              <w:rPr>
                <w:sz w:val="15"/>
                <w:szCs w:val="15"/>
                <w:color w:val="auto"/>
              </w:rPr>
            </w:pPr>
          </w:p>
        </w:tc>
        <w:tc>
          <w:tcPr>
            <w:tcW w:w="14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11,591</w:t>
            </w:r>
          </w:p>
        </w:tc>
        <w:tc>
          <w:tcPr>
            <w:tcW w:w="4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4,443</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308,568</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right-of-use assets (related-party of $735 and $970 as of December 31, 2022 and December 31, 2021, respectively)</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7,849</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 on loans to stockholders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Debt facility commitment fee, long-term</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Borders>
              <w:bottom w:val="single" w:sz="8" w:color="auto"/>
            </w:tcBorders>
            <w:shd w:val="clear" w:color="auto" w:fill="B7DEE8"/>
          </w:tcPr>
          <w:p>
            <w:pPr>
              <w:spacing w:after="0"/>
              <w:rPr>
                <w:sz w:val="15"/>
                <w:szCs w:val="15"/>
                <w:color w:val="auto"/>
              </w:rPr>
            </w:pPr>
          </w:p>
        </w:tc>
        <w:tc>
          <w:tcPr>
            <w:tcW w:w="14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321,492</w:t>
            </w:r>
          </w:p>
        </w:tc>
        <w:tc>
          <w:tcPr>
            <w:tcW w:w="4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147,186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shd w:val="clear" w:color="auto" w:fill="B7DEE8"/>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B7DEE8"/>
          </w:tcPr>
          <w:p>
            <w:pPr>
              <w:spacing w:after="0"/>
              <w:rPr>
                <w:sz w:val="13"/>
                <w:szCs w:val="13"/>
                <w:color w:val="auto"/>
              </w:rPr>
            </w:pPr>
          </w:p>
        </w:tc>
        <w:tc>
          <w:tcPr>
            <w:tcW w:w="1460" w:type="dxa"/>
            <w:vAlign w:val="bottom"/>
            <w:shd w:val="clear" w:color="auto" w:fill="B7DEE8"/>
          </w:tcPr>
          <w:p>
            <w:pPr>
              <w:spacing w:after="0"/>
              <w:rPr>
                <w:sz w:val="13"/>
                <w:szCs w:val="13"/>
                <w:color w:val="auto"/>
              </w:rPr>
            </w:pPr>
          </w:p>
        </w:tc>
        <w:tc>
          <w:tcPr>
            <w:tcW w:w="460" w:type="dxa"/>
            <w:vAlign w:val="bottom"/>
            <w:shd w:val="clear" w:color="auto" w:fill="B7DEE8"/>
          </w:tcPr>
          <w:p>
            <w:pPr>
              <w:spacing w:after="0"/>
              <w:rPr>
                <w:sz w:val="13"/>
                <w:szCs w:val="13"/>
                <w:color w:val="auto"/>
              </w:rPr>
            </w:pPr>
          </w:p>
        </w:tc>
        <w:tc>
          <w:tcPr>
            <w:tcW w:w="240" w:type="dxa"/>
            <w:vAlign w:val="bottom"/>
            <w:shd w:val="clear" w:color="auto" w:fill="B7DEE8"/>
          </w:tcPr>
          <w:p>
            <w:pPr>
              <w:spacing w:after="0"/>
              <w:rPr>
                <w:sz w:val="13"/>
                <w:szCs w:val="13"/>
                <w:color w:val="auto"/>
              </w:rPr>
            </w:pPr>
          </w:p>
        </w:tc>
        <w:tc>
          <w:tcPr>
            <w:tcW w:w="142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B7DEE8"/>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11,418</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13,044</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Lease liabilities, short-term (related-party of $273 and $243 as of December 31, 2022 and December 31, 2021, respectively)</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settlement accrual</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Note payable</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15,051</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Convertible debt, current</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payable, convertible notes, current</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B7DEE8"/>
          </w:tcPr>
          <w:p>
            <w:pPr>
              <w:spacing w:after="0"/>
              <w:rPr>
                <w:sz w:val="15"/>
                <w:szCs w:val="15"/>
                <w:color w:val="auto"/>
              </w:rPr>
            </w:pPr>
          </w:p>
        </w:tc>
        <w:tc>
          <w:tcPr>
            <w:tcW w:w="14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4,311</w:t>
            </w:r>
          </w:p>
        </w:tc>
        <w:tc>
          <w:tcPr>
            <w:tcW w:w="4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36,417</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68,634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Lease liabilities, long-term (related-party of $550 and $822 as of December 31, 2022 and December 31, 2021, respectively)</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facility, long-term</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Convertible debt, long-term</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102,325</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 liabilities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Earnout liabilities</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00" w:type="dxa"/>
            <w:vAlign w:val="bottom"/>
            <w:tcBorders>
              <w:bottom w:val="single" w:sz="8" w:color="B7DEE8"/>
            </w:tcBorders>
            <w:shd w:val="clear" w:color="auto" w:fill="B7DEE8"/>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B7DEE8"/>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214,932</w:t>
            </w:r>
          </w:p>
        </w:tc>
        <w:tc>
          <w:tcPr>
            <w:tcW w:w="460" w:type="dxa"/>
            <w:vAlign w:val="bottom"/>
            <w:tcBorders>
              <w:bottom w:val="single" w:sz="8" w:color="B7DEE8"/>
            </w:tcBorders>
            <w:shd w:val="clear" w:color="auto" w:fill="B7DEE8"/>
          </w:tcPr>
          <w:p>
            <w:pPr>
              <w:spacing w:after="0"/>
              <w:rPr>
                <w:sz w:val="18"/>
                <w:szCs w:val="18"/>
                <w:color w:val="auto"/>
              </w:rPr>
            </w:pPr>
          </w:p>
        </w:tc>
        <w:tc>
          <w:tcPr>
            <w:tcW w:w="240" w:type="dxa"/>
            <w:vAlign w:val="bottom"/>
            <w:tcBorders>
              <w:bottom w:val="single" w:sz="8" w:color="auto"/>
            </w:tcBorders>
            <w:shd w:val="clear" w:color="auto" w:fill="B7DEE8"/>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108,449</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spacing w:after="0"/>
              <w:rPr>
                <w:sz w:val="15"/>
                <w:szCs w:val="15"/>
                <w:color w:val="auto"/>
              </w:rPr>
            </w:pP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spacing w:after="0"/>
              <w:rPr>
                <w:sz w:val="15"/>
                <w:szCs w:val="15"/>
                <w:color w:val="auto"/>
              </w:rPr>
            </w:pP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Preferred stock, par value per share $0.0001, 10,000,000 shares authorized; 0 shares issued and outstanding at December 31,</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2022 and 2021</w:t>
            </w:r>
          </w:p>
        </w:tc>
        <w:tc>
          <w:tcPr>
            <w:tcW w:w="2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300" w:type="dxa"/>
            <w:vAlign w:val="bottom"/>
            <w:shd w:val="clear" w:color="auto" w:fill="B7DEE8"/>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per share $0.0001, 500,000,000 shares authorized; 10,334,220 and 9,365,213 shares</w:t>
            </w:r>
          </w:p>
        </w:tc>
        <w:tc>
          <w:tcPr>
            <w:tcW w:w="260" w:type="dxa"/>
            <w:vAlign w:val="bottom"/>
            <w:shd w:val="clear" w:color="auto" w:fill="B7DEE8"/>
          </w:tcPr>
          <w:p>
            <w:pPr>
              <w:spacing w:after="0"/>
              <w:rPr>
                <w:sz w:val="12"/>
                <w:szCs w:val="12"/>
                <w:color w:val="auto"/>
              </w:rPr>
            </w:pPr>
          </w:p>
        </w:tc>
        <w:tc>
          <w:tcPr>
            <w:tcW w:w="1460" w:type="dxa"/>
            <w:vAlign w:val="bottom"/>
            <w:shd w:val="clear" w:color="auto" w:fill="B7DEE8"/>
          </w:tcPr>
          <w:p>
            <w:pPr>
              <w:spacing w:after="0"/>
              <w:rPr>
                <w:sz w:val="12"/>
                <w:szCs w:val="12"/>
                <w:color w:val="auto"/>
              </w:rPr>
            </w:pPr>
          </w:p>
        </w:tc>
        <w:tc>
          <w:tcPr>
            <w:tcW w:w="4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2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B7DEE8"/>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issued at December 31, 2022 and 2021, respectively; 10,284,657 and 9,283,010 shares outstanding at December 31, 2022</w:t>
            </w:r>
          </w:p>
        </w:tc>
        <w:tc>
          <w:tcPr>
            <w:tcW w:w="260" w:type="dxa"/>
            <w:vAlign w:val="bottom"/>
            <w:shd w:val="clear" w:color="auto" w:fill="B7DEE8"/>
          </w:tcPr>
          <w:p>
            <w:pPr>
              <w:spacing w:after="0"/>
              <w:rPr>
                <w:sz w:val="12"/>
                <w:szCs w:val="12"/>
                <w:color w:val="auto"/>
              </w:rPr>
            </w:pPr>
          </w:p>
        </w:tc>
        <w:tc>
          <w:tcPr>
            <w:tcW w:w="14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2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and 2021, respectively;</w:t>
            </w:r>
          </w:p>
        </w:tc>
        <w:tc>
          <w:tcPr>
            <w:tcW w:w="260" w:type="dxa"/>
            <w:vAlign w:val="bottom"/>
            <w:shd w:val="clear" w:color="auto" w:fill="B7DEE8"/>
          </w:tcPr>
          <w:p>
            <w:pPr>
              <w:spacing w:after="0"/>
              <w:rPr>
                <w:sz w:val="16"/>
                <w:szCs w:val="16"/>
                <w:color w:val="auto"/>
              </w:rPr>
            </w:pPr>
          </w:p>
        </w:tc>
        <w:tc>
          <w:tcPr>
            <w:tcW w:w="1460" w:type="dxa"/>
            <w:vAlign w:val="bottom"/>
            <w:vMerge w:val="continue"/>
            <w:shd w:val="clear" w:color="auto" w:fill="B7DEE8"/>
          </w:tcPr>
          <w:p>
            <w:pPr>
              <w:spacing w:after="0"/>
              <w:rPr>
                <w:sz w:val="16"/>
                <w:szCs w:val="16"/>
                <w:color w:val="auto"/>
              </w:rPr>
            </w:pPr>
          </w:p>
        </w:tc>
        <w:tc>
          <w:tcPr>
            <w:tcW w:w="460" w:type="dxa"/>
            <w:vAlign w:val="bottom"/>
            <w:shd w:val="clear" w:color="auto" w:fill="B7DEE8"/>
          </w:tcPr>
          <w:p>
            <w:pPr>
              <w:spacing w:after="0"/>
              <w:rPr>
                <w:sz w:val="16"/>
                <w:szCs w:val="16"/>
                <w:color w:val="auto"/>
              </w:rPr>
            </w:pPr>
          </w:p>
        </w:tc>
        <w:tc>
          <w:tcPr>
            <w:tcW w:w="240" w:type="dxa"/>
            <w:vAlign w:val="bottom"/>
            <w:shd w:val="clear" w:color="auto" w:fill="B7DEE8"/>
          </w:tcPr>
          <w:p>
            <w:pPr>
              <w:spacing w:after="0"/>
              <w:rPr>
                <w:sz w:val="16"/>
                <w:szCs w:val="16"/>
                <w:color w:val="auto"/>
              </w:rPr>
            </w:pPr>
          </w:p>
        </w:tc>
        <w:tc>
          <w:tcPr>
            <w:tcW w:w="1420" w:type="dxa"/>
            <w:vAlign w:val="bottom"/>
            <w:vMerge w:val="continue"/>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3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V common stock, par value per share $0.0001, 100,000,000 shares authorized; 1,514,082 shares issued and</w:t>
            </w:r>
          </w:p>
        </w:tc>
        <w:tc>
          <w:tcPr>
            <w:tcW w:w="26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at December 31, 2022 and 2021, respectively;</w:t>
            </w: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260" w:type="dxa"/>
            <w:vAlign w:val="bottom"/>
            <w:shd w:val="clear" w:color="auto" w:fill="B7DEE8"/>
          </w:tcPr>
          <w:p>
            <w:pPr>
              <w:spacing w:after="0"/>
              <w:rPr>
                <w:sz w:val="15"/>
                <w:szCs w:val="15"/>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5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6"/>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270,037</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B7DEE8"/>
          </w:tcPr>
          <w:p>
            <w:pPr>
              <w:spacing w:after="0"/>
              <w:rPr>
                <w:sz w:val="15"/>
                <w:szCs w:val="15"/>
                <w:color w:val="auto"/>
              </w:rPr>
            </w:pPr>
          </w:p>
        </w:tc>
        <w:tc>
          <w:tcPr>
            <w:tcW w:w="1920" w:type="dxa"/>
            <w:vAlign w:val="bottom"/>
            <w:gridSpan w:val="2"/>
            <w:shd w:val="clear" w:color="auto" w:fill="B7DEE8"/>
          </w:tcPr>
          <w:p>
            <w:pPr>
              <w:jc w:val="right"/>
              <w:ind w:right="400"/>
              <w:spacing w:after="0"/>
              <w:rPr>
                <w:sz w:val="20"/>
                <w:szCs w:val="20"/>
                <w:color w:val="auto"/>
              </w:rPr>
            </w:pPr>
            <w:r>
              <w:rPr>
                <w:rFonts w:ascii="Times New Roman" w:cs="Times New Roman" w:eastAsia="Times New Roman" w:hAnsi="Times New Roman"/>
                <w:sz w:val="14"/>
                <w:szCs w:val="14"/>
                <w:color w:val="auto"/>
              </w:rPr>
              <w:t>(1,675 )</w:t>
            </w:r>
          </w:p>
        </w:tc>
        <w:tc>
          <w:tcPr>
            <w:tcW w:w="240" w:type="dxa"/>
            <w:vAlign w:val="bottom"/>
            <w:shd w:val="clear" w:color="auto" w:fill="B7DEE8"/>
          </w:tcPr>
          <w:p>
            <w:pPr>
              <w:spacing w:after="0"/>
              <w:rPr>
                <w:sz w:val="15"/>
                <w:szCs w:val="15"/>
                <w:color w:val="auto"/>
              </w:rPr>
            </w:pP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Loans to stockholders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(15,192 )</w:t>
            </w:r>
          </w:p>
        </w:tc>
        <w:tc>
          <w:tcPr>
            <w:tcW w:w="0" w:type="dxa"/>
            <w:vAlign w:val="bottom"/>
          </w:tcPr>
          <w:p>
            <w:pPr>
              <w:spacing w:after="0"/>
              <w:rPr>
                <w:sz w:val="1"/>
                <w:szCs w:val="1"/>
                <w:color w:val="auto"/>
              </w:rPr>
            </w:pPr>
          </w:p>
        </w:tc>
      </w:tr>
      <w:tr>
        <w:trPr>
          <w:trHeight w:val="175"/>
        </w:trPr>
        <w:tc>
          <w:tcPr>
            <w:tcW w:w="73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B7DEE8"/>
          </w:tcPr>
          <w:p>
            <w:pPr>
              <w:spacing w:after="0"/>
              <w:rPr>
                <w:sz w:val="15"/>
                <w:szCs w:val="15"/>
                <w:color w:val="auto"/>
              </w:rPr>
            </w:pPr>
          </w:p>
        </w:tc>
        <w:tc>
          <w:tcPr>
            <w:tcW w:w="1920" w:type="dxa"/>
            <w:vAlign w:val="bottom"/>
            <w:gridSpan w:val="2"/>
            <w:shd w:val="clear" w:color="auto" w:fill="B7DEE8"/>
          </w:tcPr>
          <w:p>
            <w:pPr>
              <w:jc w:val="right"/>
              <w:ind w:right="400"/>
              <w:spacing w:after="0"/>
              <w:rPr>
                <w:sz w:val="20"/>
                <w:szCs w:val="20"/>
                <w:color w:val="auto"/>
              </w:rPr>
            </w:pPr>
            <w:r>
              <w:rPr>
                <w:rFonts w:ascii="Times New Roman" w:cs="Times New Roman" w:eastAsia="Times New Roman" w:hAnsi="Times New Roman"/>
                <w:sz w:val="14"/>
                <w:szCs w:val="14"/>
                <w:color w:val="auto"/>
              </w:rPr>
              <w:t>(161,803 )</w:t>
            </w:r>
          </w:p>
        </w:tc>
        <w:tc>
          <w:tcPr>
            <w:tcW w:w="240" w:type="dxa"/>
            <w:vAlign w:val="bottom"/>
            <w:shd w:val="clear" w:color="auto" w:fill="B7DEE8"/>
          </w:tcPr>
          <w:p>
            <w:pPr>
              <w:spacing w:after="0"/>
              <w:rPr>
                <w:sz w:val="15"/>
                <w:szCs w:val="15"/>
                <w:color w:val="auto"/>
              </w:rPr>
            </w:pPr>
          </w:p>
        </w:tc>
        <w:tc>
          <w:tcPr>
            <w:tcW w:w="15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4"/>
                <w:szCs w:val="14"/>
                <w:color w:val="auto"/>
              </w:rPr>
              <w:t>(32,897 )</w:t>
            </w:r>
          </w:p>
        </w:tc>
        <w:tc>
          <w:tcPr>
            <w:tcW w:w="0" w:type="dxa"/>
            <w:vAlign w:val="bottom"/>
          </w:tcPr>
          <w:p>
            <w:pPr>
              <w:spacing w:after="0"/>
              <w:rPr>
                <w:sz w:val="1"/>
                <w:szCs w:val="1"/>
                <w:color w:val="auto"/>
              </w:rPr>
            </w:pPr>
          </w:p>
        </w:tc>
      </w:tr>
      <w:tr>
        <w:trPr>
          <w:trHeight w:val="169"/>
        </w:trPr>
        <w:tc>
          <w:tcPr>
            <w:tcW w:w="7300" w:type="dxa"/>
            <w:vAlign w:val="bottom"/>
            <w:tcBorders>
              <w:top w:val="single" w:sz="8" w:color="B7DEE8"/>
            </w:tcBorders>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106,560</w:t>
            </w:r>
          </w:p>
        </w:tc>
        <w:tc>
          <w:tcPr>
            <w:tcW w:w="460" w:type="dxa"/>
            <w:vAlign w:val="bottom"/>
            <w:tcBorders>
              <w:top w:val="single" w:sz="8" w:color="B7DEE8"/>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38,737</w:t>
            </w:r>
          </w:p>
        </w:tc>
        <w:tc>
          <w:tcPr>
            <w:tcW w:w="100" w:type="dxa"/>
            <w:vAlign w:val="bottom"/>
            <w:tcBorders>
              <w:top w:val="single" w:sz="8" w:color="B7DEE8"/>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tcBorders>
              <w:bottom w:val="single" w:sz="8" w:color="B7DEE8"/>
            </w:tcBorders>
            <w:shd w:val="clear" w:color="auto" w:fill="B7DEE8"/>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shd w:val="clear" w:color="auto" w:fill="B7DEE8"/>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321,492</w:t>
            </w:r>
          </w:p>
        </w:tc>
        <w:tc>
          <w:tcPr>
            <w:tcW w:w="460" w:type="dxa"/>
            <w:vAlign w:val="bottom"/>
            <w:tcBorders>
              <w:bottom w:val="single" w:sz="8" w:color="B7DEE8"/>
            </w:tcBorders>
            <w:shd w:val="clear" w:color="auto" w:fill="B7DEE8"/>
          </w:tcPr>
          <w:p>
            <w:pPr>
              <w:spacing w:after="0"/>
              <w:rPr>
                <w:sz w:val="17"/>
                <w:szCs w:val="17"/>
                <w:color w:val="auto"/>
              </w:rPr>
            </w:pPr>
          </w:p>
        </w:tc>
        <w:tc>
          <w:tcPr>
            <w:tcW w:w="240" w:type="dxa"/>
            <w:vAlign w:val="bottom"/>
            <w:tcBorders>
              <w:bottom w:val="single" w:sz="8" w:color="auto"/>
            </w:tcBorders>
            <w:shd w:val="clear" w:color="auto" w:fill="B7DEE8"/>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B7DEE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147,186</w:t>
            </w:r>
          </w:p>
        </w:tc>
        <w:tc>
          <w:tcPr>
            <w:tcW w:w="100" w:type="dxa"/>
            <w:vAlign w:val="bottom"/>
            <w:tcBorders>
              <w:bottom w:val="single" w:sz="8" w:color="B7DEE8"/>
            </w:tcBorders>
            <w:shd w:val="clear" w:color="auto" w:fill="B7DE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-4979670</wp:posOffset>
            </wp:positionV>
            <wp:extent cx="7683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-4079875</wp:posOffset>
            </wp:positionV>
            <wp:extent cx="7683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-2708275</wp:posOffset>
            </wp:positionV>
            <wp:extent cx="76835"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-1799590</wp:posOffset>
            </wp:positionV>
            <wp:extent cx="140589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05890" cy="1371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-281940</wp:posOffset>
            </wp:positionV>
            <wp:extent cx="7683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consolidated balance sheets above. The assets in the table below may only be used to settle obligations of consolidated VIEs and are in excess of those obligations. All intercompany accounts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6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B6DEE8"/>
          </w:tcPr>
          <w:p>
            <w:pPr>
              <w:spacing w:after="0"/>
              <w:rPr>
                <w:sz w:val="21"/>
                <w:szCs w:val="21"/>
                <w:color w:val="auto"/>
              </w:rPr>
            </w:pPr>
          </w:p>
        </w:tc>
        <w:tc>
          <w:tcPr>
            <w:tcW w:w="1500" w:type="dxa"/>
            <w:vAlign w:val="bottom"/>
            <w:shd w:val="clear" w:color="auto" w:fill="B6DEE8"/>
          </w:tcPr>
          <w:p>
            <w:pPr>
              <w:spacing w:after="0"/>
              <w:rPr>
                <w:sz w:val="21"/>
                <w:szCs w:val="21"/>
                <w:color w:val="auto"/>
              </w:rPr>
            </w:pPr>
          </w:p>
        </w:tc>
        <w:tc>
          <w:tcPr>
            <w:tcW w:w="26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5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100" w:type="dxa"/>
            <w:vAlign w:val="bottom"/>
          </w:tcPr>
          <w:p>
            <w:pPr>
              <w:spacing w:after="0"/>
              <w:rPr>
                <w:sz w:val="20"/>
                <w:szCs w:val="20"/>
                <w:color w:val="auto"/>
              </w:rPr>
            </w:pPr>
          </w:p>
        </w:tc>
      </w:tr>
      <w:tr>
        <w:trPr>
          <w:trHeight w:val="247"/>
        </w:trPr>
        <w:tc>
          <w:tcPr>
            <w:tcW w:w="62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Member advances, net of allowance for unrecoverable advances</w:t>
            </w:r>
          </w:p>
        </w:tc>
        <w:tc>
          <w:tcPr>
            <w:tcW w:w="24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71,545</w:t>
            </w:r>
          </w:p>
        </w:tc>
        <w:tc>
          <w:tcPr>
            <w:tcW w:w="26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100" w:type="dxa"/>
            <w:vAlign w:val="bottom"/>
            <w:shd w:val="clear" w:color="auto" w:fill="B6DEE8"/>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r>
      <w:tr>
        <w:trPr>
          <w:trHeight w:val="247"/>
        </w:trPr>
        <w:tc>
          <w:tcPr>
            <w:tcW w:w="6280" w:type="dxa"/>
            <w:vAlign w:val="bottom"/>
            <w:tcBorders>
              <w:bottom w:val="single" w:sz="8" w:color="B6DEE8"/>
            </w:tcBorders>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240" w:type="dxa"/>
            <w:vAlign w:val="bottom"/>
            <w:tcBorders>
              <w:bottom w:val="single" w:sz="8" w:color="auto"/>
            </w:tcBorders>
            <w:shd w:val="clear" w:color="auto" w:fill="B6DEE8"/>
          </w:tcPr>
          <w:p>
            <w:pPr>
              <w:spacing w:after="0"/>
              <w:rPr>
                <w:sz w:val="21"/>
                <w:szCs w:val="21"/>
                <w:color w:val="auto"/>
              </w:rPr>
            </w:pP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B6DEE8"/>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83,712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62,675</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B6DEE8"/>
          </w:tcPr>
          <w:p>
            <w:pPr>
              <w:spacing w:after="0"/>
              <w:rPr>
                <w:sz w:val="19"/>
                <w:szCs w:val="19"/>
                <w:color w:val="auto"/>
              </w:rPr>
            </w:pPr>
          </w:p>
        </w:tc>
        <w:tc>
          <w:tcPr>
            <w:tcW w:w="1500" w:type="dxa"/>
            <w:vAlign w:val="bottom"/>
            <w:shd w:val="clear" w:color="auto" w:fill="B6DEE8"/>
          </w:tcPr>
          <w:p>
            <w:pPr>
              <w:spacing w:after="0"/>
              <w:rPr>
                <w:sz w:val="19"/>
                <w:szCs w:val="19"/>
                <w:color w:val="auto"/>
              </w:rPr>
            </w:pPr>
          </w:p>
        </w:tc>
        <w:tc>
          <w:tcPr>
            <w:tcW w:w="26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50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r>
      <w:tr>
        <w:trPr>
          <w:trHeight w:val="247"/>
        </w:trPr>
        <w:tc>
          <w:tcPr>
            <w:tcW w:w="62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Current portion of debt facility</w:t>
            </w:r>
          </w:p>
        </w:tc>
        <w:tc>
          <w:tcPr>
            <w:tcW w:w="24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B6DEE8"/>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r>
      <w:tr>
        <w:trPr>
          <w:trHeight w:val="247"/>
        </w:trPr>
        <w:tc>
          <w:tcPr>
            <w:tcW w:w="62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Long-term debt facility</w:t>
            </w:r>
          </w:p>
        </w:tc>
        <w:tc>
          <w:tcPr>
            <w:tcW w:w="24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B6DEE8"/>
          </w:tcPr>
          <w:p>
            <w:pPr>
              <w:spacing w:after="0"/>
              <w:rPr>
                <w:sz w:val="21"/>
                <w:szCs w:val="21"/>
                <w:color w:val="auto"/>
              </w:rPr>
            </w:pPr>
          </w:p>
        </w:tc>
      </w:tr>
      <w:tr>
        <w:trPr>
          <w:trHeight w:val="243"/>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21"/>
                <w:szCs w:val="21"/>
                <w:color w:val="auto"/>
              </w:rPr>
            </w:pPr>
          </w:p>
        </w:tc>
      </w:tr>
      <w:tr>
        <w:trPr>
          <w:trHeight w:val="277"/>
        </w:trPr>
        <w:tc>
          <w:tcPr>
            <w:tcW w:w="6280" w:type="dxa"/>
            <w:vAlign w:val="bottom"/>
            <w:tcBorders>
              <w:bottom w:val="single" w:sz="8" w:color="B6DEE8"/>
            </w:tcBorders>
            <w:shd w:val="clear" w:color="auto" w:fill="B6DEE8"/>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75,531</w:t>
            </w:r>
          </w:p>
        </w:tc>
        <w:tc>
          <w:tcPr>
            <w:tcW w:w="260" w:type="dxa"/>
            <w:vAlign w:val="bottom"/>
            <w:tcBorders>
              <w:bottom w:val="single" w:sz="8" w:color="B6DEE8"/>
            </w:tcBorders>
            <w:shd w:val="clear" w:color="auto" w:fill="B6DEE8"/>
          </w:tcPr>
          <w:p>
            <w:pPr>
              <w:spacing w:after="0"/>
              <w:rPr>
                <w:sz w:val="24"/>
                <w:szCs w:val="24"/>
                <w:color w:val="auto"/>
              </w:rPr>
            </w:pPr>
          </w:p>
        </w:tc>
        <w:tc>
          <w:tcPr>
            <w:tcW w:w="220" w:type="dxa"/>
            <w:vAlign w:val="bottom"/>
            <w:tcBorders>
              <w:bottom w:val="single" w:sz="8" w:color="auto"/>
            </w:tcBorders>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59,537</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-1302385</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8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69" w:name="page70"/>
    <w:bookmarkEnd w:id="6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41"/>
        </w:trPr>
        <w:tc>
          <w:tcPr>
            <w:tcW w:w="65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B7DEE8"/>
          </w:tcPr>
          <w:p>
            <w:pPr>
              <w:spacing w:after="0"/>
              <w:rPr>
                <w:sz w:val="20"/>
                <w:szCs w:val="20"/>
                <w:color w:val="auto"/>
              </w:rPr>
            </w:pPr>
          </w:p>
        </w:tc>
        <w:tc>
          <w:tcPr>
            <w:tcW w:w="1360" w:type="dxa"/>
            <w:vAlign w:val="bottom"/>
            <w:shd w:val="clear" w:color="auto" w:fill="B7DEE8"/>
          </w:tcPr>
          <w:p>
            <w:pPr>
              <w:spacing w:after="0"/>
              <w:rPr>
                <w:sz w:val="20"/>
                <w:szCs w:val="20"/>
                <w:color w:val="auto"/>
              </w:rPr>
            </w:pPr>
          </w:p>
        </w:tc>
        <w:tc>
          <w:tcPr>
            <w:tcW w:w="240" w:type="dxa"/>
            <w:vAlign w:val="bottom"/>
            <w:shd w:val="clear" w:color="auto" w:fill="B7DEE8"/>
          </w:tcPr>
          <w:p>
            <w:pPr>
              <w:spacing w:after="0"/>
              <w:rPr>
                <w:sz w:val="20"/>
                <w:szCs w:val="20"/>
                <w:color w:val="auto"/>
              </w:rPr>
            </w:pPr>
          </w:p>
        </w:tc>
        <w:tc>
          <w:tcPr>
            <w:tcW w:w="360" w:type="dxa"/>
            <w:vAlign w:val="bottom"/>
            <w:shd w:val="clear" w:color="auto" w:fill="B7DEE8"/>
          </w:tcPr>
          <w:p>
            <w:pPr>
              <w:spacing w:after="0"/>
              <w:rPr>
                <w:sz w:val="20"/>
                <w:szCs w:val="20"/>
                <w:color w:val="auto"/>
              </w:rPr>
            </w:pPr>
          </w:p>
        </w:tc>
        <w:tc>
          <w:tcPr>
            <w:tcW w:w="122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188,860</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142,182</w:t>
            </w:r>
          </w:p>
        </w:tc>
        <w:tc>
          <w:tcPr>
            <w:tcW w:w="100" w:type="dxa"/>
            <w:vAlign w:val="bottom"/>
          </w:tcPr>
          <w:p>
            <w:pPr>
              <w:spacing w:after="0"/>
              <w:rPr>
                <w:sz w:val="20"/>
                <w:szCs w:val="20"/>
                <w:color w:val="auto"/>
              </w:rPr>
            </w:pPr>
          </w:p>
        </w:tc>
      </w:tr>
      <w:tr>
        <w:trPr>
          <w:trHeight w:val="247"/>
        </w:trPr>
        <w:tc>
          <w:tcPr>
            <w:tcW w:w="656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60" w:type="dxa"/>
            <w:vAlign w:val="bottom"/>
            <w:tcBorders>
              <w:bottom w:val="single" w:sz="8" w:color="auto"/>
            </w:tcBorders>
            <w:shd w:val="clear" w:color="auto" w:fill="B7DEE8"/>
          </w:tcPr>
          <w:p>
            <w:pPr>
              <w:spacing w:after="0"/>
              <w:rPr>
                <w:sz w:val="21"/>
                <w:szCs w:val="21"/>
                <w:color w:val="auto"/>
              </w:rPr>
            </w:pPr>
          </w:p>
        </w:tc>
        <w:tc>
          <w:tcPr>
            <w:tcW w:w="13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240" w:type="dxa"/>
            <w:vAlign w:val="bottom"/>
            <w:tcBorders>
              <w:bottom w:val="single" w:sz="8" w:color="B7DEE8"/>
            </w:tcBorders>
            <w:shd w:val="clear" w:color="auto" w:fill="B7DEE8"/>
          </w:tcPr>
          <w:p>
            <w:pPr>
              <w:spacing w:after="0"/>
              <w:rPr>
                <w:sz w:val="21"/>
                <w:szCs w:val="21"/>
                <w:color w:val="auto"/>
              </w:rPr>
            </w:pPr>
          </w:p>
        </w:tc>
        <w:tc>
          <w:tcPr>
            <w:tcW w:w="360" w:type="dxa"/>
            <w:vAlign w:val="bottom"/>
            <w:tcBorders>
              <w:bottom w:val="single" w:sz="8" w:color="auto"/>
            </w:tcBorders>
            <w:shd w:val="clear" w:color="auto" w:fill="B7DEE8"/>
          </w:tcPr>
          <w:p>
            <w:pPr>
              <w:spacing w:after="0"/>
              <w:rPr>
                <w:sz w:val="21"/>
                <w:szCs w:val="21"/>
                <w:color w:val="auto"/>
              </w:rPr>
            </w:pPr>
          </w:p>
        </w:tc>
        <w:tc>
          <w:tcPr>
            <w:tcW w:w="12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Borders>
              <w:bottom w:val="single" w:sz="8" w:color="B7DEE8"/>
            </w:tcBorders>
            <w:shd w:val="clear" w:color="auto" w:fill="B7DEE8"/>
          </w:tcPr>
          <w:p>
            <w:pPr>
              <w:spacing w:after="0"/>
              <w:rPr>
                <w:sz w:val="21"/>
                <w:szCs w:val="2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153,013</w:t>
            </w:r>
          </w:p>
        </w:tc>
        <w:tc>
          <w:tcPr>
            <w:tcW w:w="100" w:type="dxa"/>
            <w:vAlign w:val="bottom"/>
          </w:tcPr>
          <w:p>
            <w:pPr>
              <w:spacing w:after="0"/>
              <w:rPr>
                <w:sz w:val="20"/>
                <w:szCs w:val="20"/>
                <w:color w:val="auto"/>
              </w:rPr>
            </w:pPr>
          </w:p>
        </w:tc>
      </w:tr>
      <w:tr>
        <w:trPr>
          <w:trHeight w:val="237"/>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B7DEE8"/>
          </w:tcPr>
          <w:p>
            <w:pPr>
              <w:spacing w:after="0"/>
              <w:rPr>
                <w:sz w:val="20"/>
                <w:szCs w:val="20"/>
                <w:color w:val="auto"/>
              </w:rPr>
            </w:pPr>
          </w:p>
        </w:tc>
        <w:tc>
          <w:tcPr>
            <w:tcW w:w="1360" w:type="dxa"/>
            <w:vAlign w:val="bottom"/>
            <w:shd w:val="clear" w:color="auto" w:fill="B7DEE8"/>
          </w:tcPr>
          <w:p>
            <w:pPr>
              <w:spacing w:after="0"/>
              <w:rPr>
                <w:sz w:val="20"/>
                <w:szCs w:val="20"/>
                <w:color w:val="auto"/>
              </w:rPr>
            </w:pPr>
          </w:p>
        </w:tc>
        <w:tc>
          <w:tcPr>
            <w:tcW w:w="240" w:type="dxa"/>
            <w:vAlign w:val="bottom"/>
            <w:shd w:val="clear" w:color="auto" w:fill="B7DEE8"/>
          </w:tcPr>
          <w:p>
            <w:pPr>
              <w:spacing w:after="0"/>
              <w:rPr>
                <w:sz w:val="20"/>
                <w:szCs w:val="20"/>
                <w:color w:val="auto"/>
              </w:rPr>
            </w:pPr>
          </w:p>
        </w:tc>
        <w:tc>
          <w:tcPr>
            <w:tcW w:w="360" w:type="dxa"/>
            <w:vAlign w:val="bottom"/>
            <w:shd w:val="clear" w:color="auto" w:fill="B7DEE8"/>
          </w:tcPr>
          <w:p>
            <w:pPr>
              <w:spacing w:after="0"/>
              <w:rPr>
                <w:sz w:val="20"/>
                <w:szCs w:val="20"/>
                <w:color w:val="auto"/>
              </w:rPr>
            </w:pPr>
          </w:p>
        </w:tc>
        <w:tc>
          <w:tcPr>
            <w:tcW w:w="122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unrecoverable advances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51,454</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103,432</w:t>
            </w: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100" w:type="dxa"/>
            <w:vAlign w:val="bottom"/>
            <w:shd w:val="clear" w:color="auto" w:fill="B7DEE8"/>
          </w:tcPr>
          <w:p>
            <w:pPr>
              <w:spacing w:after="0"/>
              <w:rPr>
                <w:sz w:val="21"/>
                <w:szCs w:val="21"/>
                <w:color w:val="auto"/>
              </w:rPr>
            </w:pPr>
          </w:p>
        </w:tc>
      </w:tr>
      <w:tr>
        <w:trPr>
          <w:trHeight w:val="243"/>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100" w:type="dxa"/>
            <w:vAlign w:val="bottom"/>
          </w:tcPr>
          <w:p>
            <w:pPr>
              <w:spacing w:after="0"/>
              <w:rPr>
                <w:sz w:val="21"/>
                <w:szCs w:val="21"/>
                <w:color w:val="auto"/>
              </w:rPr>
            </w:pPr>
          </w:p>
        </w:tc>
      </w:tr>
      <w:tr>
        <w:trPr>
          <w:trHeight w:val="237"/>
        </w:trPr>
        <w:tc>
          <w:tcPr>
            <w:tcW w:w="65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B7DEE8"/>
          </w:tcPr>
          <w:p>
            <w:pPr>
              <w:spacing w:after="0"/>
              <w:rPr>
                <w:sz w:val="20"/>
                <w:szCs w:val="20"/>
                <w:color w:val="auto"/>
              </w:rPr>
            </w:pPr>
          </w:p>
        </w:tc>
        <w:tc>
          <w:tcPr>
            <w:tcW w:w="13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339,233</w:t>
            </w:r>
          </w:p>
        </w:tc>
        <w:tc>
          <w:tcPr>
            <w:tcW w:w="240" w:type="dxa"/>
            <w:vAlign w:val="bottom"/>
            <w:tcBorders>
              <w:bottom w:val="single" w:sz="8" w:color="B7DEE8"/>
            </w:tcBorders>
            <w:shd w:val="clear" w:color="auto" w:fill="B7DEE8"/>
          </w:tcPr>
          <w:p>
            <w:pPr>
              <w:spacing w:after="0"/>
              <w:rPr>
                <w:sz w:val="20"/>
                <w:szCs w:val="20"/>
                <w:color w:val="auto"/>
              </w:rPr>
            </w:pPr>
          </w:p>
        </w:tc>
        <w:tc>
          <w:tcPr>
            <w:tcW w:w="360" w:type="dxa"/>
            <w:vAlign w:val="bottom"/>
            <w:tcBorders>
              <w:bottom w:val="single" w:sz="8" w:color="auto"/>
            </w:tcBorders>
            <w:shd w:val="clear" w:color="auto" w:fill="B7DEE8"/>
          </w:tcPr>
          <w:p>
            <w:pPr>
              <w:spacing w:after="0"/>
              <w:rPr>
                <w:sz w:val="20"/>
                <w:szCs w:val="20"/>
                <w:color w:val="auto"/>
              </w:rPr>
            </w:pPr>
          </w:p>
        </w:tc>
        <w:tc>
          <w:tcPr>
            <w:tcW w:w="12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199,891</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B7DEE8"/>
          </w:tcPr>
          <w:p>
            <w:pPr>
              <w:spacing w:after="0"/>
              <w:rPr>
                <w:sz w:val="21"/>
                <w:szCs w:val="21"/>
                <w:color w:val="auto"/>
              </w:rPr>
            </w:pPr>
          </w:p>
        </w:tc>
        <w:tc>
          <w:tcPr>
            <w:tcW w:w="1600" w:type="dxa"/>
            <w:vAlign w:val="bottom"/>
            <w:gridSpan w:val="2"/>
            <w:shd w:val="clear" w:color="auto" w:fill="B7DEE8"/>
          </w:tcPr>
          <w:p>
            <w:pPr>
              <w:jc w:val="right"/>
              <w:ind w:right="101"/>
              <w:spacing w:after="0"/>
              <w:rPr>
                <w:sz w:val="20"/>
                <w:szCs w:val="20"/>
                <w:color w:val="auto"/>
              </w:rPr>
            </w:pPr>
            <w:r>
              <w:rPr>
                <w:rFonts w:ascii="Times New Roman" w:cs="Times New Roman" w:eastAsia="Times New Roman" w:hAnsi="Times New Roman"/>
                <w:sz w:val="18"/>
                <w:szCs w:val="18"/>
                <w:color w:val="auto"/>
              </w:rPr>
              <w:t>(2,953 )</w:t>
            </w:r>
          </w:p>
        </w:tc>
        <w:tc>
          <w:tcPr>
            <w:tcW w:w="360" w:type="dxa"/>
            <w:vAlign w:val="bottom"/>
            <w:shd w:val="clear" w:color="auto" w:fill="B7DEE8"/>
          </w:tcPr>
          <w:p>
            <w:pPr>
              <w:spacing w:after="0"/>
              <w:rPr>
                <w:sz w:val="21"/>
                <w:szCs w:val="21"/>
                <w:color w:val="auto"/>
              </w:rPr>
            </w:pPr>
          </w:p>
        </w:tc>
        <w:tc>
          <w:tcPr>
            <w:tcW w:w="13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260" w:type="dxa"/>
            <w:vAlign w:val="bottom"/>
            <w:shd w:val="clear" w:color="auto" w:fill="B7DEE8"/>
          </w:tcPr>
          <w:p>
            <w:pPr>
              <w:spacing w:after="0"/>
              <w:rPr>
                <w:sz w:val="21"/>
                <w:szCs w:val="21"/>
                <w:color w:val="auto"/>
              </w:rPr>
            </w:pPr>
          </w:p>
        </w:tc>
        <w:tc>
          <w:tcPr>
            <w:tcW w:w="1600" w:type="dxa"/>
            <w:vAlign w:val="bottom"/>
            <w:gridSpan w:val="2"/>
            <w:shd w:val="clear" w:color="auto" w:fill="B7DEE8"/>
          </w:tcPr>
          <w:p>
            <w:pPr>
              <w:jc w:val="right"/>
              <w:ind w:right="101"/>
              <w:spacing w:after="0"/>
              <w:rPr>
                <w:sz w:val="20"/>
                <w:szCs w:val="20"/>
                <w:color w:val="auto"/>
              </w:rPr>
            </w:pPr>
            <w:r>
              <w:rPr>
                <w:rFonts w:ascii="Times New Roman" w:cs="Times New Roman" w:eastAsia="Times New Roman" w:hAnsi="Times New Roman"/>
                <w:sz w:val="18"/>
                <w:szCs w:val="18"/>
                <w:color w:val="auto"/>
              </w:rPr>
              <w:t>(4,290 )</w:t>
            </w: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tcPr>
          <w:p>
            <w:pPr>
              <w:spacing w:after="0"/>
              <w:rPr>
                <w:sz w:val="20"/>
                <w:szCs w:val="20"/>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(9,629 )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3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(34,791 )</w:t>
            </w: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260" w:type="dxa"/>
            <w:vAlign w:val="bottom"/>
          </w:tcPr>
          <w:p>
            <w:pPr>
              <w:spacing w:after="0"/>
              <w:rPr>
                <w:sz w:val="20"/>
                <w:szCs w:val="20"/>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(14,192 )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20"/>
                <w:szCs w:val="20"/>
                <w:color w:val="auto"/>
              </w:rPr>
            </w:pPr>
          </w:p>
        </w:tc>
      </w:tr>
      <w:tr>
        <w:trPr>
          <w:trHeight w:val="241"/>
        </w:trPr>
        <w:tc>
          <w:tcPr>
            <w:tcW w:w="65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60" w:type="dxa"/>
            <w:vAlign w:val="bottom"/>
            <w:tcBorders>
              <w:top w:val="single" w:sz="8" w:color="auto"/>
              <w:bottom w:val="single" w:sz="8" w:color="auto"/>
            </w:tcBorders>
            <w:shd w:val="clear" w:color="auto" w:fill="B7DEE8"/>
          </w:tcPr>
          <w:p>
            <w:pPr>
              <w:spacing w:after="0"/>
              <w:rPr>
                <w:sz w:val="20"/>
                <w:szCs w:val="20"/>
                <w:color w:val="auto"/>
              </w:rPr>
            </w:pPr>
          </w:p>
        </w:tc>
        <w:tc>
          <w:tcPr>
            <w:tcW w:w="136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240" w:type="dxa"/>
            <w:vAlign w:val="bottom"/>
            <w:tcBorders>
              <w:bottom w:val="single" w:sz="8" w:color="B7DEE8"/>
            </w:tcBorders>
            <w:shd w:val="clear" w:color="auto" w:fill="B7DEE8"/>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shd w:val="clear" w:color="auto" w:fill="B7DEE8"/>
          </w:tcPr>
          <w:p>
            <w:pPr>
              <w:spacing w:after="0"/>
              <w:rPr>
                <w:sz w:val="20"/>
                <w:szCs w:val="20"/>
                <w:color w:val="auto"/>
              </w:rPr>
            </w:pPr>
          </w:p>
        </w:tc>
        <w:tc>
          <w:tcPr>
            <w:tcW w:w="12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(26,982</w:t>
            </w:r>
          </w:p>
        </w:tc>
        <w:tc>
          <w:tcPr>
            <w:tcW w:w="1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(benefit from) provision for income taxes</w:t>
            </w:r>
          </w:p>
        </w:tc>
        <w:tc>
          <w:tcPr>
            <w:tcW w:w="260" w:type="dxa"/>
            <w:vAlign w:val="bottom"/>
          </w:tcPr>
          <w:p>
            <w:pPr>
              <w:spacing w:after="0"/>
              <w:rPr>
                <w:sz w:val="20"/>
                <w:szCs w:val="20"/>
                <w:color w:val="auto"/>
              </w:rPr>
            </w:pP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(128,973 )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(19,896 )</w:t>
            </w:r>
          </w:p>
        </w:tc>
      </w:tr>
      <w:tr>
        <w:trPr>
          <w:trHeight w:val="245"/>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60" w:type="dxa"/>
            <w:vAlign w:val="bottom"/>
            <w:shd w:val="clear" w:color="auto" w:fill="B7DEE8"/>
          </w:tcPr>
          <w:p>
            <w:pPr>
              <w:spacing w:after="0"/>
              <w:rPr>
                <w:sz w:val="21"/>
                <w:szCs w:val="21"/>
                <w:color w:val="auto"/>
              </w:rPr>
            </w:pPr>
          </w:p>
        </w:tc>
        <w:tc>
          <w:tcPr>
            <w:tcW w:w="1600" w:type="dxa"/>
            <w:vAlign w:val="bottom"/>
            <w:gridSpan w:val="2"/>
            <w:shd w:val="clear" w:color="auto" w:fill="B7DEE8"/>
          </w:tcPr>
          <w:p>
            <w:pPr>
              <w:jc w:val="right"/>
              <w:ind w:right="101"/>
              <w:spacing w:after="0"/>
              <w:rPr>
                <w:sz w:val="20"/>
                <w:szCs w:val="20"/>
                <w:color w:val="auto"/>
              </w:rPr>
            </w:pPr>
            <w:r>
              <w:rPr>
                <w:rFonts w:ascii="Times New Roman" w:cs="Times New Roman" w:eastAsia="Times New Roman" w:hAnsi="Times New Roman"/>
                <w:sz w:val="18"/>
                <w:szCs w:val="18"/>
                <w:color w:val="auto"/>
              </w:rPr>
              <w:t>(67 )</w:t>
            </w: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B7DEE8"/>
          </w:tcPr>
          <w:p>
            <w:pPr>
              <w:spacing w:after="0"/>
              <w:rPr>
                <w:sz w:val="21"/>
                <w:szCs w:val="21"/>
                <w:color w:val="auto"/>
              </w:rPr>
            </w:pPr>
          </w:p>
        </w:tc>
      </w:tr>
      <w:tr>
        <w:trPr>
          <w:trHeight w:val="20"/>
        </w:trPr>
        <w:tc>
          <w:tcPr>
            <w:tcW w:w="6560" w:type="dxa"/>
            <w:vAlign w:val="bottom"/>
            <w:shd w:val="clear" w:color="auto" w:fill="B7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B7DE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(128,906 )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(19,993 )</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60" w:type="dxa"/>
            <w:vAlign w:val="bottom"/>
            <w:shd w:val="clear" w:color="auto" w:fill="B7DEE8"/>
          </w:tcPr>
          <w:p>
            <w:pPr>
              <w:spacing w:after="0"/>
              <w:rPr>
                <w:sz w:val="19"/>
                <w:szCs w:val="19"/>
                <w:color w:val="auto"/>
              </w:rPr>
            </w:pPr>
          </w:p>
        </w:tc>
        <w:tc>
          <w:tcPr>
            <w:tcW w:w="260" w:type="dxa"/>
            <w:vAlign w:val="bottom"/>
            <w:shd w:val="clear" w:color="auto" w:fill="B7DEE8"/>
          </w:tcPr>
          <w:p>
            <w:pPr>
              <w:spacing w:after="0"/>
              <w:rPr>
                <w:sz w:val="19"/>
                <w:szCs w:val="19"/>
                <w:color w:val="auto"/>
              </w:rPr>
            </w:pPr>
          </w:p>
        </w:tc>
        <w:tc>
          <w:tcPr>
            <w:tcW w:w="1360" w:type="dxa"/>
            <w:vAlign w:val="bottom"/>
            <w:shd w:val="clear" w:color="auto" w:fill="B7DEE8"/>
          </w:tcPr>
          <w:p>
            <w:pPr>
              <w:spacing w:after="0"/>
              <w:rPr>
                <w:sz w:val="19"/>
                <w:szCs w:val="19"/>
                <w:color w:val="auto"/>
              </w:rPr>
            </w:pPr>
          </w:p>
        </w:tc>
        <w:tc>
          <w:tcPr>
            <w:tcW w:w="240" w:type="dxa"/>
            <w:vAlign w:val="bottom"/>
            <w:shd w:val="clear" w:color="auto" w:fill="B7DEE8"/>
          </w:tcPr>
          <w:p>
            <w:pPr>
              <w:spacing w:after="0"/>
              <w:rPr>
                <w:sz w:val="19"/>
                <w:szCs w:val="19"/>
                <w:color w:val="auto"/>
              </w:rPr>
            </w:pPr>
          </w:p>
        </w:tc>
        <w:tc>
          <w:tcPr>
            <w:tcW w:w="360" w:type="dxa"/>
            <w:vAlign w:val="bottom"/>
            <w:shd w:val="clear" w:color="auto" w:fill="B7DEE8"/>
          </w:tcPr>
          <w:p>
            <w:pPr>
              <w:spacing w:after="0"/>
              <w:rPr>
                <w:sz w:val="19"/>
                <w:szCs w:val="19"/>
                <w:color w:val="auto"/>
              </w:rPr>
            </w:pPr>
          </w:p>
        </w:tc>
        <w:tc>
          <w:tcPr>
            <w:tcW w:w="1220" w:type="dxa"/>
            <w:vAlign w:val="bottom"/>
            <w:shd w:val="clear" w:color="auto" w:fill="B7DEE8"/>
          </w:tcPr>
          <w:p>
            <w:pPr>
              <w:spacing w:after="0"/>
              <w:rPr>
                <w:sz w:val="19"/>
                <w:szCs w:val="19"/>
                <w:color w:val="auto"/>
              </w:rPr>
            </w:pPr>
          </w:p>
        </w:tc>
        <w:tc>
          <w:tcPr>
            <w:tcW w:w="100" w:type="dxa"/>
            <w:vAlign w:val="bottom"/>
            <w:shd w:val="clear" w:color="auto" w:fill="B7DEE8"/>
          </w:tcPr>
          <w:p>
            <w:pPr>
              <w:spacing w:after="0"/>
              <w:rPr>
                <w:sz w:val="19"/>
                <w:szCs w:val="19"/>
                <w:color w:val="auto"/>
              </w:rPr>
            </w:pPr>
          </w:p>
        </w:tc>
      </w:tr>
      <w:tr>
        <w:trPr>
          <w:trHeight w:val="241"/>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B7DE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B7DEE8"/>
          </w:tcPr>
          <w:p>
            <w:pPr>
              <w:jc w:val="right"/>
              <w:ind w:right="101"/>
              <w:spacing w:after="0"/>
              <w:rPr>
                <w:sz w:val="20"/>
                <w:szCs w:val="20"/>
                <w:color w:val="auto"/>
              </w:rPr>
            </w:pPr>
            <w:r>
              <w:rPr>
                <w:rFonts w:ascii="Times New Roman" w:cs="Times New Roman" w:eastAsia="Times New Roman" w:hAnsi="Times New Roman"/>
                <w:sz w:val="18"/>
                <w:szCs w:val="18"/>
                <w:color w:val="auto"/>
              </w:rPr>
              <w:t>(11.12 )</w:t>
            </w:r>
          </w:p>
        </w:tc>
        <w:tc>
          <w:tcPr>
            <w:tcW w:w="360" w:type="dxa"/>
            <w:vAlign w:val="bottom"/>
            <w:shd w:val="clear" w:color="auto" w:fill="B7DE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(11.12 )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47"/>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used to compute net loss per share</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spacing w:after="0"/>
              <w:rPr>
                <w:sz w:val="21"/>
                <w:szCs w:val="21"/>
                <w:color w:val="auto"/>
              </w:rPr>
            </w:pP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4,266,839</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B7DEE8"/>
          </w:tcPr>
          <w:p>
            <w:pPr>
              <w:spacing w:after="0"/>
              <w:rPr>
                <w:sz w:val="21"/>
                <w:szCs w:val="21"/>
                <w:color w:val="auto"/>
              </w:rPr>
            </w:pPr>
          </w:p>
        </w:tc>
        <w:tc>
          <w:tcPr>
            <w:tcW w:w="1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24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12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4,266,839</w:t>
            </w:r>
          </w:p>
        </w:tc>
        <w:tc>
          <w:tcPr>
            <w:tcW w:w="100" w:type="dxa"/>
            <w:vAlign w:val="bottom"/>
            <w:shd w:val="clear" w:color="auto" w:fill="B7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-4405630</wp:posOffset>
            </wp:positionV>
            <wp:extent cx="603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-4405630</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-3145155</wp:posOffset>
            </wp:positionV>
            <wp:extent cx="6032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-3145155</wp:posOffset>
            </wp:positionV>
            <wp:extent cx="6032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-1584960</wp:posOffset>
            </wp:positionV>
            <wp:extent cx="6032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-1584960</wp:posOffset>
            </wp:positionV>
            <wp:extent cx="6032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-1268095</wp:posOffset>
            </wp:positionV>
            <wp:extent cx="603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-1268095</wp:posOffset>
            </wp:positionV>
            <wp:extent cx="603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7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(128,906</w:t>
            </w:r>
          </w:p>
        </w:tc>
        <w:tc>
          <w:tcPr>
            <w:tcW w:w="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B6DEE8"/>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60" w:type="dxa"/>
            <w:vAlign w:val="bottom"/>
            <w:shd w:val="clear" w:color="auto" w:fill="B6DEE8"/>
          </w:tcPr>
          <w:p>
            <w:pPr>
              <w:spacing w:after="0"/>
              <w:rPr>
                <w:sz w:val="21"/>
                <w:szCs w:val="21"/>
                <w:color w:val="auto"/>
              </w:rPr>
            </w:pPr>
          </w:p>
        </w:tc>
        <w:tc>
          <w:tcPr>
            <w:tcW w:w="1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(1,675 )</w:t>
            </w:r>
          </w:p>
        </w:tc>
        <w:tc>
          <w:tcPr>
            <w:tcW w:w="960" w:type="dxa"/>
            <w:vAlign w:val="bottom"/>
            <w:shd w:val="clear" w:color="auto" w:fill="B6DEE8"/>
          </w:tcPr>
          <w:p>
            <w:pPr>
              <w:spacing w:after="0"/>
              <w:rPr>
                <w:sz w:val="21"/>
                <w:szCs w:val="21"/>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0"/>
        </w:trPr>
        <w:tc>
          <w:tcPr>
            <w:tcW w:w="6780" w:type="dxa"/>
            <w:vAlign w:val="bottom"/>
            <w:shd w:val="clear" w:color="auto" w:fill="B6DE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(130,581 )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(19,993 )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-159385</wp:posOffset>
            </wp:positionV>
            <wp:extent cx="6032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0325"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0325" cy="162560"/>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4" w:right="89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at January 1, 2021</w:t>
      </w:r>
    </w:p>
    <w:p>
      <w:pPr>
        <w:spacing w:after="0" w:line="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Issuance of Class A common stock in connection with stock plans</w:t>
      </w:r>
    </w:p>
    <w:p>
      <w:pPr>
        <w:ind w:right="340"/>
        <w:spacing w:after="0" w:line="260" w:lineRule="auto"/>
        <w:rPr>
          <w:sz w:val="20"/>
          <w:szCs w:val="20"/>
          <w:color w:val="auto"/>
        </w:rPr>
      </w:pPr>
      <w:r>
        <w:rPr>
          <w:rFonts w:ascii="Times New Roman" w:cs="Times New Roman" w:eastAsia="Times New Roman" w:hAnsi="Times New Roman"/>
          <w:sz w:val="13"/>
          <w:szCs w:val="13"/>
          <w:color w:val="auto"/>
        </w:rPr>
        <w:t>Vesting of stock option early exercises</w:t>
      </w:r>
    </w:p>
    <w:p>
      <w:pPr>
        <w:ind w:right="260"/>
        <w:spacing w:after="0" w:line="260" w:lineRule="auto"/>
        <w:rPr>
          <w:sz w:val="20"/>
          <w:szCs w:val="20"/>
          <w:color w:val="auto"/>
        </w:rPr>
      </w:pPr>
      <w:r>
        <w:rPr>
          <w:rFonts w:ascii="Times New Roman" w:cs="Times New Roman" w:eastAsia="Times New Roman" w:hAnsi="Times New Roman"/>
          <w:sz w:val="13"/>
          <w:szCs w:val="13"/>
          <w:color w:val="auto"/>
        </w:rPr>
        <w:t>Stockholder loans interest and amendment</w:t>
      </w:r>
    </w:p>
    <w:p>
      <w:pPr>
        <w:ind w:right="460"/>
        <w:spacing w:after="0" w:line="289" w:lineRule="auto"/>
        <w:rPr>
          <w:sz w:val="20"/>
          <w:szCs w:val="20"/>
          <w:color w:val="auto"/>
        </w:rPr>
      </w:pPr>
      <w:r>
        <w:rPr>
          <w:rFonts w:ascii="Times New Roman" w:cs="Times New Roman" w:eastAsia="Times New Roman" w:hAnsi="Times New Roman"/>
          <w:sz w:val="13"/>
          <w:szCs w:val="13"/>
          <w:color w:val="auto"/>
        </w:rPr>
        <w:t>Stock-based compensation Net loss</w:t>
      </w:r>
    </w:p>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p>
      <w:pPr>
        <w:spacing w:after="0" w:line="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Issuance of Class A common stock in connection with stock plans</w:t>
      </w:r>
    </w:p>
    <w:p>
      <w:pPr>
        <w:spacing w:after="0" w:line="260" w:lineRule="auto"/>
        <w:rPr>
          <w:sz w:val="20"/>
          <w:szCs w:val="20"/>
          <w:color w:val="auto"/>
        </w:rPr>
      </w:pPr>
      <w:r>
        <w:rPr>
          <w:rFonts w:ascii="Times New Roman" w:cs="Times New Roman" w:eastAsia="Times New Roman" w:hAnsi="Times New Roman"/>
          <w:sz w:val="13"/>
          <w:szCs w:val="13"/>
          <w:color w:val="auto"/>
        </w:rPr>
        <w:t>Issuance of Class A common stock pursuant to the PIPE financing</w:t>
      </w:r>
    </w:p>
    <w:p>
      <w:pPr>
        <w:spacing w:after="0" w:line="260" w:lineRule="auto"/>
        <w:rPr>
          <w:sz w:val="20"/>
          <w:szCs w:val="20"/>
          <w:color w:val="auto"/>
        </w:rPr>
      </w:pPr>
      <w:r>
        <w:rPr>
          <w:rFonts w:ascii="Times New Roman" w:cs="Times New Roman" w:eastAsia="Times New Roman" w:hAnsi="Times New Roman"/>
          <w:sz w:val="13"/>
          <w:szCs w:val="13"/>
          <w:color w:val="auto"/>
        </w:rPr>
        <w:t>Issuance of Class A common stock pursuant to the Merger Agreement</w:t>
      </w:r>
    </w:p>
    <w:p>
      <w:pPr>
        <w:ind w:right="140"/>
        <w:spacing w:after="0" w:line="260" w:lineRule="auto"/>
        <w:rPr>
          <w:sz w:val="20"/>
          <w:szCs w:val="20"/>
          <w:color w:val="auto"/>
        </w:rPr>
      </w:pPr>
      <w:r>
        <w:rPr>
          <w:rFonts w:ascii="Times New Roman" w:cs="Times New Roman" w:eastAsia="Times New Roman" w:hAnsi="Times New Roman"/>
          <w:sz w:val="13"/>
          <w:szCs w:val="13"/>
          <w:color w:val="auto"/>
        </w:rPr>
        <w:t>Exercise of Series B-1 preferred stock warrants, net of settlement</w:t>
      </w:r>
    </w:p>
    <w:p>
      <w:pPr>
        <w:ind w:right="40"/>
        <w:spacing w:after="0" w:line="252" w:lineRule="auto"/>
        <w:rPr>
          <w:sz w:val="20"/>
          <w:szCs w:val="20"/>
          <w:color w:val="auto"/>
        </w:rPr>
      </w:pPr>
      <w:r>
        <w:rPr>
          <w:rFonts w:ascii="Times New Roman" w:cs="Times New Roman" w:eastAsia="Times New Roman" w:hAnsi="Times New Roman"/>
          <w:sz w:val="13"/>
          <w:szCs w:val="13"/>
          <w:color w:val="auto"/>
        </w:rPr>
        <w:t>Conversion of 2019 convertible notes and accrued interest to Class A common stock</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3"/>
          <w:szCs w:val="13"/>
          <w:color w:val="auto"/>
        </w:rPr>
        <w:t>Repurchase of Class A common stock</w:t>
      </w:r>
    </w:p>
    <w:p>
      <w:pPr>
        <w:ind w:right="200"/>
        <w:spacing w:after="0" w:line="260" w:lineRule="auto"/>
        <w:rPr>
          <w:sz w:val="20"/>
          <w:szCs w:val="20"/>
          <w:color w:val="auto"/>
        </w:rPr>
      </w:pPr>
      <w:r>
        <w:rPr>
          <w:rFonts w:ascii="Times New Roman" w:cs="Times New Roman" w:eastAsia="Times New Roman" w:hAnsi="Times New Roman"/>
          <w:sz w:val="13"/>
          <w:szCs w:val="13"/>
          <w:color w:val="auto"/>
        </w:rPr>
        <w:t>Exercise of warrant for Class A common stock</w:t>
      </w:r>
    </w:p>
    <w:p>
      <w:pPr>
        <w:spacing w:after="0"/>
        <w:rPr>
          <w:sz w:val="20"/>
          <w:szCs w:val="20"/>
          <w:color w:val="auto"/>
        </w:rPr>
      </w:pPr>
      <w:r>
        <w:rPr>
          <w:rFonts w:ascii="Times New Roman" w:cs="Times New Roman" w:eastAsia="Times New Roman" w:hAnsi="Times New Roman"/>
          <w:sz w:val="13"/>
          <w:szCs w:val="13"/>
          <w:color w:val="auto"/>
        </w:rPr>
        <w:t>Stockholder loans interest</w:t>
      </w:r>
    </w:p>
    <w:p>
      <w:pPr>
        <w:spacing w:after="0" w:line="2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3"/>
          <w:szCs w:val="13"/>
          <w:color w:val="auto"/>
        </w:rPr>
        <w:t>Exercise of derivative asset and paydown of stockholder loans</w:t>
      </w:r>
    </w:p>
    <w:p>
      <w:pPr>
        <w:spacing w:after="0"/>
        <w:rPr>
          <w:sz w:val="20"/>
          <w:szCs w:val="20"/>
          <w:color w:val="auto"/>
        </w:rPr>
      </w:pPr>
      <w:r>
        <w:rPr>
          <w:rFonts w:ascii="Times New Roman" w:cs="Times New Roman" w:eastAsia="Times New Roman" w:hAnsi="Times New Roman"/>
          <w:sz w:val="13"/>
          <w:szCs w:val="13"/>
          <w:color w:val="auto"/>
        </w:rPr>
        <w:t>Extinguishment of liability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2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3"/>
          <w:szCs w:val="13"/>
          <w:color w:val="auto"/>
        </w:rPr>
        <w:t>Unrealized loss on available-for-sale securities</w:t>
      </w: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restart"/>
          </w:tcPr>
          <w:p>
            <w:pPr>
              <w:jc w:val="center"/>
              <w:ind w:right="2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5"/>
                <w:szCs w:val="5"/>
                <w:color w:val="auto"/>
              </w:rPr>
            </w:pPr>
          </w:p>
        </w:tc>
        <w:tc>
          <w:tcPr>
            <w:tcW w:w="960" w:type="dxa"/>
            <w:vAlign w:val="bottom"/>
            <w:gridSpan w:val="2"/>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Loans to</w:t>
            </w:r>
          </w:p>
        </w:tc>
        <w:tc>
          <w:tcPr>
            <w:tcW w:w="84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0" w:type="dxa"/>
            <w:vAlign w:val="bottom"/>
            <w:gridSpan w:val="3"/>
            <w:vMerge w:val="restart"/>
          </w:tcPr>
          <w:p>
            <w:pPr>
              <w:jc w:val="center"/>
              <w:ind w:right="2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68"/>
        </w:trPr>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5"/>
                <w:szCs w:val="5"/>
                <w:color w:val="auto"/>
              </w:rPr>
            </w:pPr>
          </w:p>
        </w:tc>
        <w:tc>
          <w:tcPr>
            <w:tcW w:w="9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5"/>
                <w:szCs w:val="5"/>
                <w:color w:val="auto"/>
              </w:rPr>
            </w:pPr>
          </w:p>
        </w:tc>
        <w:tc>
          <w:tcPr>
            <w:tcW w:w="720" w:type="dxa"/>
            <w:vAlign w:val="bottom"/>
            <w:gridSpan w:val="3"/>
            <w:vMerge w:val="restart"/>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0" w:type="dxa"/>
            <w:vAlign w:val="bottom"/>
            <w:gridSpan w:val="3"/>
            <w:vMerge w:val="restart"/>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2"/>
                <w:szCs w:val="12"/>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nt</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9,122,248</w:t>
            </w: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1,514,082</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77,665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(14,764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(12,904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49,844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(428 )</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(279 )</w:t>
            </w:r>
          </w:p>
        </w:tc>
        <w:tc>
          <w:tcPr>
            <w:tcW w:w="0" w:type="dxa"/>
            <w:vAlign w:val="bottom"/>
          </w:tcPr>
          <w:p>
            <w:pPr>
              <w:spacing w:after="0"/>
              <w:rPr>
                <w:sz w:val="1"/>
                <w:szCs w:val="1"/>
                <w:color w:val="auto"/>
              </w:rPr>
            </w:pPr>
          </w:p>
        </w:tc>
      </w:tr>
      <w:tr>
        <w:trPr>
          <w:trHeight w:val="25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(19,993 )</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(19,993 )</w:t>
            </w:r>
          </w:p>
        </w:tc>
        <w:tc>
          <w:tcPr>
            <w:tcW w:w="0" w:type="dxa"/>
            <w:vAlign w:val="bottom"/>
          </w:tcPr>
          <w:p>
            <w:pPr>
              <w:spacing w:after="0"/>
              <w:rPr>
                <w:sz w:val="1"/>
                <w:szCs w:val="1"/>
                <w:color w:val="auto"/>
              </w:rPr>
            </w:pPr>
          </w:p>
        </w:tc>
      </w:tr>
      <w:tr>
        <w:trPr>
          <w:trHeight w:val="172"/>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9,283,010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1,514,082</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86,830</w:t>
            </w: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(15,192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(32,897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38,737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264,390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656,247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(29,852 )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(29,852 )</w:t>
            </w: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(6,203 )</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(1,588 )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(1,583 )</w:t>
            </w: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(12 )</w:t>
            </w:r>
          </w:p>
        </w:tc>
        <w:tc>
          <w:tcPr>
            <w:tcW w:w="0" w:type="dxa"/>
            <w:vAlign w:val="bottom"/>
          </w:tcPr>
          <w:p>
            <w:pPr>
              <w:spacing w:after="0"/>
              <w:rPr>
                <w:sz w:val="1"/>
                <w:szCs w:val="1"/>
                <w:color w:val="auto"/>
              </w:rPr>
            </w:pPr>
          </w:p>
        </w:tc>
      </w:tr>
      <w:tr>
        <w:trPr>
          <w:trHeight w:val="243"/>
        </w:trPr>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(187,945 )</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(44,885 )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(29,681 )</w:t>
            </w:r>
          </w:p>
        </w:tc>
        <w:tc>
          <w:tcPr>
            <w:tcW w:w="0" w:type="dxa"/>
            <w:vAlign w:val="bottom"/>
          </w:tcPr>
          <w:p>
            <w:pPr>
              <w:spacing w:after="0"/>
              <w:rPr>
                <w:sz w:val="1"/>
                <w:szCs w:val="1"/>
                <w:color w:val="auto"/>
              </w:rPr>
            </w:pPr>
          </w:p>
        </w:tc>
      </w:tr>
      <w:tr>
        <w:trPr>
          <w:trHeight w:val="254"/>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40,639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(1,675 )</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(1,675 )</w:t>
            </w:r>
          </w:p>
        </w:tc>
        <w:tc>
          <w:tcPr>
            <w:tcW w:w="0" w:type="dxa"/>
            <w:vAlign w:val="bottom"/>
          </w:tcPr>
          <w:p>
            <w:pPr>
              <w:spacing w:after="0"/>
              <w:rPr>
                <w:sz w:val="1"/>
                <w:szCs w:val="1"/>
                <w:color w:val="auto"/>
              </w:rPr>
            </w:pPr>
          </w:p>
        </w:tc>
      </w:tr>
      <w:tr>
        <w:trPr>
          <w:trHeight w:val="257"/>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(128,906 )</w:t>
            </w: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(128,906 )</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10,284,657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1,514,082</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270,037</w:t>
            </w:r>
          </w:p>
        </w:tc>
        <w:tc>
          <w:tcPr>
            <w:tcW w:w="1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(161,803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106,560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-3608070</wp:posOffset>
            </wp:positionV>
            <wp:extent cx="7132320"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-3291205</wp:posOffset>
            </wp:positionV>
            <wp:extent cx="713232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-2879725</wp:posOffset>
            </wp:positionV>
            <wp:extent cx="7132320"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-2647950</wp:posOffset>
            </wp:positionV>
            <wp:extent cx="7132320" cy="111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-2331085</wp:posOffset>
            </wp:positionV>
            <wp:extent cx="713232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-1919605</wp:posOffset>
            </wp:positionV>
            <wp:extent cx="713232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-1413510</wp:posOffset>
            </wp:positionV>
            <wp:extent cx="713232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-1002665</wp:posOffset>
            </wp:positionV>
            <wp:extent cx="7132320"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-685165</wp:posOffset>
            </wp:positionV>
            <wp:extent cx="7132320"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-462280</wp:posOffset>
            </wp:positionV>
            <wp:extent cx="713232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-136525</wp:posOffset>
            </wp:positionV>
            <wp:extent cx="713232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35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8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80"/>
            <w:col w:w="9200"/>
          </w:cols>
          <w:pgMar w:left="340" w:top="117" w:right="379" w:bottom="1440" w:gutter="0" w:footer="0" w:header="0"/>
        </w:sectPr>
      </w:pPr>
    </w:p>
    <w:bookmarkStart w:id="72" w:name="page73"/>
    <w:bookmarkEnd w:id="72"/>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28575</wp:posOffset>
            </wp:positionV>
            <wp:extent cx="23660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0" w:lineRule="exact"/>
        <w:rPr>
          <w:sz w:val="20"/>
          <w:szCs w:val="20"/>
          <w:color w:val="auto"/>
        </w:rPr>
      </w:pPr>
    </w:p>
    <w:p>
      <w:pPr>
        <w:ind w:left="7840"/>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28575</wp:posOffset>
            </wp:positionV>
            <wp:extent cx="23660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1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shd w:val="clear" w:color="auto" w:fill="B7DEE8"/>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(128,906 )</w:t>
            </w:r>
          </w:p>
        </w:tc>
        <w:tc>
          <w:tcPr>
            <w:tcW w:w="560" w:type="dxa"/>
            <w:vAlign w:val="bottom"/>
            <w:shd w:val="clear" w:color="auto" w:fill="B7DEE8"/>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(19,993 )</w:t>
            </w: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unrecoverable advances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(34,791 )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58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(9,629 )</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(14,192 )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Disposal of property and equipment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(4,290 )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Non-cash interest</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58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marketable securities and short-term investments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(578 )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7DEE8"/>
          </w:tcPr>
          <w:p>
            <w:pPr>
              <w:spacing w:after="0"/>
              <w:rPr>
                <w:sz w:val="21"/>
                <w:szCs w:val="21"/>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Member advances, service revenue</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(6,842 )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(2,280 )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(6,805 )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(1,684 )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(263 )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(1,625 )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(466 )</w:t>
            </w: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(137 )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payable, convertible notes</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39"/>
        </w:trPr>
        <w:tc>
          <w:tcPr>
            <w:tcW w:w="716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80" w:type="dxa"/>
            <w:vAlign w:val="bottom"/>
            <w:tcBorders>
              <w:bottom w:val="single" w:sz="8" w:color="auto"/>
            </w:tcBorders>
            <w:shd w:val="clear" w:color="auto" w:fill="B7DEE8"/>
          </w:tcPr>
          <w:p>
            <w:pPr>
              <w:spacing w:after="0"/>
              <w:rPr>
                <w:sz w:val="20"/>
                <w:szCs w:val="20"/>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(44,883</w:t>
            </w:r>
          </w:p>
        </w:tc>
        <w:tc>
          <w:tcPr>
            <w:tcW w:w="440" w:type="dxa"/>
            <w:vAlign w:val="bottom"/>
            <w:tcBorders>
              <w:bottom w:val="single" w:sz="8" w:color="B7DEE8"/>
            </w:tcBorders>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560" w:type="dxa"/>
            <w:vAlign w:val="bottom"/>
            <w:tcBorders>
              <w:bottom w:val="single" w:sz="8" w:color="auto"/>
            </w:tcBorders>
            <w:shd w:val="clear" w:color="auto" w:fill="B7DEE8"/>
          </w:tcPr>
          <w:p>
            <w:pPr>
              <w:spacing w:after="0"/>
              <w:rPr>
                <w:sz w:val="20"/>
                <w:szCs w:val="20"/>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1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9"/>
        </w:trPr>
        <w:tc>
          <w:tcPr>
            <w:tcW w:w="7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1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spacing w:after="0"/>
              <w:rPr>
                <w:sz w:val="21"/>
                <w:szCs w:val="21"/>
                <w:color w:val="auto"/>
              </w:rPr>
            </w:pP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58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(8,584 )</w:t>
            </w:r>
          </w:p>
        </w:tc>
        <w:tc>
          <w:tcPr>
            <w:tcW w:w="5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(6,107 )</w:t>
            </w: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(728 )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disbursements and collections of Member advances</w:t>
            </w:r>
          </w:p>
        </w:tc>
        <w:tc>
          <w:tcPr>
            <w:tcW w:w="58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(114,323 )</w:t>
            </w:r>
          </w:p>
        </w:tc>
        <w:tc>
          <w:tcPr>
            <w:tcW w:w="5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(40,163 )</w:t>
            </w: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(202,091 )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and maturity of short-term investments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(317,675 )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325,594</w:t>
            </w:r>
          </w:p>
        </w:tc>
        <w:tc>
          <w:tcPr>
            <w:tcW w:w="4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Pr>
          <w:p>
            <w:pPr>
              <w:spacing w:after="0"/>
              <w:rPr>
                <w:sz w:val="20"/>
                <w:szCs w:val="20"/>
                <w:color w:val="auto"/>
              </w:rPr>
            </w:pPr>
          </w:p>
        </w:tc>
      </w:tr>
      <w:tr>
        <w:trPr>
          <w:trHeight w:val="239"/>
        </w:trPr>
        <w:tc>
          <w:tcPr>
            <w:tcW w:w="716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80" w:type="dxa"/>
            <w:vAlign w:val="bottom"/>
            <w:tcBorders>
              <w:bottom w:val="single" w:sz="8" w:color="auto"/>
            </w:tcBorders>
            <w:shd w:val="clear" w:color="auto" w:fill="B7DEE8"/>
          </w:tcPr>
          <w:p>
            <w:pPr>
              <w:spacing w:after="0"/>
              <w:rPr>
                <w:sz w:val="20"/>
                <w:szCs w:val="20"/>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(285,579</w:t>
            </w:r>
          </w:p>
        </w:tc>
        <w:tc>
          <w:tcPr>
            <w:tcW w:w="440" w:type="dxa"/>
            <w:vAlign w:val="bottom"/>
            <w:tcBorders>
              <w:bottom w:val="single" w:sz="8" w:color="B7DEE8"/>
            </w:tcBorders>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560" w:type="dxa"/>
            <w:vAlign w:val="bottom"/>
            <w:tcBorders>
              <w:bottom w:val="single" w:sz="8" w:color="auto"/>
            </w:tcBorders>
            <w:shd w:val="clear" w:color="auto" w:fill="B7DEE8"/>
          </w:tcPr>
          <w:p>
            <w:pPr>
              <w:spacing w:after="0"/>
              <w:rPr>
                <w:sz w:val="20"/>
                <w:szCs w:val="20"/>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(37,202</w:t>
            </w:r>
          </w:p>
        </w:tc>
        <w:tc>
          <w:tcPr>
            <w:tcW w:w="1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9"/>
        </w:trPr>
        <w:tc>
          <w:tcPr>
            <w:tcW w:w="7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1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spacing w:after="0"/>
              <w:rPr>
                <w:sz w:val="21"/>
                <w:szCs w:val="21"/>
                <w:color w:val="auto"/>
              </w:rPr>
            </w:pP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on line of credit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(3,910 )</w:t>
            </w: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PIPE offering</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escrow account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(23,005 )</w:t>
            </w:r>
          </w:p>
        </w:tc>
        <w:tc>
          <w:tcPr>
            <w:tcW w:w="560" w:type="dxa"/>
            <w:vAlign w:val="bottom"/>
            <w:shd w:val="clear" w:color="auto" w:fill="B7DEE8"/>
          </w:tcPr>
          <w:p>
            <w:pPr>
              <w:spacing w:after="0"/>
              <w:rPr>
                <w:sz w:val="21"/>
                <w:szCs w:val="21"/>
                <w:color w:val="auto"/>
              </w:rPr>
            </w:pPr>
          </w:p>
        </w:tc>
        <w:tc>
          <w:tcPr>
            <w:tcW w:w="112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(2,753 )</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80" w:type="dxa"/>
            <w:vAlign w:val="bottom"/>
            <w:shd w:val="clear" w:color="auto" w:fill="B7DEE8"/>
          </w:tcPr>
          <w:p>
            <w:pPr>
              <w:spacing w:after="0"/>
              <w:rPr>
                <w:sz w:val="21"/>
                <w:szCs w:val="21"/>
                <w:color w:val="auto"/>
              </w:rPr>
            </w:pPr>
          </w:p>
        </w:tc>
        <w:tc>
          <w:tcPr>
            <w:tcW w:w="1580" w:type="dxa"/>
            <w:vAlign w:val="bottom"/>
            <w:gridSpan w:val="2"/>
            <w:shd w:val="clear" w:color="auto" w:fill="B7DEE8"/>
          </w:tcPr>
          <w:p>
            <w:pPr>
              <w:jc w:val="right"/>
              <w:ind w:right="270"/>
              <w:spacing w:after="0"/>
              <w:rPr>
                <w:sz w:val="20"/>
                <w:szCs w:val="20"/>
                <w:color w:val="auto"/>
              </w:rPr>
            </w:pPr>
            <w:r>
              <w:rPr>
                <w:rFonts w:ascii="Times New Roman" w:cs="Times New Roman" w:eastAsia="Times New Roman" w:hAnsi="Times New Roman"/>
                <w:sz w:val="18"/>
                <w:szCs w:val="18"/>
                <w:color w:val="auto"/>
              </w:rPr>
              <w:t>(536 )</w:t>
            </w: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convertible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71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debt and credit facilities</w:t>
            </w:r>
          </w:p>
        </w:tc>
        <w:tc>
          <w:tcPr>
            <w:tcW w:w="58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40" w:type="dxa"/>
            <w:vAlign w:val="bottom"/>
            <w:shd w:val="clear" w:color="auto" w:fill="B7DEE8"/>
          </w:tcPr>
          <w:p>
            <w:pPr>
              <w:spacing w:after="0"/>
              <w:rPr>
                <w:sz w:val="21"/>
                <w:szCs w:val="21"/>
                <w:color w:val="auto"/>
              </w:rPr>
            </w:pPr>
          </w:p>
        </w:tc>
        <w:tc>
          <w:tcPr>
            <w:tcW w:w="560" w:type="dxa"/>
            <w:vAlign w:val="bottom"/>
            <w:shd w:val="clear" w:color="auto" w:fill="B7DEE8"/>
          </w:tcPr>
          <w:p>
            <w:pPr>
              <w:spacing w:after="0"/>
              <w:rPr>
                <w:sz w:val="21"/>
                <w:szCs w:val="21"/>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B7DEE8"/>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borrowings on credit facility</w:t>
            </w:r>
          </w:p>
        </w:tc>
        <w:tc>
          <w:tcPr>
            <w:tcW w:w="58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(20,000 )</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7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-3274060</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-3274060</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-1713865</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-1713865</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ectPr>
          <w:pgSz w:w="11900" w:h="16838" w:orient="portrait"/>
          <w:cols w:equalWidth="0" w:num="1">
            <w:col w:w="11000"/>
          </w:cols>
          <w:pgMar w:left="560" w:top="117" w:right="339" w:bottom="1440" w:gutter="0" w:footer="0" w:header="0"/>
        </w:sectPr>
      </w:pPr>
    </w:p>
    <w:p>
      <w:pPr>
        <w:spacing w:after="0" w:line="15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17" w:right="339" w:bottom="1440" w:gutter="0" w:footer="0" w:header="0"/>
          <w:type w:val="continuous"/>
        </w:sectPr>
      </w:pPr>
    </w:p>
    <w:bookmarkStart w:id="73" w:name="page74"/>
    <w:bookmarkEnd w:id="73"/>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6998970"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998970" cy="3257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97" w:lineRule="exact"/>
        <w:rPr>
          <w:sz w:val="20"/>
          <w:szCs w:val="20"/>
          <w:color w:val="auto"/>
        </w:rPr>
      </w:pPr>
    </w:p>
    <w:p>
      <w:pPr>
        <w:ind w:left="20" w:right="1500"/>
        <w:spacing w:after="0" w:line="312" w:lineRule="auto"/>
        <w:rPr>
          <w:sz w:val="20"/>
          <w:szCs w:val="20"/>
          <w:color w:val="auto"/>
        </w:rPr>
      </w:pPr>
      <w:r>
        <w:rPr>
          <w:rFonts w:ascii="Times New Roman" w:cs="Times New Roman" w:eastAsia="Times New Roman" w:hAnsi="Times New Roman"/>
          <w:sz w:val="17"/>
          <w:szCs w:val="17"/>
          <w:color w:val="auto"/>
        </w:rPr>
        <w:t>Net (decrease) increase in cash and cash equivalents and restricted cash Cash and cash equivalents and restricted cash,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-318770</wp:posOffset>
            </wp:positionV>
            <wp:extent cx="698627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-1905</wp:posOffset>
            </wp:positionV>
            <wp:extent cx="6986270" cy="3346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986270" cy="3346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200025</wp:posOffset>
            </wp:positionV>
            <wp:extent cx="698627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lease right of use assets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98627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lease liabilities recognized</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Property and equipment purchases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98627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pacing w:after="0" w:line="16" w:lineRule="exact"/>
        <w:rPr>
          <w:sz w:val="20"/>
          <w:szCs w:val="20"/>
          <w:color w:val="auto"/>
        </w:rPr>
      </w:pPr>
    </w:p>
    <w:p>
      <w:pPr>
        <w:ind w:left="100"/>
        <w:spacing w:after="0" w:line="266" w:lineRule="auto"/>
        <w:rPr>
          <w:sz w:val="20"/>
          <w:szCs w:val="20"/>
          <w:color w:val="auto"/>
        </w:rPr>
      </w:pPr>
      <w:r>
        <w:rPr>
          <w:rFonts w:ascii="Times New Roman" w:cs="Times New Roman" w:eastAsia="Times New Roman" w:hAnsi="Times New Roman"/>
          <w:sz w:val="18"/>
          <w:szCs w:val="18"/>
          <w:color w:val="auto"/>
        </w:rPr>
        <w:t>Conversion of convertible preferred stock to Class A common stock in connection with the reverse recapitalization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321,767</w:t>
            </w:r>
          </w:p>
        </w:tc>
        <w:tc>
          <w:tcPr>
            <w:tcW w:w="100" w:type="dxa"/>
            <w:vAlign w:val="bottom"/>
          </w:tcPr>
          <w:p>
            <w:pPr>
              <w:spacing w:after="0"/>
              <w:rPr>
                <w:sz w:val="22"/>
                <w:szCs w:val="22"/>
                <w:color w:val="auto"/>
              </w:rPr>
            </w:pPr>
          </w:p>
        </w:tc>
        <w:tc>
          <w:tcPr>
            <w:tcW w:w="340" w:type="dxa"/>
            <w:vAlign w:val="bottom"/>
            <w:tcBorders>
              <w:top w:val="single" w:sz="8" w:color="B7DEE8"/>
              <w:bottom w:val="single" w:sz="8" w:color="B7DEE8"/>
            </w:tcBorders>
            <w:shd w:val="clear" w:color="auto" w:fill="B7DEE8"/>
          </w:tcPr>
          <w:p>
            <w:pPr>
              <w:spacing w:after="0"/>
              <w:rPr>
                <w:sz w:val="22"/>
                <w:szCs w:val="22"/>
                <w:color w:val="auto"/>
              </w:rPr>
            </w:pPr>
          </w:p>
        </w:tc>
        <w:tc>
          <w:tcPr>
            <w:tcW w:w="580" w:type="dxa"/>
            <w:vAlign w:val="bottom"/>
            <w:tcBorders>
              <w:top w:val="single" w:sz="8" w:color="auto"/>
              <w:bottom w:val="single" w:sz="8" w:color="auto"/>
            </w:tcBorders>
            <w:shd w:val="clear" w:color="auto" w:fill="B7DEE8"/>
          </w:tcPr>
          <w:p>
            <w:pPr>
              <w:spacing w:after="0"/>
              <w:rPr>
                <w:sz w:val="22"/>
                <w:szCs w:val="22"/>
                <w:color w:val="auto"/>
              </w:rPr>
            </w:pPr>
          </w:p>
        </w:tc>
        <w:tc>
          <w:tcPr>
            <w:tcW w:w="9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65,046</w:t>
            </w:r>
          </w:p>
        </w:tc>
        <w:tc>
          <w:tcPr>
            <w:tcW w:w="100" w:type="dxa"/>
            <w:vAlign w:val="bottom"/>
            <w:tcBorders>
              <w:top w:val="single" w:sz="8" w:color="B7DEE8"/>
              <w:bottom w:val="single" w:sz="8" w:color="B7DEE8"/>
            </w:tcBorders>
            <w:shd w:val="clear" w:color="auto" w:fill="B7DEE8"/>
          </w:tcPr>
          <w:p>
            <w:pPr>
              <w:spacing w:after="0"/>
              <w:rPr>
                <w:sz w:val="22"/>
                <w:szCs w:val="22"/>
                <w:color w:val="auto"/>
              </w:rPr>
            </w:pPr>
          </w:p>
        </w:tc>
      </w:tr>
      <w:tr>
        <w:trPr>
          <w:trHeight w:val="468"/>
        </w:trPr>
        <w:tc>
          <w:tcPr>
            <w:tcW w:w="6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(8,695 )</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Pr>
          <w:p>
            <w:pPr>
              <w:spacing w:after="0"/>
              <w:rPr>
                <w:sz w:val="24"/>
                <w:szCs w:val="24"/>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21"/>
                <w:szCs w:val="21"/>
                <w:color w:val="auto"/>
              </w:rPr>
            </w:pPr>
          </w:p>
        </w:tc>
      </w:tr>
      <w:tr>
        <w:trPr>
          <w:trHeight w:val="241"/>
        </w:trPr>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32,372</w:t>
            </w:r>
          </w:p>
        </w:tc>
        <w:tc>
          <w:tcPr>
            <w:tcW w:w="100" w:type="dxa"/>
            <w:vAlign w:val="bottom"/>
          </w:tcPr>
          <w:p>
            <w:pPr>
              <w:spacing w:after="0"/>
              <w:rPr>
                <w:sz w:val="20"/>
                <w:szCs w:val="20"/>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43"/>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43"/>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51"/>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72,173</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ectPr>
          <w:pgSz w:w="11900" w:h="16838" w:orient="portrait"/>
          <w:cols w:equalWidth="0" w:num="2">
            <w:col w:w="6660" w:space="520"/>
            <w:col w:w="3820"/>
          </w:cols>
          <w:pgMar w:left="560" w:top="120"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Recapitalization transaction costs liability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98627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pacing w:after="0" w:line="16" w:lineRule="exact"/>
        <w:rPr>
          <w:sz w:val="20"/>
          <w:szCs w:val="20"/>
          <w:color w:val="auto"/>
        </w:rPr>
      </w:pPr>
    </w:p>
    <w:p>
      <w:pPr>
        <w:ind w:left="100"/>
        <w:spacing w:after="0" w:line="266" w:lineRule="auto"/>
        <w:rPr>
          <w:sz w:val="20"/>
          <w:szCs w:val="20"/>
          <w:color w:val="auto"/>
        </w:rPr>
      </w:pPr>
      <w:r>
        <w:rPr>
          <w:rFonts w:ascii="Times New Roman" w:cs="Times New Roman" w:eastAsia="Times New Roman" w:hAnsi="Times New Roman"/>
          <w:sz w:val="18"/>
          <w:szCs w:val="18"/>
          <w:color w:val="auto"/>
        </w:rPr>
        <w:t>Conversion of convertible notes and accrued interest to Class A common stock in connection with the reverse recapitalization</w:t>
      </w:r>
    </w:p>
    <w:p>
      <w:pPr>
        <w:ind w:left="100" w:right="580"/>
        <w:spacing w:after="0" w:line="266" w:lineRule="auto"/>
        <w:rPr>
          <w:sz w:val="20"/>
          <w:szCs w:val="20"/>
          <w:color w:val="auto"/>
        </w:rPr>
      </w:pPr>
      <w:r>
        <w:rPr>
          <w:rFonts w:ascii="Times New Roman" w:cs="Times New Roman" w:eastAsia="Times New Roman" w:hAnsi="Times New Roman"/>
          <w:sz w:val="18"/>
          <w:szCs w:val="18"/>
          <w:color w:val="auto"/>
        </w:rPr>
        <w:t>Conversion of B-1 warrants to Class A common stock in connection with the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-287655</wp:posOffset>
            </wp:positionV>
            <wp:extent cx="6986270" cy="291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98627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10,650</w:t>
            </w:r>
          </w:p>
        </w:tc>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720</w:t>
            </w:r>
          </w:p>
        </w:tc>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3,365</w:t>
            </w:r>
          </w:p>
        </w:tc>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ectPr>
          <w:pgSz w:w="11900" w:h="16838" w:orient="portrait"/>
          <w:cols w:equalWidth="0" w:num="2">
            <w:col w:w="6800" w:space="400"/>
            <w:col w:w="3800"/>
          </w:cols>
          <w:pgMar w:left="560" w:top="120"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Discharge of PIPE promissory note in connection with the reverse recapitalization</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0"/>
        </w:trPr>
        <w:tc>
          <w:tcPr>
            <w:tcW w:w="71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Vesting of common stock exercised early</w:t>
            </w:r>
          </w:p>
        </w:tc>
        <w:tc>
          <w:tcPr>
            <w:tcW w:w="660" w:type="dxa"/>
            <w:vAlign w:val="bottom"/>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B7DEE8"/>
          </w:tcPr>
          <w:p>
            <w:pPr>
              <w:spacing w:after="0"/>
              <w:rPr>
                <w:sz w:val="21"/>
                <w:szCs w:val="21"/>
                <w:color w:val="auto"/>
              </w:rPr>
            </w:pPr>
          </w:p>
        </w:tc>
        <w:tc>
          <w:tcPr>
            <w:tcW w:w="580" w:type="dxa"/>
            <w:vAlign w:val="bottom"/>
            <w:shd w:val="clear" w:color="auto" w:fill="B7DEE8"/>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B7DEE8"/>
          </w:tcPr>
          <w:p>
            <w:pPr>
              <w:spacing w:after="0"/>
              <w:rPr>
                <w:sz w:val="21"/>
                <w:szCs w:val="21"/>
                <w:color w:val="auto"/>
              </w:rPr>
            </w:pPr>
          </w:p>
        </w:tc>
      </w:tr>
      <w:tr>
        <w:trPr>
          <w:trHeight w:val="23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loan to stockholder</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r>
      <w:tr>
        <w:trPr>
          <w:trHeight w:val="247"/>
        </w:trPr>
        <w:tc>
          <w:tcPr>
            <w:tcW w:w="7180" w:type="dxa"/>
            <w:vAlign w:val="bottom"/>
            <w:shd w:val="clear" w:color="auto" w:fill="B7DEE8"/>
          </w:tcPr>
          <w:p>
            <w:pPr>
              <w:spacing w:after="0"/>
              <w:rPr>
                <w:sz w:val="21"/>
                <w:szCs w:val="21"/>
                <w:color w:val="auto"/>
              </w:rPr>
            </w:pPr>
          </w:p>
        </w:tc>
        <w:tc>
          <w:tcPr>
            <w:tcW w:w="660" w:type="dxa"/>
            <w:vAlign w:val="bottom"/>
            <w:shd w:val="clear" w:color="auto" w:fill="B7DEE8"/>
          </w:tcPr>
          <w:p>
            <w:pPr>
              <w:spacing w:after="0"/>
              <w:rPr>
                <w:sz w:val="21"/>
                <w:szCs w:val="21"/>
                <w:color w:val="auto"/>
              </w:rPr>
            </w:pPr>
          </w:p>
        </w:tc>
        <w:tc>
          <w:tcPr>
            <w:tcW w:w="1060" w:type="dxa"/>
            <w:vAlign w:val="bottom"/>
            <w:shd w:val="clear" w:color="auto" w:fill="B7DEE8"/>
          </w:tcPr>
          <w:p>
            <w:pPr>
              <w:spacing w:after="0"/>
              <w:rPr>
                <w:sz w:val="21"/>
                <w:szCs w:val="21"/>
                <w:color w:val="auto"/>
              </w:rPr>
            </w:pPr>
          </w:p>
        </w:tc>
        <w:tc>
          <w:tcPr>
            <w:tcW w:w="440" w:type="dxa"/>
            <w:vAlign w:val="bottom"/>
            <w:shd w:val="clear" w:color="auto" w:fill="B7DEE8"/>
          </w:tcPr>
          <w:p>
            <w:pPr>
              <w:spacing w:after="0"/>
              <w:rPr>
                <w:sz w:val="21"/>
                <w:szCs w:val="21"/>
                <w:color w:val="auto"/>
              </w:rPr>
            </w:pPr>
          </w:p>
        </w:tc>
        <w:tc>
          <w:tcPr>
            <w:tcW w:w="580" w:type="dxa"/>
            <w:vAlign w:val="bottom"/>
            <w:shd w:val="clear" w:color="auto" w:fill="B7DEE8"/>
          </w:tcPr>
          <w:p>
            <w:pPr>
              <w:spacing w:after="0"/>
              <w:rPr>
                <w:sz w:val="21"/>
                <w:szCs w:val="21"/>
                <w:color w:val="auto"/>
              </w:rPr>
            </w:pPr>
          </w:p>
        </w:tc>
        <w:tc>
          <w:tcPr>
            <w:tcW w:w="9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41"/>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(received) paid for:</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660" w:type="dxa"/>
            <w:vAlign w:val="bottom"/>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(622 )</w:t>
            </w:r>
          </w:p>
        </w:tc>
        <w:tc>
          <w:tcPr>
            <w:tcW w:w="580" w:type="dxa"/>
            <w:vAlign w:val="bottom"/>
            <w:shd w:val="clear" w:color="auto" w:fill="B7DEE8"/>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(2,484 )</w:t>
            </w:r>
          </w:p>
        </w:tc>
      </w:tr>
      <w:tr>
        <w:trPr>
          <w:trHeight w:val="23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4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0"/>
                <w:szCs w:val="20"/>
                <w:color w:val="auto"/>
              </w:rPr>
            </w:pPr>
          </w:p>
        </w:tc>
      </w:tr>
      <w:tr>
        <w:trPr>
          <w:trHeight w:val="247"/>
        </w:trPr>
        <w:tc>
          <w:tcPr>
            <w:tcW w:w="7180" w:type="dxa"/>
            <w:vAlign w:val="bottom"/>
            <w:shd w:val="clear" w:color="auto" w:fill="B7DEE8"/>
          </w:tcPr>
          <w:p>
            <w:pPr>
              <w:spacing w:after="0"/>
              <w:rPr>
                <w:sz w:val="21"/>
                <w:szCs w:val="21"/>
                <w:color w:val="auto"/>
              </w:rPr>
            </w:pPr>
          </w:p>
        </w:tc>
        <w:tc>
          <w:tcPr>
            <w:tcW w:w="660" w:type="dxa"/>
            <w:vAlign w:val="bottom"/>
            <w:shd w:val="clear" w:color="auto" w:fill="B7DEE8"/>
          </w:tcPr>
          <w:p>
            <w:pPr>
              <w:spacing w:after="0"/>
              <w:rPr>
                <w:sz w:val="21"/>
                <w:szCs w:val="21"/>
                <w:color w:val="auto"/>
              </w:rPr>
            </w:pPr>
          </w:p>
        </w:tc>
        <w:tc>
          <w:tcPr>
            <w:tcW w:w="1060" w:type="dxa"/>
            <w:vAlign w:val="bottom"/>
            <w:shd w:val="clear" w:color="auto" w:fill="B7DEE8"/>
          </w:tcPr>
          <w:p>
            <w:pPr>
              <w:spacing w:after="0"/>
              <w:rPr>
                <w:sz w:val="21"/>
                <w:szCs w:val="21"/>
                <w:color w:val="auto"/>
              </w:rPr>
            </w:pPr>
          </w:p>
        </w:tc>
        <w:tc>
          <w:tcPr>
            <w:tcW w:w="440" w:type="dxa"/>
            <w:vAlign w:val="bottom"/>
            <w:shd w:val="clear" w:color="auto" w:fill="B7DEE8"/>
          </w:tcPr>
          <w:p>
            <w:pPr>
              <w:spacing w:after="0"/>
              <w:rPr>
                <w:sz w:val="21"/>
                <w:szCs w:val="21"/>
                <w:color w:val="auto"/>
              </w:rPr>
            </w:pPr>
          </w:p>
        </w:tc>
        <w:tc>
          <w:tcPr>
            <w:tcW w:w="580" w:type="dxa"/>
            <w:vAlign w:val="bottom"/>
            <w:shd w:val="clear" w:color="auto" w:fill="B7DEE8"/>
          </w:tcPr>
          <w:p>
            <w:pPr>
              <w:spacing w:after="0"/>
              <w:rPr>
                <w:sz w:val="21"/>
                <w:szCs w:val="21"/>
                <w:color w:val="auto"/>
              </w:rPr>
            </w:pPr>
          </w:p>
        </w:tc>
        <w:tc>
          <w:tcPr>
            <w:tcW w:w="9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11"/>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within the consolidated balance sheet with the same as shown in the consolidated</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18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440" w:type="dxa"/>
            <w:vAlign w:val="bottom"/>
            <w:shd w:val="clear" w:color="auto" w:fill="B7DEE8"/>
          </w:tcPr>
          <w:p>
            <w:pPr>
              <w:spacing w:after="0"/>
              <w:rPr>
                <w:sz w:val="21"/>
                <w:szCs w:val="21"/>
                <w:color w:val="auto"/>
              </w:rPr>
            </w:pPr>
          </w:p>
        </w:tc>
        <w:tc>
          <w:tcPr>
            <w:tcW w:w="580" w:type="dxa"/>
            <w:vAlign w:val="bottom"/>
            <w:shd w:val="clear" w:color="auto" w:fill="B7DEE8"/>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100" w:type="dxa"/>
            <w:vAlign w:val="bottom"/>
            <w:shd w:val="clear" w:color="auto" w:fill="B7DEE8"/>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r>
      <w:tr>
        <w:trPr>
          <w:trHeight w:val="281"/>
        </w:trPr>
        <w:tc>
          <w:tcPr>
            <w:tcW w:w="718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year</w:t>
            </w:r>
          </w:p>
        </w:tc>
        <w:tc>
          <w:tcPr>
            <w:tcW w:w="660" w:type="dxa"/>
            <w:vAlign w:val="bottom"/>
            <w:tcBorders>
              <w:bottom w:val="single" w:sz="8" w:color="auto"/>
            </w:tcBorders>
            <w:shd w:val="clear" w:color="auto" w:fill="B7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23,677</w:t>
            </w:r>
          </w:p>
        </w:tc>
        <w:tc>
          <w:tcPr>
            <w:tcW w:w="440" w:type="dxa"/>
            <w:vAlign w:val="bottom"/>
            <w:tcBorders>
              <w:bottom w:val="single" w:sz="8" w:color="B7DEE8"/>
            </w:tcBorders>
            <w:shd w:val="clear" w:color="auto" w:fill="B7DEE8"/>
          </w:tcPr>
          <w:p>
            <w:pPr>
              <w:spacing w:after="0"/>
              <w:rPr>
                <w:sz w:val="24"/>
                <w:szCs w:val="24"/>
                <w:color w:val="auto"/>
              </w:rPr>
            </w:pPr>
          </w:p>
        </w:tc>
        <w:tc>
          <w:tcPr>
            <w:tcW w:w="580" w:type="dxa"/>
            <w:vAlign w:val="bottom"/>
            <w:tcBorders>
              <w:bottom w:val="single" w:sz="8" w:color="auto"/>
            </w:tcBorders>
            <w:shd w:val="clear" w:color="auto" w:fill="B7DEE8"/>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32,372</w:t>
            </w:r>
          </w:p>
        </w:tc>
        <w:tc>
          <w:tcPr>
            <w:tcW w:w="100" w:type="dxa"/>
            <w:vAlign w:val="bottom"/>
            <w:tcBorders>
              <w:bottom w:val="single" w:sz="8" w:color="B7DEE8"/>
            </w:tcBorders>
            <w:shd w:val="clear" w:color="auto" w:fill="B7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1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20"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1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 for access to as little as $5 of overdraft, whereas many others in the financial services sector do not allow for overdraft at all. Dave invented a short-term liquidity alternative called ExtraCash, which allows Members to advance funds to their account and avoid a fee altogether. Members may now receive an advance of up to $500 and may only have one advance outstanding at any given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Banking:</w:t>
      </w:r>
    </w:p>
    <w:p>
      <w:pPr>
        <w:spacing w:after="0" w:line="11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Dave offers a full-service digital checking account through its partnership with Evolve Bank and Trust (“Evolve”). The Dave Spending Account does not have overdraft or minimum balance fees.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Dave's automated financial management tool leverages historical bank account data to help Members understand both recurring and commonly occurring charges. Budget notifies Members when there is a chance of an overdraft, and allows Members to qualify for Dave’s ExtraCash product for up to $500 of additional liquidity. Dave charges a $1 monthly subscription for access to the Budget product.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Hustle:</w:t>
      </w:r>
    </w:p>
    <w:p>
      <w:pPr>
        <w:spacing w:after="0" w:line="1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Dave seeks to help Members improve their financial health by presenting new job opportunities to them. Through Dave’s partnership with leading employers, Members can quickly submit applications and improve their income with flexible employment.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Surveys:</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Dave recently launched Surveys product allows for additional earning opportunities, allowing Members to take paid surveys anytime within the Dave mobile application. This functionality drives engagement within the Dave ecosystem and deepens the Company's relationship to its Members’ financial wellbeing.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VPCC, Bear Merger Company I Inc., a Delaware corporation and a direct, wholly owned Subsidiaries of VPCC (“First Merger Sub”), and Bear Merger Company II LLC, a Delaware limited liability company and a direct wholly owned Subsidiaries of VPCC (“Second Merger Sub”).</w:t>
      </w:r>
    </w:p>
    <w:p>
      <w:pPr>
        <w:spacing w:after="0" w:line="18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January 5, 2022, the holders of (a) Legacy Dave capital stock and (b) Legacy Dave’s options to purchase Legacy Dave capital stock pursuant to Legacy Dave’s stock plan (the “Legacy Dave Options”), received aggregate merger consideration, consisting of 10,226,738 shares of Class A common stock of the Company, par value $0.0001 per share (the “Class A Common Stock”) and 1,514,082 shares of Class V common stock of the Company, par value $0.0001 per share (the “Class V Common Stock”, and together with the Class A Common Stock, the “Common Stock”).</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Class A Common Stock is now listed on The Nasdaq Global Market (“Nasdaq”) under the symbol “DAVE”, and warrants to purchase the Class A Common Stock at an exercise price of $368 per share are listed on Nasdaq under the symbol “DAVEW.” The audited consolidated financial statements included in Dave’s Annual Report on Form 10-K filed with the SEC on March 25, 2022 are those of VPCC prior to the consummation of the Business Combination and the name change. The audited consolidated financial statements of Legacy Dave are included in Form 8-K/A filed with the SEC on August 22, 2022 prior to the consummation of the Business Combination and the name change. Prior to the Business Combination, VPCC neither engaged in any operations nor generated any revenue. Until the Business Combination, based on VPCC’s business activities, VPCC was a “shell company” as defined under the Securities Exchange Act of 1934, as amended (the “Exchange Act”). The audited Consolidated Financial Statements as of and for the years ended December 31, 2021 and 2020 for Legacy Dave were included in Exhibit 99.3 of Amendment No. 1 to the Current Report on Form 8-K (the “Form 8-K/A”) filed with the Securities and Exchange Commission (“SEC”) on August 22,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4, 2023, the Board approved an amendment to the Company’s certificate of incorporation to complete a 1-for-32 reverse stock split effective January 5, 2023. At a special meeting held on December 16, 2022, stockholders approved the reverse stock split. The primary goal of the reverse stock split is to bring the Company’s stock price above the share bid price requirement for continued listing on Nasdaq. The effects of the reverse stock split have been reflected in the consolidated financial statements and the footnotes.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 variable interest entity (“VIE”). All intercompany transactions and balances have been eliminated upon consolidation.</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its creditors have full recourse against the Company for its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of an equity structure. For further details, refer to Note 3, The Reverse Recapitalization and Related Transactions. Pursuant to U.S. GAAP, the Company recast its Consolidated Statements of Stockholders’ Equity from December 31, 2020 to the Closing Date, the total stockholder’s equity within the Company’s Consolidated Balance Sheet as of December 31, 2021, and the weighted average outstanding shares basic and diluted for the year ended December 31, 2021 by applying the recapitalization retroactively.</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the Company recasts the stock class and issued and outstanding number of shares, exercise prices of options and warrants for each balance sheet period presented in these consolidated financial statements and the accompanying notes.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Consolidated Statements of Stockholders’ Equity</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as part of the Closing, all of the issued and outstanding Series A preferred stock Legacy Dave were automatically converted into Legacy Dave common stock at a 1:1 ratio and Series B-1 and Series B-2 convertible preferred stock of Legacy Dave were automatically converted into Legacy Dave common stock at a 1:1.033076 ratio, which were all converted again, along with all other issued and outstanding common stock of Legacy Dave, into 10,707,706 shares of Class A Common Stock and Class V Common Stock at an exchange ratio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1.354387513 (the “Exchange Ratio”). Additionally, each of the Company’s options that were outstanding immediately prior to the closing of the Business Combination remained outstanding and converted into options for Class A Common Stock and Class V Common Stock equal to the number of the Company’s Common Stock, subject to such options multiplied by the Exchange Ratio at an exercise price per share equal to the current exercise price per share for such options divided by the Exchange Ratio, with the aggregate amount of shares of Class A Common Stock and Class V Common Stock issuable upon exercise of such options to be 1,002,383.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Consolidated Statements of Operations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Furthermore, based on the retroactive application of the reverse recapitalization to the Company’s Consolidated Statements of Stockholders’ Equity, the Company recalculated the weighted average shares for the year ended December 31, 2021. The basic and diluted weighted-average Legacy Dave Common Stock were retroactively converted to Class A Common Stock and Class V Common Stock using the Exchange Ratio to conform to the recast period (for additional information, see discussion of Net Loss Per Share Attributable to Stockholders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to conform to the retroactive application of recapitalization to the Company’s Consolidated Statements of Stockholders’ Equity,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reclassified the $9,881 of Legacy Dave Series A convertible preferred stock, $49,675 of Legacy Dave Series B-1 convertible preferred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$12,617 of Legacy Dave Series B-2 convertible preferred stock to the additional paid-in capital (“APIC”), less amounts attributable to the par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recast, as of December 31,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a derivative asset;</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117"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earnout liabilities;</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unrecoverable advances;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and</w:t>
      </w:r>
    </w:p>
    <w:p>
      <w:pPr>
        <w:spacing w:after="0" w:line="117"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940" w:type="dxa"/>
            <w:vAlign w:val="bottom"/>
            <w:shd w:val="clear" w:color="auto" w:fill="B6DEE8"/>
          </w:tcPr>
          <w:p>
            <w:pPr>
              <w:spacing w:after="0"/>
              <w:rPr>
                <w:sz w:val="20"/>
                <w:szCs w:val="20"/>
                <w:color w:val="auto"/>
              </w:rPr>
            </w:pPr>
          </w:p>
        </w:tc>
        <w:tc>
          <w:tcPr>
            <w:tcW w:w="1320" w:type="dxa"/>
            <w:vAlign w:val="bottom"/>
            <w:shd w:val="clear" w:color="auto" w:fill="B6DEE8"/>
          </w:tcPr>
          <w:p>
            <w:pPr>
              <w:spacing w:after="0"/>
              <w:rPr>
                <w:sz w:val="20"/>
                <w:szCs w:val="20"/>
                <w:color w:val="auto"/>
              </w:rPr>
            </w:pPr>
          </w:p>
        </w:tc>
        <w:tc>
          <w:tcPr>
            <w:tcW w:w="720" w:type="dxa"/>
            <w:vAlign w:val="bottom"/>
            <w:shd w:val="clear" w:color="auto" w:fill="B6DEE8"/>
          </w:tcPr>
          <w:p>
            <w:pPr>
              <w:spacing w:after="0"/>
              <w:rPr>
                <w:sz w:val="20"/>
                <w:szCs w:val="20"/>
                <w:color w:val="auto"/>
              </w:rPr>
            </w:pPr>
          </w:p>
        </w:tc>
        <w:tc>
          <w:tcPr>
            <w:tcW w:w="400" w:type="dxa"/>
            <w:vAlign w:val="bottom"/>
            <w:shd w:val="clear" w:color="auto" w:fill="B6DEE8"/>
          </w:tcPr>
          <w:p>
            <w:pPr>
              <w:spacing w:after="0"/>
              <w:rPr>
                <w:sz w:val="20"/>
                <w:szCs w:val="20"/>
                <w:color w:val="auto"/>
              </w:rPr>
            </w:pPr>
          </w:p>
        </w:tc>
        <w:tc>
          <w:tcPr>
            <w:tcW w:w="680" w:type="dxa"/>
            <w:vAlign w:val="bottom"/>
            <w:shd w:val="clear" w:color="auto" w:fill="B6DEE8"/>
          </w:tcPr>
          <w:p>
            <w:pPr>
              <w:spacing w:after="0"/>
              <w:rPr>
                <w:sz w:val="20"/>
                <w:szCs w:val="20"/>
                <w:color w:val="auto"/>
              </w:rPr>
            </w:pPr>
          </w:p>
        </w:tc>
        <w:tc>
          <w:tcPr>
            <w:tcW w:w="134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32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106,664</w:t>
            </w:r>
          </w:p>
        </w:tc>
        <w:tc>
          <w:tcPr>
            <w:tcW w:w="10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0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1940" w:type="dxa"/>
            <w:vAlign w:val="bottom"/>
            <w:shd w:val="clear" w:color="auto" w:fill="B6DEE8"/>
          </w:tcPr>
          <w:p>
            <w:pPr>
              <w:spacing w:after="0"/>
              <w:rPr>
                <w:sz w:val="21"/>
                <w:szCs w:val="21"/>
                <w:color w:val="auto"/>
              </w:rPr>
            </w:pPr>
          </w:p>
        </w:tc>
        <w:tc>
          <w:tcPr>
            <w:tcW w:w="1320" w:type="dxa"/>
            <w:vAlign w:val="bottom"/>
            <w:shd w:val="clear" w:color="auto" w:fill="B6DEE8"/>
          </w:tcPr>
          <w:p>
            <w:pPr>
              <w:spacing w:after="0"/>
              <w:rPr>
                <w:sz w:val="21"/>
                <w:szCs w:val="21"/>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61,951</w:t>
            </w:r>
          </w:p>
        </w:tc>
        <w:tc>
          <w:tcPr>
            <w:tcW w:w="400" w:type="dxa"/>
            <w:vAlign w:val="bottom"/>
            <w:shd w:val="clear" w:color="auto" w:fill="B6DEE8"/>
          </w:tcPr>
          <w:p>
            <w:pPr>
              <w:spacing w:after="0"/>
              <w:rPr>
                <w:sz w:val="21"/>
                <w:szCs w:val="21"/>
                <w:color w:val="auto"/>
              </w:rPr>
            </w:pPr>
          </w:p>
        </w:tc>
        <w:tc>
          <w:tcPr>
            <w:tcW w:w="680" w:type="dxa"/>
            <w:vAlign w:val="bottom"/>
            <w:shd w:val="clear" w:color="auto" w:fill="B6DEE8"/>
          </w:tcPr>
          <w:p>
            <w:pPr>
              <w:spacing w:after="0"/>
              <w:rPr>
                <w:sz w:val="21"/>
                <w:szCs w:val="21"/>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0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B6DEE8"/>
          </w:tcPr>
          <w:p>
            <w:pPr>
              <w:spacing w:after="0"/>
              <w:rPr>
                <w:sz w:val="21"/>
                <w:szCs w:val="21"/>
                <w:color w:val="auto"/>
              </w:rPr>
            </w:pPr>
          </w:p>
        </w:tc>
        <w:tc>
          <w:tcPr>
            <w:tcW w:w="1320" w:type="dxa"/>
            <w:vAlign w:val="bottom"/>
            <w:shd w:val="clear" w:color="auto" w:fill="B6DEE8"/>
          </w:tcPr>
          <w:p>
            <w:pPr>
              <w:spacing w:after="0"/>
              <w:rPr>
                <w:sz w:val="21"/>
                <w:szCs w:val="21"/>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0" w:type="dxa"/>
            <w:vAlign w:val="bottom"/>
            <w:shd w:val="clear" w:color="auto" w:fill="B6DEE8"/>
          </w:tcPr>
          <w:p>
            <w:pPr>
              <w:spacing w:after="0"/>
              <w:rPr>
                <w:sz w:val="21"/>
                <w:szCs w:val="21"/>
                <w:color w:val="auto"/>
              </w:rPr>
            </w:pPr>
          </w:p>
        </w:tc>
        <w:tc>
          <w:tcPr>
            <w:tcW w:w="680" w:type="dxa"/>
            <w:vAlign w:val="bottom"/>
            <w:shd w:val="clear" w:color="auto" w:fill="B6DEE8"/>
          </w:tcPr>
          <w:p>
            <w:pPr>
              <w:spacing w:after="0"/>
              <w:rPr>
                <w:sz w:val="21"/>
                <w:szCs w:val="21"/>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9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4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6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B6DEE8"/>
            </w:tcBorders>
            <w:shd w:val="clear" w:color="auto" w:fill="B6DEE8"/>
          </w:tcPr>
          <w:p>
            <w:pPr>
              <w:spacing w:after="0"/>
              <w:rPr>
                <w:sz w:val="24"/>
                <w:szCs w:val="24"/>
                <w:color w:val="auto"/>
              </w:rPr>
            </w:pPr>
          </w:p>
        </w:tc>
        <w:tc>
          <w:tcPr>
            <w:tcW w:w="1320" w:type="dxa"/>
            <w:vAlign w:val="bottom"/>
            <w:tcBorders>
              <w:bottom w:val="single" w:sz="8" w:color="auto"/>
            </w:tcBorders>
            <w:shd w:val="clear" w:color="auto" w:fill="B6DEE8"/>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400" w:type="dxa"/>
            <w:vAlign w:val="bottom"/>
            <w:tcBorders>
              <w:bottom w:val="single" w:sz="8" w:color="B6DEE8"/>
            </w:tcBorders>
            <w:shd w:val="clear" w:color="auto" w:fill="B6DEE8"/>
          </w:tcPr>
          <w:p>
            <w:pPr>
              <w:spacing w:after="0"/>
              <w:rPr>
                <w:sz w:val="24"/>
                <w:szCs w:val="24"/>
                <w:color w:val="auto"/>
              </w:rPr>
            </w:pPr>
          </w:p>
        </w:tc>
        <w:tc>
          <w:tcPr>
            <w:tcW w:w="680" w:type="dxa"/>
            <w:vAlign w:val="bottom"/>
            <w:tcBorders>
              <w:bottom w:val="single" w:sz="8" w:color="auto"/>
            </w:tcBorders>
            <w:shd w:val="clear" w:color="auto" w:fill="B6DEE8"/>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153,013</w:t>
            </w:r>
          </w:p>
        </w:tc>
        <w:tc>
          <w:tcPr>
            <w:tcW w:w="100" w:type="dxa"/>
            <w:vAlign w:val="bottom"/>
            <w:tcBorders>
              <w:bottom w:val="single" w:sz="8" w:color="B6DEE8"/>
            </w:tcBorders>
            <w:shd w:val="clear" w:color="auto" w:fill="B6DEE8"/>
          </w:tcPr>
          <w:p>
            <w:pPr>
              <w:spacing w:after="0"/>
              <w:rPr>
                <w:sz w:val="24"/>
                <w:szCs w:val="24"/>
                <w:color w:val="auto"/>
              </w:rPr>
            </w:pPr>
          </w:p>
        </w:tc>
        <w:tc>
          <w:tcPr>
            <w:tcW w:w="560" w:type="dxa"/>
            <w:vAlign w:val="bottom"/>
          </w:tcPr>
          <w:p>
            <w:pPr>
              <w:spacing w:after="0"/>
              <w:rPr>
                <w:sz w:val="24"/>
                <w:szCs w:val="24"/>
                <w:color w:val="auto"/>
              </w:rPr>
            </w:pPr>
          </w:p>
        </w:tc>
      </w:tr>
      <w:tr>
        <w:trPr>
          <w:trHeight w:val="588"/>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-488315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-471170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tips,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Net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Processing fees apply when a Member requests an expedited cash advance. At the Member’s election, the Company expedites the funding of advance funds within eight hours, as opposed to the customary three business days, of the advance approval. Processing fees are nonrefundable loan origination fees and are recognized as revenues over the average expected contractual term of its advances.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years ended December 31, 2022 and 2021, were $5.5 million and $3.8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encourages, but does not contractually require its Members who receive a cash advance to leave a discretionary tip. The Company treats tips as an adjustment of yield to the advances and are recognized over the average expected contractual term of its advances.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spacing w:after="0" w:line="19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Subscription fees of $1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contract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 of concessions granted as the impact is considered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9" w:name="page80"/>
    <w:bookmarkEnd w:id="79"/>
    <w:p>
      <w:pPr>
        <w:ind w:right="100"/>
        <w:spacing w:after="0" w:line="256"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 net of certain interchange and ATM-related fees, fees earned from withdrawal-related transactions, volume support from a certain co-branded agreement,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 a percentage of the underlying transaction value processed through a payment network. ATM fees are earned from the Member’s usage of out-of-network ATMs, which are reduced by related ATM transaction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Processor costs consist of amounts paid to third party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money market mutual fund. The fair value of marketable securities is determined by quoted prices in active markets and changes in fair value are recorded in other (income) expense in the consolidated statements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consolidated statements of comprehensive income. Any related amounts recorded in accumulated other comprehensive income are reclassified to earnings (on a pretax basis).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Advances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Member advances include ExtraCash advances, fees, and tips, net of certain direct origination costs and allowance for unrecoverable advances. Management’s intent is to hold advances until the earlier of repayment or payoff date. Members’ cash advances are treated as financial receivables under ASC 310.</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Advances to Members are not interest-bearing. The Company recognizes these advances at the advanced amount and does not use discounting techniques to determine present value of advances due to their short-term nature.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The Company does not provide modifications to advances and does not charge late fees.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Unrecoverable Advances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an allowance for unrecoverable advances at a level estimated to be adequate to absorb credit losses inherent in the outstanding Member advances. Management currently estimates the allowance balance required using historical loss and collections experience, and, if relevant, the nature and volume of the portfolio, economic conditions, and other factors such as cash received subsequent to period-end. Interpretations of the nature and volume of the portfolio and projections of future economic conditions involve a high degree of subjectivity. Changes to the allowance have a direct impact on the provision for unrecoverable advances in the consolidated statements of operations.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considers advances over 120 days past due or which become uncollectible based on information available to the Company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years ended December 31, 2022 and 2021, were $8.6 million and $6.1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ind w:right="680"/>
        <w:spacing w:after="0" w:line="282" w:lineRule="auto"/>
        <w:rPr>
          <w:sz w:val="20"/>
          <w:szCs w:val="20"/>
          <w:color w:val="auto"/>
        </w:rPr>
      </w:pPr>
      <w:r>
        <w:rPr>
          <w:rFonts w:ascii="Times New Roman" w:cs="Times New Roman" w:eastAsia="Times New Roman" w:hAnsi="Times New Roman"/>
          <w:sz w:val="18"/>
          <w:szCs w:val="18"/>
          <w:color w:val="auto"/>
        </w:rPr>
        <w:t>Maintenance and repair costs are charged to operations as incurred and included within other operating expenses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both"/>
        <w:ind w:left="580" w:right="46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Member cash advances, and accounts receivable. The Company’s cash and cash equivalents and restricted cash in excess of the Federal Deposit Insurance Corporation (“FDIC”) insured limits were approximately $20.7 million and $31.9 million at December 31, 2022 and 2021,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187" w:lineRule="exact"/>
        <w:rPr>
          <w:sz w:val="20"/>
          <w:szCs w:val="20"/>
          <w:color w:val="auto"/>
        </w:rPr>
      </w:pPr>
    </w:p>
    <w:p>
      <w:pPr>
        <w:jc w:val="center"/>
        <w:ind w:right="340"/>
        <w:spacing w:after="0" w:line="485" w:lineRule="auto"/>
        <w:rPr>
          <w:sz w:val="20"/>
          <w:szCs w:val="20"/>
          <w:color w:val="auto"/>
        </w:rPr>
      </w:pPr>
      <w:r>
        <w:rPr>
          <w:rFonts w:ascii="Times New Roman" w:cs="Times New Roman" w:eastAsia="Times New Roman" w:hAnsi="Times New Roman"/>
          <w:sz w:val="18"/>
          <w:szCs w:val="18"/>
          <w:color w:val="auto"/>
        </w:rPr>
        <w:t>No Member individually exceeded 10% or more of the Company’s Member cash advances balances as of December 31, 2022 and December 31, 2021.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to Stockholders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2019, the Company entered into loan, pledge, and option agreements with various employees, who are also stockholders, to provide those employees cash in exchange for non-recourse promissory notes and call options, which allow the Company to acquire shares held by these stockholders. Following ASC 310, the Company recorded the notes as a reduction to shareholders’ equity and will do so until it is repaid, or the associated call option is exercised and the Company reacquires the collateralized shares. Interest earned and accrued on the notes also increases this contra-equity account balance. Upon consummation of the Business Combination in January 2022, all of the call options related to the Loans to Stockholders were exercised and the related loans were settled.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3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Restricted stock units (“RSUs”) are valued on the grant date, and the fair value of the RSUs is equal to the estimated fair value of the Company’s Common Stock on the grant date. This compensation cost is recognized over the requisite service period as a component of stock-based compensation expense, presented within compensation and benefits in the consolidated statements of operations. The Company recognizes forfeitures as they occur.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13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Restricted stock awards (“RSAs”) are valued on the grant date, and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consolidated statements of operations. The Company recognizes forfeitures as they occur.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RSAs Issued to Non-Employees:</w:t>
      </w:r>
    </w:p>
    <w:p>
      <w:pPr>
        <w:spacing w:after="0" w:line="13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issues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for the years ended December 31, 2022 and 2021, were $69.0 million and $51.5 million, respectively, and is presented within advertising and marketing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$0.9 million and $0.5 million of uncertain tax positions as of December 31, 2022 and 2021, respectively, related to state income taxes. and federal and state R&amp;D tax credits.</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$0.005 million and $0.004 million of interest expense and penalties as a component of income tax expense during the year ended December 31, 2022 and 2021, respectively. There were $0.012 million and $0.007 million of accrued interest expense and penalties as of December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Stockholders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and Class V Common Stock) issued and outstanding as of December 31, 2022.</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19, Related-Party Transactions for further details on the Company’s Loans to Stockholders).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Diluted net loss per share attributable to holders of common stock adjusts the basic net loss per share attributable to stockholders and the weighted- average number of shares outstanding for the potentially dilutive impact of stock options, warrants, and restricted stock using the treasury stock method and convertible preferred stock using the as-if-converted method.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holders of common stock (in thousands, except share data):</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187"/>
        </w:trPr>
        <w:tc>
          <w:tcPr>
            <w:tcW w:w="590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0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shd w:val="clear" w:color="auto" w:fill="B6DEE8"/>
          </w:tcPr>
          <w:p>
            <w:pPr>
              <w:jc w:val="right"/>
              <w:ind w:right="1160"/>
              <w:spacing w:after="0"/>
              <w:rPr>
                <w:sz w:val="20"/>
                <w:szCs w:val="20"/>
                <w:color w:val="auto"/>
              </w:rPr>
            </w:pPr>
            <w:r>
              <w:rPr>
                <w:rFonts w:ascii="Times New Roman" w:cs="Times New Roman" w:eastAsia="Times New Roman" w:hAnsi="Times New Roman"/>
                <w:sz w:val="18"/>
                <w:szCs w:val="18"/>
                <w:color w:val="auto"/>
              </w:rPr>
              <w:t>(128,906 ) $</w:t>
            </w:r>
          </w:p>
        </w:tc>
        <w:tc>
          <w:tcPr>
            <w:tcW w:w="8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(19,993 )</w:t>
            </w:r>
          </w:p>
        </w:tc>
      </w:tr>
      <w:tr>
        <w:trPr>
          <w:trHeight w:val="239"/>
        </w:trPr>
        <w:tc>
          <w:tcPr>
            <w:tcW w:w="5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noncumulative dividend to convertible preferred stockholders</w:t>
            </w:r>
          </w:p>
        </w:tc>
        <w:tc>
          <w:tcPr>
            <w:tcW w:w="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B6DEE8"/>
            </w:tcBorders>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Less: undistributed earnings to participating securities</w:t>
            </w:r>
          </w:p>
        </w:tc>
        <w:tc>
          <w:tcPr>
            <w:tcW w:w="440" w:type="dxa"/>
            <w:vAlign w:val="bottom"/>
            <w:tcBorders>
              <w:bottom w:val="single" w:sz="8" w:color="auto"/>
            </w:tcBorders>
            <w:shd w:val="clear" w:color="auto" w:fill="B6DEE8"/>
          </w:tcPr>
          <w:p>
            <w:pPr>
              <w:spacing w:after="0"/>
              <w:rPr>
                <w:sz w:val="21"/>
                <w:szCs w:val="21"/>
                <w:color w:val="auto"/>
              </w:rPr>
            </w:pPr>
          </w:p>
        </w:tc>
        <w:tc>
          <w:tcPr>
            <w:tcW w:w="1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spacing w:after="0"/>
              <w:rPr>
                <w:sz w:val="21"/>
                <w:szCs w:val="21"/>
                <w:color w:val="auto"/>
              </w:rPr>
            </w:pPr>
          </w:p>
        </w:tc>
        <w:tc>
          <w:tcPr>
            <w:tcW w:w="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attributed to common stockholders—basic</w:t>
            </w:r>
          </w:p>
        </w:tc>
        <w:tc>
          <w:tcPr>
            <w:tcW w:w="4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c>
          <w:tcPr>
            <w:tcW w:w="12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(19,993 )</w:t>
            </w:r>
          </w:p>
        </w:tc>
      </w:tr>
      <w:tr>
        <w:trPr>
          <w:trHeight w:val="247"/>
        </w:trPr>
        <w:tc>
          <w:tcPr>
            <w:tcW w:w="5900" w:type="dxa"/>
            <w:vAlign w:val="bottom"/>
            <w:tcBorders>
              <w:bottom w:val="single" w:sz="8" w:color="B6DEE8"/>
            </w:tcBorders>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Add: undistributed earnings reallocated to common stockholders</w:t>
            </w:r>
          </w:p>
        </w:tc>
        <w:tc>
          <w:tcPr>
            <w:tcW w:w="440" w:type="dxa"/>
            <w:vAlign w:val="bottom"/>
            <w:tcBorders>
              <w:bottom w:val="single" w:sz="8" w:color="auto"/>
            </w:tcBorders>
            <w:shd w:val="clear" w:color="auto" w:fill="B6DEE8"/>
          </w:tcPr>
          <w:p>
            <w:pPr>
              <w:spacing w:after="0"/>
              <w:rPr>
                <w:sz w:val="21"/>
                <w:szCs w:val="21"/>
                <w:color w:val="auto"/>
              </w:rPr>
            </w:pPr>
          </w:p>
        </w:tc>
        <w:tc>
          <w:tcPr>
            <w:tcW w:w="1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spacing w:after="0"/>
              <w:rPr>
                <w:sz w:val="21"/>
                <w:szCs w:val="21"/>
                <w:color w:val="auto"/>
              </w:rPr>
            </w:pPr>
          </w:p>
        </w:tc>
        <w:tc>
          <w:tcPr>
            <w:tcW w:w="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attributed to common stockholders—diluted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(128,906 ) $</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(19,993 )</w:t>
            </w:r>
          </w:p>
        </w:tc>
      </w:tr>
      <w:tr>
        <w:trPr>
          <w:trHeight w:val="247"/>
        </w:trPr>
        <w:tc>
          <w:tcPr>
            <w:tcW w:w="8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454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56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60" w:type="dxa"/>
            <w:vAlign w:val="bottom"/>
            <w:shd w:val="clear" w:color="auto" w:fill="B6DEE8"/>
          </w:tcPr>
          <w:p>
            <w:pPr>
              <w:spacing w:after="0"/>
              <w:rPr>
                <w:sz w:val="21"/>
                <w:szCs w:val="21"/>
                <w:color w:val="auto"/>
              </w:rPr>
            </w:pPr>
          </w:p>
        </w:tc>
        <w:tc>
          <w:tcPr>
            <w:tcW w:w="7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189"/>
        </w:trPr>
        <w:tc>
          <w:tcPr>
            <w:tcW w:w="5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0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440" w:type="dxa"/>
            <w:vAlign w:val="bottom"/>
            <w:shd w:val="clear" w:color="auto" w:fill="B6DEE8"/>
          </w:tcPr>
          <w:p>
            <w:pPr>
              <w:spacing w:after="0"/>
              <w:rPr>
                <w:sz w:val="21"/>
                <w:szCs w:val="21"/>
                <w:color w:val="auto"/>
              </w:rPr>
            </w:pPr>
          </w:p>
        </w:tc>
        <w:tc>
          <w:tcPr>
            <w:tcW w:w="1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100" w:type="dxa"/>
            <w:vAlign w:val="bottom"/>
            <w:shd w:val="clear" w:color="auto" w:fill="B6DEE8"/>
          </w:tcPr>
          <w:p>
            <w:pPr>
              <w:spacing w:after="0"/>
              <w:rPr>
                <w:sz w:val="21"/>
                <w:szCs w:val="21"/>
                <w:color w:val="auto"/>
              </w:rPr>
            </w:pPr>
          </w:p>
        </w:tc>
        <w:tc>
          <w:tcPr>
            <w:tcW w:w="1260" w:type="dxa"/>
            <w:vAlign w:val="bottom"/>
            <w:shd w:val="clear" w:color="auto" w:fill="B6DEE8"/>
          </w:tcPr>
          <w:p>
            <w:pPr>
              <w:spacing w:after="0"/>
              <w:rPr>
                <w:sz w:val="21"/>
                <w:szCs w:val="21"/>
                <w:color w:val="auto"/>
              </w:rPr>
            </w:pP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7"/>
              </w:rPr>
              <w:t>4,266,839</w:t>
            </w:r>
          </w:p>
        </w:tc>
        <w:tc>
          <w:tcPr>
            <w:tcW w:w="100" w:type="dxa"/>
            <w:vAlign w:val="bottom"/>
            <w:shd w:val="clear" w:color="auto" w:fill="B6DEE8"/>
          </w:tcPr>
          <w:p>
            <w:pPr>
              <w:spacing w:after="0"/>
              <w:rPr>
                <w:sz w:val="21"/>
                <w:szCs w:val="21"/>
                <w:color w:val="auto"/>
              </w:rPr>
            </w:pPr>
          </w:p>
        </w:tc>
      </w:tr>
      <w:tr>
        <w:trPr>
          <w:trHeight w:val="239"/>
        </w:trPr>
        <w:tc>
          <w:tcPr>
            <w:tcW w:w="5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Dilutive effect of convertible preferred stock</w:t>
            </w:r>
          </w:p>
        </w:tc>
        <w:tc>
          <w:tcPr>
            <w:tcW w:w="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B6DEE8"/>
            </w:tcBorders>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Dilutive effect of equity incentive awards</w:t>
            </w:r>
          </w:p>
        </w:tc>
        <w:tc>
          <w:tcPr>
            <w:tcW w:w="440" w:type="dxa"/>
            <w:vAlign w:val="bottom"/>
            <w:tcBorders>
              <w:bottom w:val="single" w:sz="8" w:color="auto"/>
            </w:tcBorders>
            <w:shd w:val="clear" w:color="auto" w:fill="B6DEE8"/>
          </w:tcPr>
          <w:p>
            <w:pPr>
              <w:spacing w:after="0"/>
              <w:rPr>
                <w:sz w:val="21"/>
                <w:szCs w:val="21"/>
                <w:color w:val="auto"/>
              </w:rPr>
            </w:pPr>
          </w:p>
        </w:tc>
        <w:tc>
          <w:tcPr>
            <w:tcW w:w="1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spacing w:after="0"/>
              <w:rPr>
                <w:sz w:val="21"/>
                <w:szCs w:val="21"/>
                <w:color w:val="auto"/>
              </w:rPr>
            </w:pPr>
          </w:p>
        </w:tc>
        <w:tc>
          <w:tcPr>
            <w:tcW w:w="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4,266,839</w:t>
            </w:r>
          </w:p>
        </w:tc>
        <w:tc>
          <w:tcPr>
            <w:tcW w:w="100" w:type="dxa"/>
            <w:vAlign w:val="bottom"/>
          </w:tcPr>
          <w:p>
            <w:pPr>
              <w:spacing w:after="0"/>
              <w:rPr>
                <w:sz w:val="20"/>
                <w:szCs w:val="20"/>
                <w:color w:val="auto"/>
              </w:rPr>
            </w:pPr>
          </w:p>
        </w:tc>
      </w:tr>
      <w:tr>
        <w:trPr>
          <w:trHeight w:val="247"/>
        </w:trPr>
        <w:tc>
          <w:tcPr>
            <w:tcW w:w="8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454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56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60" w:type="dxa"/>
            <w:vAlign w:val="bottom"/>
            <w:shd w:val="clear" w:color="auto" w:fill="B6DEE8"/>
          </w:tcPr>
          <w:p>
            <w:pPr>
              <w:spacing w:after="0"/>
              <w:rPr>
                <w:sz w:val="21"/>
                <w:szCs w:val="21"/>
                <w:color w:val="auto"/>
              </w:rPr>
            </w:pPr>
          </w:p>
        </w:tc>
        <w:tc>
          <w:tcPr>
            <w:tcW w:w="7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189"/>
        </w:trPr>
        <w:tc>
          <w:tcPr>
            <w:tcW w:w="5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00" w:type="dxa"/>
            <w:vAlign w:val="bottom"/>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shd w:val="clear" w:color="auto" w:fill="B6DEE8"/>
          </w:tcPr>
          <w:p>
            <w:pPr>
              <w:jc w:val="right"/>
              <w:ind w:right="1160"/>
              <w:spacing w:after="0"/>
              <w:rPr>
                <w:sz w:val="20"/>
                <w:szCs w:val="20"/>
                <w:color w:val="auto"/>
              </w:rPr>
            </w:pPr>
            <w:r>
              <w:rPr>
                <w:rFonts w:ascii="Times New Roman" w:cs="Times New Roman" w:eastAsia="Times New Roman" w:hAnsi="Times New Roman"/>
                <w:sz w:val="18"/>
                <w:szCs w:val="18"/>
                <w:color w:val="auto"/>
              </w:rPr>
              <w:t>(11.12 ) $</w:t>
            </w:r>
          </w:p>
        </w:tc>
        <w:tc>
          <w:tcPr>
            <w:tcW w:w="8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(4.69 )</w:t>
            </w:r>
          </w:p>
        </w:tc>
      </w:tr>
      <w:tr>
        <w:trPr>
          <w:trHeight w:val="234"/>
        </w:trPr>
        <w:tc>
          <w:tcPr>
            <w:tcW w:w="5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(11.12 ) $</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-2025650</wp:posOffset>
            </wp:positionV>
            <wp:extent cx="6032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-2025650</wp:posOffset>
            </wp:positionV>
            <wp:extent cx="6032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-1708150</wp:posOffset>
            </wp:positionV>
            <wp:extent cx="6032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-1708150</wp:posOffset>
            </wp:positionV>
            <wp:extent cx="6032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-774065</wp:posOffset>
            </wp:positionV>
            <wp:extent cx="6032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-774065</wp:posOffset>
            </wp:positionV>
            <wp:extent cx="6032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loss per share for the periods presented because including them would have been antidilutive: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40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 w:type="dxa"/>
            <w:vAlign w:val="bottom"/>
          </w:tcPr>
          <w:p>
            <w:pPr>
              <w:spacing w:after="0"/>
              <w:rPr>
                <w:sz w:val="21"/>
                <w:szCs w:val="21"/>
                <w:color w:val="auto"/>
              </w:rPr>
            </w:pPr>
          </w:p>
        </w:tc>
      </w:tr>
      <w:tr>
        <w:trPr>
          <w:trHeight w:val="241"/>
        </w:trPr>
        <w:tc>
          <w:tcPr>
            <w:tcW w:w="59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59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 options and RSU awards</w:t>
            </w:r>
          </w:p>
        </w:tc>
        <w:tc>
          <w:tcPr>
            <w:tcW w:w="19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1,412,726</w:t>
            </w:r>
          </w:p>
        </w:tc>
        <w:tc>
          <w:tcPr>
            <w:tcW w:w="100" w:type="dxa"/>
            <w:vAlign w:val="bottom"/>
            <w:shd w:val="clear" w:color="auto" w:fill="B6DEE8"/>
          </w:tcPr>
          <w:p>
            <w:pPr>
              <w:spacing w:after="0"/>
              <w:rPr>
                <w:sz w:val="20"/>
                <w:szCs w:val="20"/>
                <w:color w:val="auto"/>
              </w:rPr>
            </w:pPr>
          </w:p>
        </w:tc>
        <w:tc>
          <w:tcPr>
            <w:tcW w:w="20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1,084,586</w:t>
            </w:r>
          </w:p>
        </w:tc>
        <w:tc>
          <w:tcPr>
            <w:tcW w:w="100" w:type="dxa"/>
            <w:vAlign w:val="bottom"/>
            <w:shd w:val="clear" w:color="auto" w:fill="B6DEE8"/>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6,371,318</w:t>
            </w:r>
          </w:p>
        </w:tc>
        <w:tc>
          <w:tcPr>
            <w:tcW w:w="100" w:type="dxa"/>
            <w:vAlign w:val="bottom"/>
            <w:shd w:val="clear" w:color="auto" w:fill="B6DEE8"/>
          </w:tcPr>
          <w:p>
            <w:pPr>
              <w:spacing w:after="0"/>
              <w:rPr>
                <w:sz w:val="21"/>
                <w:szCs w:val="2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B-1 warrants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100" w:type="dxa"/>
            <w:vAlign w:val="bottom"/>
          </w:tcPr>
          <w:p>
            <w:pPr>
              <w:spacing w:after="0"/>
              <w:rPr>
                <w:sz w:val="21"/>
                <w:szCs w:val="21"/>
                <w:color w:val="auto"/>
              </w:rPr>
            </w:pPr>
          </w:p>
        </w:tc>
      </w:tr>
      <w:tr>
        <w:trPr>
          <w:trHeight w:val="277"/>
        </w:trPr>
        <w:tc>
          <w:tcPr>
            <w:tcW w:w="59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1,725,226</w:t>
            </w:r>
          </w:p>
        </w:tc>
        <w:tc>
          <w:tcPr>
            <w:tcW w:w="100" w:type="dxa"/>
            <w:vAlign w:val="bottom"/>
            <w:tcBorders>
              <w:bottom w:val="single" w:sz="8" w:color="B6DEE8"/>
            </w:tcBorders>
            <w:shd w:val="clear" w:color="auto" w:fill="B6DEE8"/>
          </w:tcPr>
          <w:p>
            <w:pPr>
              <w:spacing w:after="0"/>
              <w:rPr>
                <w:sz w:val="24"/>
                <w:szCs w:val="24"/>
                <w:color w:val="auto"/>
              </w:rPr>
            </w:pPr>
          </w:p>
        </w:tc>
        <w:tc>
          <w:tcPr>
            <w:tcW w:w="20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7,526,349</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1397635"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39763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 (“ASU 2016-13”)</w:t>
      </w:r>
      <w:r>
        <w:rPr>
          <w:rFonts w:ascii="Times New Roman" w:cs="Times New Roman" w:eastAsia="Times New Roman" w:hAnsi="Times New Roman"/>
          <w:sz w:val="18"/>
          <w:szCs w:val="18"/>
          <w:color w:val="auto"/>
        </w:rPr>
        <w:t>. ASU 2016-13 introduced a new credit loss methodology,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This guidance is effective for financial statements issued for fiscal years beginning after December 15, 2022, and interim periods within those fiscal years. The Company plans to adopt this CECL methodology effective January 1, 2023 and has applied the guidance prospectively. The Company has determined that the impact of the CECL adoption would not have a material impact on the balances reported in its consolidated financial statements.</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optional guidance for accounting for contracts, hedging relationships, and other transactions affected by reference rate reform,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criteria are met. In December 2022, the FASB issued ASU No. 2022-06, Reference Rate Reform (Topic 848), Deferral of the Sunset Date of Topic</w:t>
      </w:r>
    </w:p>
    <w:p>
      <w:pPr>
        <w:spacing w:after="0" w:line="1" w:lineRule="exact"/>
        <w:rPr>
          <w:sz w:val="20"/>
          <w:szCs w:val="20"/>
          <w:color w:val="auto"/>
        </w:rPr>
      </w:pPr>
    </w:p>
    <w:p>
      <w:pPr>
        <w:ind w:firstLine="8"/>
        <w:spacing w:after="0" w:line="255"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in this Update defer the sunset date of Topic 848 from December 31, 2022, to December 31, 2024, after which entities will no longer be permitted to apply the relief in Topic 848. The Company is currently evaluating the impact of the adoption of this standard on its consolidated financial statements and related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2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w:t>
      </w:r>
      <w:r>
        <w:rPr>
          <w:rFonts w:ascii="Times New Roman" w:cs="Times New Roman" w:eastAsia="Times New Roman" w:hAnsi="Times New Roman"/>
          <w:sz w:val="18"/>
          <w:szCs w:val="18"/>
          <w:i w:val="1"/>
          <w:iCs w:val="1"/>
          <w:color w:val="auto"/>
        </w:rPr>
        <w:t>ncome Taxes (Topic 740): Simplifying the Accounting for Income Taxes (“ASU 2019-12”)</w:t>
      </w:r>
      <w:r>
        <w:rPr>
          <w:rFonts w:ascii="Times New Roman" w:cs="Times New Roman" w:eastAsia="Times New Roman" w:hAnsi="Times New Roman"/>
          <w:sz w:val="18"/>
          <w:szCs w:val="18"/>
          <w:color w:val="auto"/>
        </w:rPr>
        <w:t>, as part of its Simplification Initiative to reduce the cost and complexity in accounting for income taxes. The amendments in ASU 2019-12 remove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U.S. GAAP. This ASU was effective for most public companies for annual periods beginning after December 15, 2020. Early adoption was permitted. The Company adopted the standard effective January 1, 2022. The Company has evaluated the effect that the updated standard had on its internal processes, consolidated financial statements, and related disclosures, and has determined that the adoption did not have a significant impact on its consolidated financial statements and related disclosures.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Accounting for Convertible Instruments and Contracts in an Entity’s Own Equity (“ASU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in ASU 2020-06 simplifies the accounting for convertible debt and convertible preferred stock by removing the requirements to separately present certain conversion features in equity. In addition, the amendments in the ASU 2020-06 also simplify the guidance in ASC Subtopic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amendments in ASU 2020-06 are effective for public companies for fiscal years beginning after December 15, 2021. The Company adopted the standard effective January 1, 2022 on a modified retrospective approach. The Company has evaluated the effect that the updated standard had on its internal</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86" w:name="page87"/>
    <w:bookmarkEnd w:id="86"/>
    <w:p>
      <w:pPr>
        <w:ind w:right="760"/>
        <w:spacing w:after="0" w:line="282" w:lineRule="auto"/>
        <w:rPr>
          <w:sz w:val="20"/>
          <w:szCs w:val="20"/>
          <w:color w:val="auto"/>
        </w:rPr>
      </w:pPr>
      <w:r>
        <w:rPr>
          <w:rFonts w:ascii="Times New Roman" w:cs="Times New Roman" w:eastAsia="Times New Roman" w:hAnsi="Times New Roman"/>
          <w:sz w:val="18"/>
          <w:szCs w:val="18"/>
          <w:color w:val="auto"/>
        </w:rPr>
        <w:t>processes, consolidated financial statements, and related disclosures, and has determined that the adoption did not have a significant impact on its consolidated financial statements and related disclosures.</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w:t>
      </w:r>
      <w:r>
        <w:rPr>
          <w:rFonts w:ascii="Times New Roman" w:cs="Times New Roman" w:eastAsia="Times New Roman" w:hAnsi="Times New Roman"/>
          <w:sz w:val="18"/>
          <w:szCs w:val="18"/>
          <w:i w:val="1"/>
          <w:iCs w:val="1"/>
          <w:color w:val="auto"/>
        </w:rPr>
        <w:t>, Debt-Modifications and Extinguishments (Subtopic 470-50), Compensation-Stock Compensation (Topic 718), and Derivatives and Hedging-Contracts in Entity’s Own Equity (Subtopic 815-40)</w:t>
      </w:r>
      <w:r>
        <w:rPr>
          <w:rFonts w:ascii="Times New Roman" w:cs="Times New Roman" w:eastAsia="Times New Roman" w:hAnsi="Times New Roman"/>
          <w:sz w:val="18"/>
          <w:szCs w:val="18"/>
          <w:color w:val="auto"/>
        </w:rPr>
        <w:t>, which addresses issuer’s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modifications or exchanges of freestanding equity-classified written call options. The amendments in this update are effective for all companies for annual periods beginning after December 15, 2021. The Company adopted the standard effective January 1, 2022. The Company has evaluated the effect that the updated standard had on its internal processes, consolidated financial statements, and related disclosures, and has determined that the adoption did not have a significant impact on its consolidated financial statements and related disclosures.</w:t>
      </w:r>
    </w:p>
    <w:p>
      <w:pPr>
        <w:spacing w:after="0" w:line="2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(“ASU 2019-12”), as part of its Simplification Initiative to reduce the cost and complexity in accounting for income taxes. The amendments in ASU 2019-12 remove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U.S. GAAP. This ASU was effective for most public companies for annual periods beginning after December 15, 2020. Early adoption was permitted.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The Reverse Recapitalization and Related Transactions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the Closing Date, the Company consummated the previously announced mergers contemplated by the Business Combination Agreement. In connection with the closing of the Business Combination, the Company changed the name from “VPC Impact Acquisition Holdings III, Inc.” to “Dave Inc.,” and the Surviving Entity operates under the name “Dave Operating LLC.”</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$10.7 million in transaction costs were accrued for at closing. Upon closing the Business Combination, Legacy Dave received $7.0 million in cash proceeds after transactions costs of $22.6 million were paid and released from VPCC’s trust account, net of redemptions of $224.2 million. At closing, each non-redeemed outstanding share of Legacy Dave Class A common stock was converted into one share of Class A Common Stock.</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the shares of Legacy Dave held by Legacy Dave shareholders converted into 10,707,440 shares of Common Stock, including 9,193,358 shares of Class A Common Stock and 1,514,082 shares of Class V Common Stock.</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7" w:name="page88"/>
    <w:bookmarkEnd w:id="87"/>
    <w:p>
      <w:pPr>
        <w:ind w:right="320"/>
        <w:spacing w:after="0" w:line="266" w:lineRule="auto"/>
        <w:rPr>
          <w:sz w:val="20"/>
          <w:szCs w:val="20"/>
          <w:color w:val="auto"/>
        </w:rPr>
      </w:pPr>
      <w:r>
        <w:rPr>
          <w:rFonts w:ascii="Times New Roman" w:cs="Times New Roman" w:eastAsia="Times New Roman" w:hAnsi="Times New Roman"/>
          <w:sz w:val="18"/>
          <w:szCs w:val="18"/>
          <w:color w:val="auto"/>
        </w:rPr>
        <w:t>statements of Dave, and VPCC’s assets and liabilities were consolidated with Legacy Dave’s on the Closing Date. Operations prior to the Business Combination are presented as those of Dave in reports subsequent to the Closing Date. The net assets of VPCC were recognized at their carrying value immediately prior to the closing with no goodwill or other intangible assets recorded and were as follows, net of transaction costs (in millions):</w:t>
      </w:r>
    </w:p>
    <w:p>
      <w:pPr>
        <w:sectPr>
          <w:pgSz w:w="11900" w:h="16838" w:orient="portrait"/>
          <w:cols w:equalWidth="0" w:num="1">
            <w:col w:w="11240"/>
          </w:cols>
          <w:pgMar w:left="320" w:top="337" w:right="339" w:bottom="1440" w:gutter="0" w:footer="0" w:header="0"/>
        </w:sectPr>
      </w:pP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assets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Earned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Warrant liability - public</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Warrant liability -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-120650</wp:posOffset>
            </wp:positionV>
            <wp:extent cx="641223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32" w:hanging="932"/>
        <w:spacing w:after="0"/>
        <w:tabs>
          <w:tab w:leader="none" w:pos="9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w:t>
      </w:r>
    </w:p>
    <w:p>
      <w:pPr>
        <w:spacing w:after="0" w:line="36" w:lineRule="exact"/>
        <w:rPr>
          <w:rFonts w:ascii="Times New Roman" w:cs="Times New Roman" w:eastAsia="Times New Roman" w:hAnsi="Times New Roman"/>
          <w:sz w:val="18"/>
          <w:szCs w:val="18"/>
          <w:color w:val="auto"/>
        </w:rPr>
      </w:pPr>
    </w:p>
    <w:p>
      <w:pPr>
        <w:ind w:left="11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w:t>
      </w:r>
    </w:p>
    <w:p>
      <w:pPr>
        <w:spacing w:after="0" w:line="36" w:lineRule="exact"/>
        <w:rPr>
          <w:sz w:val="20"/>
          <w:szCs w:val="20"/>
          <w:color w:val="auto"/>
        </w:rPr>
      </w:pPr>
    </w:p>
    <w:p>
      <w:pPr>
        <w:ind w:left="1052"/>
        <w:spacing w:after="0"/>
        <w:rPr>
          <w:sz w:val="20"/>
          <w:szCs w:val="20"/>
          <w:color w:val="auto"/>
        </w:rPr>
      </w:pPr>
      <w:r>
        <w:rPr>
          <w:rFonts w:ascii="Times New Roman" w:cs="Times New Roman" w:eastAsia="Times New Roman" w:hAnsi="Times New Roman"/>
          <w:sz w:val="18"/>
          <w:szCs w:val="18"/>
          <w:color w:val="auto"/>
        </w:rPr>
        <w:t>(3.2 )</w:t>
      </w:r>
    </w:p>
    <w:p>
      <w:pPr>
        <w:spacing w:after="0" w:line="36" w:lineRule="exact"/>
        <w:rPr>
          <w:sz w:val="20"/>
          <w:szCs w:val="20"/>
          <w:color w:val="auto"/>
        </w:rPr>
      </w:pPr>
    </w:p>
    <w:p>
      <w:pPr>
        <w:ind w:left="1052"/>
        <w:spacing w:after="0"/>
        <w:rPr>
          <w:sz w:val="20"/>
          <w:szCs w:val="20"/>
          <w:color w:val="auto"/>
        </w:rPr>
      </w:pPr>
      <w:r>
        <w:rPr>
          <w:rFonts w:ascii="Times New Roman" w:cs="Times New Roman" w:eastAsia="Times New Roman" w:hAnsi="Times New Roman"/>
          <w:sz w:val="18"/>
          <w:szCs w:val="18"/>
          <w:color w:val="auto"/>
        </w:rPr>
        <w:t>(0.2 )</w:t>
      </w:r>
    </w:p>
    <w:p>
      <w:pPr>
        <w:spacing w:after="0" w:line="36" w:lineRule="exact"/>
        <w:rPr>
          <w:sz w:val="20"/>
          <w:szCs w:val="20"/>
          <w:color w:val="auto"/>
        </w:rPr>
      </w:pPr>
    </w:p>
    <w:p>
      <w:pPr>
        <w:ind w:left="1052"/>
        <w:spacing w:after="0"/>
        <w:rPr>
          <w:sz w:val="20"/>
          <w:szCs w:val="20"/>
          <w:color w:val="auto"/>
        </w:rPr>
      </w:pPr>
      <w:r>
        <w:rPr>
          <w:rFonts w:ascii="Times New Roman" w:cs="Times New Roman" w:eastAsia="Times New Roman" w:hAnsi="Times New Roman"/>
          <w:sz w:val="18"/>
          <w:szCs w:val="18"/>
          <w:color w:val="auto"/>
        </w:rPr>
        <w:t>(9.7 )</w:t>
      </w:r>
    </w:p>
    <w:p>
      <w:pPr>
        <w:spacing w:after="0" w:line="36" w:lineRule="exact"/>
        <w:rPr>
          <w:sz w:val="20"/>
          <w:szCs w:val="20"/>
          <w:color w:val="auto"/>
        </w:rPr>
      </w:pPr>
    </w:p>
    <w:p>
      <w:pPr>
        <w:ind w:left="1052"/>
        <w:spacing w:after="0"/>
        <w:rPr>
          <w:sz w:val="20"/>
          <w:szCs w:val="20"/>
          <w:color w:val="auto"/>
        </w:rPr>
      </w:pPr>
      <w:r>
        <w:rPr>
          <w:rFonts w:ascii="Times New Roman" w:cs="Times New Roman" w:eastAsia="Times New Roman" w:hAnsi="Times New Roman"/>
          <w:sz w:val="18"/>
          <w:szCs w:val="18"/>
          <w:color w:val="auto"/>
        </w:rPr>
        <w:t>(7.6 )</w:t>
      </w:r>
    </w:p>
    <w:p>
      <w:pPr>
        <w:spacing w:after="0" w:line="36" w:lineRule="exact"/>
        <w:rPr>
          <w:sz w:val="20"/>
          <w:szCs w:val="20"/>
          <w:color w:val="auto"/>
        </w:rPr>
      </w:pPr>
    </w:p>
    <w:p>
      <w:pPr>
        <w:ind w:left="1052"/>
        <w:spacing w:after="0"/>
        <w:rPr>
          <w:sz w:val="20"/>
          <w:szCs w:val="20"/>
          <w:color w:val="auto"/>
        </w:rPr>
      </w:pPr>
      <w:r>
        <w:rPr>
          <w:rFonts w:ascii="Times New Roman" w:cs="Times New Roman" w:eastAsia="Times New Roman" w:hAnsi="Times New Roman"/>
          <w:sz w:val="18"/>
          <w:szCs w:val="18"/>
          <w:color w:val="auto"/>
        </w:rPr>
        <w:t>(6.7 )</w:t>
      </w:r>
    </w:p>
    <w:p>
      <w:pPr>
        <w:spacing w:after="0" w:line="4" w:lineRule="exact"/>
        <w:rPr>
          <w:sz w:val="20"/>
          <w:szCs w:val="20"/>
          <w:color w:val="auto"/>
        </w:rPr>
      </w:pPr>
    </w:p>
    <w:p>
      <w:pPr>
        <w:ind w:left="932" w:hanging="932"/>
        <w:spacing w:after="0"/>
        <w:tabs>
          <w:tab w:leader="none" w:pos="932"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175.3</w:t>
      </w:r>
      <w:r>
        <w:rPr>
          <w:rFonts w:ascii="Times New Roman" w:cs="Times New Roman" w:eastAsia="Times New Roman" w:hAnsi="Times New Roman"/>
          <w:sz w:val="1"/>
          <w:szCs w:val="1"/>
          <w:b w:val="1"/>
          <w:bCs w:val="1"/>
          <w:color w:val="auto"/>
        </w:rPr>
        <w:drawing>
          <wp:inline distT="0" distB="0" distL="0" distR="0">
            <wp:extent cx="60325" cy="18859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0325" cy="1885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8655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wp:posOffset>
            </wp:positionV>
            <wp:extent cx="8655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8" w:space="720"/>
            <w:col w:w="2012"/>
          </w:cols>
          <w:pgMar w:left="320" w:top="337" w:right="339" w:bottom="1440" w:gutter="0" w:footer="0" w:header="0"/>
          <w:type w:val="continuous"/>
        </w:sectPr>
      </w:pPr>
    </w:p>
    <w:p>
      <w:pPr>
        <w:spacing w:after="0" w:line="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as part of the recapitalization, 168,515 shares of VPCC Class A common stock held by founders of VPCC (the “Founder Holders”) were exchanged with 168,515 shares of Dave Class A Common Stock, 49,563 (or “Founder Holder Earnout Shares”) of which will be subject to forfeiture if the vesting condition is not met over the five year term following the Closing Date as follows: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Sixty percent (60%) of the Founder Holder Earnout Shares (29,737 Founder Holder Earnout Shares) shall immediately become fully vested and no longer subject to forfeiture upon the occurrence of Triggering Event I, which is defined as the first date on which the Common Share Price is equal to or greater than $400 after the Closing Date, but within the Earnout Period (as defined in the Business Combination Agreement); provided, that</w:t>
      </w:r>
    </w:p>
    <w:p>
      <w:pPr>
        <w:spacing w:after="0" w:line="68" w:lineRule="exact"/>
        <w:rPr>
          <w:sz w:val="20"/>
          <w:szCs w:val="20"/>
          <w:color w:val="auto"/>
        </w:rPr>
      </w:pPr>
    </w:p>
    <w:p>
      <w:pPr>
        <w:ind w:right="60" w:firstLine="8"/>
        <w:spacing w:after="0" w:line="266" w:lineRule="auto"/>
        <w:tabs>
          <w:tab w:leader="none" w:pos="5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pursuant to which Dave Stockholders receive, or have the right to receive, cash, securities or other property attributing a value of at least $400 to each share of Class A Common Stock (as agreed in good faith by the Sponsor and the Board), then Triggering Event I shall be deemed to have occurred and;</w:t>
      </w:r>
    </w:p>
    <w:p>
      <w:pPr>
        <w:spacing w:after="0" w:line="67" w:lineRule="exact"/>
        <w:rPr>
          <w:rFonts w:ascii="Times New Roman" w:cs="Times New Roman" w:eastAsia="Times New Roman" w:hAnsi="Times New Roman"/>
          <w:sz w:val="18"/>
          <w:szCs w:val="18"/>
          <w:color w:val="auto"/>
        </w:rPr>
      </w:pPr>
    </w:p>
    <w:p>
      <w:pPr>
        <w:ind w:right="60" w:firstLine="8"/>
        <w:spacing w:after="0" w:line="261"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(as defined in the Business Combination Agreement) threshold (i.e., $400) will, for all purposes of the Business Combination Agreement (and an agreement with the Founder Holders (the “Founder Holder Agreement”)), in each case be equitably adjusted to reflect such change; 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Founder Holder Earnout Shares (19,825 Founder Holder Earnout Shares) shall immediately become fully vested and no longer subject to forfeiture upon the occurrence of Triggering Event II, which is defined as the first date on which the Common Share Price is equal to or greater than $480.00 after the Closing Date, but within the Earnout Period; provided that</w:t>
      </w:r>
    </w:p>
    <w:p>
      <w:pPr>
        <w:spacing w:after="0" w:line="68" w:lineRule="exact"/>
        <w:rPr>
          <w:sz w:val="20"/>
          <w:szCs w:val="20"/>
          <w:color w:val="auto"/>
        </w:rPr>
      </w:pPr>
    </w:p>
    <w:p>
      <w:pPr>
        <w:ind w:right="40" w:firstLine="8"/>
        <w:spacing w:after="0" w:line="266" w:lineRule="auto"/>
        <w:tabs>
          <w:tab w:leader="none" w:pos="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pursuant to which Dave Stockholders receive, or have the right to receive, cash, securities or other property attributing a value of at least $480.00 to each share of Class A Common Stock (as agreed in good faith by Sponsor and the Board), then Triggering Event II shall be deemed to have occurred and;</w:t>
      </w:r>
    </w:p>
    <w:p>
      <w:pPr>
        <w:spacing w:after="0" w:line="67" w:lineRule="exact"/>
        <w:rPr>
          <w:rFonts w:ascii="Times New Roman" w:cs="Times New Roman" w:eastAsia="Times New Roman" w:hAnsi="Times New Roman"/>
          <w:sz w:val="18"/>
          <w:szCs w:val="18"/>
          <w:color w:val="auto"/>
        </w:rPr>
      </w:pPr>
    </w:p>
    <w:p>
      <w:pPr>
        <w:ind w:right="120" w:firstLine="8"/>
        <w:spacing w:after="0" w:line="266" w:lineRule="auto"/>
        <w:tabs>
          <w:tab w:leader="none" w:pos="5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threshold (i.e., $480.00) will, for all purposes of the Business Combination Agreement (and the Founder Holder Agreement), in each case be equitably adjusted to reflect such change.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Founder Holder Earnout Shares were recognized at fair value upon the closing of the Business Combination and classified as a liability. The issuance of the Founder Holder Earnout Shares were recorded as a liability with the offsetting amount within APIC because the Business Combination is accounted for as a reverse recapitalization. The Founder Holder Earnout Shares will be remeasured to fair value at each reporting period end with changes in fair value going through the statements of operations.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8" w:name="page89"/>
    <w:bookmarkEnd w:id="88"/>
    <w:p>
      <w:pPr>
        <w:ind w:right="20"/>
        <w:spacing w:after="0" w:line="272"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all of the issued and outstanding Series A, Series B-1 and Series B-2 redeemable convertible preferred stock and series A redeemable convertible preferred stock converted into 6,395,542 shares of Legacy Dave common stock immediately prior to the Business Combination. Then, as of the closing of the Business Combination, all outstanding shares of Legacy Dave common stock converted into 10,707,440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1,002,383.</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VPCC entered into Subscription Agreements (the “Subscription Agreement”) with certain investors (the “Subscription Investors”) pursuant to which the Subscription Investors agreed to purchase, and the Company agreed to sell to the Subscription Investors, an aggregate of 656,247 shares of the Class A Common Stock for a purchase price of $320 per share, or an aggregate of $210 million in gross cash proceeds (the “PIPE Financing”). On August 17, 2021 Alameda Research, a Subscription Investor agreed to pre-fund its obligation under the original Subscription Agreement to subscribe for 46,875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46,875 shares of Class A Common Stock to Alameda Research. The closing of the private placement occurred immediately prior to the closing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20" w:type="dxa"/>
            <w:vAlign w:val="bottom"/>
          </w:tcPr>
          <w:p>
            <w:pPr>
              <w:spacing w:after="0"/>
              <w:rPr>
                <w:sz w:val="21"/>
                <w:szCs w:val="21"/>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Class V</w:t>
            </w:r>
          </w:p>
        </w:tc>
        <w:tc>
          <w:tcPr>
            <w:tcW w:w="100" w:type="dxa"/>
            <w:vAlign w:val="bottom"/>
          </w:tcPr>
          <w:p>
            <w:pPr>
              <w:spacing w:after="0"/>
              <w:rPr>
                <w:sz w:val="21"/>
                <w:szCs w:val="21"/>
                <w:color w:val="auto"/>
              </w:rPr>
            </w:pPr>
          </w:p>
        </w:tc>
      </w:tr>
      <w:tr>
        <w:trPr>
          <w:trHeight w:val="243"/>
        </w:trPr>
        <w:tc>
          <w:tcPr>
            <w:tcW w:w="812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Common stock outstanding on December 31, 2021</w:t>
            </w:r>
          </w:p>
        </w:tc>
        <w:tc>
          <w:tcPr>
            <w:tcW w:w="152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2,888,634</w:t>
            </w:r>
          </w:p>
        </w:tc>
        <w:tc>
          <w:tcPr>
            <w:tcW w:w="100" w:type="dxa"/>
            <w:vAlign w:val="bottom"/>
            <w:shd w:val="clear" w:color="auto" w:fill="B6DEE8"/>
          </w:tcPr>
          <w:p>
            <w:pPr>
              <w:spacing w:after="0"/>
              <w:rPr>
                <w:sz w:val="21"/>
                <w:szCs w:val="21"/>
                <w:color w:val="auto"/>
              </w:rPr>
            </w:pPr>
          </w:p>
        </w:tc>
        <w:tc>
          <w:tcPr>
            <w:tcW w:w="14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1,514,082</w:t>
            </w:r>
          </w:p>
        </w:tc>
        <w:tc>
          <w:tcPr>
            <w:tcW w:w="100" w:type="dxa"/>
            <w:vAlign w:val="bottom"/>
            <w:shd w:val="clear" w:color="auto" w:fill="B6DEE8"/>
          </w:tcPr>
          <w:p>
            <w:pPr>
              <w:spacing w:after="0"/>
              <w:rPr>
                <w:sz w:val="21"/>
                <w:szCs w:val="21"/>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activity between December 31, 2021 and January 5, 2022</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20" w:type="dxa"/>
            <w:vAlign w:val="bottom"/>
            <w:shd w:val="clear" w:color="auto" w:fill="B6DEE8"/>
          </w:tcPr>
          <w:p>
            <w:pPr>
              <w:ind w:left="200"/>
              <w:spacing w:after="0"/>
              <w:rPr>
                <w:sz w:val="20"/>
                <w:szCs w:val="20"/>
                <w:color w:val="auto"/>
              </w:rPr>
            </w:pPr>
            <w:r>
              <w:rPr>
                <w:rFonts w:ascii="Times New Roman" w:cs="Times New Roman" w:eastAsia="Times New Roman" w:hAnsi="Times New Roman"/>
                <w:sz w:val="18"/>
                <w:szCs w:val="18"/>
                <w:color w:val="auto"/>
              </w:rPr>
              <w:t>Exercise of derivative asset and paydown of stockholder loans</w:t>
            </w:r>
          </w:p>
        </w:tc>
        <w:tc>
          <w:tcPr>
            <w:tcW w:w="16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(187,945 )</w:t>
            </w: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Class A common stock for stock option exercises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8120" w:type="dxa"/>
            <w:vAlign w:val="bottom"/>
            <w:shd w:val="clear" w:color="auto" w:fill="B6DEE8"/>
          </w:tcPr>
          <w:p>
            <w:pPr>
              <w:ind w:left="20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16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(6,203 )</w:t>
            </w: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8120" w:type="dxa"/>
            <w:vAlign w:val="bottom"/>
            <w:tcBorders>
              <w:top w:val="single" w:sz="8" w:color="B6DEE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outstanding prior to the Business Combination</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2,776,689</w:t>
            </w:r>
          </w:p>
        </w:tc>
        <w:tc>
          <w:tcPr>
            <w:tcW w:w="100" w:type="dxa"/>
            <w:vAlign w:val="bottom"/>
            <w:tcBorders>
              <w:top w:val="single" w:sz="8" w:color="B6DEE8"/>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1,514,082</w:t>
            </w:r>
          </w:p>
        </w:tc>
        <w:tc>
          <w:tcPr>
            <w:tcW w:w="100" w:type="dxa"/>
            <w:vAlign w:val="bottom"/>
            <w:tcBorders>
              <w:top w:val="single" w:sz="8" w:color="B6DEE8"/>
            </w:tcBorders>
          </w:tcPr>
          <w:p>
            <w:pPr>
              <w:spacing w:after="0"/>
              <w:rPr>
                <w:sz w:val="20"/>
                <w:szCs w:val="20"/>
                <w:color w:val="auto"/>
              </w:rPr>
            </w:pPr>
          </w:p>
        </w:tc>
      </w:tr>
      <w:tr>
        <w:trPr>
          <w:trHeight w:val="245"/>
        </w:trPr>
        <w:tc>
          <w:tcPr>
            <w:tcW w:w="812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to Class A common stock</w:t>
            </w: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6,395,542</w:t>
            </w:r>
          </w:p>
        </w:tc>
        <w:tc>
          <w:tcPr>
            <w:tcW w:w="100" w:type="dxa"/>
            <w:vAlign w:val="bottom"/>
            <w:shd w:val="clear" w:color="auto" w:fill="B6DEE8"/>
          </w:tcPr>
          <w:p>
            <w:pPr>
              <w:spacing w:after="0"/>
              <w:rPr>
                <w:sz w:val="21"/>
                <w:szCs w:val="21"/>
                <w:color w:val="auto"/>
              </w:rPr>
            </w:pP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attributable to VPCC</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92,463</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812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related to Reverse Recapitalization*</w:t>
            </w: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6,488,005</w:t>
            </w:r>
          </w:p>
        </w:tc>
        <w:tc>
          <w:tcPr>
            <w:tcW w:w="100" w:type="dxa"/>
            <w:vAlign w:val="bottom"/>
            <w:shd w:val="clear" w:color="auto" w:fill="B6DEE8"/>
          </w:tcPr>
          <w:p>
            <w:pPr>
              <w:spacing w:after="0"/>
              <w:rPr>
                <w:sz w:val="20"/>
                <w:szCs w:val="20"/>
                <w:color w:val="auto"/>
              </w:rPr>
            </w:pP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B6DEE8"/>
          </w:tcPr>
          <w:p>
            <w:pPr>
              <w:spacing w:after="0"/>
              <w:rPr>
                <w:sz w:val="20"/>
                <w:szCs w:val="20"/>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Holder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12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Conversion of 2019 convertible notes and accrued interest to Class A common stock</w:t>
            </w: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B6DEE8"/>
          </w:tcPr>
          <w:p>
            <w:pPr>
              <w:spacing w:after="0"/>
              <w:rPr>
                <w:sz w:val="21"/>
                <w:szCs w:val="21"/>
                <w:color w:val="auto"/>
              </w:rPr>
            </w:pPr>
          </w:p>
        </w:tc>
        <w:tc>
          <w:tcPr>
            <w:tcW w:w="14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Series B-1 preferred stock warrants, net of settlement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8120" w:type="dxa"/>
            <w:vAlign w:val="bottom"/>
            <w:tcBorders>
              <w:bottom w:val="single" w:sz="8" w:color="B6DEE8"/>
            </w:tcBorders>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pursuant to the PIPE financing</w:t>
            </w:r>
          </w:p>
        </w:tc>
        <w:tc>
          <w:tcPr>
            <w:tcW w:w="1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656,247</w:t>
            </w:r>
          </w:p>
        </w:tc>
        <w:tc>
          <w:tcPr>
            <w:tcW w:w="100" w:type="dxa"/>
            <w:vAlign w:val="bottom"/>
            <w:tcBorders>
              <w:bottom w:val="single" w:sz="8" w:color="B6DEE8"/>
            </w:tcBorders>
            <w:shd w:val="clear" w:color="auto" w:fill="B6DEE8"/>
          </w:tcPr>
          <w:p>
            <w:pPr>
              <w:spacing w:after="0"/>
              <w:rPr>
                <w:sz w:val="21"/>
                <w:szCs w:val="21"/>
                <w:color w:val="auto"/>
              </w:rPr>
            </w:pPr>
          </w:p>
        </w:tc>
        <w:tc>
          <w:tcPr>
            <w:tcW w:w="14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 of common stock as of closing of Business Combination and related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10,061,021</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1,514,082</w:t>
            </w:r>
          </w:p>
        </w:tc>
        <w:tc>
          <w:tcPr>
            <w:tcW w:w="10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-1439545</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corresponding adjustment to APIC related to the reverse recapitalization was comprised of (i) $175.3 million which represents the fair value of the consideration transferred in the Business Combination, less the excess of the fair value of the shares issued over the value of the net monetary assets of VPCC, net of transaction costs and (ii) $72.2 million which represents the conversion of the convertible preferred stock into Dave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1,002,383 Dave options outstanding immediately after the Business Combination.</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right="60"/>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Dave warrants to purchase 357,635 shares of Class A Common Stock, consisted of (i) 198,254 public warrants listed on the Nasdaq and (ii) 159,381 private warrants, each with an exercise price of $368 per share, remained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34"/>
        </w:trPr>
        <w:tc>
          <w:tcPr>
            <w:tcW w:w="2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28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60" w:type="dxa"/>
            <w:vAlign w:val="bottom"/>
            <w:tcBorders>
              <w:bottom w:val="single" w:sz="8" w:color="auto"/>
            </w:tcBorders>
            <w:shd w:val="clear" w:color="auto" w:fill="B6DEE8"/>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B6DEE8"/>
          </w:tcPr>
          <w:p>
            <w:pPr>
              <w:spacing w:after="0"/>
              <w:rPr>
                <w:sz w:val="20"/>
                <w:szCs w:val="20"/>
                <w:color w:val="auto"/>
              </w:rPr>
            </w:pPr>
          </w:p>
        </w:tc>
        <w:tc>
          <w:tcPr>
            <w:tcW w:w="180" w:type="dxa"/>
            <w:vAlign w:val="bottom"/>
            <w:tcBorders>
              <w:bottom w:val="single" w:sz="8" w:color="auto"/>
            </w:tcBorders>
            <w:shd w:val="clear" w:color="auto" w:fill="B6DEE8"/>
          </w:tcPr>
          <w:p>
            <w:pPr>
              <w:spacing w:after="0"/>
              <w:rPr>
                <w:sz w:val="20"/>
                <w:szCs w:val="20"/>
                <w:color w:val="auto"/>
              </w:rPr>
            </w:pPr>
          </w:p>
        </w:tc>
        <w:tc>
          <w:tcPr>
            <w:tcW w:w="4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B6DEE8"/>
            </w:tcBorders>
            <w:shd w:val="clear" w:color="auto" w:fill="B6DEE8"/>
          </w:tcPr>
          <w:p>
            <w:pPr>
              <w:spacing w:after="0"/>
              <w:rPr>
                <w:sz w:val="20"/>
                <w:szCs w:val="20"/>
                <w:color w:val="auto"/>
              </w:rPr>
            </w:pPr>
          </w:p>
        </w:tc>
        <w:tc>
          <w:tcPr>
            <w:tcW w:w="600" w:type="dxa"/>
            <w:vAlign w:val="bottom"/>
            <w:tcBorders>
              <w:bottom w:val="single" w:sz="8" w:color="auto"/>
            </w:tcBorders>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8,226</w:t>
            </w:r>
          </w:p>
        </w:tc>
        <w:tc>
          <w:tcPr>
            <w:tcW w:w="100" w:type="dxa"/>
            <w:vAlign w:val="bottom"/>
            <w:tcBorders>
              <w:bottom w:val="single" w:sz="8" w:color="B6DEE8"/>
            </w:tcBorders>
            <w:shd w:val="clear" w:color="auto" w:fill="B6DEE8"/>
          </w:tcPr>
          <w:p>
            <w:pPr>
              <w:spacing w:after="0"/>
              <w:rPr>
                <w:sz w:val="20"/>
                <w:szCs w:val="20"/>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8,226</w:t>
            </w:r>
          </w:p>
        </w:tc>
        <w:tc>
          <w:tcPr>
            <w:tcW w:w="100" w:type="dxa"/>
            <w:vAlign w:val="bottom"/>
          </w:tcPr>
          <w:p>
            <w:pPr>
              <w:spacing w:after="0"/>
              <w:rPr>
                <w:sz w:val="20"/>
                <w:szCs w:val="20"/>
                <w:color w:val="auto"/>
              </w:rPr>
            </w:pPr>
          </w:p>
        </w:tc>
      </w:tr>
      <w:tr>
        <w:trPr>
          <w:trHeight w:val="20"/>
        </w:trPr>
        <w:tc>
          <w:tcPr>
            <w:tcW w:w="28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December 31, 2022 and 2021, the Company’s marketable securities consisted of investments in a publicly traded money market mutual fund with a ticket symbol SSPXX. The underlying money market instruments were primarily comprised of certificates of deposit and financial company asset backed commercial paper. At December 31, 2022 and 2021, the investment portfolio had a weighted-average maturity of 48 days and 46 days, respectively. The gain recognized in connection with the investment in marketable securities for the year ended December 31, 2022, was approximately $0.4 million and recorded as a component of interest income in the consolidated statements of operations. The loss recognized in connection with the investment in marketable securities for the year ended December 31, 2021, was $0.001 million and was recorded as a component of interest expense in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Short-Term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short-term investments, which are measured at fair value as of December 31, 2022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24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Borders>
              <w:top w:val="single" w:sz="8" w:color="auto"/>
            </w:tcBorders>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151,245</w:t>
            </w: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580" w:type="dxa"/>
            <w:vAlign w:val="bottom"/>
            <w:tcBorders>
              <w:top w:val="single" w:sz="8" w:color="auto"/>
            </w:tcBorders>
            <w:shd w:val="clear" w:color="auto" w:fill="B6DEE8"/>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B6DEE8"/>
          </w:tcPr>
          <w:p>
            <w:pPr>
              <w:spacing w:after="0"/>
              <w:rPr>
                <w:sz w:val="21"/>
                <w:szCs w:val="21"/>
                <w:color w:val="auto"/>
              </w:rPr>
            </w:pPr>
          </w:p>
        </w:tc>
        <w:tc>
          <w:tcPr>
            <w:tcW w:w="240" w:type="dxa"/>
            <w:vAlign w:val="bottom"/>
            <w:tcBorders>
              <w:top w:val="single" w:sz="8" w:color="auto"/>
            </w:tcBorders>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149,576</w:t>
            </w:r>
          </w:p>
        </w:tc>
        <w:tc>
          <w:tcPr>
            <w:tcW w:w="100" w:type="dxa"/>
            <w:vAlign w:val="bottom"/>
            <w:shd w:val="clear" w:color="auto" w:fill="B6DEE8"/>
          </w:tcPr>
          <w:p>
            <w:pPr>
              <w:spacing w:after="0"/>
              <w:rPr>
                <w:sz w:val="21"/>
                <w:szCs w:val="21"/>
                <w:color w:val="auto"/>
              </w:rPr>
            </w:pPr>
          </w:p>
        </w:tc>
      </w:tr>
      <w:tr>
        <w:trPr>
          <w:trHeight w:val="23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Pr>
          <w:p>
            <w:pPr>
              <w:spacing w:after="0"/>
              <w:rPr>
                <w:sz w:val="20"/>
                <w:szCs w:val="20"/>
                <w:color w:val="auto"/>
              </w:rPr>
            </w:pPr>
          </w:p>
        </w:tc>
      </w:tr>
      <w:tr>
        <w:trPr>
          <w:trHeight w:val="243"/>
        </w:trPr>
        <w:tc>
          <w:tcPr>
            <w:tcW w:w="24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100" w:type="dxa"/>
            <w:vAlign w:val="bottom"/>
            <w:tcBorders>
              <w:bottom w:val="single" w:sz="8" w:color="auto"/>
            </w:tcBorders>
            <w:shd w:val="clear" w:color="auto" w:fill="B6DEE8"/>
          </w:tcPr>
          <w:p>
            <w:pPr>
              <w:spacing w:after="0"/>
              <w:rPr>
                <w:sz w:val="21"/>
                <w:szCs w:val="21"/>
                <w:color w:val="auto"/>
              </w:rPr>
            </w:pPr>
          </w:p>
        </w:tc>
        <w:tc>
          <w:tcPr>
            <w:tcW w:w="6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1580" w:type="dxa"/>
            <w:vAlign w:val="bottom"/>
            <w:tcBorders>
              <w:bottom w:val="single" w:sz="8" w:color="auto"/>
            </w:tcBorders>
            <w:shd w:val="clear" w:color="auto" w:fill="B6DEE8"/>
          </w:tcPr>
          <w:p>
            <w:pPr>
              <w:spacing w:after="0"/>
              <w:rPr>
                <w:sz w:val="21"/>
                <w:szCs w:val="21"/>
                <w:color w:val="auto"/>
              </w:rPr>
            </w:pPr>
          </w:p>
        </w:tc>
        <w:tc>
          <w:tcPr>
            <w:tcW w:w="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1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240" w:type="dxa"/>
            <w:vAlign w:val="bottom"/>
            <w:tcBorders>
              <w:bottom w:val="single" w:sz="8" w:color="auto"/>
            </w:tcBorders>
            <w:shd w:val="clear" w:color="auto" w:fill="B6DEE8"/>
          </w:tcPr>
          <w:p>
            <w:pPr>
              <w:spacing w:after="0"/>
              <w:rPr>
                <w:sz w:val="21"/>
                <w:szCs w:val="21"/>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82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(1,684 )</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168,789</w:t>
            </w:r>
          </w:p>
        </w:tc>
        <w:tc>
          <w:tcPr>
            <w:tcW w:w="100" w:type="dxa"/>
            <w:vAlign w:val="bottom"/>
          </w:tcPr>
          <w:p>
            <w:pPr>
              <w:spacing w:after="0"/>
              <w:rPr>
                <w:sz w:val="20"/>
                <w:szCs w:val="20"/>
                <w:color w:val="auto"/>
              </w:rPr>
            </w:pPr>
          </w:p>
        </w:tc>
      </w:tr>
      <w:tr>
        <w:trPr>
          <w:trHeight w:val="20"/>
        </w:trPr>
        <w:tc>
          <w:tcPr>
            <w:tcW w:w="2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603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032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Company’s short-term investments consisted of investments in corporate bonds and notes, asset backed securities, and government securities with varying maturity dates between 2023 through 2027.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2021, the Company had no short-term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Member Cash Advances,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Member cash advances, net as of December 31, 2022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 Member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Unrecoverable</w:t>
            </w:r>
          </w:p>
        </w:tc>
        <w:tc>
          <w:tcPr>
            <w:tcW w:w="14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1"/>
        </w:trPr>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220" w:type="dxa"/>
            <w:vAlign w:val="bottom"/>
          </w:tcPr>
          <w:p>
            <w:pPr>
              <w:spacing w:after="0"/>
              <w:rPr>
                <w:sz w:val="18"/>
                <w:szCs w:val="18"/>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Advances, Net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2440" w:type="dxa"/>
            <w:vAlign w:val="bottom"/>
            <w:shd w:val="clear" w:color="auto" w:fill="B6DEE8"/>
          </w:tcPr>
          <w:p>
            <w:pPr>
              <w:spacing w:after="0"/>
              <w:rPr>
                <w:sz w:val="20"/>
                <w:szCs w:val="20"/>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91,121</w:t>
            </w:r>
          </w:p>
        </w:tc>
        <w:tc>
          <w:tcPr>
            <w:tcW w:w="10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B6DEE8"/>
          </w:tcPr>
          <w:p>
            <w:pPr>
              <w:spacing w:after="0"/>
              <w:rPr>
                <w:sz w:val="20"/>
                <w:szCs w:val="20"/>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88,897</w:t>
            </w:r>
          </w:p>
        </w:tc>
        <w:tc>
          <w:tcPr>
            <w:tcW w:w="100" w:type="dxa"/>
            <w:vAlign w:val="bottom"/>
            <w:shd w:val="clear" w:color="auto" w:fill="B6DEE8"/>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24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7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(5,529 )</w:t>
            </w:r>
          </w:p>
        </w:tc>
        <w:tc>
          <w:tcPr>
            <w:tcW w:w="2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(6,702 )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24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7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(7,464 )</w:t>
            </w:r>
          </w:p>
        </w:tc>
        <w:tc>
          <w:tcPr>
            <w:tcW w:w="2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58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128,684</w:t>
            </w:r>
          </w:p>
        </w:tc>
        <w:tc>
          <w:tcPr>
            <w:tcW w:w="100" w:type="dxa"/>
            <w:vAlign w:val="bottom"/>
          </w:tcPr>
          <w:p>
            <w:pPr>
              <w:spacing w:after="0"/>
              <w:rPr>
                <w:sz w:val="20"/>
                <w:szCs w:val="20"/>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(24,501 )</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0"/>
        </w:trPr>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-650875</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-650875</wp:posOffset>
            </wp:positionV>
            <wp:extent cx="603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Below is a detail of Member cash advances, net as of December 31, 2021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 Member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Unrecoverable</w:t>
            </w:r>
          </w:p>
        </w:tc>
        <w:tc>
          <w:tcPr>
            <w:tcW w:w="14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100" w:type="dxa"/>
            <w:vAlign w:val="bottom"/>
          </w:tcPr>
          <w:p>
            <w:pPr>
              <w:spacing w:after="0"/>
              <w:rPr>
                <w:sz w:val="18"/>
                <w:szCs w:val="18"/>
                <w:color w:val="auto"/>
              </w:rPr>
            </w:pPr>
          </w:p>
        </w:tc>
      </w:tr>
      <w:tr>
        <w:trPr>
          <w:trHeight w:val="211"/>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220" w:type="dxa"/>
            <w:vAlign w:val="bottom"/>
          </w:tcPr>
          <w:p>
            <w:pPr>
              <w:spacing w:after="0"/>
              <w:rPr>
                <w:sz w:val="18"/>
                <w:szCs w:val="18"/>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Advances, Net</w:t>
            </w:r>
          </w:p>
        </w:tc>
        <w:tc>
          <w:tcPr>
            <w:tcW w:w="100" w:type="dxa"/>
            <w:vAlign w:val="bottom"/>
          </w:tcPr>
          <w:p>
            <w:pPr>
              <w:spacing w:after="0"/>
              <w:rPr>
                <w:sz w:val="18"/>
                <w:szCs w:val="18"/>
                <w:color w:val="auto"/>
              </w:rPr>
            </w:pPr>
          </w:p>
        </w:tc>
      </w:tr>
      <w:tr>
        <w:trPr>
          <w:trHeight w:val="21"/>
        </w:trPr>
        <w:tc>
          <w:tcPr>
            <w:tcW w:w="18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2440" w:type="dxa"/>
            <w:vAlign w:val="bottom"/>
            <w:shd w:val="clear" w:color="auto" w:fill="B6DEE8"/>
          </w:tcPr>
          <w:p>
            <w:pPr>
              <w:spacing w:after="0"/>
              <w:rPr>
                <w:sz w:val="20"/>
                <w:szCs w:val="20"/>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39,910</w:t>
            </w:r>
          </w:p>
        </w:tc>
        <w:tc>
          <w:tcPr>
            <w:tcW w:w="10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B6DEE8"/>
          </w:tcPr>
          <w:p>
            <w:pPr>
              <w:spacing w:after="0"/>
              <w:rPr>
                <w:sz w:val="20"/>
                <w:szCs w:val="20"/>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100" w:type="dxa"/>
            <w:vAlign w:val="bottom"/>
            <w:shd w:val="clear" w:color="auto" w:fill="B6DEE8"/>
          </w:tcPr>
          <w:p>
            <w:pPr>
              <w:spacing w:after="0"/>
              <w:rPr>
                <w:sz w:val="20"/>
                <w:szCs w:val="20"/>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20"/>
                <w:szCs w:val="20"/>
                <w:color w:val="auto"/>
              </w:rPr>
            </w:pPr>
          </w:p>
        </w:tc>
      </w:tr>
      <w:tr>
        <w:trPr>
          <w:trHeight w:val="24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24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7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(2,652 )</w:t>
            </w:r>
          </w:p>
        </w:tc>
        <w:tc>
          <w:tcPr>
            <w:tcW w:w="2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B6DEE8"/>
          </w:tcPr>
          <w:p>
            <w:pPr>
              <w:spacing w:after="0"/>
              <w:rPr>
                <w:sz w:val="21"/>
                <w:szCs w:val="21"/>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r>
      <w:tr>
        <w:trPr>
          <w:trHeight w:val="243"/>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24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7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(3,211 )</w:t>
            </w:r>
          </w:p>
        </w:tc>
        <w:tc>
          <w:tcPr>
            <w:tcW w:w="2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3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B6DEE8"/>
          </w:tcPr>
          <w:p>
            <w:pPr>
              <w:spacing w:after="0"/>
              <w:rPr>
                <w:sz w:val="21"/>
                <w:szCs w:val="2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61,008</w:t>
            </w:r>
          </w:p>
        </w:tc>
        <w:tc>
          <w:tcPr>
            <w:tcW w:w="100" w:type="dxa"/>
            <w:vAlign w:val="bottom"/>
          </w:tcPr>
          <w:p>
            <w:pPr>
              <w:spacing w:after="0"/>
              <w:rPr>
                <w:sz w:val="20"/>
                <w:szCs w:val="20"/>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(11,995 )</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49,013</w:t>
            </w:r>
          </w:p>
        </w:tc>
        <w:tc>
          <w:tcPr>
            <w:tcW w:w="100" w:type="dxa"/>
            <w:vAlign w:val="bottom"/>
          </w:tcPr>
          <w:p>
            <w:pPr>
              <w:spacing w:after="0"/>
              <w:rPr>
                <w:sz w:val="20"/>
                <w:szCs w:val="20"/>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-187960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032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 advances, net, represent outstanding advances, tips, and processing fees, net of direct origination costs, less an allowance for unrecoverable advances.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roll-forward of the allowance for unrecoverable advances is as follows (in thousands):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2022</w:t>
            </w: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11,995</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3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unrecoverable advances</w:t>
            </w:r>
          </w:p>
        </w:tc>
        <w:tc>
          <w:tcPr>
            <w:tcW w:w="860" w:type="dxa"/>
            <w:vAlign w:val="bottom"/>
            <w:shd w:val="clear" w:color="auto" w:fill="B6DEE8"/>
          </w:tcPr>
          <w:p>
            <w:pPr>
              <w:spacing w:after="0"/>
              <w:rPr>
                <w:sz w:val="21"/>
                <w:szCs w:val="21"/>
                <w:color w:val="auto"/>
              </w:rPr>
            </w:pPr>
          </w:p>
        </w:tc>
        <w:tc>
          <w:tcPr>
            <w:tcW w:w="146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5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980" w:type="dxa"/>
            <w:vAlign w:val="bottom"/>
            <w:shd w:val="clear" w:color="auto" w:fill="B6DEE8"/>
          </w:tcPr>
          <w:p>
            <w:pPr>
              <w:spacing w:after="0"/>
              <w:rPr>
                <w:sz w:val="21"/>
                <w:szCs w:val="21"/>
                <w:color w:val="auto"/>
              </w:rPr>
            </w:pPr>
          </w:p>
        </w:tc>
        <w:tc>
          <w:tcPr>
            <w:tcW w:w="20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(53,760 )</w:t>
            </w:r>
          </w:p>
        </w:tc>
      </w:tr>
      <w:tr>
        <w:trPr>
          <w:trHeight w:val="278"/>
        </w:trPr>
        <w:tc>
          <w:tcPr>
            <w:tcW w:w="580" w:type="dxa"/>
            <w:vAlign w:val="bottom"/>
          </w:tcPr>
          <w:p>
            <w:pPr>
              <w:spacing w:after="0"/>
              <w:rPr>
                <w:sz w:val="24"/>
                <w:szCs w:val="24"/>
                <w:color w:val="auto"/>
              </w:rPr>
            </w:pPr>
          </w:p>
        </w:tc>
        <w:tc>
          <w:tcPr>
            <w:tcW w:w="398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2022</w:t>
            </w:r>
          </w:p>
        </w:tc>
        <w:tc>
          <w:tcPr>
            <w:tcW w:w="860" w:type="dxa"/>
            <w:vAlign w:val="bottom"/>
            <w:tcBorders>
              <w:top w:val="single" w:sz="8" w:color="auto"/>
              <w:bottom w:val="single" w:sz="8" w:color="auto"/>
            </w:tcBorders>
            <w:shd w:val="clear" w:color="auto" w:fill="B6DEE8"/>
          </w:tcPr>
          <w:p>
            <w:pPr>
              <w:spacing w:after="0"/>
              <w:rPr>
                <w:sz w:val="24"/>
                <w:szCs w:val="24"/>
                <w:color w:val="auto"/>
              </w:rPr>
            </w:pPr>
          </w:p>
        </w:tc>
        <w:tc>
          <w:tcPr>
            <w:tcW w:w="1460" w:type="dxa"/>
            <w:vAlign w:val="bottom"/>
            <w:tcBorders>
              <w:top w:val="single" w:sz="8" w:color="auto"/>
              <w:bottom w:val="single" w:sz="8" w:color="auto"/>
            </w:tcBorders>
            <w:shd w:val="clear" w:color="auto" w:fill="B6DEE8"/>
          </w:tcPr>
          <w:p>
            <w:pPr>
              <w:spacing w:after="0"/>
              <w:rPr>
                <w:sz w:val="24"/>
                <w:szCs w:val="24"/>
                <w:color w:val="auto"/>
              </w:rPr>
            </w:pPr>
          </w:p>
        </w:tc>
        <w:tc>
          <w:tcPr>
            <w:tcW w:w="80" w:type="dxa"/>
            <w:vAlign w:val="bottom"/>
            <w:tcBorders>
              <w:top w:val="single" w:sz="8" w:color="auto"/>
              <w:bottom w:val="single" w:sz="8" w:color="auto"/>
            </w:tcBorders>
            <w:shd w:val="clear" w:color="auto" w:fill="B6DEE8"/>
          </w:tcPr>
          <w:p>
            <w:pPr>
              <w:spacing w:after="0"/>
              <w:rPr>
                <w:sz w:val="24"/>
                <w:szCs w:val="24"/>
                <w:color w:val="auto"/>
              </w:rPr>
            </w:pPr>
          </w:p>
        </w:tc>
        <w:tc>
          <w:tcPr>
            <w:tcW w:w="500" w:type="dxa"/>
            <w:vAlign w:val="bottom"/>
            <w:tcBorders>
              <w:top w:val="single" w:sz="8" w:color="auto"/>
              <w:bottom w:val="single" w:sz="8" w:color="auto"/>
            </w:tcBorders>
            <w:shd w:val="clear" w:color="auto" w:fill="B6DEE8"/>
          </w:tcPr>
          <w:p>
            <w:pPr>
              <w:spacing w:after="0"/>
              <w:rPr>
                <w:sz w:val="24"/>
                <w:szCs w:val="24"/>
                <w:color w:val="auto"/>
              </w:rPr>
            </w:pPr>
          </w:p>
        </w:tc>
        <w:tc>
          <w:tcPr>
            <w:tcW w:w="100" w:type="dxa"/>
            <w:vAlign w:val="bottom"/>
            <w:tcBorders>
              <w:top w:val="single" w:sz="8" w:color="auto"/>
              <w:bottom w:val="single" w:sz="8" w:color="auto"/>
            </w:tcBorders>
            <w:shd w:val="clear" w:color="auto" w:fill="B6DEE8"/>
          </w:tcPr>
          <w:p>
            <w:pPr>
              <w:spacing w:after="0"/>
              <w:rPr>
                <w:sz w:val="24"/>
                <w:szCs w:val="24"/>
                <w:color w:val="auto"/>
              </w:rPr>
            </w:pPr>
          </w:p>
        </w:tc>
        <w:tc>
          <w:tcPr>
            <w:tcW w:w="9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24,501</w:t>
            </w:r>
          </w:p>
        </w:tc>
        <w:tc>
          <w:tcPr>
            <w:tcW w:w="100" w:type="dxa"/>
            <w:vAlign w:val="bottom"/>
            <w:tcBorders>
              <w:bottom w:val="single" w:sz="8" w:color="B6DEE8"/>
            </w:tcBorders>
            <w:shd w:val="clear" w:color="auto" w:fill="B6DEE8"/>
          </w:tcPr>
          <w:p>
            <w:pPr>
              <w:spacing w:after="0"/>
              <w:rPr>
                <w:sz w:val="24"/>
                <w:szCs w:val="24"/>
                <w:color w:val="auto"/>
              </w:rPr>
            </w:pPr>
          </w:p>
        </w:tc>
      </w:tr>
      <w:tr>
        <w:trPr>
          <w:trHeight w:val="705"/>
        </w:trPr>
        <w:tc>
          <w:tcPr>
            <w:tcW w:w="5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2021</w:t>
            </w: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12,580</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3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unrecoverable advances</w:t>
            </w:r>
          </w:p>
        </w:tc>
        <w:tc>
          <w:tcPr>
            <w:tcW w:w="860" w:type="dxa"/>
            <w:vAlign w:val="bottom"/>
            <w:shd w:val="clear" w:color="auto" w:fill="B6DEE8"/>
          </w:tcPr>
          <w:p>
            <w:pPr>
              <w:spacing w:after="0"/>
              <w:rPr>
                <w:sz w:val="21"/>
                <w:szCs w:val="21"/>
                <w:color w:val="auto"/>
              </w:rPr>
            </w:pPr>
          </w:p>
        </w:tc>
        <w:tc>
          <w:tcPr>
            <w:tcW w:w="146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5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980" w:type="dxa"/>
            <w:vAlign w:val="bottom"/>
            <w:shd w:val="clear" w:color="auto" w:fill="B6DEE8"/>
          </w:tcPr>
          <w:p>
            <w:pPr>
              <w:spacing w:after="0"/>
              <w:rPr>
                <w:sz w:val="21"/>
                <w:szCs w:val="21"/>
                <w:color w:val="auto"/>
              </w:rPr>
            </w:pPr>
          </w:p>
        </w:tc>
        <w:tc>
          <w:tcPr>
            <w:tcW w:w="20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(32,759 )</w:t>
            </w:r>
          </w:p>
        </w:tc>
      </w:tr>
      <w:tr>
        <w:trPr>
          <w:trHeight w:val="279"/>
        </w:trPr>
        <w:tc>
          <w:tcPr>
            <w:tcW w:w="580" w:type="dxa"/>
            <w:vAlign w:val="bottom"/>
          </w:tcPr>
          <w:p>
            <w:pPr>
              <w:spacing w:after="0"/>
              <w:rPr>
                <w:sz w:val="24"/>
                <w:szCs w:val="24"/>
                <w:color w:val="auto"/>
              </w:rPr>
            </w:pPr>
          </w:p>
        </w:tc>
        <w:tc>
          <w:tcPr>
            <w:tcW w:w="398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2021</w:t>
            </w:r>
          </w:p>
        </w:tc>
        <w:tc>
          <w:tcPr>
            <w:tcW w:w="860" w:type="dxa"/>
            <w:vAlign w:val="bottom"/>
            <w:tcBorders>
              <w:top w:val="single" w:sz="8" w:color="auto"/>
              <w:bottom w:val="single" w:sz="8" w:color="auto"/>
            </w:tcBorders>
            <w:shd w:val="clear" w:color="auto" w:fill="B6DEE8"/>
          </w:tcPr>
          <w:p>
            <w:pPr>
              <w:spacing w:after="0"/>
              <w:rPr>
                <w:sz w:val="24"/>
                <w:szCs w:val="24"/>
                <w:color w:val="auto"/>
              </w:rPr>
            </w:pPr>
          </w:p>
        </w:tc>
        <w:tc>
          <w:tcPr>
            <w:tcW w:w="1460" w:type="dxa"/>
            <w:vAlign w:val="bottom"/>
            <w:tcBorders>
              <w:top w:val="single" w:sz="8" w:color="auto"/>
              <w:bottom w:val="single" w:sz="8" w:color="auto"/>
            </w:tcBorders>
            <w:shd w:val="clear" w:color="auto" w:fill="B6DEE8"/>
          </w:tcPr>
          <w:p>
            <w:pPr>
              <w:spacing w:after="0"/>
              <w:rPr>
                <w:sz w:val="24"/>
                <w:szCs w:val="24"/>
                <w:color w:val="auto"/>
              </w:rPr>
            </w:pPr>
          </w:p>
        </w:tc>
        <w:tc>
          <w:tcPr>
            <w:tcW w:w="80" w:type="dxa"/>
            <w:vAlign w:val="bottom"/>
            <w:tcBorders>
              <w:top w:val="single" w:sz="8" w:color="auto"/>
              <w:bottom w:val="single" w:sz="8" w:color="auto"/>
            </w:tcBorders>
            <w:shd w:val="clear" w:color="auto" w:fill="B6DEE8"/>
          </w:tcPr>
          <w:p>
            <w:pPr>
              <w:spacing w:after="0"/>
              <w:rPr>
                <w:sz w:val="24"/>
                <w:szCs w:val="24"/>
                <w:color w:val="auto"/>
              </w:rPr>
            </w:pPr>
          </w:p>
        </w:tc>
        <w:tc>
          <w:tcPr>
            <w:tcW w:w="500" w:type="dxa"/>
            <w:vAlign w:val="bottom"/>
            <w:tcBorders>
              <w:top w:val="single" w:sz="8" w:color="auto"/>
              <w:bottom w:val="single" w:sz="8" w:color="auto"/>
            </w:tcBorders>
            <w:shd w:val="clear" w:color="auto" w:fill="B6DEE8"/>
          </w:tcPr>
          <w:p>
            <w:pPr>
              <w:spacing w:after="0"/>
              <w:rPr>
                <w:sz w:val="24"/>
                <w:szCs w:val="24"/>
                <w:color w:val="auto"/>
              </w:rPr>
            </w:pPr>
          </w:p>
        </w:tc>
        <w:tc>
          <w:tcPr>
            <w:tcW w:w="100" w:type="dxa"/>
            <w:vAlign w:val="bottom"/>
            <w:tcBorders>
              <w:top w:val="single" w:sz="8" w:color="auto"/>
              <w:bottom w:val="single" w:sz="8" w:color="auto"/>
            </w:tcBorders>
            <w:shd w:val="clear" w:color="auto" w:fill="B6DEE8"/>
          </w:tcPr>
          <w:p>
            <w:pPr>
              <w:spacing w:after="0"/>
              <w:rPr>
                <w:sz w:val="24"/>
                <w:szCs w:val="24"/>
                <w:color w:val="auto"/>
              </w:rPr>
            </w:pPr>
          </w:p>
        </w:tc>
        <w:tc>
          <w:tcPr>
            <w:tcW w:w="9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11,995</w:t>
            </w:r>
          </w:p>
        </w:tc>
        <w:tc>
          <w:tcPr>
            <w:tcW w:w="100" w:type="dxa"/>
            <w:vAlign w:val="bottom"/>
            <w:tcBorders>
              <w:bottom w:val="single" w:sz="8" w:color="B6DEE8"/>
            </w:tcBorders>
            <w:shd w:val="clear" w:color="auto" w:fill="B6DEE8"/>
          </w:tcPr>
          <w:p>
            <w:pPr>
              <w:spacing w:after="0"/>
              <w:rPr>
                <w:sz w:val="24"/>
                <w:szCs w:val="24"/>
                <w:color w:val="auto"/>
              </w:rPr>
            </w:pPr>
          </w:p>
        </w:tc>
      </w:tr>
      <w:tr>
        <w:trPr>
          <w:trHeight w:val="55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 Net</w:t>
            </w: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34"/>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3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60" w:type="dxa"/>
            <w:vAlign w:val="bottom"/>
            <w:shd w:val="clear" w:color="auto" w:fill="B6DEE8"/>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B6DEE8"/>
          </w:tcPr>
          <w:p>
            <w:pPr>
              <w:spacing w:after="0"/>
              <w:rPr>
                <w:sz w:val="21"/>
                <w:szCs w:val="21"/>
                <w:color w:val="auto"/>
              </w:rPr>
            </w:pPr>
          </w:p>
        </w:tc>
        <w:tc>
          <w:tcPr>
            <w:tcW w:w="980" w:type="dxa"/>
            <w:vAlign w:val="bottom"/>
            <w:shd w:val="clear" w:color="auto" w:fill="B6DEE8"/>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9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60" w:type="dxa"/>
            <w:vAlign w:val="bottom"/>
            <w:tcBorders>
              <w:bottom w:val="single" w:sz="8" w:color="auto"/>
            </w:tcBorders>
            <w:shd w:val="clear" w:color="auto" w:fill="B6DEE8"/>
          </w:tcPr>
          <w:p>
            <w:pPr>
              <w:spacing w:after="0"/>
              <w:rPr>
                <w:sz w:val="21"/>
                <w:szCs w:val="21"/>
                <w:color w:val="auto"/>
              </w:rPr>
            </w:pPr>
          </w:p>
        </w:tc>
        <w:tc>
          <w:tcPr>
            <w:tcW w:w="146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B6DEE8"/>
            </w:tcBorders>
            <w:shd w:val="clear" w:color="auto" w:fill="B6DEE8"/>
          </w:tcPr>
          <w:p>
            <w:pPr>
              <w:spacing w:after="0"/>
              <w:rPr>
                <w:sz w:val="21"/>
                <w:szCs w:val="21"/>
                <w:color w:val="auto"/>
              </w:rPr>
            </w:pPr>
          </w:p>
        </w:tc>
        <w:tc>
          <w:tcPr>
            <w:tcW w:w="980" w:type="dxa"/>
            <w:vAlign w:val="bottom"/>
            <w:tcBorders>
              <w:bottom w:val="single" w:sz="8" w:color="auto"/>
            </w:tcBorders>
            <w:shd w:val="clear" w:color="auto" w:fill="B6DEE8"/>
          </w:tcPr>
          <w:p>
            <w:pPr>
              <w:spacing w:after="0"/>
              <w:rPr>
                <w:sz w:val="21"/>
                <w:szCs w:val="21"/>
                <w:color w:val="auto"/>
              </w:rPr>
            </w:pPr>
          </w:p>
        </w:tc>
        <w:tc>
          <w:tcPr>
            <w:tcW w:w="204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3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shd w:val="clear" w:color="auto" w:fill="B6DEE8"/>
          </w:tcPr>
          <w:p>
            <w:pPr>
              <w:spacing w:after="0"/>
              <w:rPr>
                <w:sz w:val="20"/>
                <w:szCs w:val="20"/>
                <w:color w:val="auto"/>
              </w:rPr>
            </w:pPr>
          </w:p>
        </w:tc>
        <w:tc>
          <w:tcPr>
            <w:tcW w:w="1460" w:type="dxa"/>
            <w:vAlign w:val="bottom"/>
            <w:shd w:val="clear" w:color="auto" w:fill="B6DEE8"/>
          </w:tcPr>
          <w:p>
            <w:pPr>
              <w:spacing w:after="0"/>
              <w:rPr>
                <w:sz w:val="20"/>
                <w:szCs w:val="20"/>
                <w:color w:val="auto"/>
              </w:rPr>
            </w:pPr>
          </w:p>
        </w:tc>
        <w:tc>
          <w:tcPr>
            <w:tcW w:w="80" w:type="dxa"/>
            <w:vAlign w:val="bottom"/>
            <w:shd w:val="clear" w:color="auto" w:fill="B6DEE8"/>
          </w:tcPr>
          <w:p>
            <w:pPr>
              <w:spacing w:after="0"/>
              <w:rPr>
                <w:sz w:val="20"/>
                <w:szCs w:val="20"/>
                <w:color w:val="auto"/>
              </w:rPr>
            </w:pPr>
          </w:p>
        </w:tc>
        <w:tc>
          <w:tcPr>
            <w:tcW w:w="6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(726 )</w:t>
            </w:r>
          </w:p>
        </w:tc>
        <w:tc>
          <w:tcPr>
            <w:tcW w:w="980" w:type="dxa"/>
            <w:vAlign w:val="bottom"/>
            <w:shd w:val="clear" w:color="auto" w:fill="B6DEE8"/>
          </w:tcPr>
          <w:p>
            <w:pPr>
              <w:spacing w:after="0"/>
              <w:rPr>
                <w:sz w:val="20"/>
                <w:szCs w:val="20"/>
                <w:color w:val="auto"/>
              </w:rPr>
            </w:pPr>
          </w:p>
        </w:tc>
        <w:tc>
          <w:tcPr>
            <w:tcW w:w="214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(377 )</w:t>
            </w:r>
          </w:p>
        </w:tc>
      </w:tr>
      <w:tr>
        <w:trPr>
          <w:trHeight w:val="238"/>
        </w:trPr>
        <w:tc>
          <w:tcPr>
            <w:tcW w:w="580" w:type="dxa"/>
            <w:vAlign w:val="bottom"/>
          </w:tcPr>
          <w:p>
            <w:pPr>
              <w:spacing w:after="0"/>
              <w:rPr>
                <w:sz w:val="20"/>
                <w:szCs w:val="20"/>
                <w:color w:val="auto"/>
              </w:rPr>
            </w:pPr>
          </w:p>
        </w:tc>
        <w:tc>
          <w:tcPr>
            <w:tcW w:w="3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100" w:type="dxa"/>
            <w:vAlign w:val="bottom"/>
            <w:tcBorders>
              <w:top w:val="single" w:sz="8" w:color="B6DEE8"/>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685</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-2811145</wp:posOffset>
            </wp:positionV>
            <wp:extent cx="60325" cy="4883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0325" cy="4883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-1851025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-1833880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-505460</wp:posOffset>
            </wp:positionV>
            <wp:extent cx="5969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approximately $0.4 million and $0.2 million, respectively.</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78" w:right="8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8 Intangible Assets, Net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24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Net Book</w:t>
            </w:r>
          </w:p>
        </w:tc>
      </w:tr>
      <w:tr>
        <w:trPr>
          <w:trHeight w:val="245"/>
        </w:trPr>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4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1"/>
        </w:trPr>
        <w:tc>
          <w:tcPr>
            <w:tcW w:w="180" w:type="dxa"/>
            <w:vAlign w:val="bottom"/>
          </w:tcPr>
          <w:p>
            <w:pPr>
              <w:spacing w:after="0"/>
              <w:rPr>
                <w:sz w:val="18"/>
                <w:szCs w:val="18"/>
                <w:color w:val="auto"/>
              </w:rPr>
            </w:pPr>
          </w:p>
        </w:tc>
        <w:tc>
          <w:tcPr>
            <w:tcW w:w="190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Internally developed</w:t>
            </w:r>
          </w:p>
        </w:tc>
        <w:tc>
          <w:tcPr>
            <w:tcW w:w="1440" w:type="dxa"/>
            <w:vAlign w:val="bottom"/>
            <w:tcBorders>
              <w:top w:val="single" w:sz="8" w:color="auto"/>
            </w:tcBorders>
            <w:shd w:val="clear" w:color="auto" w:fill="B6DEE8"/>
          </w:tcPr>
          <w:p>
            <w:pPr>
              <w:spacing w:after="0"/>
              <w:rPr>
                <w:sz w:val="18"/>
                <w:szCs w:val="18"/>
                <w:color w:val="auto"/>
              </w:rPr>
            </w:pPr>
          </w:p>
        </w:tc>
        <w:tc>
          <w:tcPr>
            <w:tcW w:w="20" w:type="dxa"/>
            <w:vAlign w:val="bottom"/>
            <w:shd w:val="clear" w:color="auto" w:fill="B6DEE8"/>
          </w:tcPr>
          <w:p>
            <w:pPr>
              <w:spacing w:after="0"/>
              <w:rPr>
                <w:sz w:val="18"/>
                <w:szCs w:val="18"/>
                <w:color w:val="auto"/>
              </w:rPr>
            </w:pPr>
          </w:p>
        </w:tc>
        <w:tc>
          <w:tcPr>
            <w:tcW w:w="140" w:type="dxa"/>
            <w:vAlign w:val="bottom"/>
            <w:tcBorders>
              <w:top w:val="single" w:sz="8" w:color="auto"/>
            </w:tcBorders>
            <w:shd w:val="clear" w:color="auto" w:fill="B6DEE8"/>
          </w:tcPr>
          <w:p>
            <w:pPr>
              <w:spacing w:after="0"/>
              <w:rPr>
                <w:sz w:val="18"/>
                <w:szCs w:val="18"/>
                <w:color w:val="auto"/>
              </w:rPr>
            </w:pPr>
          </w:p>
        </w:tc>
        <w:tc>
          <w:tcPr>
            <w:tcW w:w="106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tcBorders>
              <w:top w:val="single" w:sz="8" w:color="auto"/>
            </w:tcBorders>
            <w:shd w:val="clear" w:color="auto" w:fill="B6DEE8"/>
          </w:tcPr>
          <w:p>
            <w:pPr>
              <w:spacing w:after="0"/>
              <w:rPr>
                <w:sz w:val="18"/>
                <w:szCs w:val="18"/>
                <w:color w:val="auto"/>
              </w:rPr>
            </w:pPr>
          </w:p>
        </w:tc>
        <w:tc>
          <w:tcPr>
            <w:tcW w:w="124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40" w:type="dxa"/>
            <w:vAlign w:val="bottom"/>
            <w:tcBorders>
              <w:top w:val="single" w:sz="8" w:color="auto"/>
            </w:tcBorders>
            <w:shd w:val="clear" w:color="auto" w:fill="B6DEE8"/>
          </w:tcPr>
          <w:p>
            <w:pPr>
              <w:spacing w:after="0"/>
              <w:rPr>
                <w:sz w:val="18"/>
                <w:szCs w:val="18"/>
                <w:color w:val="auto"/>
              </w:rPr>
            </w:pPr>
          </w:p>
        </w:tc>
        <w:tc>
          <w:tcPr>
            <w:tcW w:w="94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tcBorders>
              <w:top w:val="single" w:sz="8" w:color="auto"/>
            </w:tcBorders>
            <w:shd w:val="clear" w:color="auto" w:fill="B6DEE8"/>
          </w:tcPr>
          <w:p>
            <w:pPr>
              <w:spacing w:after="0"/>
              <w:rPr>
                <w:sz w:val="18"/>
                <w:szCs w:val="18"/>
                <w:color w:val="auto"/>
              </w:rPr>
            </w:pPr>
          </w:p>
        </w:tc>
        <w:tc>
          <w:tcPr>
            <w:tcW w:w="102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tcBorders>
              <w:top w:val="single" w:sz="8" w:color="auto"/>
            </w:tcBorders>
            <w:shd w:val="clear" w:color="auto" w:fill="B6DEE8"/>
          </w:tcPr>
          <w:p>
            <w:pPr>
              <w:spacing w:after="0"/>
              <w:rPr>
                <w:sz w:val="18"/>
                <w:szCs w:val="18"/>
                <w:color w:val="auto"/>
              </w:rPr>
            </w:pPr>
          </w:p>
        </w:tc>
        <w:tc>
          <w:tcPr>
            <w:tcW w:w="78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60" w:type="dxa"/>
            <w:vAlign w:val="bottom"/>
            <w:tcBorders>
              <w:top w:val="single" w:sz="8" w:color="auto"/>
            </w:tcBorders>
            <w:shd w:val="clear" w:color="auto" w:fill="B6DEE8"/>
          </w:tcPr>
          <w:p>
            <w:pPr>
              <w:spacing w:after="0"/>
              <w:rPr>
                <w:sz w:val="18"/>
                <w:szCs w:val="18"/>
                <w:color w:val="auto"/>
              </w:rPr>
            </w:pPr>
          </w:p>
        </w:tc>
        <w:tc>
          <w:tcPr>
            <w:tcW w:w="74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80" w:type="dxa"/>
            <w:vAlign w:val="bottom"/>
          </w:tcPr>
          <w:p>
            <w:pPr>
              <w:spacing w:after="0"/>
              <w:rPr>
                <w:sz w:val="21"/>
                <w:szCs w:val="21"/>
                <w:color w:val="auto"/>
              </w:rPr>
            </w:pPr>
          </w:p>
        </w:tc>
        <w:tc>
          <w:tcPr>
            <w:tcW w:w="190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4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5"/>
              </w:rPr>
              <w:t>3.0 Years</w:t>
            </w:r>
          </w:p>
        </w:tc>
        <w:tc>
          <w:tcPr>
            <w:tcW w:w="1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(11,605 ) $</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500" w:type="dxa"/>
            <w:vAlign w:val="bottom"/>
            <w:gridSpan w:val="2"/>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(5,342 ) $</w:t>
            </w: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2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15.0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8"/>
        </w:trPr>
        <w:tc>
          <w:tcPr>
            <w:tcW w:w="180" w:type="dxa"/>
            <w:vAlign w:val="bottom"/>
          </w:tcPr>
          <w:p>
            <w:pPr>
              <w:spacing w:after="0"/>
              <w:rPr>
                <w:sz w:val="24"/>
                <w:szCs w:val="24"/>
                <w:color w:val="auto"/>
              </w:rPr>
            </w:pPr>
          </w:p>
        </w:tc>
        <w:tc>
          <w:tcPr>
            <w:tcW w:w="1900" w:type="dxa"/>
            <w:vAlign w:val="bottom"/>
            <w:tcBorders>
              <w:top w:val="single" w:sz="8" w:color="auto"/>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40" w:type="dxa"/>
            <w:vAlign w:val="bottom"/>
            <w:tcBorders>
              <w:top w:val="single" w:sz="8" w:color="auto"/>
              <w:bottom w:val="single" w:sz="8" w:color="auto"/>
            </w:tcBorders>
            <w:shd w:val="clear" w:color="auto" w:fill="B6DEE8"/>
          </w:tcPr>
          <w:p>
            <w:pPr>
              <w:spacing w:after="0"/>
              <w:rPr>
                <w:sz w:val="24"/>
                <w:szCs w:val="24"/>
                <w:color w:val="auto"/>
              </w:rPr>
            </w:pPr>
          </w:p>
        </w:tc>
        <w:tc>
          <w:tcPr>
            <w:tcW w:w="160" w:type="dxa"/>
            <w:vAlign w:val="bottom"/>
            <w:tcBorders>
              <w:top w:val="single" w:sz="8" w:color="auto"/>
              <w:bottom w:val="single" w:sz="8" w:color="auto"/>
            </w:tcBorders>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21,815</w:t>
            </w:r>
          </w:p>
        </w:tc>
        <w:tc>
          <w:tcPr>
            <w:tcW w:w="120" w:type="dxa"/>
            <w:vAlign w:val="bottom"/>
            <w:tcBorders>
              <w:bottom w:val="single" w:sz="8" w:color="B6DEE8"/>
            </w:tcBorders>
            <w:shd w:val="clear" w:color="auto" w:fill="B6DEE8"/>
          </w:tcPr>
          <w:p>
            <w:pPr>
              <w:spacing w:after="0"/>
              <w:rPr>
                <w:sz w:val="24"/>
                <w:szCs w:val="24"/>
                <w:color w:val="auto"/>
              </w:rPr>
            </w:pPr>
          </w:p>
        </w:tc>
        <w:tc>
          <w:tcPr>
            <w:tcW w:w="1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(11,652</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10,163</w:t>
            </w:r>
          </w:p>
        </w:tc>
        <w:tc>
          <w:tcPr>
            <w:tcW w:w="120" w:type="dxa"/>
            <w:vAlign w:val="bottom"/>
            <w:tcBorders>
              <w:bottom w:val="single" w:sz="8" w:color="B6DEE8"/>
            </w:tcBorders>
            <w:shd w:val="clear" w:color="auto" w:fill="B6DEE8"/>
          </w:tcPr>
          <w:p>
            <w:pPr>
              <w:spacing w:after="0"/>
              <w:rPr>
                <w:sz w:val="24"/>
                <w:szCs w:val="24"/>
                <w:color w:val="auto"/>
              </w:rPr>
            </w:pPr>
          </w:p>
        </w:tc>
        <w:tc>
          <w:tcPr>
            <w:tcW w:w="1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120" w:type="dxa"/>
            <w:vAlign w:val="bottom"/>
            <w:tcBorders>
              <w:bottom w:val="single" w:sz="8" w:color="B6DEE8"/>
            </w:tcBorders>
            <w:shd w:val="clear" w:color="auto" w:fill="B6DEE8"/>
          </w:tcPr>
          <w:p>
            <w:pPr>
              <w:spacing w:after="0"/>
              <w:rPr>
                <w:sz w:val="24"/>
                <w:szCs w:val="24"/>
                <w:color w:val="auto"/>
              </w:rPr>
            </w:pPr>
          </w:p>
        </w:tc>
        <w:tc>
          <w:tcPr>
            <w:tcW w:w="380" w:type="dxa"/>
            <w:vAlign w:val="bottom"/>
            <w:tcBorders>
              <w:top w:val="single" w:sz="8" w:color="auto"/>
              <w:bottom w:val="single" w:sz="8" w:color="auto"/>
            </w:tcBorders>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(5,381</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7,849</w:t>
            </w:r>
          </w:p>
        </w:tc>
        <w:tc>
          <w:tcPr>
            <w:tcW w:w="120" w:type="dxa"/>
            <w:vAlign w:val="bottom"/>
            <w:tcBorders>
              <w:bottom w:val="single" w:sz="8" w:color="B6DEE8"/>
            </w:tcBorders>
            <w:shd w:val="clear" w:color="auto" w:fill="B6DEE8"/>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7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future estimated amortization expenses as of December 31, 2022, were as follows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08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shd w:val="clear" w:color="auto" w:fill="B6DEE8"/>
          </w:tcPr>
          <w:p>
            <w:pPr>
              <w:spacing w:after="0"/>
              <w:rPr>
                <w:sz w:val="21"/>
                <w:szCs w:val="21"/>
                <w:color w:val="auto"/>
              </w:rPr>
            </w:pPr>
          </w:p>
        </w:tc>
        <w:tc>
          <w:tcPr>
            <w:tcW w:w="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6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4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20" w:type="dxa"/>
            <w:vAlign w:val="bottom"/>
            <w:shd w:val="clear" w:color="auto" w:fill="B6DEE8"/>
          </w:tcPr>
          <w:p>
            <w:pPr>
              <w:spacing w:after="0"/>
              <w:rPr>
                <w:sz w:val="21"/>
                <w:szCs w:val="21"/>
                <w:color w:val="auto"/>
              </w:rPr>
            </w:pPr>
          </w:p>
        </w:tc>
        <w:tc>
          <w:tcPr>
            <w:tcW w:w="500" w:type="dxa"/>
            <w:vAlign w:val="bottom"/>
            <w:gridSpan w:val="2"/>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92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shd w:val="clear" w:color="auto" w:fill="B6DEE8"/>
          </w:tcPr>
          <w:p>
            <w:pPr>
              <w:spacing w:after="0"/>
              <w:rPr>
                <w:sz w:val="21"/>
                <w:szCs w:val="21"/>
                <w:color w:val="auto"/>
              </w:rPr>
            </w:pPr>
          </w:p>
        </w:tc>
      </w:tr>
      <w:tr>
        <w:trPr>
          <w:trHeight w:val="23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20"/>
                <w:szCs w:val="20"/>
                <w:color w:val="auto"/>
              </w:rPr>
            </w:pPr>
          </w:p>
        </w:tc>
      </w:tr>
      <w:tr>
        <w:trPr>
          <w:trHeight w:val="247"/>
        </w:trPr>
        <w:tc>
          <w:tcPr>
            <w:tcW w:w="208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B6DEE8"/>
          </w:tcPr>
          <w:p>
            <w:pPr>
              <w:spacing w:after="0"/>
              <w:rPr>
                <w:sz w:val="21"/>
                <w:szCs w:val="21"/>
                <w:color w:val="auto"/>
              </w:rPr>
            </w:pPr>
          </w:p>
        </w:tc>
        <w:tc>
          <w:tcPr>
            <w:tcW w:w="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6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4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7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92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B6DEE8"/>
          </w:tcPr>
          <w:p>
            <w:pPr>
              <w:spacing w:after="0"/>
              <w:rPr>
                <w:sz w:val="21"/>
                <w:szCs w:val="21"/>
                <w:color w:val="auto"/>
              </w:rPr>
            </w:pPr>
          </w:p>
        </w:tc>
      </w:tr>
      <w:tr>
        <w:trPr>
          <w:trHeight w:val="23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208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B6DEE8"/>
          </w:tcPr>
          <w:p>
            <w:pPr>
              <w:spacing w:after="0"/>
              <w:rPr>
                <w:sz w:val="21"/>
                <w:szCs w:val="21"/>
                <w:color w:val="auto"/>
              </w:rPr>
            </w:pPr>
          </w:p>
        </w:tc>
        <w:tc>
          <w:tcPr>
            <w:tcW w:w="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6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4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7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92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B6DEE8"/>
          </w:tcPr>
          <w:p>
            <w:pPr>
              <w:spacing w:after="0"/>
              <w:rPr>
                <w:sz w:val="21"/>
                <w:szCs w:val="21"/>
                <w:color w:val="auto"/>
              </w:rPr>
            </w:pPr>
          </w:p>
        </w:tc>
      </w:tr>
      <w:tr>
        <w:trPr>
          <w:trHeight w:val="239"/>
        </w:trPr>
        <w:tc>
          <w:tcPr>
            <w:tcW w:w="2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78"/>
        </w:trPr>
        <w:tc>
          <w:tcPr>
            <w:tcW w:w="2080" w:type="dxa"/>
            <w:vAlign w:val="bottom"/>
            <w:tcBorders>
              <w:bottom w:val="single" w:sz="8" w:color="auto"/>
            </w:tcBorders>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440" w:type="dxa"/>
            <w:vAlign w:val="bottom"/>
            <w:tcBorders>
              <w:bottom w:val="single" w:sz="8" w:color="auto"/>
            </w:tcBorders>
            <w:shd w:val="clear" w:color="auto" w:fill="B6DEE8"/>
          </w:tcPr>
          <w:p>
            <w:pPr>
              <w:spacing w:after="0"/>
              <w:rPr>
                <w:sz w:val="24"/>
                <w:szCs w:val="24"/>
                <w:color w:val="auto"/>
              </w:rPr>
            </w:pPr>
          </w:p>
        </w:tc>
        <w:tc>
          <w:tcPr>
            <w:tcW w:w="20" w:type="dxa"/>
            <w:vAlign w:val="bottom"/>
            <w:tcBorders>
              <w:bottom w:val="single" w:sz="8" w:color="auto"/>
            </w:tcBorders>
            <w:shd w:val="clear" w:color="auto" w:fill="B6DEE8"/>
          </w:tcPr>
          <w:p>
            <w:pPr>
              <w:spacing w:after="0"/>
              <w:rPr>
                <w:sz w:val="24"/>
                <w:szCs w:val="24"/>
                <w:color w:val="auto"/>
              </w:rPr>
            </w:pPr>
          </w:p>
        </w:tc>
        <w:tc>
          <w:tcPr>
            <w:tcW w:w="140" w:type="dxa"/>
            <w:vAlign w:val="bottom"/>
            <w:tcBorders>
              <w:bottom w:val="single" w:sz="8" w:color="auto"/>
            </w:tcBorders>
            <w:shd w:val="clear" w:color="auto" w:fill="B6DEE8"/>
          </w:tcPr>
          <w:p>
            <w:pPr>
              <w:spacing w:after="0"/>
              <w:rPr>
                <w:sz w:val="24"/>
                <w:szCs w:val="24"/>
                <w:color w:val="auto"/>
              </w:rPr>
            </w:pPr>
          </w:p>
        </w:tc>
        <w:tc>
          <w:tcPr>
            <w:tcW w:w="1060" w:type="dxa"/>
            <w:vAlign w:val="bottom"/>
            <w:tcBorders>
              <w:bottom w:val="single" w:sz="8" w:color="auto"/>
            </w:tcBorders>
            <w:shd w:val="clear" w:color="auto" w:fill="B6DEE8"/>
          </w:tcPr>
          <w:p>
            <w:pPr>
              <w:spacing w:after="0"/>
              <w:rPr>
                <w:sz w:val="24"/>
                <w:szCs w:val="24"/>
                <w:color w:val="auto"/>
              </w:rPr>
            </w:pPr>
          </w:p>
        </w:tc>
        <w:tc>
          <w:tcPr>
            <w:tcW w:w="120" w:type="dxa"/>
            <w:vAlign w:val="bottom"/>
            <w:tcBorders>
              <w:bottom w:val="single" w:sz="8" w:color="auto"/>
            </w:tcBorders>
            <w:shd w:val="clear" w:color="auto" w:fill="B6DEE8"/>
          </w:tcPr>
          <w:p>
            <w:pPr>
              <w:spacing w:after="0"/>
              <w:rPr>
                <w:sz w:val="24"/>
                <w:szCs w:val="24"/>
                <w:color w:val="auto"/>
              </w:rPr>
            </w:pPr>
          </w:p>
        </w:tc>
        <w:tc>
          <w:tcPr>
            <w:tcW w:w="120" w:type="dxa"/>
            <w:vAlign w:val="bottom"/>
            <w:tcBorders>
              <w:bottom w:val="single" w:sz="8" w:color="auto"/>
            </w:tcBorders>
            <w:shd w:val="clear" w:color="auto" w:fill="B6DEE8"/>
          </w:tcPr>
          <w:p>
            <w:pPr>
              <w:spacing w:after="0"/>
              <w:rPr>
                <w:sz w:val="24"/>
                <w:szCs w:val="24"/>
                <w:color w:val="auto"/>
              </w:rPr>
            </w:pPr>
          </w:p>
        </w:tc>
        <w:tc>
          <w:tcPr>
            <w:tcW w:w="1240" w:type="dxa"/>
            <w:vAlign w:val="bottom"/>
            <w:tcBorders>
              <w:bottom w:val="single" w:sz="8" w:color="auto"/>
            </w:tcBorders>
            <w:shd w:val="clear" w:color="auto" w:fill="B6DEE8"/>
          </w:tcPr>
          <w:p>
            <w:pPr>
              <w:spacing w:after="0"/>
              <w:rPr>
                <w:sz w:val="24"/>
                <w:szCs w:val="24"/>
                <w:color w:val="auto"/>
              </w:rPr>
            </w:pPr>
          </w:p>
        </w:tc>
        <w:tc>
          <w:tcPr>
            <w:tcW w:w="100" w:type="dxa"/>
            <w:vAlign w:val="bottom"/>
            <w:tcBorders>
              <w:bottom w:val="single" w:sz="8" w:color="auto"/>
            </w:tcBorders>
            <w:shd w:val="clear" w:color="auto" w:fill="B6DEE8"/>
          </w:tcPr>
          <w:p>
            <w:pPr>
              <w:spacing w:after="0"/>
              <w:rPr>
                <w:sz w:val="24"/>
                <w:szCs w:val="24"/>
                <w:color w:val="auto"/>
              </w:rPr>
            </w:pPr>
          </w:p>
        </w:tc>
        <w:tc>
          <w:tcPr>
            <w:tcW w:w="140" w:type="dxa"/>
            <w:vAlign w:val="bottom"/>
            <w:tcBorders>
              <w:bottom w:val="single" w:sz="8" w:color="auto"/>
            </w:tcBorders>
            <w:shd w:val="clear" w:color="auto" w:fill="B6DEE8"/>
          </w:tcPr>
          <w:p>
            <w:pPr>
              <w:spacing w:after="0"/>
              <w:rPr>
                <w:sz w:val="24"/>
                <w:szCs w:val="24"/>
                <w:color w:val="auto"/>
              </w:rPr>
            </w:pPr>
          </w:p>
        </w:tc>
        <w:tc>
          <w:tcPr>
            <w:tcW w:w="940" w:type="dxa"/>
            <w:vAlign w:val="bottom"/>
            <w:tcBorders>
              <w:bottom w:val="single" w:sz="8" w:color="auto"/>
            </w:tcBorders>
            <w:shd w:val="clear" w:color="auto" w:fill="B6DEE8"/>
          </w:tcPr>
          <w:p>
            <w:pPr>
              <w:spacing w:after="0"/>
              <w:rPr>
                <w:sz w:val="24"/>
                <w:szCs w:val="24"/>
                <w:color w:val="auto"/>
              </w:rPr>
            </w:pPr>
          </w:p>
        </w:tc>
        <w:tc>
          <w:tcPr>
            <w:tcW w:w="120" w:type="dxa"/>
            <w:vAlign w:val="bottom"/>
            <w:tcBorders>
              <w:bottom w:val="single" w:sz="8" w:color="auto"/>
            </w:tcBorders>
            <w:shd w:val="clear" w:color="auto" w:fill="B6DEE8"/>
          </w:tcPr>
          <w:p>
            <w:pPr>
              <w:spacing w:after="0"/>
              <w:rPr>
                <w:sz w:val="24"/>
                <w:szCs w:val="24"/>
                <w:color w:val="auto"/>
              </w:rPr>
            </w:pPr>
          </w:p>
        </w:tc>
        <w:tc>
          <w:tcPr>
            <w:tcW w:w="140" w:type="dxa"/>
            <w:vAlign w:val="bottom"/>
            <w:tcBorders>
              <w:bottom w:val="single" w:sz="8" w:color="auto"/>
            </w:tcBorders>
            <w:shd w:val="clear" w:color="auto" w:fill="B6DEE8"/>
          </w:tcPr>
          <w:p>
            <w:pPr>
              <w:spacing w:after="0"/>
              <w:rPr>
                <w:sz w:val="24"/>
                <w:szCs w:val="24"/>
                <w:color w:val="auto"/>
              </w:rPr>
            </w:pPr>
          </w:p>
        </w:tc>
        <w:tc>
          <w:tcPr>
            <w:tcW w:w="1020" w:type="dxa"/>
            <w:vAlign w:val="bottom"/>
            <w:tcBorders>
              <w:bottom w:val="single" w:sz="8" w:color="auto"/>
            </w:tcBorders>
            <w:shd w:val="clear" w:color="auto" w:fill="B6DEE8"/>
          </w:tcPr>
          <w:p>
            <w:pPr>
              <w:spacing w:after="0"/>
              <w:rPr>
                <w:sz w:val="24"/>
                <w:szCs w:val="24"/>
                <w:color w:val="auto"/>
              </w:rPr>
            </w:pPr>
          </w:p>
        </w:tc>
        <w:tc>
          <w:tcPr>
            <w:tcW w:w="500" w:type="dxa"/>
            <w:vAlign w:val="bottom"/>
            <w:tcBorders>
              <w:bottom w:val="single" w:sz="8" w:color="auto"/>
            </w:tcBorders>
            <w:gridSpan w:val="2"/>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B6DEE8"/>
          </w:tcPr>
          <w:p>
            <w:pPr>
              <w:spacing w:after="0"/>
              <w:rPr>
                <w:sz w:val="24"/>
                <w:szCs w:val="24"/>
                <w:color w:val="auto"/>
              </w:rPr>
            </w:pPr>
          </w:p>
        </w:tc>
        <w:tc>
          <w:tcPr>
            <w:tcW w:w="100" w:type="dxa"/>
            <w:vAlign w:val="bottom"/>
            <w:tcBorders>
              <w:bottom w:val="single" w:sz="8" w:color="auto"/>
            </w:tcBorders>
            <w:shd w:val="clear" w:color="auto" w:fill="B6DEE8"/>
          </w:tcPr>
          <w:p>
            <w:pPr>
              <w:spacing w:after="0"/>
              <w:rPr>
                <w:sz w:val="24"/>
                <w:szCs w:val="24"/>
                <w:color w:val="auto"/>
              </w:rPr>
            </w:pPr>
          </w:p>
        </w:tc>
        <w:tc>
          <w:tcPr>
            <w:tcW w:w="160" w:type="dxa"/>
            <w:vAlign w:val="bottom"/>
            <w:tcBorders>
              <w:bottom w:val="single" w:sz="8" w:color="auto"/>
            </w:tcBorders>
            <w:shd w:val="clear" w:color="auto" w:fill="B6DEE8"/>
          </w:tcPr>
          <w:p>
            <w:pPr>
              <w:spacing w:after="0"/>
              <w:rPr>
                <w:sz w:val="24"/>
                <w:szCs w:val="24"/>
                <w:color w:val="auto"/>
              </w:rPr>
            </w:pPr>
          </w:p>
        </w:tc>
        <w:tc>
          <w:tcPr>
            <w:tcW w:w="92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10,163</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-1550670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-1534160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-1550670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-1534160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-1550670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-1534160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-1550670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-1534160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-1550670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-1534160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-1550670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-1534160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2022 and 2021, was $6.3 million and $2.8 million, respectively. No impairment charges were recognized related to long-lived assets for the years ended December 31, 2022 and 2021.</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change in useful life of a certain definite-lived intangible asset for the year ended December 31, 2022 was $2.7 million, respectively. Amortization expense related to change in useful life of a certain definite-lived intangible asset for the year ended December 31, 2021 was $0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(dollars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34"/>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1580" w:type="dxa"/>
            <w:vAlign w:val="bottom"/>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54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B6DEE8"/>
          </w:tcPr>
          <w:p>
            <w:pPr>
              <w:spacing w:after="0"/>
              <w:rPr>
                <w:sz w:val="21"/>
                <w:szCs w:val="2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5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0"/>
                <w:szCs w:val="20"/>
                <w:color w:val="auto"/>
              </w:rPr>
            </w:pPr>
          </w:p>
        </w:tc>
      </w:tr>
      <w:tr>
        <w:trPr>
          <w:trHeight w:val="247"/>
        </w:trPr>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580" w:type="dxa"/>
            <w:vAlign w:val="bottom"/>
            <w:shd w:val="clear" w:color="auto" w:fill="B6DEE8"/>
          </w:tcPr>
          <w:p>
            <w:pPr>
              <w:spacing w:after="0"/>
              <w:rPr>
                <w:sz w:val="21"/>
                <w:szCs w:val="21"/>
                <w:color w:val="auto"/>
              </w:rPr>
            </w:pPr>
          </w:p>
        </w:tc>
        <w:tc>
          <w:tcPr>
            <w:tcW w:w="19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98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B6DEE8"/>
          </w:tcPr>
          <w:p>
            <w:pPr>
              <w:spacing w:after="0"/>
              <w:rPr>
                <w:sz w:val="21"/>
                <w:szCs w:val="2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15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r>
      <w:tr>
        <w:trPr>
          <w:trHeight w:val="243"/>
        </w:trPr>
        <w:tc>
          <w:tcPr>
            <w:tcW w:w="40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shd w:val="clear" w:color="auto" w:fill="B6DEE8"/>
          </w:tcPr>
          <w:p>
            <w:pPr>
              <w:spacing w:after="0"/>
              <w:rPr>
                <w:sz w:val="21"/>
                <w:szCs w:val="21"/>
                <w:color w:val="auto"/>
              </w:rPr>
            </w:pPr>
          </w:p>
        </w:tc>
        <w:tc>
          <w:tcPr>
            <w:tcW w:w="1900" w:type="dxa"/>
            <w:vAlign w:val="bottom"/>
            <w:tcBorders>
              <w:bottom w:val="single" w:sz="8" w:color="auto"/>
            </w:tcBorders>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spacing w:after="0"/>
              <w:rPr>
                <w:sz w:val="21"/>
                <w:szCs w:val="21"/>
                <w:color w:val="auto"/>
              </w:rPr>
            </w:pPr>
          </w:p>
        </w:tc>
        <w:tc>
          <w:tcPr>
            <w:tcW w:w="198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10,965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13,045</w:t>
            </w:r>
          </w:p>
        </w:tc>
        <w:tc>
          <w:tcPr>
            <w:tcW w:w="100" w:type="dxa"/>
            <w:vAlign w:val="bottom"/>
          </w:tcPr>
          <w:p>
            <w:pPr>
              <w:spacing w:after="0"/>
              <w:rPr>
                <w:sz w:val="20"/>
                <w:szCs w:val="20"/>
                <w:color w:val="auto"/>
              </w:rPr>
            </w:pP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-187960</wp:posOffset>
            </wp:positionV>
            <wp:extent cx="6032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Accrued charitable contributions includes amounts the Company has pledged related to charitable meal donations. The Company uses a portion of tips received to make a charitable cash donation to third parties who use the funds to provide meals to those in need. For the years ended December 31, 2022 and 2021, the Company pledged $3.2 million and $4.7 million related to charitable donations, respectively. These costs are expensed as incurred and are presented within other general and administrative expenses in the consolidated statements of operations.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(dollars in thousands):</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480" w:type="dxa"/>
            <w:vAlign w:val="bottom"/>
            <w:shd w:val="clear" w:color="auto" w:fill="B6DEE8"/>
          </w:tcPr>
          <w:p>
            <w:pPr>
              <w:spacing w:after="0"/>
              <w:rPr>
                <w:sz w:val="20"/>
                <w:szCs w:val="20"/>
                <w:color w:val="auto"/>
              </w:rPr>
            </w:pPr>
          </w:p>
        </w:tc>
        <w:tc>
          <w:tcPr>
            <w:tcW w:w="3480" w:type="dxa"/>
            <w:vAlign w:val="bottom"/>
            <w:gridSpan w:val="3"/>
            <w:shd w:val="clear" w:color="auto" w:fill="B6DEE8"/>
          </w:tcPr>
          <w:p>
            <w:pPr>
              <w:ind w:left="20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44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440" w:type="dxa"/>
            <w:vAlign w:val="bottom"/>
            <w:shd w:val="clear" w:color="auto" w:fill="B6DEE8"/>
          </w:tcPr>
          <w:p>
            <w:pPr>
              <w:spacing w:after="0"/>
              <w:rPr>
                <w:sz w:val="20"/>
                <w:szCs w:val="20"/>
                <w:color w:val="auto"/>
              </w:rPr>
            </w:pPr>
          </w:p>
        </w:tc>
        <w:tc>
          <w:tcPr>
            <w:tcW w:w="2160" w:type="dxa"/>
            <w:vAlign w:val="bottom"/>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9"/>
        </w:trPr>
        <w:tc>
          <w:tcPr>
            <w:tcW w:w="34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020" w:type="dxa"/>
            <w:vAlign w:val="bottom"/>
            <w:tcBorders>
              <w:top w:val="single" w:sz="8" w:color="B6DEE8"/>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spacing w:after="0"/>
              <w:rPr>
                <w:sz w:val="20"/>
                <w:szCs w:val="20"/>
                <w:color w:val="auto"/>
              </w:rPr>
            </w:pPr>
          </w:p>
        </w:tc>
        <w:tc>
          <w:tcPr>
            <w:tcW w:w="20" w:type="dxa"/>
            <w:vAlign w:val="bottom"/>
            <w:tcBorders>
              <w:top w:val="single" w:sz="8" w:color="B6DEE8"/>
            </w:tcBorders>
          </w:tcPr>
          <w:p>
            <w:pPr>
              <w:spacing w:after="0"/>
              <w:rPr>
                <w:sz w:val="20"/>
                <w:szCs w:val="20"/>
                <w:color w:val="auto"/>
              </w:rPr>
            </w:pPr>
          </w:p>
        </w:tc>
        <w:tc>
          <w:tcPr>
            <w:tcW w:w="44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w w:val="98"/>
              </w:rPr>
              <w:t>3,150</w:t>
            </w:r>
          </w:p>
        </w:tc>
        <w:tc>
          <w:tcPr>
            <w:tcW w:w="540" w:type="dxa"/>
            <w:vAlign w:val="bottom"/>
            <w:tcBorders>
              <w:top w:val="single" w:sz="8" w:color="B6DEE8"/>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B6DEE8"/>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44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6DEE8"/>
            </w:tcBorders>
          </w:tcPr>
          <w:p>
            <w:pPr>
              <w:spacing w:after="0"/>
              <w:rPr>
                <w:sz w:val="20"/>
                <w:szCs w:val="20"/>
                <w:color w:val="auto"/>
              </w:rPr>
            </w:pPr>
          </w:p>
        </w:tc>
      </w:tr>
      <w:tr>
        <w:trPr>
          <w:trHeight w:val="243"/>
        </w:trPr>
        <w:tc>
          <w:tcPr>
            <w:tcW w:w="34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Others</w:t>
            </w:r>
          </w:p>
        </w:tc>
        <w:tc>
          <w:tcPr>
            <w:tcW w:w="2020" w:type="dxa"/>
            <w:vAlign w:val="bottom"/>
            <w:tcBorders>
              <w:bottom w:val="single" w:sz="8" w:color="auto"/>
            </w:tcBorders>
            <w:shd w:val="clear" w:color="auto" w:fill="B6DEE8"/>
          </w:tcPr>
          <w:p>
            <w:pPr>
              <w:spacing w:after="0"/>
              <w:rPr>
                <w:sz w:val="21"/>
                <w:szCs w:val="21"/>
                <w:color w:val="auto"/>
              </w:rPr>
            </w:pPr>
          </w:p>
        </w:tc>
        <w:tc>
          <w:tcPr>
            <w:tcW w:w="1440" w:type="dxa"/>
            <w:vAlign w:val="bottom"/>
            <w:tcBorders>
              <w:bottom w:val="single" w:sz="8" w:color="auto"/>
            </w:tcBorders>
            <w:shd w:val="clear" w:color="auto" w:fill="B6DEE8"/>
          </w:tcPr>
          <w:p>
            <w:pPr>
              <w:spacing w:after="0"/>
              <w:rPr>
                <w:sz w:val="21"/>
                <w:szCs w:val="21"/>
                <w:color w:val="auto"/>
              </w:rPr>
            </w:pPr>
          </w:p>
        </w:tc>
        <w:tc>
          <w:tcPr>
            <w:tcW w:w="20" w:type="dxa"/>
            <w:vAlign w:val="bottom"/>
            <w:tcBorders>
              <w:bottom w:val="single" w:sz="8" w:color="auto"/>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8"/>
              </w:rPr>
              <w:t>1,161</w:t>
            </w:r>
          </w:p>
        </w:tc>
        <w:tc>
          <w:tcPr>
            <w:tcW w:w="10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spacing w:after="0"/>
              <w:rPr>
                <w:sz w:val="21"/>
                <w:szCs w:val="21"/>
                <w:color w:val="auto"/>
              </w:rPr>
            </w:pPr>
          </w:p>
        </w:tc>
        <w:tc>
          <w:tcPr>
            <w:tcW w:w="2060" w:type="dxa"/>
            <w:vAlign w:val="bottom"/>
            <w:tcBorders>
              <w:bottom w:val="single" w:sz="8" w:color="auto"/>
            </w:tcBorders>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4,311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100" w:type="dxa"/>
            <w:vAlign w:val="bottom"/>
          </w:tcPr>
          <w:p>
            <w:pPr>
              <w:spacing w:after="0"/>
              <w:rPr>
                <w:sz w:val="20"/>
                <w:szCs w:val="20"/>
                <w:color w:val="auto"/>
              </w:rPr>
            </w:pPr>
          </w:p>
        </w:tc>
      </w:tr>
      <w:tr>
        <w:trPr>
          <w:trHeight w:val="20"/>
        </w:trPr>
        <w:tc>
          <w:tcPr>
            <w:tcW w:w="34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current liabilities includes deferred transaction costs associated with the Business Combination. These transaction costs were also capitalized and included within APIC in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Convertible Note Payable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bears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2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$320.00 per share of Common Stock (the “Conversion Price”). The Conversion Price of</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2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canceled and retired.</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effective interest rate as of December 31, 2022 was 3.01%. As of December 31, 2022, the outstanding balance of the Note, including paid in-kind interest, was $102.4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 Payable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ind w:right="60"/>
        <w:spacing w:after="0" w:line="255" w:lineRule="auto"/>
        <w:rPr>
          <w:sz w:val="20"/>
          <w:szCs w:val="20"/>
          <w:color w:val="auto"/>
        </w:rPr>
      </w:pPr>
      <w:r>
        <w:rPr>
          <w:rFonts w:ascii="Times New Roman" w:cs="Times New Roman" w:eastAsia="Times New Roman" w:hAnsi="Times New Roman"/>
          <w:sz w:val="18"/>
          <w:szCs w:val="18"/>
          <w:color w:val="auto"/>
        </w:rPr>
        <w:t>In August 2021, VPCC entered into an amendment to the private investment in public equity (“PIPE”) subscription agreement (“PIPE Amendment”) it previously entered into with Alameda Research Ventures LLC (“Alameda Research”) in connection with the proposed business combination with the Company (refer to Note 1 Business and Basis of Presentation). The PIPE Amendment calls for a $15.0 million pre-funding, which was facilitated through the issuance of an unsecured promissory note by the Company to Alameda Research. The Company’s obligations to repay the principal amount of the promissory note will be discharged through the issuance of 1.5 million shares of VPCC to Alameda Research at the closing of the business combination. The promissory note bears an interest rate of the applicable short-term federal rate and is due at the earlier of (i) the one-year anniversary of the promissory note, or (ii) an event of default.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elected to measure the note payable debt instrument at fair value using the fair value option of ASC 825-10. The Company determined that the feature to settle the promissory note with shares at the closing of the business combination is a contingently exercisable share settled put option that represents an embedded derivative instrument that requires bifurcation from the host promissory note. Additionally, the feature to redeem the promissory note upon a default event is a contingently exercisable call option and represents an embedded derivative instrument that requires bifurcation from the host promissory note. However, in accordance with ASC 815-15-25-1 criterion (b), since the Company has elected to apply the fair value option to the debt, the embedded features will not be separated from the debt host. Upon the closing of the Business Combination, the promissory note was automatically discharged upon the Company’s issuance of 46,875 shares of Class A Common Stock to Alameda Research. The closing of the note payable occurred immediately prior to the closing date of the Business Combination. The fair value of the Promissory Note was $15.0 million as of December 31, 2021. Refer to Note 2, The Reverse Recapitalization and Related Transactions for further details on the closing of the note payable.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2022, there were 198,254 public warrants (“Public Warrants”) outstanding and 159,381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Public Warrants and the Private Warrants have an exercise price of $368.00 per share, subject to adjustments and will expire five years after the completion of the Business Combination or earlier upon redemption or liquidation.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$0.32 per warrant;</w:t>
      </w:r>
    </w:p>
    <w:p>
      <w:pPr>
        <w:spacing w:after="0" w:line="117" w:lineRule="exact"/>
        <w:rPr>
          <w:rFonts w:ascii="Times New Roman" w:cs="Times New Roman" w:eastAsia="Times New Roman" w:hAnsi="Times New Roman"/>
          <w:sz w:val="18"/>
          <w:szCs w:val="18"/>
          <w:color w:val="auto"/>
        </w:rPr>
      </w:pPr>
    </w:p>
    <w:p>
      <w:pPr>
        <w:ind w:right="300" w:firstLine="8"/>
        <w:spacing w:after="0" w:line="266" w:lineRule="auto"/>
        <w:tabs>
          <w:tab w:leader="none" w:pos="4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4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$3.20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67" w:lineRule="exact"/>
        <w:rPr>
          <w:rFonts w:ascii="Times New Roman" w:cs="Times New Roman" w:eastAsia="Times New Roman" w:hAnsi="Times New Roman"/>
          <w:sz w:val="18"/>
          <w:szCs w:val="18"/>
          <w:color w:val="auto"/>
        </w:rPr>
      </w:pPr>
    </w:p>
    <w:p>
      <w:pPr>
        <w:ind w:right="220" w:firstLine="8"/>
        <w:spacing w:after="0" w:line="282" w:lineRule="auto"/>
        <w:tabs>
          <w:tab w:leader="none" w:pos="4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w:t>
      </w:r>
    </w:p>
    <w:p>
      <w:pPr>
        <w:spacing w:after="0" w:line="2" w:lineRule="exact"/>
        <w:rPr>
          <w:sz w:val="20"/>
          <w:szCs w:val="20"/>
          <w:color w:val="auto"/>
        </w:rPr>
      </w:pPr>
    </w:p>
    <w:p>
      <w:pPr>
        <w:ind w:firstLine="8"/>
        <w:spacing w:after="0" w:line="252"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consolidated statement of operations.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ind w:right="40"/>
        <w:spacing w:after="0" w:line="261" w:lineRule="auto"/>
        <w:rPr>
          <w:sz w:val="20"/>
          <w:szCs w:val="20"/>
          <w:color w:val="auto"/>
        </w:rPr>
      </w:pPr>
      <w:r>
        <w:rPr>
          <w:rFonts w:ascii="Times New Roman" w:cs="Times New Roman" w:eastAsia="Times New Roman" w:hAnsi="Times New Roman"/>
          <w:sz w:val="18"/>
          <w:szCs w:val="18"/>
          <w:color w:val="auto"/>
        </w:rPr>
        <w:t>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 and Credit Facility</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January 2021, Dave OD Funding I, LLC (“Borrower”) entered into a delayed draw senior secured loan facility (the “Debt Facility”) with Victory Park Management, LLC (“Agent”), allowing the Borrower to draw up to $100 million from various lenders associated with Victory Park Management, LLC (the “Lenders”). The Debt Facility has an interest rate of 6.95% annually plus a base rate defined as the greater of three-month LIBOR (as of the last business day of each calendar month) and 2.55%. Interest is payable monthly in arrears. The Debt Facility has certain financial covenants, including a requirement to maintain a minimum cash, cash equivalents, or marketable securities balance of $8.0 million as of December 31, 2022, the Company was in compliance with all covenants. Payments of the loan draws are due at the following dates: (i) within five business days after the date of receipt by the Borrower and the Company (each, a “Credit Party”) or any of their subsidiaries of any net cash proceeds in excess of $250 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w:t>
      </w:r>
    </w:p>
    <w:p>
      <w:pPr>
        <w:spacing w:after="0" w:line="1" w:lineRule="exact"/>
        <w:rPr>
          <w:sz w:val="20"/>
          <w:szCs w:val="20"/>
          <w:color w:val="auto"/>
        </w:rPr>
      </w:pPr>
    </w:p>
    <w:p>
      <w:pPr>
        <w:ind w:right="60" w:firstLine="8"/>
        <w:spacing w:after="0" w:line="252" w:lineRule="auto"/>
        <w:tabs>
          <w:tab w:leader="none" w:pos="3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extraordinary receipts are received by any Credit Party in the aggregate amount in any fiscal year in excess of $250 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 thousand in respect of clause (a) above and (y) 100% of such extraordinary receipts in respect of clause (b) above. As of December 31, 2022 and December 31, 2021, respectively, the Company had drawn $75.0 million and $35.0 million on the Debt Facility and had made no repayments. The debt facility matures in January 2025.</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2021, Dave OD entered into an amendment of the Debt Facility which added a $20 million credit line (as amended, the “Credit Facility”) which has an interest rate of 8.95% annually plus a base rate defined as the greater of three-month LIBOR (as of the last business day of each calendar month) and 2.55%. As of December 31, 2022 and 2021, the Company had $0 million and $20 million outstanding on the Credit Facility, respectively. The Company paid off the $20 million credit line on November 11, 2022 when the debt matured.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w:t>
      </w:r>
    </w:p>
    <w:p>
      <w:pPr>
        <w:spacing w:after="0" w:line="16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Martinsek v. Dave Inc. (filed January 9, 2020 in the California Superior Court for the County of Los Angeles)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Company settled this matter in January 2023 for approximately $6.0 million and is included in the Legal settlement accrual within the consolidated balance sheet for the period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Stoffers v. Dave Inc. (filed September 16, 2020 in LA County Superior Court)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is a purported class action lawsuit filed in connection with a July 2020 data breach. The Company is in the process of settling this matter and the estimated settlement amount of approximately $3.2 million is included in the Legal settlement accrual within the consolidated balance sheets for the period ended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135" w:lineRule="exact"/>
        <w:rPr>
          <w:sz w:val="20"/>
          <w:szCs w:val="20"/>
          <w:color w:val="auto"/>
        </w:rPr>
      </w:pPr>
    </w:p>
    <w:p>
      <w:pPr>
        <w:ind w:left="140" w:right="200"/>
        <w:spacing w:after="0" w:line="261" w:lineRule="auto"/>
        <w:rPr>
          <w:sz w:val="20"/>
          <w:szCs w:val="20"/>
          <w:color w:val="auto"/>
        </w:rPr>
      </w:pPr>
      <w:r>
        <w:rPr>
          <w:rFonts w:ascii="Times New Roman" w:cs="Times New Roman" w:eastAsia="Times New Roman" w:hAnsi="Times New Roman"/>
          <w:sz w:val="18"/>
          <w:szCs w:val="18"/>
          <w:color w:val="auto"/>
        </w:rPr>
        <w:t>In November 2018, the Company entered into a sublease agreement with PCJW Properties LLC (“PCJW”), controlled by Company’s founders (including the Company’s current CEO), for general office space next to the aforementioned leased property in Los Angeles, California. The lease term is five years subject to early termination by either party. Under the terms of the sublease, monthly rent is $0.005 million, subject to an annual escalation of 4%.</w:t>
      </w:r>
    </w:p>
    <w:p>
      <w:pPr>
        <w:spacing w:after="0" w:line="220" w:lineRule="exact"/>
        <w:rPr>
          <w:sz w:val="20"/>
          <w:szCs w:val="20"/>
          <w:color w:val="auto"/>
        </w:rPr>
      </w:pPr>
    </w:p>
    <w:p>
      <w:pPr>
        <w:ind w:left="140" w:right="360"/>
        <w:spacing w:after="0" w:line="282"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for office space located in Los Angeles, California. The lease term is seven years, beginning January 1, 2019 and ending December 31, 2025. Monthly rent is $0.024 million, subject to an annual escalation of 5%.</w:t>
      </w:r>
    </w:p>
    <w:p>
      <w:pPr>
        <w:spacing w:after="0" w:line="229" w:lineRule="exact"/>
        <w:rPr>
          <w:sz w:val="20"/>
          <w:szCs w:val="20"/>
          <w:color w:val="auto"/>
        </w:rPr>
      </w:pPr>
    </w:p>
    <w:p>
      <w:pPr>
        <w:ind w:left="140" w:right="220"/>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a sublease with Whalerock for general office space in West Hollywood, California. Under the terms of the sublease, the lease term is approximately 12 months and the monthly rent is $0.14 million. The Company began utilizing the office space in June 2021. The lease was abandoned in August of 2022.</w:t>
      </w:r>
    </w:p>
    <w:p>
      <w:pPr>
        <w:spacing w:after="0" w:line="216" w:lineRule="exact"/>
        <w:rPr>
          <w:sz w:val="20"/>
          <w:szCs w:val="20"/>
          <w:color w:val="auto"/>
        </w:rPr>
      </w:pPr>
    </w:p>
    <w:p>
      <w:pPr>
        <w:ind w:left="140" w:right="46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consolidated statements of operations. The Company does not have any finance leases or sublease arrangements where the Company is the sublessor. The Company’s leasing activities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3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40" w:type="dxa"/>
            <w:vAlign w:val="bottom"/>
            <w:shd w:val="clear" w:color="auto" w:fill="B6DEE8"/>
          </w:tcPr>
          <w:p>
            <w:pPr>
              <w:spacing w:after="0"/>
              <w:rPr>
                <w:sz w:val="21"/>
                <w:szCs w:val="21"/>
                <w:color w:val="auto"/>
              </w:rPr>
            </w:pPr>
          </w:p>
        </w:tc>
        <w:tc>
          <w:tcPr>
            <w:tcW w:w="1020" w:type="dxa"/>
            <w:vAlign w:val="bottom"/>
            <w:tcBorders>
              <w:top w:val="single" w:sz="8" w:color="auto"/>
            </w:tcBorders>
            <w:shd w:val="clear" w:color="auto" w:fill="B6DEE8"/>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shd w:val="clear" w:color="auto" w:fill="B6DEE8"/>
          </w:tcPr>
          <w:p>
            <w:pPr>
              <w:spacing w:after="0"/>
              <w:rPr>
                <w:sz w:val="21"/>
                <w:szCs w:val="21"/>
                <w:color w:val="auto"/>
              </w:rPr>
            </w:pPr>
          </w:p>
        </w:tc>
        <w:tc>
          <w:tcPr>
            <w:tcW w:w="1160" w:type="dxa"/>
            <w:vAlign w:val="bottom"/>
            <w:tcBorders>
              <w:top w:val="single" w:sz="8" w:color="auto"/>
            </w:tcBorders>
            <w:shd w:val="clear" w:color="auto" w:fill="B6DEE8"/>
          </w:tcPr>
          <w:p>
            <w:pPr>
              <w:jc w:val="center"/>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2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40" w:type="dxa"/>
            <w:vAlign w:val="bottom"/>
            <w:tcBorders>
              <w:bottom w:val="single" w:sz="8" w:color="auto"/>
            </w:tcBorders>
            <w:shd w:val="clear" w:color="auto" w:fill="B6DEE8"/>
          </w:tcPr>
          <w:p>
            <w:pPr>
              <w:spacing w:after="0"/>
              <w:rPr>
                <w:sz w:val="21"/>
                <w:szCs w:val="21"/>
                <w:color w:val="auto"/>
              </w:rPr>
            </w:pPr>
          </w:p>
        </w:tc>
        <w:tc>
          <w:tcPr>
            <w:tcW w:w="1020" w:type="dxa"/>
            <w:vAlign w:val="bottom"/>
            <w:tcBorders>
              <w:bottom w:val="single" w:sz="8" w:color="auto"/>
            </w:tcBorders>
            <w:shd w:val="clear" w:color="auto" w:fill="B6DEE8"/>
          </w:tcPr>
          <w:p>
            <w:pPr>
              <w:spacing w:after="0"/>
              <w:rPr>
                <w:sz w:val="21"/>
                <w:szCs w:val="21"/>
                <w:color w:val="auto"/>
              </w:rPr>
            </w:pPr>
          </w:p>
        </w:tc>
        <w:tc>
          <w:tcPr>
            <w:tcW w:w="4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DEE8"/>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spacing w:after="0"/>
              <w:rPr>
                <w:sz w:val="21"/>
                <w:szCs w:val="21"/>
                <w:color w:val="auto"/>
              </w:rPr>
            </w:pPr>
          </w:p>
        </w:tc>
        <w:tc>
          <w:tcPr>
            <w:tcW w:w="5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44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28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0"/>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-650875</wp:posOffset>
            </wp:positionV>
            <wp:extent cx="685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7" w:name="page98"/>
    <w:bookmarkEnd w:id="97"/>
    <w:tbl>
      <w:tblPr>
        <w:tblLayout w:type="fixed"/>
        <w:tblInd w:w="1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4"/>
                <w:szCs w:val="24"/>
                <w:color w:val="auto"/>
              </w:rPr>
            </w:pPr>
          </w:p>
        </w:tc>
        <w:tc>
          <w:tcPr>
            <w:tcW w:w="360" w:type="dxa"/>
            <w:vAlign w:val="bottom"/>
            <w:tcBorders>
              <w:bottom w:val="single" w:sz="8" w:color="B6DEE8"/>
            </w:tcBorders>
            <w:shd w:val="clear" w:color="auto" w:fill="B6DEE8"/>
          </w:tcPr>
          <w:p>
            <w:pPr>
              <w:spacing w:after="0"/>
              <w:rPr>
                <w:sz w:val="24"/>
                <w:szCs w:val="24"/>
                <w:color w:val="auto"/>
              </w:rPr>
            </w:pPr>
          </w:p>
        </w:tc>
        <w:tc>
          <w:tcPr>
            <w:tcW w:w="5460" w:type="dxa"/>
            <w:vAlign w:val="bottom"/>
            <w:tcBorders>
              <w:bottom w:val="single" w:sz="8" w:color="B6DEE8"/>
            </w:tcBorders>
            <w:shd w:val="clear" w:color="auto" w:fill="B6DEE8"/>
          </w:tcPr>
          <w:p>
            <w:pPr>
              <w:spacing w:after="0"/>
              <w:rPr>
                <w:sz w:val="24"/>
                <w:szCs w:val="24"/>
                <w:color w:val="auto"/>
              </w:rPr>
            </w:pPr>
          </w:p>
        </w:tc>
        <w:tc>
          <w:tcPr>
            <w:tcW w:w="840" w:type="dxa"/>
            <w:vAlign w:val="bottom"/>
            <w:tcBorders>
              <w:bottom w:val="single" w:sz="8" w:color="B6DEE8"/>
            </w:tcBorders>
            <w:shd w:val="clear" w:color="auto" w:fill="B6DEE8"/>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5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4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6DEE8"/>
          </w:tcPr>
          <w:p>
            <w:pPr>
              <w:spacing w:after="0"/>
              <w:rPr>
                <w:sz w:val="21"/>
                <w:szCs w:val="21"/>
                <w:color w:val="auto"/>
              </w:rPr>
            </w:pPr>
          </w:p>
        </w:tc>
        <w:tc>
          <w:tcPr>
            <w:tcW w:w="10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640" w:type="dxa"/>
            <w:vAlign w:val="bottom"/>
            <w:gridSpan w:val="2"/>
            <w:shd w:val="clear" w:color="auto" w:fill="B6DEE8"/>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4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liability</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5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840" w:type="dxa"/>
            <w:vAlign w:val="bottom"/>
            <w:shd w:val="clear" w:color="auto" w:fill="B6DEE8"/>
          </w:tcPr>
          <w:p>
            <w:pPr>
              <w:spacing w:after="0"/>
              <w:rPr>
                <w:sz w:val="21"/>
                <w:szCs w:val="21"/>
                <w:color w:val="auto"/>
              </w:rPr>
            </w:pPr>
          </w:p>
        </w:tc>
        <w:tc>
          <w:tcPr>
            <w:tcW w:w="4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0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B6DEE8"/>
          </w:tcPr>
          <w:p>
            <w:pPr>
              <w:spacing w:after="0"/>
              <w:rPr>
                <w:sz w:val="21"/>
                <w:szCs w:val="21"/>
                <w:color w:val="auto"/>
              </w:rPr>
            </w:pPr>
          </w:p>
        </w:tc>
        <w:tc>
          <w:tcPr>
            <w:tcW w:w="5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4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441"/>
        </w:trPr>
        <w:tc>
          <w:tcPr>
            <w:tcW w:w="75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w w:val="99"/>
              </w:rPr>
              <w:t>The future minimum lease payments as of December 31, 2022, were as follows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Related-Party</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420" w:type="dxa"/>
            <w:vAlign w:val="bottom"/>
          </w:tcPr>
          <w:p>
            <w:pPr>
              <w:spacing w:after="0"/>
              <w:rPr>
                <w:sz w:val="20"/>
                <w:szCs w:val="20"/>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4"/>
        </w:trPr>
        <w:tc>
          <w:tcPr>
            <w:tcW w:w="440" w:type="dxa"/>
            <w:vAlign w:val="bottom"/>
            <w:vMerge w:val="restart"/>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 w:type="dxa"/>
            <w:vAlign w:val="bottom"/>
            <w:vMerge w:val="continue"/>
          </w:tcPr>
          <w:p>
            <w:pPr>
              <w:spacing w:after="0"/>
              <w:rPr>
                <w:sz w:val="21"/>
                <w:szCs w:val="21"/>
                <w:color w:val="auto"/>
              </w:rPr>
            </w:pPr>
          </w:p>
        </w:tc>
        <w:tc>
          <w:tcPr>
            <w:tcW w:w="5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B6DEE8"/>
          </w:tcPr>
          <w:p>
            <w:pPr>
              <w:spacing w:after="0"/>
              <w:rPr>
                <w:sz w:val="21"/>
                <w:szCs w:val="21"/>
                <w:color w:val="auto"/>
              </w:rPr>
            </w:pPr>
          </w:p>
        </w:tc>
        <w:tc>
          <w:tcPr>
            <w:tcW w:w="400" w:type="dxa"/>
            <w:vAlign w:val="bottom"/>
            <w:shd w:val="clear" w:color="auto" w:fill="B6DEE8"/>
          </w:tcPr>
          <w:p>
            <w:pPr>
              <w:spacing w:after="0"/>
              <w:rPr>
                <w:sz w:val="21"/>
                <w:szCs w:val="21"/>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900" w:type="dxa"/>
            <w:vAlign w:val="bottom"/>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B6DEE8"/>
          </w:tcPr>
          <w:p>
            <w:pPr>
              <w:spacing w:after="0"/>
              <w:rPr>
                <w:sz w:val="21"/>
                <w:szCs w:val="21"/>
                <w:color w:val="auto"/>
              </w:rPr>
            </w:pPr>
          </w:p>
        </w:tc>
        <w:tc>
          <w:tcPr>
            <w:tcW w:w="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0" w:type="dxa"/>
            <w:vAlign w:val="bottom"/>
          </w:tcPr>
          <w:p>
            <w:pPr>
              <w:spacing w:after="0"/>
              <w:rPr>
                <w:sz w:val="21"/>
                <w:szCs w:val="21"/>
                <w:color w:val="auto"/>
              </w:rPr>
            </w:pPr>
          </w:p>
        </w:tc>
        <w:tc>
          <w:tcPr>
            <w:tcW w:w="5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B6DEE8"/>
          </w:tcPr>
          <w:p>
            <w:pPr>
              <w:spacing w:after="0"/>
              <w:rPr>
                <w:sz w:val="21"/>
                <w:szCs w:val="21"/>
                <w:color w:val="auto"/>
              </w:rPr>
            </w:pPr>
          </w:p>
        </w:tc>
        <w:tc>
          <w:tcPr>
            <w:tcW w:w="400" w:type="dxa"/>
            <w:vAlign w:val="bottom"/>
            <w:shd w:val="clear" w:color="auto" w:fill="B6DEE8"/>
          </w:tcPr>
          <w:p>
            <w:pPr>
              <w:spacing w:after="0"/>
              <w:rPr>
                <w:sz w:val="21"/>
                <w:szCs w:val="21"/>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900" w:type="dxa"/>
            <w:vAlign w:val="bottom"/>
            <w:shd w:val="clear" w:color="auto" w:fill="B6DEE8"/>
          </w:tcPr>
          <w:p>
            <w:pPr>
              <w:spacing w:after="0"/>
              <w:rPr>
                <w:sz w:val="21"/>
                <w:szCs w:val="21"/>
                <w:color w:val="auto"/>
              </w:rPr>
            </w:pPr>
          </w:p>
        </w:tc>
        <w:tc>
          <w:tcPr>
            <w:tcW w:w="6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B6DEE8"/>
          </w:tcPr>
          <w:p>
            <w:pPr>
              <w:spacing w:after="0"/>
              <w:rPr>
                <w:sz w:val="21"/>
                <w:szCs w:val="21"/>
                <w:color w:val="auto"/>
              </w:rPr>
            </w:pPr>
          </w:p>
        </w:tc>
        <w:tc>
          <w:tcPr>
            <w:tcW w:w="4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5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58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840" w:type="dxa"/>
            <w:vAlign w:val="bottom"/>
            <w:tcBorders>
              <w:bottom w:val="single" w:sz="8" w:color="auto"/>
            </w:tcBorders>
            <w:shd w:val="clear" w:color="auto" w:fill="B6DEE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B6DEE8"/>
          </w:tcPr>
          <w:p>
            <w:pPr>
              <w:spacing w:after="0"/>
              <w:rPr>
                <w:sz w:val="20"/>
                <w:szCs w:val="20"/>
                <w:color w:val="auto"/>
              </w:rPr>
            </w:pPr>
          </w:p>
        </w:tc>
        <w:tc>
          <w:tcPr>
            <w:tcW w:w="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0"/>
                <w:szCs w:val="20"/>
                <w:color w:val="auto"/>
              </w:rPr>
            </w:pPr>
          </w:p>
        </w:tc>
        <w:tc>
          <w:tcPr>
            <w:tcW w:w="900" w:type="dxa"/>
            <w:vAlign w:val="bottom"/>
            <w:tcBorders>
              <w:bottom w:val="single" w:sz="8" w:color="auto"/>
            </w:tcBorders>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Borders>
              <w:bottom w:val="single" w:sz="8" w:color="B6DEE8"/>
            </w:tcBorders>
            <w:shd w:val="clear" w:color="auto" w:fill="B6DEE8"/>
          </w:tcPr>
          <w:p>
            <w:pPr>
              <w:spacing w:after="0"/>
              <w:rPr>
                <w:sz w:val="20"/>
                <w:szCs w:val="20"/>
                <w:color w:val="auto"/>
              </w:rPr>
            </w:pPr>
          </w:p>
        </w:tc>
        <w:tc>
          <w:tcPr>
            <w:tcW w:w="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Borders>
              <w:bottom w:val="single" w:sz="8" w:color="B6DEE8"/>
            </w:tcBorders>
            <w:shd w:val="clear" w:color="auto" w:fill="B6DEE8"/>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40" w:type="dxa"/>
            <w:vAlign w:val="bottom"/>
          </w:tcPr>
          <w:p>
            <w:pPr>
              <w:spacing w:after="0"/>
              <w:rPr>
                <w:sz w:val="24"/>
                <w:szCs w:val="24"/>
                <w:color w:val="auto"/>
              </w:rPr>
            </w:pPr>
          </w:p>
        </w:tc>
        <w:tc>
          <w:tcPr>
            <w:tcW w:w="58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840" w:type="dxa"/>
            <w:vAlign w:val="bottom"/>
            <w:tcBorders>
              <w:top w:val="single" w:sz="8" w:color="auto"/>
              <w:bottom w:val="single" w:sz="8" w:color="auto"/>
            </w:tcBorders>
            <w:shd w:val="clear" w:color="auto" w:fill="B6DEE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B6DEE8"/>
          </w:tcPr>
          <w:p>
            <w:pPr>
              <w:spacing w:after="0"/>
              <w:rPr>
                <w:sz w:val="24"/>
                <w:szCs w:val="24"/>
                <w:color w:val="auto"/>
              </w:rPr>
            </w:pPr>
          </w:p>
        </w:tc>
        <w:tc>
          <w:tcPr>
            <w:tcW w:w="1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4"/>
                <w:szCs w:val="24"/>
                <w:color w:val="auto"/>
              </w:rPr>
            </w:pPr>
          </w:p>
        </w:tc>
        <w:tc>
          <w:tcPr>
            <w:tcW w:w="900" w:type="dxa"/>
            <w:vAlign w:val="bottom"/>
            <w:tcBorders>
              <w:top w:val="single" w:sz="8" w:color="auto"/>
              <w:bottom w:val="single" w:sz="8" w:color="auto"/>
            </w:tcBorders>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Borders>
              <w:bottom w:val="single" w:sz="8" w:color="B6DEE8"/>
            </w:tcBorders>
            <w:shd w:val="clear" w:color="auto" w:fill="B6DEE8"/>
          </w:tcPr>
          <w:p>
            <w:pPr>
              <w:spacing w:after="0"/>
              <w:rPr>
                <w:sz w:val="24"/>
                <w:szCs w:val="24"/>
                <w:color w:val="auto"/>
              </w:rPr>
            </w:pPr>
          </w:p>
        </w:tc>
        <w:tc>
          <w:tcPr>
            <w:tcW w:w="4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Borders>
              <w:bottom w:val="single" w:sz="8" w:color="B6DEE8"/>
            </w:tcBorders>
            <w:shd w:val="clear" w:color="auto" w:fill="B6DE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-350520</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6032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December 31, 2022 and 2021, using quoted prices in active markets for identical assets (Level 1), significant other observable inputs (Level 2), and significant unobservable inputs (Level 3)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B6DEE8"/>
          </w:tcPr>
          <w:p>
            <w:pPr>
              <w:spacing w:after="0"/>
              <w:rPr>
                <w:sz w:val="20"/>
                <w:szCs w:val="20"/>
                <w:color w:val="auto"/>
              </w:rPr>
            </w:pPr>
          </w:p>
        </w:tc>
        <w:tc>
          <w:tcPr>
            <w:tcW w:w="42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B6DEE8"/>
          </w:tcPr>
          <w:p>
            <w:pPr>
              <w:spacing w:after="0"/>
              <w:rPr>
                <w:sz w:val="20"/>
                <w:szCs w:val="20"/>
                <w:color w:val="auto"/>
              </w:rPr>
            </w:pPr>
          </w:p>
        </w:tc>
        <w:tc>
          <w:tcPr>
            <w:tcW w:w="940" w:type="dxa"/>
            <w:vAlign w:val="bottom"/>
            <w:shd w:val="clear" w:color="auto" w:fill="B6DEE8"/>
          </w:tcPr>
          <w:p>
            <w:pPr>
              <w:spacing w:after="0"/>
              <w:rPr>
                <w:sz w:val="20"/>
                <w:szCs w:val="20"/>
                <w:color w:val="auto"/>
              </w:rPr>
            </w:pPr>
          </w:p>
        </w:tc>
        <w:tc>
          <w:tcPr>
            <w:tcW w:w="32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84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1220" w:type="dxa"/>
            <w:vAlign w:val="bottom"/>
            <w:shd w:val="clear" w:color="auto" w:fill="B6DEE8"/>
          </w:tcPr>
          <w:p>
            <w:pPr>
              <w:spacing w:after="0"/>
              <w:rPr>
                <w:sz w:val="20"/>
                <w:szCs w:val="20"/>
                <w:color w:val="auto"/>
              </w:rPr>
            </w:pPr>
          </w:p>
        </w:tc>
        <w:tc>
          <w:tcPr>
            <w:tcW w:w="360" w:type="dxa"/>
            <w:vAlign w:val="bottom"/>
            <w:shd w:val="clear" w:color="auto" w:fill="B6DEE8"/>
          </w:tcPr>
          <w:p>
            <w:pPr>
              <w:spacing w:after="0"/>
              <w:rPr>
                <w:sz w:val="20"/>
                <w:szCs w:val="20"/>
                <w:color w:val="auto"/>
              </w:rPr>
            </w:pPr>
          </w:p>
        </w:tc>
        <w:tc>
          <w:tcPr>
            <w:tcW w:w="280" w:type="dxa"/>
            <w:vAlign w:val="bottom"/>
            <w:shd w:val="clear" w:color="auto" w:fill="B6DEE8"/>
          </w:tcPr>
          <w:p>
            <w:pPr>
              <w:spacing w:after="0"/>
              <w:rPr>
                <w:sz w:val="20"/>
                <w:szCs w:val="20"/>
                <w:color w:val="auto"/>
              </w:rPr>
            </w:pPr>
          </w:p>
        </w:tc>
        <w:tc>
          <w:tcPr>
            <w:tcW w:w="360" w:type="dxa"/>
            <w:vAlign w:val="bottom"/>
            <w:shd w:val="clear" w:color="auto" w:fill="B6DEE8"/>
          </w:tcPr>
          <w:p>
            <w:pPr>
              <w:spacing w:after="0"/>
              <w:rPr>
                <w:sz w:val="20"/>
                <w:szCs w:val="20"/>
                <w:color w:val="auto"/>
              </w:rPr>
            </w:pPr>
          </w:p>
        </w:tc>
        <w:tc>
          <w:tcPr>
            <w:tcW w:w="126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B6DEE8"/>
            </w:tcBorders>
            <w:shd w:val="clear" w:color="auto" w:fill="B6DEE8"/>
          </w:tcPr>
          <w:p>
            <w:pPr>
              <w:spacing w:after="0"/>
              <w:rPr>
                <w:sz w:val="21"/>
                <w:szCs w:val="21"/>
                <w:color w:val="auto"/>
              </w:rPr>
            </w:pPr>
          </w:p>
        </w:tc>
        <w:tc>
          <w:tcPr>
            <w:tcW w:w="4200" w:type="dxa"/>
            <w:vAlign w:val="bottom"/>
            <w:tcBorders>
              <w:bottom w:val="single" w:sz="8" w:color="B6DEE8"/>
            </w:tcBorders>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168,789</w:t>
            </w:r>
          </w:p>
        </w:tc>
        <w:tc>
          <w:tcPr>
            <w:tcW w:w="300" w:type="dxa"/>
            <w:vAlign w:val="bottom"/>
            <w:tcBorders>
              <w:bottom w:val="single" w:sz="8" w:color="B6DEE8"/>
            </w:tcBorders>
            <w:shd w:val="clear" w:color="auto" w:fill="B6DEE8"/>
          </w:tcPr>
          <w:p>
            <w:pPr>
              <w:spacing w:after="0"/>
              <w:rPr>
                <w:sz w:val="21"/>
                <w:szCs w:val="21"/>
                <w:color w:val="auto"/>
              </w:rPr>
            </w:pPr>
          </w:p>
        </w:tc>
        <w:tc>
          <w:tcPr>
            <w:tcW w:w="1220" w:type="dxa"/>
            <w:vAlign w:val="bottom"/>
            <w:tcBorders>
              <w:bottom w:val="single" w:sz="8" w:color="auto"/>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B6DEE8"/>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168,789</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168,789</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169,074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B6DEE8"/>
          </w:tcPr>
          <w:p>
            <w:pPr>
              <w:spacing w:after="0"/>
              <w:rPr>
                <w:sz w:val="19"/>
                <w:szCs w:val="19"/>
                <w:color w:val="auto"/>
              </w:rPr>
            </w:pPr>
          </w:p>
        </w:tc>
        <w:tc>
          <w:tcPr>
            <w:tcW w:w="42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B6DEE8"/>
          </w:tcPr>
          <w:p>
            <w:pPr>
              <w:spacing w:after="0"/>
              <w:rPr>
                <w:sz w:val="19"/>
                <w:szCs w:val="19"/>
                <w:color w:val="auto"/>
              </w:rPr>
            </w:pPr>
          </w:p>
        </w:tc>
        <w:tc>
          <w:tcPr>
            <w:tcW w:w="940" w:type="dxa"/>
            <w:vAlign w:val="bottom"/>
            <w:shd w:val="clear" w:color="auto" w:fill="B6DEE8"/>
          </w:tcPr>
          <w:p>
            <w:pPr>
              <w:spacing w:after="0"/>
              <w:rPr>
                <w:sz w:val="19"/>
                <w:szCs w:val="19"/>
                <w:color w:val="auto"/>
              </w:rPr>
            </w:pPr>
          </w:p>
        </w:tc>
        <w:tc>
          <w:tcPr>
            <w:tcW w:w="32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84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1280" w:type="dxa"/>
            <w:vAlign w:val="bottom"/>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360" w:type="dxa"/>
            <w:vAlign w:val="bottom"/>
            <w:shd w:val="clear" w:color="auto" w:fill="B6DEE8"/>
          </w:tcPr>
          <w:p>
            <w:pPr>
              <w:spacing w:after="0"/>
              <w:rPr>
                <w:sz w:val="19"/>
                <w:szCs w:val="19"/>
                <w:color w:val="auto"/>
              </w:rPr>
            </w:pPr>
          </w:p>
        </w:tc>
        <w:tc>
          <w:tcPr>
            <w:tcW w:w="126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r>
      <w:tr>
        <w:trPr>
          <w:trHeight w:val="247"/>
        </w:trPr>
        <w:tc>
          <w:tcPr>
            <w:tcW w:w="20" w:type="dxa"/>
            <w:vAlign w:val="bottom"/>
            <w:shd w:val="clear" w:color="auto" w:fill="B6DEE8"/>
          </w:tcPr>
          <w:p>
            <w:pPr>
              <w:spacing w:after="0"/>
              <w:rPr>
                <w:sz w:val="21"/>
                <w:szCs w:val="21"/>
                <w:color w:val="auto"/>
              </w:rPr>
            </w:pPr>
          </w:p>
        </w:tc>
        <w:tc>
          <w:tcPr>
            <w:tcW w:w="420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00" w:type="dxa"/>
            <w:vAlign w:val="bottom"/>
            <w:shd w:val="clear" w:color="auto" w:fill="B6DEE8"/>
          </w:tcPr>
          <w:p>
            <w:pPr>
              <w:spacing w:after="0"/>
              <w:rPr>
                <w:sz w:val="21"/>
                <w:szCs w:val="21"/>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8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DEE8"/>
          </w:tcPr>
          <w:p>
            <w:pPr>
              <w:spacing w:after="0"/>
              <w:rPr>
                <w:sz w:val="21"/>
                <w:szCs w:val="21"/>
                <w:color w:val="auto"/>
              </w:rPr>
            </w:pPr>
          </w:p>
        </w:tc>
        <w:tc>
          <w:tcPr>
            <w:tcW w:w="300" w:type="dxa"/>
            <w:vAlign w:val="bottom"/>
            <w:shd w:val="clear" w:color="auto" w:fill="B6DEE8"/>
          </w:tcPr>
          <w:p>
            <w:pPr>
              <w:spacing w:after="0"/>
              <w:rPr>
                <w:sz w:val="21"/>
                <w:szCs w:val="21"/>
                <w:color w:val="auto"/>
              </w:rPr>
            </w:pPr>
          </w:p>
        </w:tc>
        <w:tc>
          <w:tcPr>
            <w:tcW w:w="1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B6DEE8"/>
          </w:tcPr>
          <w:p>
            <w:pPr>
              <w:spacing w:after="0"/>
              <w:rPr>
                <w:sz w:val="21"/>
                <w:szCs w:val="21"/>
                <w:color w:val="auto"/>
              </w:rPr>
            </w:pPr>
          </w:p>
        </w:tc>
        <w:tc>
          <w:tcPr>
            <w:tcW w:w="360" w:type="dxa"/>
            <w:vAlign w:val="bottom"/>
            <w:shd w:val="clear" w:color="auto" w:fill="B6DEE8"/>
          </w:tcPr>
          <w:p>
            <w:pPr>
              <w:spacing w:after="0"/>
              <w:rPr>
                <w:sz w:val="21"/>
                <w:szCs w:val="21"/>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B6DE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Earnout liabilities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r>
      <w:tr>
        <w:trPr>
          <w:trHeight w:val="277"/>
        </w:trPr>
        <w:tc>
          <w:tcPr>
            <w:tcW w:w="20" w:type="dxa"/>
            <w:vAlign w:val="bottom"/>
            <w:tcBorders>
              <w:bottom w:val="single" w:sz="8" w:color="B6DEE8"/>
            </w:tcBorders>
            <w:shd w:val="clear" w:color="auto" w:fill="B6DEE8"/>
          </w:tcPr>
          <w:p>
            <w:pPr>
              <w:spacing w:after="0"/>
              <w:rPr>
                <w:sz w:val="24"/>
                <w:szCs w:val="24"/>
                <w:color w:val="auto"/>
              </w:rPr>
            </w:pPr>
          </w:p>
        </w:tc>
        <w:tc>
          <w:tcPr>
            <w:tcW w:w="4200" w:type="dxa"/>
            <w:vAlign w:val="bottom"/>
            <w:tcBorders>
              <w:bottom w:val="single" w:sz="8" w:color="B6DEE8"/>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320" w:type="dxa"/>
            <w:vAlign w:val="bottom"/>
            <w:tcBorders>
              <w:bottom w:val="single" w:sz="8" w:color="B6DEE8"/>
            </w:tcBorders>
            <w:shd w:val="clear" w:color="auto" w:fill="B6DEE8"/>
          </w:tcPr>
          <w:p>
            <w:pPr>
              <w:spacing w:after="0"/>
              <w:rPr>
                <w:sz w:val="24"/>
                <w:szCs w:val="24"/>
                <w:color w:val="auto"/>
              </w:rPr>
            </w:pPr>
          </w:p>
        </w:tc>
        <w:tc>
          <w:tcPr>
            <w:tcW w:w="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B6DEE8"/>
            </w:tcBorders>
            <w:shd w:val="clear" w:color="auto" w:fill="B6DEE8"/>
          </w:tcPr>
          <w:p>
            <w:pPr>
              <w:spacing w:after="0"/>
              <w:rPr>
                <w:sz w:val="24"/>
                <w:szCs w:val="24"/>
                <w:color w:val="auto"/>
              </w:rPr>
            </w:pPr>
          </w:p>
        </w:tc>
        <w:tc>
          <w:tcPr>
            <w:tcW w:w="300" w:type="dxa"/>
            <w:vAlign w:val="bottom"/>
            <w:tcBorders>
              <w:bottom w:val="single" w:sz="8" w:color="auto"/>
            </w:tcBorders>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80" w:type="dxa"/>
            <w:vAlign w:val="bottom"/>
            <w:tcBorders>
              <w:bottom w:val="single" w:sz="8" w:color="B6DEE8"/>
            </w:tcBorders>
            <w:shd w:val="clear" w:color="auto" w:fill="B6DEE8"/>
          </w:tcPr>
          <w:p>
            <w:pPr>
              <w:spacing w:after="0"/>
              <w:rPr>
                <w:sz w:val="24"/>
                <w:szCs w:val="24"/>
                <w:color w:val="auto"/>
              </w:rPr>
            </w:pPr>
          </w:p>
        </w:tc>
        <w:tc>
          <w:tcPr>
            <w:tcW w:w="360" w:type="dxa"/>
            <w:vAlign w:val="bottom"/>
            <w:tcBorders>
              <w:bottom w:val="single" w:sz="8" w:color="auto"/>
            </w:tcBorders>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100" w:type="dxa"/>
            <w:vAlign w:val="bottom"/>
            <w:tcBorders>
              <w:bottom w:val="single" w:sz="8" w:color="B6DEE8"/>
            </w:tcBorders>
            <w:shd w:val="clear" w:color="auto" w:fill="B6DEE8"/>
          </w:tcPr>
          <w:p>
            <w:pPr>
              <w:spacing w:after="0"/>
              <w:rPr>
                <w:sz w:val="24"/>
                <w:szCs w:val="24"/>
                <w:color w:val="auto"/>
              </w:rPr>
            </w:pPr>
          </w:p>
        </w:tc>
      </w:tr>
      <w:tr>
        <w:trPr>
          <w:trHeight w:val="669"/>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B6DEE8"/>
          </w:tcPr>
          <w:p>
            <w:pPr>
              <w:spacing w:after="0"/>
              <w:rPr>
                <w:sz w:val="20"/>
                <w:szCs w:val="20"/>
                <w:color w:val="auto"/>
              </w:rPr>
            </w:pPr>
          </w:p>
        </w:tc>
        <w:tc>
          <w:tcPr>
            <w:tcW w:w="42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B6DEE8"/>
          </w:tcPr>
          <w:p>
            <w:pPr>
              <w:spacing w:after="0"/>
              <w:rPr>
                <w:sz w:val="20"/>
                <w:szCs w:val="20"/>
                <w:color w:val="auto"/>
              </w:rPr>
            </w:pPr>
          </w:p>
        </w:tc>
        <w:tc>
          <w:tcPr>
            <w:tcW w:w="940" w:type="dxa"/>
            <w:vAlign w:val="bottom"/>
            <w:shd w:val="clear" w:color="auto" w:fill="B6DEE8"/>
          </w:tcPr>
          <w:p>
            <w:pPr>
              <w:spacing w:after="0"/>
              <w:rPr>
                <w:sz w:val="20"/>
                <w:szCs w:val="20"/>
                <w:color w:val="auto"/>
              </w:rPr>
            </w:pPr>
          </w:p>
        </w:tc>
        <w:tc>
          <w:tcPr>
            <w:tcW w:w="32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84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1280" w:type="dxa"/>
            <w:vAlign w:val="bottom"/>
            <w:shd w:val="clear" w:color="auto" w:fill="B6DEE8"/>
          </w:tcPr>
          <w:p>
            <w:pPr>
              <w:spacing w:after="0"/>
              <w:rPr>
                <w:sz w:val="20"/>
                <w:szCs w:val="20"/>
                <w:color w:val="auto"/>
              </w:rPr>
            </w:pPr>
          </w:p>
        </w:tc>
        <w:tc>
          <w:tcPr>
            <w:tcW w:w="280" w:type="dxa"/>
            <w:vAlign w:val="bottom"/>
            <w:shd w:val="clear" w:color="auto" w:fill="B6DEE8"/>
          </w:tcPr>
          <w:p>
            <w:pPr>
              <w:spacing w:after="0"/>
              <w:rPr>
                <w:sz w:val="20"/>
                <w:szCs w:val="20"/>
                <w:color w:val="auto"/>
              </w:rPr>
            </w:pPr>
          </w:p>
        </w:tc>
        <w:tc>
          <w:tcPr>
            <w:tcW w:w="360" w:type="dxa"/>
            <w:vAlign w:val="bottom"/>
            <w:shd w:val="clear" w:color="auto" w:fill="B6DEE8"/>
          </w:tcPr>
          <w:p>
            <w:pPr>
              <w:spacing w:after="0"/>
              <w:rPr>
                <w:sz w:val="20"/>
                <w:szCs w:val="20"/>
                <w:color w:val="auto"/>
              </w:rPr>
            </w:pPr>
          </w:p>
        </w:tc>
        <w:tc>
          <w:tcPr>
            <w:tcW w:w="126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B6DEE8"/>
            </w:tcBorders>
            <w:shd w:val="clear" w:color="auto" w:fill="B6DEE8"/>
          </w:tcPr>
          <w:p>
            <w:pPr>
              <w:spacing w:after="0"/>
              <w:rPr>
                <w:sz w:val="21"/>
                <w:szCs w:val="21"/>
                <w:color w:val="auto"/>
              </w:rPr>
            </w:pPr>
          </w:p>
        </w:tc>
        <w:tc>
          <w:tcPr>
            <w:tcW w:w="4200" w:type="dxa"/>
            <w:vAlign w:val="bottom"/>
            <w:tcBorders>
              <w:bottom w:val="single" w:sz="8" w:color="B6DEE8"/>
            </w:tcBorders>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Derivative asset on loans to stockholders</w:t>
            </w:r>
          </w:p>
        </w:tc>
        <w:tc>
          <w:tcPr>
            <w:tcW w:w="20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B6DEE8"/>
            </w:tcBorders>
            <w:shd w:val="clear" w:color="auto" w:fill="B6DEE8"/>
          </w:tcPr>
          <w:p>
            <w:pPr>
              <w:spacing w:after="0"/>
              <w:rPr>
                <w:sz w:val="21"/>
                <w:szCs w:val="21"/>
                <w:color w:val="auto"/>
              </w:rPr>
            </w:pPr>
          </w:p>
        </w:tc>
        <w:tc>
          <w:tcPr>
            <w:tcW w:w="300" w:type="dxa"/>
            <w:vAlign w:val="bottom"/>
            <w:tcBorders>
              <w:bottom w:val="single" w:sz="8" w:color="auto"/>
            </w:tcBorders>
            <w:shd w:val="clear" w:color="auto" w:fill="B6DEE8"/>
          </w:tcPr>
          <w:p>
            <w:pPr>
              <w:spacing w:after="0"/>
              <w:rPr>
                <w:sz w:val="21"/>
                <w:szCs w:val="21"/>
                <w:color w:val="auto"/>
              </w:rPr>
            </w:pPr>
          </w:p>
        </w:tc>
        <w:tc>
          <w:tcPr>
            <w:tcW w:w="12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280" w:type="dxa"/>
            <w:vAlign w:val="bottom"/>
            <w:tcBorders>
              <w:bottom w:val="single" w:sz="8" w:color="B6DEE8"/>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35,253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35,253</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43,479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B6DEE8"/>
          </w:tcPr>
          <w:p>
            <w:pPr>
              <w:spacing w:after="0"/>
              <w:rPr>
                <w:sz w:val="19"/>
                <w:szCs w:val="19"/>
                <w:color w:val="auto"/>
              </w:rPr>
            </w:pPr>
          </w:p>
        </w:tc>
        <w:tc>
          <w:tcPr>
            <w:tcW w:w="42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B6DEE8"/>
          </w:tcPr>
          <w:p>
            <w:pPr>
              <w:spacing w:after="0"/>
              <w:rPr>
                <w:sz w:val="19"/>
                <w:szCs w:val="19"/>
                <w:color w:val="auto"/>
              </w:rPr>
            </w:pPr>
          </w:p>
        </w:tc>
        <w:tc>
          <w:tcPr>
            <w:tcW w:w="940" w:type="dxa"/>
            <w:vAlign w:val="bottom"/>
            <w:shd w:val="clear" w:color="auto" w:fill="B6DEE8"/>
          </w:tcPr>
          <w:p>
            <w:pPr>
              <w:spacing w:after="0"/>
              <w:rPr>
                <w:sz w:val="19"/>
                <w:szCs w:val="19"/>
                <w:color w:val="auto"/>
              </w:rPr>
            </w:pPr>
          </w:p>
        </w:tc>
        <w:tc>
          <w:tcPr>
            <w:tcW w:w="32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84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1280" w:type="dxa"/>
            <w:vAlign w:val="bottom"/>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360" w:type="dxa"/>
            <w:vAlign w:val="bottom"/>
            <w:shd w:val="clear" w:color="auto" w:fill="B6DEE8"/>
          </w:tcPr>
          <w:p>
            <w:pPr>
              <w:spacing w:after="0"/>
              <w:rPr>
                <w:sz w:val="19"/>
                <w:szCs w:val="19"/>
                <w:color w:val="auto"/>
              </w:rPr>
            </w:pPr>
          </w:p>
        </w:tc>
        <w:tc>
          <w:tcPr>
            <w:tcW w:w="126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B6DEE8"/>
            </w:tcBorders>
            <w:shd w:val="clear" w:color="auto" w:fill="B6DEE8"/>
          </w:tcPr>
          <w:p>
            <w:pPr>
              <w:spacing w:after="0"/>
              <w:rPr>
                <w:sz w:val="21"/>
                <w:szCs w:val="21"/>
                <w:color w:val="auto"/>
              </w:rPr>
            </w:pPr>
          </w:p>
        </w:tc>
        <w:tc>
          <w:tcPr>
            <w:tcW w:w="4200" w:type="dxa"/>
            <w:vAlign w:val="bottom"/>
            <w:tcBorders>
              <w:bottom w:val="single" w:sz="8" w:color="B6DEE8"/>
            </w:tcBorders>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Note payable</w:t>
            </w:r>
          </w:p>
        </w:tc>
        <w:tc>
          <w:tcPr>
            <w:tcW w:w="20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B6DEE8"/>
            </w:tcBorders>
            <w:shd w:val="clear" w:color="auto" w:fill="B6DEE8"/>
          </w:tcPr>
          <w:p>
            <w:pPr>
              <w:spacing w:after="0"/>
              <w:rPr>
                <w:sz w:val="21"/>
                <w:szCs w:val="21"/>
                <w:color w:val="auto"/>
              </w:rPr>
            </w:pPr>
          </w:p>
        </w:tc>
        <w:tc>
          <w:tcPr>
            <w:tcW w:w="300" w:type="dxa"/>
            <w:vAlign w:val="bottom"/>
            <w:tcBorders>
              <w:bottom w:val="single" w:sz="8" w:color="auto"/>
            </w:tcBorders>
            <w:shd w:val="clear" w:color="auto" w:fill="B6DEE8"/>
          </w:tcPr>
          <w:p>
            <w:pPr>
              <w:spacing w:after="0"/>
              <w:rPr>
                <w:sz w:val="21"/>
                <w:szCs w:val="21"/>
                <w:color w:val="auto"/>
              </w:rPr>
            </w:pPr>
          </w:p>
        </w:tc>
        <w:tc>
          <w:tcPr>
            <w:tcW w:w="12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280" w:type="dxa"/>
            <w:vAlign w:val="bottom"/>
            <w:tcBorders>
              <w:bottom w:val="single" w:sz="8" w:color="B6DEE8"/>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18,777</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18,777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-1799590</wp:posOffset>
            </wp:positionV>
            <wp:extent cx="3300095" cy="4972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300095" cy="4972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-839470</wp:posOffset>
            </wp:positionV>
            <wp:extent cx="685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-839470</wp:posOffset>
            </wp:positionV>
            <wp:extent cx="6858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-839470</wp:posOffset>
            </wp:positionV>
            <wp:extent cx="5969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-839470</wp:posOffset>
            </wp:positionV>
            <wp:extent cx="59690"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-187960</wp:posOffset>
            </wp:positionV>
            <wp:extent cx="6858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5969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and liabilities measured at fair value on a non-recurring basis as of December 31, 2022 and 2021.</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98" w:name="page99"/>
    <w:bookmarkEnd w:id="98"/>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Member advances (Level 2), accounts payable (Level 2) and accrued expenses (Level 2), and believes the carrying value approximates the fair value due to the short-term nature of these balances. The fair value of the debt facility (Level 2) and convertible note payable (level 2) approximates their carrying values.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imarkets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the fair value of short-term investments held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short term investments existed as of December 31, 2021.</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Asset Related to Loans to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certain loans to stockholders, the Company purchased call options which grant the Company the right to acquire a fixed number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held by such stockholders over the exercise period (four years). However, the exercise price per share is not fixed.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$104.731 exercise price per share increases by a nominal amount of $1.727 for each month that lapses from the call option issuance date. As of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the exercise price per share was $109.565. The Company understands that this variability in the exercise price of the call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tied to the passage of time, which is not an input to the fair value of the Company’s shares per ASC 815, Derivatives and Hedging (“ASC 815”).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Company does not believe the call option meets the scope exception under ASC 815. As the scope exception is not met, the call option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as a derivative instrument. Accordingly, the call option was measured at fair value and presented as a derivative asset on loans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on the Company’s consolidated balance sheets. Interest earned on the non-recourse promissory notes was reported as interest income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the call option were reported as other income or expense in the period incurred. The call option was measured at fair value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 of each reporting period with change in fair value recorded in earnings. The fair value of the call option as of December 31, 2022 and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was $0 and $35.3 million, respectively. Upon consummation of the Business Combination in January 2022, all of the call options related to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Stockholders were exercised,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right="140"/>
        <w:spacing w:after="0" w:line="282" w:lineRule="auto"/>
        <w:rPr>
          <w:sz w:val="20"/>
          <w:szCs w:val="20"/>
          <w:color w:val="auto"/>
        </w:rPr>
      </w:pPr>
      <w:r>
        <w:rPr>
          <w:rFonts w:ascii="Times New Roman" w:cs="Times New Roman" w:eastAsia="Times New Roman" w:hAnsi="Times New Roman"/>
          <w:sz w:val="18"/>
          <w:szCs w:val="18"/>
          <w:color w:val="auto"/>
        </w:rPr>
        <w:t>settling the derivative asset on Loans to Stockholders of $29.7 million and the contra-equity Loans to Stockholders of $15.2 million with APIC being the offsetting entry.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3 derivative asset on loans to stockholders is as follows (in thousands):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2021</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Pr>
          <w:p>
            <w:pPr>
              <w:spacing w:after="0"/>
              <w:rPr>
                <w:sz w:val="21"/>
                <w:szCs w:val="21"/>
                <w:color w:val="auto"/>
              </w:rPr>
            </w:pPr>
          </w:p>
        </w:tc>
      </w:tr>
      <w:tr>
        <w:trPr>
          <w:trHeight w:val="250"/>
        </w:trPr>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Amendment to loan to stockholder</w:t>
            </w:r>
          </w:p>
        </w:tc>
        <w:tc>
          <w:tcPr>
            <w:tcW w:w="680" w:type="dxa"/>
            <w:vAlign w:val="bottom"/>
            <w:shd w:val="clear" w:color="auto" w:fill="B6DEE8"/>
          </w:tcPr>
          <w:p>
            <w:pPr>
              <w:spacing w:after="0"/>
              <w:rPr>
                <w:sz w:val="21"/>
                <w:szCs w:val="21"/>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B6DEE8"/>
          </w:tcPr>
          <w:p>
            <w:pPr>
              <w:spacing w:after="0"/>
              <w:rPr>
                <w:sz w:val="21"/>
                <w:szCs w:val="21"/>
                <w:color w:val="auto"/>
              </w:rPr>
            </w:pPr>
          </w:p>
        </w:tc>
      </w:tr>
      <w:tr>
        <w:trPr>
          <w:trHeight w:val="24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6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tcPr>
          <w:p>
            <w:pPr>
              <w:spacing w:after="0"/>
              <w:rPr>
                <w:sz w:val="21"/>
                <w:szCs w:val="21"/>
                <w:color w:val="auto"/>
              </w:rPr>
            </w:pPr>
          </w:p>
        </w:tc>
      </w:tr>
      <w:tr>
        <w:trPr>
          <w:trHeight w:val="237"/>
        </w:trPr>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2021</w:t>
            </w:r>
          </w:p>
        </w:tc>
        <w:tc>
          <w:tcPr>
            <w:tcW w:w="680" w:type="dxa"/>
            <w:vAlign w:val="bottom"/>
            <w:shd w:val="clear" w:color="auto" w:fill="B6DEE8"/>
          </w:tcPr>
          <w:p>
            <w:pPr>
              <w:spacing w:after="0"/>
              <w:rPr>
                <w:sz w:val="20"/>
                <w:szCs w:val="20"/>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35,253</w:t>
            </w:r>
          </w:p>
        </w:tc>
        <w:tc>
          <w:tcPr>
            <w:tcW w:w="100" w:type="dxa"/>
            <w:vAlign w:val="bottom"/>
            <w:shd w:val="clear" w:color="auto" w:fill="B6DEE8"/>
          </w:tcPr>
          <w:p>
            <w:pPr>
              <w:spacing w:after="0"/>
              <w:rPr>
                <w:sz w:val="20"/>
                <w:szCs w:val="20"/>
                <w:color w:val="auto"/>
              </w:rPr>
            </w:pPr>
          </w:p>
        </w:tc>
      </w:tr>
      <w:tr>
        <w:trPr>
          <w:trHeight w:val="23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6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(5,572 )</w:t>
            </w:r>
          </w:p>
        </w:tc>
      </w:tr>
      <w:tr>
        <w:trPr>
          <w:trHeight w:val="247"/>
        </w:trPr>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Exercise of call option</w:t>
            </w:r>
          </w:p>
        </w:tc>
        <w:tc>
          <w:tcPr>
            <w:tcW w:w="680" w:type="dxa"/>
            <w:vAlign w:val="bottom"/>
            <w:shd w:val="clear" w:color="auto" w:fill="B6DEE8"/>
          </w:tcPr>
          <w:p>
            <w:pPr>
              <w:spacing w:after="0"/>
              <w:rPr>
                <w:sz w:val="21"/>
                <w:szCs w:val="21"/>
                <w:color w:val="auto"/>
              </w:rPr>
            </w:pPr>
          </w:p>
        </w:tc>
        <w:tc>
          <w:tcPr>
            <w:tcW w:w="12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(29,681 )</w:t>
            </w:r>
          </w:p>
        </w:tc>
      </w:tr>
      <w:tr>
        <w:trPr>
          <w:trHeight w:val="237"/>
        </w:trPr>
        <w:tc>
          <w:tcPr>
            <w:tcW w:w="816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2022</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B6DEE8"/>
            </w:tcBorders>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probability-weighted expected return method (“PWERM”) to weight the indicated call options value determined under the binomial option pricing model to determine the fair value of the call options. The following table presents the assumptions used to value the call options for the year ended December 31, 2021: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0.1 - 0.6%</w:t>
            </w:r>
          </w:p>
        </w:tc>
        <w:tc>
          <w:tcPr>
            <w:tcW w:w="60" w:type="dxa"/>
            <w:vAlign w:val="bottom"/>
          </w:tcPr>
          <w:p>
            <w:pPr>
              <w:spacing w:after="0"/>
              <w:rPr>
                <w:sz w:val="21"/>
                <w:szCs w:val="21"/>
                <w:color w:val="auto"/>
              </w:rPr>
            </w:pPr>
          </w:p>
        </w:tc>
      </w:tr>
      <w:tr>
        <w:trPr>
          <w:trHeight w:val="257"/>
        </w:trPr>
        <w:tc>
          <w:tcPr>
            <w:tcW w:w="52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84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0.0 - 1.5 Years</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Liability Related to Debt Facility:</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discussed further in Note 13, Debt and Credit Facility, in January 2021, the Company issued warrants contemporaneously with a debt facility that met the definition of a derivative under ASC 815. This warrant liability was initially recorded as a liability measured at the estimated fair value, with the offsetting entry recorded as a loan commitment fees asset. The derivative liability was subsequently recorded at fair value at each reporting period, with changes in fair value reflected in earnings. Upon consummation of the Business Combination in January 2022, these warrants were exercised and settled. The loss related to the change in fair value of the warrant liability in the year ended December 31, 2022, was $0.4 million, which is presented within changes in fair value of warrant liability in the 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warrant liability is as follows (in thousands):</w:t>
            </w: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2021</w:t>
            </w:r>
          </w:p>
        </w:tc>
        <w:tc>
          <w:tcPr>
            <w:tcW w:w="740" w:type="dxa"/>
            <w:vAlign w:val="bottom"/>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at the original issuance date</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8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740" w:type="dxa"/>
            <w:vAlign w:val="bottom"/>
            <w:tcBorders>
              <w:bottom w:val="single" w:sz="8" w:color="auto"/>
            </w:tcBorders>
            <w:shd w:val="clear" w:color="auto" w:fill="B6DEE8"/>
          </w:tcPr>
          <w:p>
            <w:pPr>
              <w:spacing w:after="0"/>
              <w:rPr>
                <w:sz w:val="21"/>
                <w:szCs w:val="21"/>
                <w:color w:val="auto"/>
              </w:rPr>
            </w:pPr>
          </w:p>
        </w:tc>
        <w:tc>
          <w:tcPr>
            <w:tcW w:w="11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2021</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3,726</w:t>
            </w:r>
          </w:p>
        </w:tc>
        <w:tc>
          <w:tcPr>
            <w:tcW w:w="100" w:type="dxa"/>
            <w:vAlign w:val="bottom"/>
          </w:tcPr>
          <w:p>
            <w:pPr>
              <w:spacing w:after="0"/>
              <w:rPr>
                <w:sz w:val="20"/>
                <w:szCs w:val="20"/>
                <w:color w:val="auto"/>
              </w:rPr>
            </w:pPr>
          </w:p>
        </w:tc>
      </w:tr>
      <w:tr>
        <w:trPr>
          <w:trHeight w:val="245"/>
        </w:trPr>
        <w:tc>
          <w:tcPr>
            <w:tcW w:w="580" w:type="dxa"/>
            <w:vAlign w:val="bottom"/>
          </w:tcPr>
          <w:p>
            <w:pPr>
              <w:spacing w:after="0"/>
              <w:rPr>
                <w:sz w:val="21"/>
                <w:szCs w:val="21"/>
                <w:color w:val="auto"/>
              </w:rPr>
            </w:pPr>
          </w:p>
        </w:tc>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74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(361 )</w:t>
            </w:r>
          </w:p>
        </w:tc>
      </w:tr>
      <w:tr>
        <w:trPr>
          <w:trHeight w:val="243"/>
        </w:trPr>
        <w:tc>
          <w:tcPr>
            <w:tcW w:w="58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w:t>
            </w:r>
          </w:p>
        </w:tc>
        <w:tc>
          <w:tcPr>
            <w:tcW w:w="7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(3,365 )</w:t>
            </w:r>
          </w:p>
        </w:tc>
      </w:tr>
      <w:tr>
        <w:trPr>
          <w:trHeight w:val="276"/>
        </w:trPr>
        <w:tc>
          <w:tcPr>
            <w:tcW w:w="580" w:type="dxa"/>
            <w:vAlign w:val="bottom"/>
          </w:tcPr>
          <w:p>
            <w:pPr>
              <w:spacing w:after="0"/>
              <w:rPr>
                <w:sz w:val="24"/>
                <w:szCs w:val="24"/>
                <w:color w:val="auto"/>
              </w:rPr>
            </w:pPr>
          </w:p>
        </w:tc>
        <w:tc>
          <w:tcPr>
            <w:tcW w:w="8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2022</w:t>
            </w:r>
          </w:p>
        </w:tc>
        <w:tc>
          <w:tcPr>
            <w:tcW w:w="740" w:type="dxa"/>
            <w:vAlign w:val="bottom"/>
            <w:tcBorders>
              <w:top w:val="single" w:sz="8" w:color="auto"/>
              <w:bottom w:val="single" w:sz="8" w:color="auto"/>
            </w:tcBorders>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used a PWERM to weight the indicated warrant liability value determined under the binomial option pricing model to determine the fair value of the warrant liability. The following table presents the assumptions used to value the warrant liability for the year ended December 31, 2021:</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0.1 - 0.6%</w:t>
            </w:r>
          </w:p>
        </w:tc>
        <w:tc>
          <w:tcPr>
            <w:tcW w:w="60" w:type="dxa"/>
            <w:vAlign w:val="bottom"/>
          </w:tcPr>
          <w:p>
            <w:pPr>
              <w:spacing w:after="0"/>
              <w:rPr>
                <w:sz w:val="21"/>
                <w:szCs w:val="21"/>
                <w:color w:val="auto"/>
              </w:rPr>
            </w:pPr>
          </w:p>
        </w:tc>
      </w:tr>
      <w:tr>
        <w:trPr>
          <w:trHeight w:val="256"/>
        </w:trPr>
        <w:tc>
          <w:tcPr>
            <w:tcW w:w="52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84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0.0 - 1.5 Years</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Payable:</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discussed in Note 11, Note Payable, the Company has elected to measure the note payable at fair value using the fair value option of ASC 825-10. The Company identified an embedded derivative related to a convertible feature in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00" w:name="page101"/>
    <w:bookmarkEnd w:id="100"/>
    <w:p>
      <w:pPr>
        <w:ind w:right="140"/>
        <w:spacing w:after="0" w:line="258" w:lineRule="auto"/>
        <w:rPr>
          <w:sz w:val="20"/>
          <w:szCs w:val="20"/>
          <w:color w:val="auto"/>
        </w:rPr>
      </w:pPr>
      <w:r>
        <w:rPr>
          <w:rFonts w:ascii="Times New Roman" w:cs="Times New Roman" w:eastAsia="Times New Roman" w:hAnsi="Times New Roman"/>
          <w:sz w:val="18"/>
          <w:szCs w:val="18"/>
          <w:color w:val="auto"/>
        </w:rPr>
        <w:t>its promissory note and in accordance with ASC 815-15-25-1 criterion (b), since the Company has elected to apply the fair value option to the debt embedded features will not be separated from the debt host. The note payable is carried on the Company’s consolidated balance sheet as a current liability estimated at fair value with changes in fair value reflected in earnings. Upon consummation of the Business Combination in January 2022, this note payable was paid down and settled. The loss related to the change in fair value of the promissory note for the year ended December 31, 2022 was $0.01 million, which is presented within interest expense in the consolidated statements of operations.</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2021</w:t>
            </w:r>
          </w:p>
        </w:tc>
        <w:tc>
          <w:tcPr>
            <w:tcW w:w="680" w:type="dxa"/>
            <w:vAlign w:val="bottom"/>
            <w:shd w:val="clear" w:color="auto" w:fill="B6DEE8"/>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B6DEE8"/>
          </w:tcPr>
          <w:p>
            <w:pPr>
              <w:spacing w:after="0"/>
              <w:rPr>
                <w:sz w:val="21"/>
                <w:szCs w:val="21"/>
                <w:color w:val="auto"/>
              </w:rPr>
            </w:pPr>
          </w:p>
        </w:tc>
      </w:tr>
      <w:tr>
        <w:trPr>
          <w:trHeight w:val="23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issuance</w:t>
            </w:r>
          </w:p>
        </w:tc>
        <w:tc>
          <w:tcPr>
            <w:tcW w:w="6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680" w:type="dxa"/>
            <w:vAlign w:val="bottom"/>
            <w:tcBorders>
              <w:bottom w:val="single" w:sz="8" w:color="auto"/>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2021</w:t>
            </w:r>
          </w:p>
        </w:tc>
        <w:tc>
          <w:tcPr>
            <w:tcW w:w="6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15,051</w:t>
            </w:r>
          </w:p>
        </w:tc>
        <w:tc>
          <w:tcPr>
            <w:tcW w:w="100" w:type="dxa"/>
            <w:vAlign w:val="bottom"/>
          </w:tcPr>
          <w:p>
            <w:pPr>
              <w:spacing w:after="0"/>
              <w:rPr>
                <w:sz w:val="20"/>
                <w:szCs w:val="20"/>
                <w:color w:val="auto"/>
              </w:rPr>
            </w:pPr>
          </w:p>
        </w:tc>
      </w:tr>
      <w:tr>
        <w:trPr>
          <w:trHeight w:val="245"/>
        </w:trPr>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680" w:type="dxa"/>
            <w:vAlign w:val="bottom"/>
            <w:shd w:val="clear" w:color="auto" w:fill="B6DEE8"/>
          </w:tcPr>
          <w:p>
            <w:pPr>
              <w:spacing w:after="0"/>
              <w:rPr>
                <w:sz w:val="21"/>
                <w:szCs w:val="21"/>
                <w:color w:val="auto"/>
              </w:rPr>
            </w:pPr>
          </w:p>
        </w:tc>
        <w:tc>
          <w:tcPr>
            <w:tcW w:w="12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Discharge of obligation through the issuance of Common Stock</w:t>
            </w:r>
          </w:p>
        </w:tc>
        <w:tc>
          <w:tcPr>
            <w:tcW w:w="6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(15,000 )</w:t>
            </w:r>
          </w:p>
        </w:tc>
      </w:tr>
      <w:tr>
        <w:trPr>
          <w:trHeight w:val="277"/>
        </w:trPr>
        <w:tc>
          <w:tcPr>
            <w:tcW w:w="8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2022</w:t>
            </w:r>
          </w:p>
        </w:tc>
        <w:tc>
          <w:tcPr>
            <w:tcW w:w="680" w:type="dxa"/>
            <w:vAlign w:val="bottom"/>
            <w:tcBorders>
              <w:top w:val="single" w:sz="8" w:color="auto"/>
              <w:bottom w:val="single" w:sz="8" w:color="auto"/>
            </w:tcBorders>
            <w:shd w:val="clear" w:color="auto" w:fill="B6DEE8"/>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discussed further in Note 12,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for year ended December 31, 2022, was $7.4 million, which is presented within changes in fair value of public warrant liability in the consolidated statements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12,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consolidated statement of operations. The derivative liability was subsequently recorded at fair value at each reporting period, with changes in fair value reflected in earnings. The gain related to the change in fair value of the private warrant liability for year ended December 31, 2022 was $6.4 million, respectively, which is presented within changes in fair value of private warrant liability in the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(dollars in thousands):</w:t>
            </w: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2022</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Initial fair value at the merger date</w:t>
            </w:r>
          </w:p>
        </w:tc>
        <w:tc>
          <w:tcPr>
            <w:tcW w:w="74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shd w:val="clear" w:color="auto" w:fill="B6DEE8"/>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7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(6,428 )</w:t>
            </w:r>
          </w:p>
        </w:tc>
      </w:tr>
      <w:tr>
        <w:trPr>
          <w:trHeight w:val="277"/>
        </w:trPr>
        <w:tc>
          <w:tcPr>
            <w:tcW w:w="580" w:type="dxa"/>
            <w:vAlign w:val="bottom"/>
          </w:tcPr>
          <w:p>
            <w:pPr>
              <w:spacing w:after="0"/>
              <w:rPr>
                <w:sz w:val="24"/>
                <w:szCs w:val="24"/>
                <w:color w:val="auto"/>
              </w:rPr>
            </w:pPr>
          </w:p>
        </w:tc>
        <w:tc>
          <w:tcPr>
            <w:tcW w:w="8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2022</w:t>
            </w:r>
          </w:p>
        </w:tc>
        <w:tc>
          <w:tcPr>
            <w:tcW w:w="740" w:type="dxa"/>
            <w:vAlign w:val="bottom"/>
            <w:tcBorders>
              <w:top w:val="single" w:sz="8" w:color="auto"/>
              <w:bottom w:val="single" w:sz="8" w:color="auto"/>
            </w:tcBorders>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year ended December 31, 2022: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tbl>
      <w:tblPr>
        <w:tblLayout w:type="fixed"/>
        <w:tblInd w:w="580" w:type="dxa"/>
        <w:tblCellMar>
          <w:top w:w="0" w:type="dxa"/>
          <w:left w:w="0" w:type="dxa"/>
          <w:bottom w:w="0" w:type="dxa"/>
          <w:right w:w="0" w:type="dxa"/>
        </w:tblCellMar>
      </w:tblPr>
      <w:tr>
        <w:trPr>
          <w:trHeight w:val="243"/>
        </w:trPr>
        <w:tc>
          <w:tcPr>
            <w:tcW w:w="48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80" w:type="dxa"/>
            <w:vAlign w:val="bottom"/>
            <w:shd w:val="clear" w:color="auto" w:fill="B7DEE8"/>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368.00</w:t>
            </w:r>
          </w:p>
        </w:tc>
        <w:tc>
          <w:tcPr>
            <w:tcW w:w="60" w:type="dxa"/>
            <w:vAlign w:val="bottom"/>
          </w:tcPr>
          <w:p>
            <w:pPr>
              <w:spacing w:after="0"/>
              <w:rPr>
                <w:sz w:val="21"/>
                <w:szCs w:val="2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106.8 %</w:t>
            </w: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 years</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discussed further in Note 3, The Reverse Recapitalization and Related Transactions, as part of the recapitalization, 49,563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(loss) gain related to the change in fair value of the Founder Holder Earnout Shares liabilities for year ended December 31, 2022, was $9.6 million, which is presented within changes in fair value of earnout liabilities in the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(dollars in thousands):</w:t>
            </w: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2022</w:t>
            </w:r>
          </w:p>
        </w:tc>
        <w:tc>
          <w:tcPr>
            <w:tcW w:w="740" w:type="dxa"/>
            <w:vAlign w:val="bottom"/>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at the merger date</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8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74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(9,629 )</w:t>
            </w:r>
          </w:p>
        </w:tc>
      </w:tr>
      <w:tr>
        <w:trPr>
          <w:trHeight w:val="236"/>
        </w:trPr>
        <w:tc>
          <w:tcPr>
            <w:tcW w:w="580" w:type="dxa"/>
            <w:vAlign w:val="bottom"/>
          </w:tcPr>
          <w:p>
            <w:pPr>
              <w:spacing w:after="0"/>
              <w:rPr>
                <w:sz w:val="20"/>
                <w:szCs w:val="20"/>
                <w:color w:val="auto"/>
              </w:rPr>
            </w:pPr>
          </w:p>
        </w:tc>
        <w:tc>
          <w:tcPr>
            <w:tcW w:w="816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2022</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year ended December 31, 2022:</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48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000" w:type="dxa"/>
            <w:vAlign w:val="bottom"/>
            <w:shd w:val="clear" w:color="auto" w:fill="B7DEE8"/>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21"/>
                <w:szCs w:val="2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0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4.0100</w:t>
            </w:r>
          </w:p>
        </w:tc>
        <w:tc>
          <w:tcPr>
            <w:tcW w:w="60" w:type="dxa"/>
            <w:vAlign w:val="bottom"/>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-453390</wp:posOffset>
            </wp:positionV>
            <wp:extent cx="641223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December 31, 2022 and December 31, 2021.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Common Stock:</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the Company’s stock-based awards was determined, in each case, based on a valuation model as discussed further below, and was approved by the Company’s Board of Directors. The Company’s Board of Directors intends all stock options granted to be exercisable at a price per share not less than the fair value per share of the ordinary share underlying those stock options on the date of grant.</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absence of a public market for the Common Stock prior to the date of the Business Combination, the valuation of the Common Stock was determined using a market approach, income approach, and subject company transaction method. The allocation of equity value was determined using Accountants Practice Guide, Valuation of Privately Held Company Equity Securities Issued as Compensation.</w:t>
      </w:r>
    </w:p>
    <w:p>
      <w:pPr>
        <w:spacing w:after="0" w:line="1"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The Company considered various objective and subjective factors to determine the fair value of the Company’s common stock as of each grant date, including:</w:t>
      </w:r>
    </w:p>
    <w:p>
      <w:pPr>
        <w:spacing w:after="0" w:line="73"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financial performance;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2" w:name="page103"/>
    <w:bookmarkEnd w:id="102"/>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external market conditions and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the Common Stock;</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special-purpose acquisition company (“SPAC”) merger, or strategic sale given prevailing market conditions and the nature and history of the Company’s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privileges, powers, preferences, and rights of our convertible preferred stock relative to those of the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cash flow projections for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Illiquidity of stock-based awards involving securities in a private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The probability of a liquidity event and the derived discount rate are significant assumptions used to estimate the fair value of the common stock. If the Company had used different assumptions or estimates, the fair value of the common stock and the Company’s stock-based compensation expense could have been materially different.</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2019 and 2020, the Company's estimated fair value of our common stock remained relatively consistent before a potential public listing through a business combination with a special purpose acquisition company was first considered in 2021 (“SPAC Transaction”).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the Company's common stock was estimated to be $29.92 per share as of August 5, 2019 (“August 2019 Valuation”) and $31.39 per share as of August 30, 2020 (“August 2020 Valuation”). In 2021, the Company's management team first contemplated a SPAC Transaction, which was incorporated in the June 7, 2021 valuation that resulted in a fair value for its common stock of $277.44 per share (“June 2021 Valuation”). The SPAC Transaction was considered in the subsequent valuation performed as of October 6, 2021 that resulted in a fair value for Dave’s common stock of $345.60 per share (“October 2021 Valuation”).</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August 2019 Valuation and August 2020 Valuations were completed prior to the contemplation of the Business Combination, and at the time of these valuations,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the Company’s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the Company’s comparative operational performance between the periods.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June 2021 Valuation and October 2021 Valuation both used the hybrid method, wherein a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Management’s estimated probability for each scenario occurring at each</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valuation date was applied to the respective scenario’s indicated common stock value to arrive at the estimated fair value of common stock.</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increase in the fair value of the Company’s Common Stock between the August 2019 and August 2020 Valuations, and the June 2021 Valuation and the October 2021 Valuation was predominantly due to the Company’s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the Company’s financial and operational performance as well as to reflect changes in the guideline public companies’ multiples and comparative performance, from the close of the Series B financing to the August 2020 valuation date. In early 2021, the Company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$345.60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Preferred Stock and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no shares of preferred stock were outstanding, and the Company has no present plans to issue any shares of preferred stock.</w:t>
      </w:r>
    </w:p>
    <w:p>
      <w:pPr>
        <w:spacing w:after="0" w:line="2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are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are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2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Class V Common Stock are convertible into shares of Class A Common Stock on a one-to-one basis at the option of the holders of Class V Common Stock at any time upon written notice to the Company. As of December 31, 2022, the Company had 10,334,220 and 1,514,082 of Class A Common Stock and Class V Common Stock issued, respectively. As of December 31, 2022, the Company had 10,284,657 and 1,514,082 of Class A Common Stock and Class V Common Stock outstanding, respectively.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18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4, 2022, the stockholders of the Company approved the 2021 Equity Incentive Plan (the “2021 Plan”). The 2021 Plan was previously approved, subject to stockholder approval, by the Company’s Board of Directors on January 4, 2022. The 2021 Plan became effective immediately upon the completion of the business combination with VPCC.</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recognized $40.6 million and $7.4 million of stock-based compensation expense arising from stock option and restricted stock unit grants which is recorded as a component of compensation and benefits in the consolidated statements of operations for the years ended December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assumptions used to value options granted during the year ended December 31, 2021:</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5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560" w:type="dxa"/>
            <w:vAlign w:val="bottom"/>
            <w:shd w:val="clear" w:color="auto" w:fill="B7DEE8"/>
          </w:tcPr>
          <w:p>
            <w:pPr>
              <w:ind w:left="3800"/>
              <w:spacing w:after="0"/>
              <w:rPr>
                <w:sz w:val="20"/>
                <w:szCs w:val="20"/>
                <w:color w:val="auto"/>
              </w:rPr>
            </w:pPr>
            <w:r>
              <w:rPr>
                <w:rFonts w:ascii="Times New Roman" w:cs="Times New Roman" w:eastAsia="Times New Roman" w:hAnsi="Times New Roman"/>
                <w:sz w:val="18"/>
                <w:szCs w:val="18"/>
                <w:color w:val="auto"/>
              </w:rPr>
              <w:t>6.0 years</w:t>
            </w:r>
          </w:p>
        </w:tc>
        <w:tc>
          <w:tcPr>
            <w:tcW w:w="60" w:type="dxa"/>
            <w:vAlign w:val="bottom"/>
          </w:tcPr>
          <w:p>
            <w:pPr>
              <w:spacing w:after="0"/>
              <w:rPr>
                <w:sz w:val="21"/>
                <w:szCs w:val="2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stock options granted for the year ended December 31, 2022.</w:t>
      </w:r>
    </w:p>
    <w:p>
      <w:pPr>
        <w:spacing w:after="0" w:line="264"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5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18"/>
                <w:szCs w:val="18"/>
                <w:color w:val="auto"/>
              </w:rPr>
            </w:pPr>
          </w:p>
        </w:tc>
      </w:tr>
      <w:tr>
        <w:trPr>
          <w:trHeight w:val="245"/>
        </w:trPr>
        <w:tc>
          <w:tcPr>
            <w:tcW w:w="5140" w:type="dxa"/>
            <w:vAlign w:val="bottom"/>
          </w:tcPr>
          <w:p>
            <w:pPr>
              <w:spacing w:after="0"/>
              <w:rPr>
                <w:sz w:val="21"/>
                <w:szCs w:val="21"/>
                <w:color w:val="auto"/>
              </w:rPr>
            </w:pPr>
          </w:p>
        </w:tc>
        <w:tc>
          <w:tcPr>
            <w:tcW w:w="16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514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January 1, 2021</w:t>
            </w:r>
          </w:p>
        </w:tc>
        <w:tc>
          <w:tcPr>
            <w:tcW w:w="16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974,430</w:t>
            </w:r>
          </w:p>
        </w:tc>
        <w:tc>
          <w:tcPr>
            <w:tcW w:w="140" w:type="dxa"/>
            <w:vAlign w:val="bottom"/>
            <w:shd w:val="clear" w:color="auto" w:fill="B7DEE8"/>
          </w:tcPr>
          <w:p>
            <w:pPr>
              <w:spacing w:after="0"/>
              <w:rPr>
                <w:sz w:val="21"/>
                <w:szCs w:val="21"/>
                <w:color w:val="auto"/>
              </w:rPr>
            </w:pPr>
          </w:p>
        </w:tc>
        <w:tc>
          <w:tcPr>
            <w:tcW w:w="200" w:type="dxa"/>
            <w:vAlign w:val="bottom"/>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shd w:val="clear" w:color="auto" w:fill="B7DEE8"/>
          </w:tcPr>
          <w:p>
            <w:pPr>
              <w:spacing w:after="0"/>
              <w:rPr>
                <w:sz w:val="21"/>
                <w:szCs w:val="21"/>
                <w:color w:val="auto"/>
              </w:rPr>
            </w:pPr>
          </w:p>
        </w:tc>
        <w:tc>
          <w:tcPr>
            <w:tcW w:w="12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B7DEE8"/>
          </w:tcPr>
          <w:p>
            <w:pPr>
              <w:spacing w:after="0"/>
              <w:rPr>
                <w:sz w:val="21"/>
                <w:szCs w:val="21"/>
                <w:color w:val="auto"/>
              </w:rPr>
            </w:pPr>
          </w:p>
        </w:tc>
        <w:tc>
          <w:tcPr>
            <w:tcW w:w="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B7DEE8"/>
          </w:tcPr>
          <w:p>
            <w:pPr>
              <w:spacing w:after="0"/>
              <w:rPr>
                <w:sz w:val="21"/>
                <w:szCs w:val="21"/>
                <w:color w:val="auto"/>
              </w:rPr>
            </w:pPr>
          </w:p>
        </w:tc>
      </w:tr>
      <w:tr>
        <w:trPr>
          <w:trHeight w:val="23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563,639</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4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960" w:type="dxa"/>
            <w:vAlign w:val="bottom"/>
            <w:gridSpan w:val="3"/>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(162,285 ) $</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2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(277,727 )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4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1960" w:type="dxa"/>
            <w:vAlign w:val="bottom"/>
            <w:gridSpan w:val="3"/>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(13,471 ) $</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2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4"/>
        </w:trPr>
        <w:tc>
          <w:tcPr>
            <w:tcW w:w="5140" w:type="dxa"/>
            <w:vAlign w:val="bottom"/>
            <w:tcBorders>
              <w:top w:val="single" w:sz="8" w:color="B7DEE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2021</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1,084,586</w:t>
            </w:r>
          </w:p>
        </w:tc>
        <w:tc>
          <w:tcPr>
            <w:tcW w:w="340" w:type="dxa"/>
            <w:vAlign w:val="bottom"/>
            <w:tcBorders>
              <w:top w:val="single" w:sz="8" w:color="B7DEE8"/>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40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288,784</w:t>
            </w:r>
          </w:p>
        </w:tc>
        <w:tc>
          <w:tcPr>
            <w:tcW w:w="100" w:type="dxa"/>
            <w:vAlign w:val="bottom"/>
            <w:tcBorders>
              <w:top w:val="single" w:sz="8" w:color="B7DEE8"/>
            </w:tcBorders>
          </w:tcPr>
          <w:p>
            <w:pPr>
              <w:spacing w:after="0"/>
              <w:rPr>
                <w:sz w:val="20"/>
                <w:szCs w:val="20"/>
                <w:color w:val="auto"/>
              </w:rPr>
            </w:pPr>
          </w:p>
        </w:tc>
      </w:tr>
      <w:tr>
        <w:trPr>
          <w:trHeight w:val="245"/>
        </w:trPr>
        <w:tc>
          <w:tcPr>
            <w:tcW w:w="514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2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(115,113 )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4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3"/>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(44,517 ) $</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2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43"/>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(20,736 )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514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2022</w:t>
            </w:r>
          </w:p>
        </w:tc>
        <w:tc>
          <w:tcPr>
            <w:tcW w:w="16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904,220</w:t>
            </w:r>
          </w:p>
        </w:tc>
        <w:tc>
          <w:tcPr>
            <w:tcW w:w="340" w:type="dxa"/>
            <w:vAlign w:val="bottom"/>
            <w:tcBorders>
              <w:bottom w:val="single" w:sz="8" w:color="B7DEE8"/>
            </w:tcBorders>
            <w:gridSpan w:val="2"/>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B7DEE8"/>
            </w:tcBorders>
            <w:shd w:val="clear" w:color="auto" w:fill="B7DEE8"/>
          </w:tcPr>
          <w:p>
            <w:pPr>
              <w:spacing w:after="0"/>
              <w:rPr>
                <w:sz w:val="24"/>
                <w:szCs w:val="24"/>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options, December 31, 2022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546,351</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14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2022</w:t>
            </w:r>
          </w:p>
        </w:tc>
        <w:tc>
          <w:tcPr>
            <w:tcW w:w="16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357,869</w:t>
            </w:r>
          </w:p>
        </w:tc>
        <w:tc>
          <w:tcPr>
            <w:tcW w:w="340" w:type="dxa"/>
            <w:vAlign w:val="bottom"/>
            <w:tcBorders>
              <w:bottom w:val="single" w:sz="8" w:color="B7DEE8"/>
            </w:tcBorders>
            <w:gridSpan w:val="2"/>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B7DEE8"/>
            </w:tcBorders>
            <w:shd w:val="clear" w:color="auto" w:fill="B7DEE8"/>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-1328420</wp:posOffset>
            </wp:positionV>
            <wp:extent cx="76835"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76835" cy="2057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fair-value of options granted during the years ended December 31, 2022 and 2021 was $0 and $39.10 per share, respectively. At December 31, 2022, total estimated unrecognized stock-based compensation cost related to unvested stock options prior to that date was $12.5 million, which is expected to be recognized over a weighted-average remaining period of 3.6 years.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in accordance with the terms of a former executive’s severance agreement, the Company modified share-based payment awards by accelerating the vesting. As a result of the modification, the Company recorded stock-based compensation of $2.1 million during the year ended December 31, 2021, which is included in the $7.4 million stock-based compensation expense.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December 31, 2022 and 2021, 5,555 and 16,665 shares of Common Stock were subject to repurchase at weighted-average prices of $22.09 and $22.09 per share, respectively. The shares issued pursuant to unvested options have been included in shares issued and outstanding on the consolidated balance sheets as such shares are considered legally outstanding.</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with VPCC,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remaining compensation charges related to that particular tranche will be expensed in the period in which the vesting conditions were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 years</w:t>
            </w: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RSUs is summarized as follows:</w:t>
      </w:r>
    </w:p>
    <w:p>
      <w:pPr>
        <w:sectPr>
          <w:pgSz w:w="11900" w:h="16838" w:orient="portrait"/>
          <w:cols w:equalWidth="0" w:num="1">
            <w:col w:w="11160"/>
          </w:cols>
          <w:pgMar w:left="320" w:top="33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Nonvested shares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Nonvested shares at December 31, 2022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RSU activity during the year ended December 31, 2021.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45"/>
        </w:trPr>
        <w:tc>
          <w:tcPr>
            <w:tcW w:w="22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43"/>
        </w:trPr>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(149,277 )</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r>
      <w:tr>
        <w:trPr>
          <w:trHeight w:val="250"/>
        </w:trPr>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(96,413 )</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63"/>
        </w:trPr>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508,506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w:t>
            </w:r>
          </w:p>
        </w:tc>
      </w:tr>
    </w:tbl>
    <w:p>
      <w:pPr>
        <w:spacing w:after="0" w:line="631" w:lineRule="exact"/>
        <w:rPr>
          <w:sz w:val="20"/>
          <w:szCs w:val="20"/>
          <w:color w:val="auto"/>
        </w:rPr>
      </w:pPr>
    </w:p>
    <w:p>
      <w:pPr>
        <w:sectPr>
          <w:pgSz w:w="11900" w:h="16838" w:orient="portrait"/>
          <w:cols w:equalWidth="0" w:num="2">
            <w:col w:w="5660" w:space="640"/>
            <w:col w:w="4860"/>
          </w:cols>
          <w:pgMar w:left="320" w:top="337" w:right="41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2022, total estimated unrecognized stock-based compensation cost related to nonvested RSUs was $58.3 million, which is expected to be recognized over a weighted-average period of 2.8 years.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Issued to Employees:</w:t>
      </w:r>
    </w:p>
    <w:p>
      <w:pPr>
        <w:spacing w:after="0" w:line="11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did not issue shares of restricted stock to employees during either of the years ended December 31, 2022 and 2021. There was no unrecognized compensation cost related to employee unvested restricted stock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Restricted Stock Issued to Employees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Nonvested shares at January 1, 2021</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Forfeited</w:t>
      </w:r>
    </w:p>
    <w:p>
      <w:pPr>
        <w:spacing w:after="0" w:line="73"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b w:val="1"/>
          <w:bCs w:val="1"/>
          <w:color w:val="auto"/>
        </w:rPr>
        <w:t>Nonvested shares at December 31,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Issued to Non-Employees: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45"/>
        </w:trPr>
        <w:tc>
          <w:tcPr>
            <w:tcW w:w="22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74,218</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34"/>
        </w:trPr>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(74,218 )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56"/>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-805180</wp:posOffset>
            </wp:positionV>
            <wp:extent cx="641223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-496570</wp:posOffset>
            </wp:positionV>
            <wp:extent cx="641223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-179070</wp:posOffset>
            </wp:positionV>
            <wp:extent cx="6412230" cy="3340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412230" cy="334010"/>
                    </a:xfrm>
                    <a:prstGeom prst="rect">
                      <a:avLst/>
                    </a:prstGeom>
                    <a:noFill/>
                  </pic:spPr>
                </pic:pic>
              </a:graphicData>
            </a:graphic>
          </wp:anchor>
        </w:drawing>
      </w:r>
    </w:p>
    <w:p>
      <w:pPr>
        <w:spacing w:after="0" w:line="954" w:lineRule="exact"/>
        <w:rPr>
          <w:sz w:val="20"/>
          <w:szCs w:val="20"/>
          <w:color w:val="auto"/>
        </w:rPr>
      </w:pPr>
    </w:p>
    <w:p>
      <w:pPr>
        <w:sectPr>
          <w:pgSz w:w="11900" w:h="16838" w:orient="portrait"/>
          <w:cols w:equalWidth="0" w:num="2">
            <w:col w:w="5600" w:space="720"/>
            <w:col w:w="4840"/>
          </w:cols>
          <w:pgMar w:left="320" w:top="337" w:right="419" w:bottom="1440" w:gutter="0" w:footer="0" w:header="0"/>
          <w:type w:val="continuous"/>
        </w:sect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recognized $0 and $0.1 million of stock-based compensation expense related to restricted stock grants to non-employees for years ended December 31, 2022 and 2021, respectively. Stock based compensation expense is presented within compensation and benefits in the consolidated statements of</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unrecognized compensation cost related to non-employee unvested restricted stock for the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Activity with respect to Restricted Stock Issued to Non-Employee is summarized as follows: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10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7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Nonvested shares at January 1, 2021</w:t>
            </w:r>
          </w:p>
        </w:tc>
        <w:tc>
          <w:tcPr>
            <w:tcW w:w="1460" w:type="dxa"/>
            <w:vAlign w:val="bottom"/>
            <w:shd w:val="clear" w:color="auto" w:fill="B7DEE8"/>
          </w:tcPr>
          <w:p>
            <w:pPr>
              <w:spacing w:after="0"/>
              <w:rPr>
                <w:sz w:val="21"/>
                <w:szCs w:val="21"/>
                <w:color w:val="auto"/>
              </w:rPr>
            </w:pPr>
          </w:p>
        </w:tc>
        <w:tc>
          <w:tcPr>
            <w:tcW w:w="5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shd w:val="clear" w:color="auto" w:fill="B7DEE8"/>
          </w:tcPr>
          <w:p>
            <w:pPr>
              <w:spacing w:after="0"/>
              <w:rPr>
                <w:sz w:val="21"/>
                <w:szCs w:val="21"/>
                <w:color w:val="auto"/>
              </w:rPr>
            </w:pPr>
          </w:p>
        </w:tc>
        <w:tc>
          <w:tcPr>
            <w:tcW w:w="2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B7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7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7200" w:type="dxa"/>
            <w:vAlign w:val="bottom"/>
            <w:gridSpan w:val="2"/>
            <w:shd w:val="clear" w:color="auto" w:fill="B7DEE8"/>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2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B7DEE8"/>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80" w:type="dxa"/>
            <w:vAlign w:val="bottom"/>
          </w:tcPr>
          <w:p>
            <w:pPr>
              <w:spacing w:after="0"/>
              <w:rPr>
                <w:sz w:val="24"/>
                <w:szCs w:val="24"/>
                <w:color w:val="auto"/>
              </w:rPr>
            </w:pPr>
          </w:p>
        </w:tc>
        <w:tc>
          <w:tcPr>
            <w:tcW w:w="5740" w:type="dxa"/>
            <w:vAlign w:val="bottom"/>
            <w:tcBorders>
              <w:bottom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8"/>
                <w:szCs w:val="18"/>
                <w:b w:val="1"/>
                <w:bCs w:val="1"/>
                <w:color w:val="auto"/>
              </w:rPr>
              <w:t>Nonvested shares at December 31, 2021</w:t>
            </w:r>
          </w:p>
        </w:tc>
        <w:tc>
          <w:tcPr>
            <w:tcW w:w="1460" w:type="dxa"/>
            <w:vAlign w:val="bottom"/>
            <w:tcBorders>
              <w:bottom w:val="single" w:sz="8" w:color="auto"/>
            </w:tcBorders>
            <w:shd w:val="clear" w:color="auto" w:fill="B7DEE8"/>
          </w:tcPr>
          <w:p>
            <w:pPr>
              <w:spacing w:after="0"/>
              <w:rPr>
                <w:sz w:val="24"/>
                <w:szCs w:val="24"/>
                <w:color w:val="auto"/>
              </w:rPr>
            </w:pPr>
          </w:p>
        </w:tc>
        <w:tc>
          <w:tcPr>
            <w:tcW w:w="5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B7DEE8"/>
            </w:tcBorders>
            <w:shd w:val="clear" w:color="auto" w:fill="B7DEE8"/>
          </w:tcPr>
          <w:p>
            <w:pPr>
              <w:spacing w:after="0"/>
              <w:rPr>
                <w:sz w:val="24"/>
                <w:szCs w:val="24"/>
                <w:color w:val="auto"/>
              </w:rPr>
            </w:pPr>
          </w:p>
        </w:tc>
        <w:tc>
          <w:tcPr>
            <w:tcW w:w="2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7DEE8"/>
            </w:tcBorders>
            <w:shd w:val="clear" w:color="auto" w:fill="B7DEE8"/>
          </w:tcPr>
          <w:p>
            <w:pPr>
              <w:spacing w:after="0"/>
              <w:rPr>
                <w:sz w:val="24"/>
                <w:szCs w:val="24"/>
                <w:color w:val="auto"/>
              </w:rPr>
            </w:pPr>
          </w:p>
        </w:tc>
      </w:tr>
      <w:tr>
        <w:trPr>
          <w:trHeight w:val="790"/>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19 Related-Party Transactions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Leasing Arrangements: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-753745</wp:posOffset>
            </wp:positionV>
            <wp:extent cx="60325"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paid $0.3 million under lease agreements with PCJW for general office space in Los Angeles, California.</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December 31, 2022, under Company’s sub-lease for the properties located in Los Angeles, California signed with PCJW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Related-Party</w:t>
            </w:r>
          </w:p>
        </w:tc>
        <w:tc>
          <w:tcPr>
            <w:tcW w:w="100" w:type="dxa"/>
            <w:vAlign w:val="bottom"/>
          </w:tcPr>
          <w:p>
            <w:pPr>
              <w:spacing w:after="0"/>
              <w:rPr>
                <w:sz w:val="18"/>
                <w:szCs w:val="18"/>
                <w:color w:val="auto"/>
              </w:rPr>
            </w:pPr>
          </w:p>
        </w:tc>
      </w:tr>
      <w:tr>
        <w:trPr>
          <w:trHeight w:val="23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r>
      <w:tr>
        <w:trPr>
          <w:trHeight w:val="34"/>
        </w:trPr>
        <w:tc>
          <w:tcPr>
            <w:tcW w:w="360" w:type="dxa"/>
            <w:vAlign w:val="bottom"/>
            <w:shd w:val="clear" w:color="auto" w:fill="000000"/>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r>
      <w:tr>
        <w:trPr>
          <w:trHeight w:val="247"/>
        </w:trPr>
        <w:tc>
          <w:tcPr>
            <w:tcW w:w="810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B6DEE8"/>
          </w:tcPr>
          <w:p>
            <w:pPr>
              <w:spacing w:after="0"/>
              <w:rPr>
                <w:sz w:val="21"/>
                <w:szCs w:val="21"/>
                <w:color w:val="auto"/>
              </w:rPr>
            </w:pPr>
          </w:p>
        </w:tc>
        <w:tc>
          <w:tcPr>
            <w:tcW w:w="1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B6DEE8"/>
          </w:tcPr>
          <w:p>
            <w:pPr>
              <w:spacing w:after="0"/>
              <w:rPr>
                <w:sz w:val="21"/>
                <w:szCs w:val="21"/>
                <w:color w:val="auto"/>
              </w:rPr>
            </w:pPr>
          </w:p>
        </w:tc>
      </w:tr>
      <w:tr>
        <w:trPr>
          <w:trHeight w:val="23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r>
      <w:tr>
        <w:trPr>
          <w:trHeight w:val="243"/>
        </w:trPr>
        <w:tc>
          <w:tcPr>
            <w:tcW w:w="810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B6DEE8"/>
          </w:tcPr>
          <w:p>
            <w:pPr>
              <w:spacing w:after="0"/>
              <w:rPr>
                <w:sz w:val="21"/>
                <w:szCs w:val="21"/>
                <w:color w:val="auto"/>
              </w:rPr>
            </w:pPr>
          </w:p>
        </w:tc>
        <w:tc>
          <w:tcPr>
            <w:tcW w:w="1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41"/>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3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00" w:type="dxa"/>
            <w:vAlign w:val="bottom"/>
          </w:tcPr>
          <w:p>
            <w:pPr>
              <w:spacing w:after="0"/>
              <w:rPr>
                <w:sz w:val="20"/>
                <w:szCs w:val="20"/>
                <w:color w:val="auto"/>
              </w:rPr>
            </w:pPr>
          </w:p>
        </w:tc>
      </w:tr>
      <w:tr>
        <w:trPr>
          <w:trHeight w:val="235"/>
        </w:trPr>
        <w:tc>
          <w:tcPr>
            <w:tcW w:w="52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80" w:type="dxa"/>
            <w:vAlign w:val="bottom"/>
            <w:tcBorders>
              <w:bottom w:val="single" w:sz="8" w:color="auto"/>
            </w:tcBorders>
            <w:shd w:val="clear" w:color="auto" w:fill="B6DEE8"/>
          </w:tcPr>
          <w:p>
            <w:pPr>
              <w:spacing w:after="0"/>
              <w:rPr>
                <w:sz w:val="20"/>
                <w:szCs w:val="20"/>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Pr>
          <w:p>
            <w:pPr>
              <w:spacing w:after="0"/>
              <w:rPr>
                <w:sz w:val="20"/>
                <w:szCs w:val="20"/>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Related-Party Exercise Receivable Promissory Notes: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2018, the Company received non-recourse promissory notes from certain employees, which allowed for the early exercise of stock options, with the exercise price to be paid back to the Company at a later date. The notes for $0.1 thousand were secured by a pledge of 60,694 shares. During 2020, the Company received a non-recourse promissory note from a certain executive, which allowed for the early exercise of stock options, with the exercise price to be paid back to the Company at a later date. The note for $1.0 million was secured by a pledge of 32,812 shares. The promissory notes have a term of five years and carry stated interest rates between 1.5% and 2.0%, which are compounded annually. Prior to the consummation of the Business Combination in January 2022, the promissory notes were repaid. The amounts due as of December 31, 2022 and 2021, were $0 and $1.1 million, respectively.</w:t>
      </w:r>
    </w:p>
    <w:p>
      <w:pPr>
        <w:spacing w:after="0" w:line="21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January 3, 2022, Legacy Dave entered into an agreement with a certain executive to transfer and sell shares of Legacy Dave common stock to Legacy Dave. A total of 4,580 shares of Legacy Dave’s common stock were repurchased for an aggregate purchase amount of $1.6 million, which resulted in an extinguishment of the related-party exercise receivable promissory notes.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Loans to Stockholders: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2019, the Company entered into loan, pledge, and option agreements (“Loans to Stockholders”) with various employees, who are also stockholders, to provide those employees cash in exchange for non-recourse promissory notes and call options, which allow the Company to acquire shares held by these stockholders. The entire unpaid principal balance of these Loans to Stockholders, together with all accrued but unpaid interest, is due and payable upon the earlier (i) of August 12, 2026; (ii) a liquidity event; or (iii) upon the exercise of the call option by the Company. These Loans to Stockholders carry stated interest rates of 1.87%, which are compounded annually. Please refer to Note 2, Significant Account Policies, for further details on the fair value of the derivative asset related to the Loans to Stockholders. Upon consummation of the Business Combination in January 2022, all of the call options related to the Loans to Stockholders were exercised and the related loans were settled. The Loans to Stockholders, inclusive of interest, were $0 and $15.2 million as of December 31, 2022 and 2021,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VPCC Financing Agreement</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Senior Partner at Victory Park Capital Advisors, LLC joined the board of directors of the Company upon closing of the Business Combination. For more information about the VPC Financing Agreement, refer to Note 13, Debt and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2022 and 2021, were as follows (dollars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7260" w:type="dxa"/>
            <w:vAlign w:val="bottom"/>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2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2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47"/>
        </w:trPr>
        <w:tc>
          <w:tcPr>
            <w:tcW w:w="726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shd w:val="clear" w:color="auto" w:fill="B6DEE8"/>
          </w:tcPr>
          <w:p>
            <w:pPr>
              <w:spacing w:after="0"/>
              <w:rPr>
                <w:sz w:val="21"/>
                <w:szCs w:val="21"/>
                <w:color w:val="auto"/>
              </w:rPr>
            </w:pPr>
          </w:p>
        </w:tc>
        <w:tc>
          <w:tcPr>
            <w:tcW w:w="660" w:type="dxa"/>
            <w:vAlign w:val="bottom"/>
            <w:gridSpan w:val="2"/>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color w:val="auto"/>
              </w:rPr>
              <w:t>(61 )</w:t>
            </w: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B6DEE8"/>
          </w:tcPr>
          <w:p>
            <w:pPr>
              <w:spacing w:after="0"/>
              <w:rPr>
                <w:sz w:val="21"/>
                <w:szCs w:val="21"/>
                <w:color w:val="auto"/>
              </w:rPr>
            </w:pPr>
          </w:p>
        </w:tc>
      </w:tr>
      <w:tr>
        <w:trPr>
          <w:trHeight w:val="20"/>
        </w:trPr>
        <w:tc>
          <w:tcPr>
            <w:tcW w:w="7260" w:type="dxa"/>
            <w:vAlign w:val="bottom"/>
            <w:shd w:val="clear" w:color="auto" w:fill="B6DE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B6DE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920" w:type="dxa"/>
            <w:vAlign w:val="bottom"/>
          </w:tcPr>
          <w:p>
            <w:pPr>
              <w:spacing w:after="0"/>
              <w:rPr>
                <w:sz w:val="20"/>
                <w:szCs w:val="20"/>
                <w:color w:val="auto"/>
              </w:rPr>
            </w:pP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(67 )</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20"/>
                <w:szCs w:val="20"/>
                <w:color w:val="auto"/>
              </w:rPr>
            </w:pPr>
          </w:p>
        </w:tc>
      </w:tr>
      <w:tr>
        <w:trPr>
          <w:trHeight w:val="245"/>
        </w:trPr>
        <w:tc>
          <w:tcPr>
            <w:tcW w:w="72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2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247"/>
        </w:trPr>
        <w:tc>
          <w:tcPr>
            <w:tcW w:w="726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shd w:val="clear" w:color="auto" w:fill="B6DEE8"/>
          </w:tcPr>
          <w:p>
            <w:pPr>
              <w:spacing w:after="0"/>
              <w:rPr>
                <w:sz w:val="21"/>
                <w:szCs w:val="21"/>
                <w:color w:val="auto"/>
              </w:rPr>
            </w:pPr>
          </w:p>
        </w:tc>
        <w:tc>
          <w:tcPr>
            <w:tcW w:w="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6DEE8"/>
            </w:tcBorders>
            <w:shd w:val="clear" w:color="auto" w:fill="B6DEE8"/>
          </w:tcPr>
          <w:p>
            <w:pPr>
              <w:spacing w:after="0"/>
              <w:rPr>
                <w:sz w:val="21"/>
                <w:szCs w:val="21"/>
                <w:color w:val="auto"/>
              </w:rPr>
            </w:pPr>
          </w:p>
        </w:tc>
        <w:tc>
          <w:tcPr>
            <w:tcW w:w="240" w:type="dxa"/>
            <w:vAlign w:val="bottom"/>
            <w:tcBorders>
              <w:bottom w:val="single" w:sz="8" w:color="auto"/>
            </w:tcBorders>
            <w:shd w:val="clear" w:color="auto" w:fill="B6DEE8"/>
          </w:tcPr>
          <w:p>
            <w:pPr>
              <w:spacing w:after="0"/>
              <w:rPr>
                <w:sz w:val="21"/>
                <w:szCs w:val="21"/>
                <w:color w:val="auto"/>
              </w:rPr>
            </w:pP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(59 )</w:t>
            </w:r>
          </w:p>
        </w:tc>
      </w:tr>
      <w:tr>
        <w:trPr>
          <w:trHeight w:val="276"/>
        </w:trPr>
        <w:tc>
          <w:tcPr>
            <w:tcW w:w="72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20" w:type="dxa"/>
            <w:vAlign w:val="bottom"/>
            <w:tcBorders>
              <w:top w:val="single" w:sz="8" w:color="auto"/>
              <w:bottom w:val="single" w:sz="8" w:color="auto"/>
            </w:tcBorders>
            <w:shd w:val="clear" w:color="auto" w:fill="B6DEE8"/>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tcBorders>
              <w:bottom w:val="single" w:sz="8" w:color="B6DEE8"/>
            </w:tcBorders>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bottom w:val="single" w:sz="8" w:color="auto"/>
            </w:tcBorders>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-976630</wp:posOffset>
            </wp:positionV>
            <wp:extent cx="6858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-350520</wp:posOffset>
            </wp:positionV>
            <wp:extent cx="6858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federal statutory tax rate and its effective tax rate for the years ended December 31, 2022 and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 federal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-79.3 %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0.1 </w:t>
            </w:r>
            <w:r>
              <w:rPr>
                <w:rFonts w:ascii="Times New Roman" w:cs="Times New Roman" w:eastAsia="Times New Roman" w:hAnsi="Times New Roman"/>
                <w:sz w:val="18"/>
                <w:szCs w:val="18"/>
                <w:b w:val="1"/>
                <w:bCs w:val="1"/>
                <w:color w:val="auto"/>
                <w:highlight w:val="white"/>
              </w:rPr>
              <w:t>%</w:t>
            </w: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-0.5 %</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7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7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-2039620</wp:posOffset>
            </wp:positionV>
            <wp:extent cx="641223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-1731010</wp:posOffset>
            </wp:positionV>
            <wp:extent cx="641223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-1422400</wp:posOffset>
            </wp:positionV>
            <wp:extent cx="641223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3429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41223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ind w:right="660"/>
        <w:spacing w:after="0" w:line="282" w:lineRule="auto"/>
        <w:rPr>
          <w:sz w:val="20"/>
          <w:szCs w:val="20"/>
          <w:color w:val="auto"/>
        </w:rPr>
      </w:pPr>
      <w:r>
        <w:rPr>
          <w:rFonts w:ascii="Times New Roman" w:cs="Times New Roman" w:eastAsia="Times New Roman" w:hAnsi="Times New Roman"/>
          <w:sz w:val="18"/>
          <w:szCs w:val="18"/>
          <w:color w:val="auto"/>
        </w:rPr>
        <w:t>The major components of the Company’s deferred tax assets and liabilities as of December 31, 2022 and 2021, consists of the following (dollars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7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spacing w:after="0"/>
              <w:rPr>
                <w:sz w:val="21"/>
                <w:szCs w:val="21"/>
                <w:color w:val="auto"/>
              </w:rPr>
            </w:pP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20"/>
                <w:szCs w:val="20"/>
                <w:color w:val="auto"/>
              </w:rPr>
            </w:pPr>
          </w:p>
        </w:tc>
      </w:tr>
      <w:tr>
        <w:trPr>
          <w:trHeight w:val="247"/>
        </w:trPr>
        <w:tc>
          <w:tcPr>
            <w:tcW w:w="72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Allowance for Member advances</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0"/>
                <w:szCs w:val="20"/>
                <w:color w:val="auto"/>
              </w:rPr>
            </w:pPr>
          </w:p>
        </w:tc>
      </w:tr>
      <w:tr>
        <w:trPr>
          <w:trHeight w:val="247"/>
        </w:trPr>
        <w:tc>
          <w:tcPr>
            <w:tcW w:w="72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r>
      <w:tr>
        <w:trPr>
          <w:trHeight w:val="247"/>
        </w:trPr>
        <w:tc>
          <w:tcPr>
            <w:tcW w:w="72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r>
      <w:tr>
        <w:trPr>
          <w:trHeight w:val="247"/>
        </w:trPr>
        <w:tc>
          <w:tcPr>
            <w:tcW w:w="72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Excess interest expense carryforward</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R&amp;E expenditures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28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B6DEE8"/>
          </w:tcPr>
          <w:p>
            <w:pPr>
              <w:spacing w:after="0"/>
              <w:rPr>
                <w:sz w:val="21"/>
                <w:szCs w:val="21"/>
                <w:color w:val="auto"/>
              </w:rPr>
            </w:pPr>
          </w:p>
        </w:tc>
        <w:tc>
          <w:tcPr>
            <w:tcW w:w="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Borders>
              <w:bottom w:val="single" w:sz="8" w:color="B6DEE8"/>
            </w:tcBorders>
            <w:shd w:val="clear" w:color="auto" w:fill="B6DEE8"/>
          </w:tcPr>
          <w:p>
            <w:pPr>
              <w:spacing w:after="0"/>
              <w:rPr>
                <w:sz w:val="21"/>
                <w:szCs w:val="21"/>
                <w:color w:val="auto"/>
              </w:rPr>
            </w:pPr>
          </w:p>
        </w:tc>
        <w:tc>
          <w:tcPr>
            <w:tcW w:w="240" w:type="dxa"/>
            <w:vAlign w:val="bottom"/>
            <w:tcBorders>
              <w:bottom w:val="single" w:sz="8" w:color="auto"/>
            </w:tcBorders>
            <w:shd w:val="clear" w:color="auto" w:fill="B6DEE8"/>
          </w:tcPr>
          <w:p>
            <w:pPr>
              <w:spacing w:after="0"/>
              <w:rPr>
                <w:sz w:val="21"/>
                <w:szCs w:val="21"/>
                <w:color w:val="auto"/>
              </w:rPr>
            </w:pP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4"/>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23,280</w:t>
            </w:r>
          </w:p>
        </w:tc>
        <w:tc>
          <w:tcPr>
            <w:tcW w:w="100" w:type="dxa"/>
            <w:vAlign w:val="bottom"/>
          </w:tcPr>
          <w:p>
            <w:pPr>
              <w:spacing w:after="0"/>
              <w:rPr>
                <w:sz w:val="20"/>
                <w:szCs w:val="20"/>
                <w:color w:val="auto"/>
              </w:rPr>
            </w:pPr>
          </w:p>
        </w:tc>
      </w:tr>
      <w:tr>
        <w:trPr>
          <w:trHeight w:val="245"/>
        </w:trPr>
        <w:tc>
          <w:tcPr>
            <w:tcW w:w="7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shd w:val="clear" w:color="auto" w:fill="B6DEE8"/>
          </w:tcPr>
          <w:p>
            <w:pPr>
              <w:spacing w:after="0"/>
              <w:rPr>
                <w:sz w:val="21"/>
                <w:szCs w:val="21"/>
                <w:color w:val="auto"/>
              </w:rPr>
            </w:pPr>
          </w:p>
        </w:tc>
        <w:tc>
          <w:tcPr>
            <w:tcW w:w="980" w:type="dxa"/>
            <w:vAlign w:val="bottom"/>
            <w:shd w:val="clear" w:color="auto" w:fill="B6DEE8"/>
          </w:tcPr>
          <w:p>
            <w:pPr>
              <w:spacing w:after="0"/>
              <w:rPr>
                <w:sz w:val="21"/>
                <w:szCs w:val="21"/>
                <w:color w:val="auto"/>
              </w:rPr>
            </w:pPr>
          </w:p>
        </w:tc>
        <w:tc>
          <w:tcPr>
            <w:tcW w:w="3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(2,354 )</w:t>
            </w:r>
          </w:p>
        </w:tc>
      </w:tr>
      <w:tr>
        <w:trPr>
          <w:trHeight w:val="247"/>
        </w:trPr>
        <w:tc>
          <w:tcPr>
            <w:tcW w:w="72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80" w:type="dxa"/>
            <w:vAlign w:val="bottom"/>
            <w:shd w:val="clear" w:color="auto" w:fill="B6DEE8"/>
          </w:tcPr>
          <w:p>
            <w:pPr>
              <w:spacing w:after="0"/>
              <w:rPr>
                <w:sz w:val="21"/>
                <w:szCs w:val="21"/>
                <w:color w:val="auto"/>
              </w:rPr>
            </w:pPr>
          </w:p>
        </w:tc>
        <w:tc>
          <w:tcPr>
            <w:tcW w:w="128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(177 )</w:t>
            </w:r>
          </w:p>
        </w:tc>
        <w:tc>
          <w:tcPr>
            <w:tcW w:w="24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(785 )</w:t>
            </w:r>
          </w:p>
        </w:tc>
      </w:tr>
      <w:tr>
        <w:trPr>
          <w:trHeight w:val="24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(491 )</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37"/>
        </w:trPr>
        <w:tc>
          <w:tcPr>
            <w:tcW w:w="7280" w:type="dxa"/>
            <w:vAlign w:val="bottom"/>
            <w:tcBorders>
              <w:bottom w:val="single" w:sz="8" w:color="B6DEE8"/>
            </w:tcBorders>
            <w:shd w:val="clear" w:color="auto" w:fill="B6DEE8"/>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80" w:type="dxa"/>
            <w:vAlign w:val="bottom"/>
            <w:tcBorders>
              <w:top w:val="single" w:sz="8" w:color="auto"/>
              <w:bottom w:val="single" w:sz="8" w:color="auto"/>
            </w:tcBorders>
            <w:shd w:val="clear" w:color="auto" w:fill="B6DEE8"/>
          </w:tcPr>
          <w:p>
            <w:pPr>
              <w:spacing w:after="0"/>
              <w:rPr>
                <w:sz w:val="20"/>
                <w:szCs w:val="20"/>
                <w:color w:val="auto"/>
              </w:rPr>
            </w:pPr>
          </w:p>
        </w:tc>
        <w:tc>
          <w:tcPr>
            <w:tcW w:w="9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c>
          <w:tcPr>
            <w:tcW w:w="300" w:type="dxa"/>
            <w:vAlign w:val="bottom"/>
            <w:tcBorders>
              <w:bottom w:val="single" w:sz="8" w:color="B6DEE8"/>
            </w:tcBorders>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bottom w:val="single" w:sz="8" w:color="auto"/>
            </w:tcBorders>
            <w:shd w:val="clear" w:color="auto" w:fill="B6DEE8"/>
          </w:tcPr>
          <w:p>
            <w:pPr>
              <w:spacing w:after="0"/>
              <w:rPr>
                <w:sz w:val="20"/>
                <w:szCs w:val="20"/>
                <w:color w:val="auto"/>
              </w:rPr>
            </w:pPr>
          </w:p>
        </w:tc>
        <w:tc>
          <w:tcPr>
            <w:tcW w:w="9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(3,374</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 before valuation allowance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19,906</w:t>
            </w:r>
          </w:p>
        </w:tc>
        <w:tc>
          <w:tcPr>
            <w:tcW w:w="100" w:type="dxa"/>
            <w:vAlign w:val="bottom"/>
          </w:tcPr>
          <w:p>
            <w:pPr>
              <w:spacing w:after="0"/>
              <w:rPr>
                <w:sz w:val="20"/>
                <w:szCs w:val="20"/>
                <w:color w:val="auto"/>
              </w:rPr>
            </w:pPr>
          </w:p>
        </w:tc>
      </w:tr>
      <w:tr>
        <w:trPr>
          <w:trHeight w:val="245"/>
        </w:trPr>
        <w:tc>
          <w:tcPr>
            <w:tcW w:w="7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Less: valuation allowance</w:t>
            </w:r>
          </w:p>
        </w:tc>
        <w:tc>
          <w:tcPr>
            <w:tcW w:w="280" w:type="dxa"/>
            <w:vAlign w:val="bottom"/>
            <w:shd w:val="clear" w:color="auto" w:fill="B6DEE8"/>
          </w:tcPr>
          <w:p>
            <w:pPr>
              <w:spacing w:after="0"/>
              <w:rPr>
                <w:sz w:val="21"/>
                <w:szCs w:val="21"/>
                <w:color w:val="auto"/>
              </w:rPr>
            </w:pPr>
          </w:p>
        </w:tc>
        <w:tc>
          <w:tcPr>
            <w:tcW w:w="128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(48,031 )</w:t>
            </w:r>
          </w:p>
        </w:tc>
        <w:tc>
          <w:tcPr>
            <w:tcW w:w="24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(19,906 )</w:t>
            </w:r>
          </w:p>
        </w:tc>
      </w:tr>
      <w:tr>
        <w:trPr>
          <w:trHeight w:val="237"/>
        </w:trPr>
        <w:tc>
          <w:tcPr>
            <w:tcW w:w="72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B6DEE8"/>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B6DEE8"/>
            </w:tcBorders>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-1447800</wp:posOffset>
            </wp:positionV>
            <wp:extent cx="60325"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-1447800</wp:posOffset>
            </wp:positionV>
            <wp:extent cx="60325"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-504825</wp:posOffset>
            </wp:positionV>
            <wp:extent cx="60325"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032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of December 31, 2022, the Company had $94.8 million of federal and $56.7 million of combined state net operating loss (“NOL”) carryforwards available to offset future taxable income. The federal NOLs do not expire; however, they are subject to a utilization limit of 80% of taxable income in any given year. The State NOLs begin to expire in 2031, except for $13.9 million of state NOLs that do not expire. Internal Revenue Code Section 382 imposes limitations on the utilization of NOLs in the event of certain changes in ownership of the Company. The Company has not yet completed a comprehensive analysis of its past ownership changes. Depending upon the degree of those past ownership changes, and any future ownership changes, annual limits may impair the Company’s ability to utilize NOLs and could cause federal and state income taxes to be due sooner than if no such limitations applied.</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is dependent upon future sources of taxable income. Available positive and negative evidence is considered in making this determination. Due to a history of losses and uncertainty as to future taxable income, realization of the deferred tax assets is limited to the anticipated reversal of certain deferred tax liabilities. Management determined that there were insufficient federal and state deferred tax liabilities to offset all of the federal and state deferred tax assets at December 31, 2022 and 2021. Therefore, management believes it is more-likely-than-not that the net federal and state deferred assets will not be fully realized and has recorded valuation allowances in the amounts of $48.0 million and $19.9 million, as of December 31,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as of December 31, 2022 and 2021 is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540" w:type="dxa"/>
            <w:vAlign w:val="bottom"/>
            <w:shd w:val="clear" w:color="auto" w:fill="B6DEE8"/>
          </w:tcPr>
          <w:p>
            <w:pPr>
              <w:spacing w:after="0"/>
              <w:rPr>
                <w:sz w:val="21"/>
                <w:szCs w:val="21"/>
                <w:color w:val="auto"/>
              </w:rPr>
            </w:pPr>
          </w:p>
        </w:tc>
        <w:tc>
          <w:tcPr>
            <w:tcW w:w="900" w:type="dxa"/>
            <w:vAlign w:val="bottom"/>
            <w:tcBorders>
              <w:top w:val="single" w:sz="8" w:color="auto"/>
            </w:tcBorders>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B6DEE8"/>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tcBorders>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prior positions</w:t>
            </w:r>
          </w:p>
        </w:tc>
        <w:tc>
          <w:tcPr>
            <w:tcW w:w="3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7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Decreases to prior positions</w:t>
            </w:r>
          </w:p>
        </w:tc>
        <w:tc>
          <w:tcPr>
            <w:tcW w:w="3540" w:type="dxa"/>
            <w:vAlign w:val="bottom"/>
            <w:shd w:val="clear" w:color="auto" w:fill="B6DEE8"/>
          </w:tcPr>
          <w:p>
            <w:pPr>
              <w:spacing w:after="0"/>
              <w:rPr>
                <w:sz w:val="21"/>
                <w:szCs w:val="21"/>
                <w:color w:val="auto"/>
              </w:rPr>
            </w:pPr>
          </w:p>
        </w:tc>
        <w:tc>
          <w:tcPr>
            <w:tcW w:w="900" w:type="dxa"/>
            <w:vAlign w:val="bottom"/>
            <w:shd w:val="clear" w:color="auto" w:fill="B6DEE8"/>
          </w:tcPr>
          <w:p>
            <w:pPr>
              <w:spacing w:after="0"/>
              <w:rPr>
                <w:sz w:val="21"/>
                <w:szCs w:val="21"/>
                <w:color w:val="auto"/>
              </w:rPr>
            </w:pPr>
          </w:p>
        </w:tc>
        <w:tc>
          <w:tcPr>
            <w:tcW w:w="3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10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3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7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3540" w:type="dxa"/>
            <w:vAlign w:val="bottom"/>
            <w:tcBorders>
              <w:bottom w:val="single" w:sz="8" w:color="B6DEE8"/>
            </w:tcBorders>
            <w:shd w:val="clear" w:color="auto" w:fill="B6DEE8"/>
          </w:tcPr>
          <w:p>
            <w:pPr>
              <w:spacing w:after="0"/>
              <w:rPr>
                <w:sz w:val="24"/>
                <w:szCs w:val="24"/>
                <w:color w:val="auto"/>
              </w:rPr>
            </w:pPr>
          </w:p>
        </w:tc>
        <w:tc>
          <w:tcPr>
            <w:tcW w:w="900" w:type="dxa"/>
            <w:vAlign w:val="bottom"/>
            <w:tcBorders>
              <w:bottom w:val="single" w:sz="8" w:color="auto"/>
            </w:tcBorders>
            <w:shd w:val="clear" w:color="auto" w:fill="B6DEE8"/>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20" w:type="dxa"/>
            <w:vAlign w:val="bottom"/>
            <w:tcBorders>
              <w:bottom w:val="single" w:sz="8" w:color="B6DEE8"/>
            </w:tcBorders>
            <w:shd w:val="clear" w:color="auto" w:fill="B6DEE8"/>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shd w:val="clear" w:color="auto" w:fill="B6DE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00" w:type="dxa"/>
            <w:vAlign w:val="bottom"/>
            <w:tcBorders>
              <w:bottom w:val="single" w:sz="8" w:color="B6DEE8"/>
            </w:tcBorders>
            <w:shd w:val="clear" w:color="auto" w:fill="B6DEE8"/>
          </w:tcPr>
          <w:p>
            <w:pPr>
              <w:spacing w:after="0"/>
              <w:rPr>
                <w:sz w:val="24"/>
                <w:szCs w:val="24"/>
                <w:color w:val="auto"/>
              </w:rPr>
            </w:pPr>
          </w:p>
        </w:tc>
        <w:tc>
          <w:tcPr>
            <w:tcW w:w="560" w:type="dxa"/>
            <w:vAlign w:val="bottom"/>
          </w:tcPr>
          <w:p>
            <w:pPr>
              <w:spacing w:after="0"/>
              <w:rPr>
                <w:sz w:val="24"/>
                <w:szCs w:val="24"/>
                <w:color w:val="auto"/>
              </w:rPr>
            </w:pPr>
          </w:p>
        </w:tc>
      </w:tr>
      <w:tr>
        <w:trPr>
          <w:trHeight w:val="602"/>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54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-488315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-471170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0" w:name="page111"/>
    <w:bookmarkEnd w:id="110"/>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$0.9 million of gross unrecognized tax benefits related to state income taxes and federal and state R&amp;D tax credits. The unrecognized tax benefits of $0.1 million as of December 31, 2022, would, if recognized, affect the effective tax rate. Although it is possible that the amount of unrecognized tax benefits with respect to the uncertain tax positions will increase or decrease in the next 12 months, the Company does not expect material changes.</w:t>
      </w:r>
    </w:p>
    <w:p>
      <w:pPr>
        <w:spacing w:after="0" w:line="18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insignificant amounts of interest expense as a component of income tax expense during the years ended December 31, 2022 and 2021. The income tax related accrued interest amounts were also insignificant as of December 31, 2022 and 2021, respectively.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August 16, 2022, the President signed into law the Inflation Reduction Act of 2022 which contained provisions effective January 1, 2023, including a 15% corporate minimum tax and a 1% excise tax on stock buybacks, both of which we expect to be immaterial to our financial results, financial position and cash flows.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in the jurisdictions in which it files tax returns, including federal, California, and various other state jurisdictions. The federal statute of limitations remains open for the tax periods December 31, 2019 and thereafter. The California statute of limitations remains open for the tax periods December 31, 2018 and thereafter. The statute of limitations for the various other state jurisdictions remains open for the tax periods December 31, 2019, the initial filing period in the other jurisdictions, and thereafter.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21 401(k) Savings Plan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$2.1 million and $1.1 million for the years ended December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13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consolidated balance sheet date, but before the consolidated financial statements are available to be issued. The Company recognizes in the consolidated financial statements the effects of all subsequent events that provide additional evidence about conditions that existed at the date of the consolidated balance sheet, including the estimates inherent in the process of preparing the consolidated financial statements. The Company’s consolidated financial statements do not recognize subsequent events that provide evidence about conditions that did not exist at the date of the consolidated balance sheet but arose after the consolidated balance sheet date and before the consolidated financial statements were available to be issued.</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4, 2023, the Board approved an amendment to the Company’s certificate of incorporation to complete a 1-for-32 reverse stock split effective January 5, 2023. At a special meeting held on December 16, 2022, stockholders approved the reverse stock split. The primary goal of the reverse stock split was to bring the Company’s stock price above the share bid price requirement for continued listing on Nasdaq. The effects of the reverse stock split have been reflected in the consolidated financial statements and the footnotes.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on this evaluation, our Chief Executive Officer and Chief Financial Officer have concluded that our disclosure controls and procedures were not effective, due to the material weaknesses in our internal control over financial reporting in our audited financial statements for the years ended December 31, 2022 and 2021 described below. As a result, we performed additional analysis as deemed necessary to ensure that our financial statements were prepared in accordance with U.S. generally accepted accounting principles. Accordingly, management believes that the financial statements included in this Annual Report on Form 10-K present fairly in all material respects our financial position, results of operations and cash flows for the period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of our Chief Executive Officer and Chief Financial Officer and with the participation of our management, we conducted an evaluation of the effectiveness of our internal control over financial reporting as of December 31, 2022 based on the framework in “Internal Control—Integrated Framework” issued by the Committee of Sponsoring Organizations of the Treadway Commission (2013 Framework). Based on that evaluation, our management concluded that our internal control over financial reporting was not effective as of December 31, 2022, due to the material weaknesses in our internal control over financial reporting in our audited financial statements for the years ended December 31, 2022 and 2021, because:</w:t>
      </w:r>
    </w:p>
    <w:p>
      <w:pPr>
        <w:spacing w:after="0" w:line="86" w:lineRule="exact"/>
        <w:rPr>
          <w:sz w:val="20"/>
          <w:szCs w:val="20"/>
          <w:color w:val="auto"/>
        </w:rPr>
      </w:pPr>
    </w:p>
    <w:p>
      <w:pPr>
        <w:ind w:left="1020" w:hanging="503"/>
        <w:spacing w:after="0" w:line="25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w:t>
      </w:r>
    </w:p>
    <w:p>
      <w:pPr>
        <w:spacing w:after="0" w:line="79"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Dave is implementing a plan to remediate the material weaknesses described above. Those remediation measures are ongoing and include (i) hiring additional accounting and IT personnel to bolster its technical reporting, transactional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2" w:name="page113"/>
    <w:bookmarkEnd w:id="112"/>
    <w:p>
      <w:pPr>
        <w:ind w:right="240"/>
        <w:spacing w:after="0" w:line="258" w:lineRule="auto"/>
        <w:rPr>
          <w:sz w:val="20"/>
          <w:szCs w:val="20"/>
          <w:color w:val="auto"/>
        </w:rPr>
      </w:pPr>
      <w:r>
        <w:rPr>
          <w:rFonts w:ascii="Times New Roman" w:cs="Times New Roman" w:eastAsia="Times New Roman" w:hAnsi="Times New Roman"/>
          <w:sz w:val="18"/>
          <w:szCs w:val="18"/>
          <w:color w:val="auto"/>
        </w:rPr>
        <w:t>accounting and IT capabilities; (ii) designing and implementing controls to formalize roles and review responsibilities and designing and 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unrecoverable advances to detect and prevent future errors.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executive officers and directors, which is included in Part I, Item 1 of this Annual Report on Form 10-K, under “Information about our Executive Officers and Directors”, and our code of ethics, which is set forth below, the information required by this Item 10 will be included in our Proxy Statement to be filed with the SEC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of Dave has adopted a Code of Business Conduct and Ethics that applies to all of its directors, officers and employees, including the principal executive officer, principal financial officer, principal accounting officer or controller, or persons performing similar functions. The Code of Business Conduct and Ethics is available on the Corporate Governance section of Dave’s website. In addition, Dave will post on the Corporate Governance section of its website all disclosures that are required by law or Nasdaq listing standards any amendments to, or waivers from, any provision of the Code of Business Conduct and Ethics.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to be filed with the SEC and is incorporated herein by reference.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4" w:name="page115"/>
    <w:bookmarkEnd w:id="11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7" w:lineRule="exact"/>
        <w:rPr>
          <w:sz w:val="20"/>
          <w:szCs w:val="20"/>
          <w:color w:val="auto"/>
        </w:rPr>
      </w:pPr>
    </w:p>
    <w:p>
      <w:pPr>
        <w:ind w:left="1040" w:hanging="560"/>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financial statements listed in the Index to Financial Statements under Part II, Item 8 of this report.</w:t>
      </w:r>
    </w:p>
    <w:p>
      <w:pPr>
        <w:spacing w:after="0" w:line="231" w:lineRule="exact"/>
        <w:rPr>
          <w:rFonts w:ascii="Times New Roman" w:cs="Times New Roman" w:eastAsia="Times New Roman" w:hAnsi="Times New Roman"/>
          <w:sz w:val="18"/>
          <w:szCs w:val="18"/>
          <w:color w:val="auto"/>
        </w:rPr>
      </w:pPr>
    </w:p>
    <w:p>
      <w:pPr>
        <w:ind w:left="1040" w:right="6879" w:hanging="560"/>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75"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furnished or incorporated by reference as part of this report.</w:t>
      </w:r>
    </w:p>
    <w:p>
      <w:pPr>
        <w:spacing w:after="0" w:line="3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60" w:type="dxa"/>
            <w:vAlign w:val="bottom"/>
            <w:gridSpan w:val="18"/>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30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9940" w:type="dxa"/>
            <w:vAlign w:val="bottom"/>
            <w:gridSpan w:val="23"/>
          </w:tcPr>
          <w:p>
            <w:pPr>
              <w:spacing w:after="0" w:line="202"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Agreement and Plan of Merger, dated as of June 7, 2021, by and among VPC Impact Acquisition Holdings III, Inc., Bear Merger</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Company I Inc., Bear Merger Company II LLC, and Dave Inc. (incorporated by reference to Exhibit 2.1 to the Company’s Current</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Report on Form 8-K filed with the Commission on June 7, 2021.)</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Second Amended and Restated Certificate of Incorporation of Dave Inc. (incorporated by reference to Exhibit 3.1 to the Company’s</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Certificate of Amendment to Second Amended and Restated Certificate of Incorporation of Dave Inc. (incorporated by reference to</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Exhibit 3.1 to the Company’s Current Report on Form 8-K filed with the Commission on January 5, 2023.</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Amended and Restated Bylaws of Dave Inc. (incorporated by reference to Exhibit 3.2 to the Company’s Current Report on Form 8-K</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Convertible Note, dated March 21, 2022, by and between Dave Inc. and FTX Ventures Ltd. (incorporated by reference to Exhibit 4.1 to</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the Company’s Current Report on Form 8-K filed with the Commission on March 21,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Warrant Agreement, dated March 4, 2021, between Continental Stock Transfer &amp; Trust Company and VPCC (incorporated by reference</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to Exhibit 4.1 to the Company’s Current Report on Form 8-K, filed with the Commission on March 9, 2021).</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 xml:space="preserve">Description of Securities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incorporated by reference to Exhibit 4.3 to the Company’s Annual Report on Form 10-K filed with the</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Commission on March 25, 2022).</w:t>
            </w:r>
          </w:p>
        </w:tc>
        <w:tc>
          <w:tcPr>
            <w:tcW w:w="7540" w:type="dxa"/>
            <w:vAlign w:val="bottom"/>
            <w:gridSpan w:val="20"/>
          </w:tcPr>
          <w:p>
            <w:pPr>
              <w:spacing w:after="0"/>
              <w:rPr>
                <w:sz w:val="17"/>
                <w:szCs w:val="17"/>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Form of Indemnification Agreement (incorporated by reference to Exhibit 10.1 to the Company’s Current Report on Form 8-K filed with</w:t>
              </w:r>
            </w:hyperlink>
          </w:p>
        </w:tc>
      </w:tr>
      <w:tr>
        <w:trPr>
          <w:trHeight w:val="20"/>
        </w:trPr>
        <w:tc>
          <w:tcPr>
            <w:tcW w:w="1300" w:type="dxa"/>
            <w:vAlign w:val="bottom"/>
          </w:tcPr>
          <w:p>
            <w:pPr>
              <w:spacing w:after="0" w:line="20" w:lineRule="exact"/>
              <w:rPr>
                <w:sz w:val="1"/>
                <w:szCs w:val="1"/>
                <w:color w:val="auto"/>
              </w:rPr>
            </w:pPr>
          </w:p>
        </w:tc>
        <w:tc>
          <w:tcPr>
            <w:tcW w:w="2760" w:type="dxa"/>
            <w:vAlign w:val="bottom"/>
            <w:tcBorders>
              <w:right w:val="single" w:sz="8" w:color="0000FF"/>
            </w:tcBorders>
            <w:gridSpan w:val="4"/>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4"/>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23"/>
          </w:tcPr>
          <w:p>
            <w:pPr>
              <w:spacing w:after="0"/>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Investor Rights Agreement, dated as of January 5, 2022, by and among the Company, the Sponsor, Janet Kloppenburg, Peter Offenhauser</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and Kurt Summers, and certain holders of Legacy Dave Capital Stock (incorporated by reference to Exhibit 10.2 to the Company’s</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5620" w:type="dxa"/>
            <w:vAlign w:val="bottom"/>
            <w:tcBorders>
              <w:right w:val="single" w:sz="8" w:color="0000EE"/>
            </w:tcBorders>
            <w:gridSpan w:val="7"/>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Lease by and between PCJW Properties LLC and Legacy Dave, dated as of January 1, 2019 (incorporated by reference to Exhibit 10.3 to</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the 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Sublease by and between PCJW Properties LLC and Legacy Dave, dated as pf December 1, 2018 (incorporated by reference to Exhibit</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Amended and Restated 2021 Equity Incentive Plan and related forms of award agreements (incorporated by reference to Exhibit 10.1 to</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the Company’s Current Report on Form 8-K filed with the Commission on December 13,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10.6†</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2021 Employee Stock Purchase Plan (incorporated by reference to Exhibit 10.6 to the Company’s Current Report on Form 8-K filed with</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4"/>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Employment Agreement, dated January 3, 2022, by and between Jason Wilk and Dave (incorporated by reference to Exhibit 10.7 to the</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Employment Agreement, dated January 31, 2022, by and between Kyle Beilman and Dave (incorporated by reference to Exhibit 10.2 to</w:t>
              </w:r>
            </w:hyperlink>
          </w:p>
        </w:tc>
      </w:tr>
      <w:tr>
        <w:trPr>
          <w:trHeight w:val="20"/>
        </w:trPr>
        <w:tc>
          <w:tcPr>
            <w:tcW w:w="1300" w:type="dxa"/>
            <w:vAlign w:val="bottom"/>
          </w:tcPr>
          <w:p>
            <w:pPr>
              <w:spacing w:after="0" w:line="20" w:lineRule="exact"/>
              <w:rPr>
                <w:sz w:val="1"/>
                <w:szCs w:val="1"/>
                <w:color w:val="auto"/>
              </w:rPr>
            </w:pPr>
          </w:p>
        </w:tc>
        <w:tc>
          <w:tcPr>
            <w:tcW w:w="6760" w:type="dxa"/>
            <w:vAlign w:val="bottom"/>
            <w:tcBorders>
              <w:right w:val="single" w:sz="8" w:color="0000FF"/>
            </w:tcBorders>
            <w:gridSpan w:val="10"/>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the Company’s Current Report on Form 8-K filed with the Commission on February 1, 2022).</w:t>
              </w:r>
            </w:hyperlink>
          </w:p>
        </w:tc>
      </w:tr>
      <w:tr>
        <w:trPr>
          <w:trHeight w:val="574"/>
        </w:trPr>
        <w:tc>
          <w:tcPr>
            <w:tcW w:w="1300" w:type="dxa"/>
            <w:vAlign w:val="bottom"/>
          </w:tcPr>
          <w:p>
            <w:pPr>
              <w:spacing w:after="0"/>
              <w:rPr>
                <w:sz w:val="24"/>
                <w:szCs w:val="24"/>
                <w:color w:val="auto"/>
              </w:rPr>
            </w:pPr>
          </w:p>
        </w:tc>
        <w:tc>
          <w:tcPr>
            <w:tcW w:w="4720" w:type="dxa"/>
            <w:vAlign w:val="bottom"/>
            <w:tcBorders>
              <w:top w:val="single" w:sz="8" w:color="0000FF"/>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114</w:t>
            </w:r>
          </w:p>
        </w:tc>
        <w:tc>
          <w:tcPr>
            <w:tcW w:w="9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6" w:name="page117"/>
    <w:bookmarkEnd w:id="116"/>
    <w:p>
      <w:pPr>
        <w:ind w:left="1280" w:right="260" w:hanging="80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69">
        <w:r>
          <w:rPr>
            <w:rFonts w:ascii="Times New Roman" w:cs="Times New Roman" w:eastAsia="Times New Roman" w:hAnsi="Times New Roman"/>
            <w:sz w:val="18"/>
            <w:szCs w:val="18"/>
            <w:u w:val="single" w:color="auto"/>
            <w:color w:val="0000FF"/>
          </w:rPr>
          <w:t>Convertible Note Purchase Agreement, dated March 21, 2022, by and between the Company and FTX Ventures Ltd. (incorporated by</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reference to Exhibit 10.1 to the Company’s Current Report on Form 8-K filed with the Commission on March 21,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1398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613981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5521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5521325" cy="8255"/>
                    </a:xfrm>
                    <a:prstGeom prst="rect">
                      <a:avLst/>
                    </a:prstGeom>
                    <a:noFill/>
                  </pic:spPr>
                </pic:pic>
              </a:graphicData>
            </a:graphic>
          </wp:anchor>
        </w:drawing>
      </w:r>
    </w:p>
    <w:p>
      <w:pPr>
        <w:spacing w:after="0" w:line="101" w:lineRule="exact"/>
        <w:rPr>
          <w:sz w:val="20"/>
          <w:szCs w:val="20"/>
          <w:color w:val="auto"/>
        </w:rPr>
      </w:pPr>
    </w:p>
    <w:p>
      <w:pPr>
        <w:ind w:left="1280" w:right="340" w:hanging="851"/>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72">
        <w:r>
          <w:rPr>
            <w:rFonts w:ascii="Times New Roman" w:cs="Times New Roman" w:eastAsia="Times New Roman" w:hAnsi="Times New Roman"/>
            <w:sz w:val="18"/>
            <w:szCs w:val="18"/>
            <w:u w:val="single" w:color="auto"/>
            <w:color w:val="0000FF"/>
          </w:rPr>
          <w:t>Dave Inc. Executive Incentive Bonus Plan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filed with the Commission on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0921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60921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21799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101" w:lineRule="exact"/>
        <w:rPr>
          <w:sz w:val="20"/>
          <w:szCs w:val="20"/>
          <w:color w:val="auto"/>
        </w:rPr>
      </w:pPr>
    </w:p>
    <w:p>
      <w:pPr>
        <w:ind w:left="1280" w:right="80" w:hanging="854"/>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75">
        <w:r>
          <w:rPr>
            <w:rFonts w:ascii="Times New Roman" w:cs="Times New Roman" w:eastAsia="Times New Roman" w:hAnsi="Times New Roman"/>
            <w:sz w:val="18"/>
            <w:szCs w:val="18"/>
            <w:u w:val="single" w:color="auto"/>
            <w:color w:val="0000FF"/>
          </w:rPr>
          <w:t>Dave Inc. Non-Employee Director Compensation Policy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630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6263005"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27197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2719705" cy="8255"/>
                    </a:xfrm>
                    <a:prstGeom prst="rect">
                      <a:avLst/>
                    </a:prstGeom>
                    <a:noFill/>
                  </pic:spPr>
                </pic:pic>
              </a:graphicData>
            </a:graphic>
          </wp:anchor>
        </w:drawing>
      </w:r>
    </w:p>
    <w:p>
      <w:pPr>
        <w:spacing w:after="0" w:line="101" w:lineRule="exact"/>
        <w:rPr>
          <w:sz w:val="20"/>
          <w:szCs w:val="20"/>
          <w:color w:val="auto"/>
        </w:rPr>
      </w:pPr>
    </w:p>
    <w:p>
      <w:pPr>
        <w:ind w:left="1280" w:hanging="71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16.1</w:t>
      </w:r>
      <w:r>
        <w:rPr>
          <w:sz w:val="20"/>
          <w:szCs w:val="20"/>
          <w:color w:val="auto"/>
        </w:rPr>
        <w:tab/>
      </w:r>
      <w:hyperlink r:id="rId378">
        <w:r>
          <w:rPr>
            <w:rFonts w:ascii="Times New Roman" w:cs="Times New Roman" w:eastAsia="Times New Roman" w:hAnsi="Times New Roman"/>
            <w:sz w:val="18"/>
            <w:szCs w:val="18"/>
            <w:u w:val="single" w:color="auto"/>
            <w:color w:val="0000FF"/>
          </w:rPr>
          <w:t>Letter to the Securities and Exchange Commission from WithumSmith+Brown, PC, dated January 11, 2022 (incorporated by reference to</w:t>
        </w:r>
      </w:hyperlink>
      <w:r>
        <w:rPr>
          <w:rFonts w:ascii="Times New Roman" w:cs="Times New Roman" w:eastAsia="Times New Roman" w:hAnsi="Times New Roman"/>
          <w:sz w:val="18"/>
          <w:szCs w:val="18"/>
          <w:u w:val="single" w:color="auto"/>
          <w:color w:val="0000FF"/>
        </w:rPr>
        <w:t xml:space="preserve"> </w:t>
      </w:r>
      <w:hyperlink r:id="rId378">
        <w:r>
          <w:rPr>
            <w:rFonts w:ascii="Times New Roman" w:cs="Times New Roman" w:eastAsia="Times New Roman" w:hAnsi="Times New Roman"/>
            <w:sz w:val="18"/>
            <w:szCs w:val="18"/>
            <w:u w:val="single" w:color="auto"/>
            <w:color w:val="0000FF"/>
          </w:rPr>
          <w:t>Exhibit 16.1 to 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83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50031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5003165" cy="8255"/>
                    </a:xfrm>
                    <a:prstGeom prst="rect">
                      <a:avLst/>
                    </a:prstGeom>
                    <a:noFill/>
                  </pic:spPr>
                </pic:pic>
              </a:graphicData>
            </a:graphic>
          </wp:anchor>
        </w:drawing>
      </w:r>
    </w:p>
    <w:p>
      <w:pPr>
        <w:spacing w:after="0" w:line="101" w:lineRule="exact"/>
        <w:rPr>
          <w:sz w:val="20"/>
          <w:szCs w:val="20"/>
          <w:color w:val="auto"/>
        </w:rPr>
      </w:pPr>
    </w:p>
    <w:p>
      <w:pPr>
        <w:ind w:left="1280" w:right="40" w:hanging="71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381">
        <w:r>
          <w:rPr>
            <w:rFonts w:ascii="Times New Roman" w:cs="Times New Roman" w:eastAsia="Times New Roman" w:hAnsi="Times New Roman"/>
            <w:sz w:val="18"/>
            <w:szCs w:val="18"/>
            <w:u w:val="single" w:color="auto"/>
            <w:color w:val="0000FF"/>
          </w:rPr>
          <w:t>List of Subsidiaries (incorporated by reference to Exhibit 21.1 to the Company’s Current Report on Form 8-K filed with the Commission</w:t>
        </w:r>
      </w:hyperlink>
      <w:r>
        <w:rPr>
          <w:rFonts w:ascii="Times New Roman" w:cs="Times New Roman" w:eastAsia="Times New Roman" w:hAnsi="Times New Roman"/>
          <w:sz w:val="18"/>
          <w:szCs w:val="18"/>
          <w:u w:val="single" w:color="auto"/>
          <w:color w:val="0000FF"/>
        </w:rPr>
        <w:t xml:space="preserve"> </w:t>
      </w:r>
      <w:hyperlink r:id="rId381">
        <w:r>
          <w:rPr>
            <w:rFonts w:ascii="Times New Roman" w:cs="Times New Roman" w:eastAsia="Times New Roman" w:hAnsi="Times New Roman"/>
            <w:sz w:val="18"/>
            <w:szCs w:val="18"/>
            <w:u w:val="single" w:color="auto"/>
            <w:color w:val="0000FF"/>
          </w:rPr>
          <w:t>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83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9886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101" w:lineRule="exact"/>
        <w:rPr>
          <w:sz w:val="20"/>
          <w:szCs w:val="20"/>
          <w:color w:val="auto"/>
        </w:rPr>
      </w:pPr>
    </w:p>
    <w:p>
      <w:pPr>
        <w:ind w:left="50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-7620</wp:posOffset>
            </wp:positionV>
            <wp:extent cx="16230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165" w:lineRule="exact"/>
        <w:rPr>
          <w:sz w:val="20"/>
          <w:szCs w:val="20"/>
          <w:color w:val="auto"/>
        </w:rPr>
      </w:pPr>
    </w:p>
    <w:p>
      <w:pPr>
        <w:ind w:left="500"/>
        <w:spacing w:after="0"/>
        <w:tabs>
          <w:tab w:leader="none" w:pos="12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-7620</wp:posOffset>
            </wp:positionV>
            <wp:extent cx="13741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165"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the signature page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-7620</wp:posOffset>
            </wp:positionV>
            <wp:extent cx="26682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w:t>
      </w:r>
    </w:p>
    <w:tbl>
      <w:tblPr>
        <w:tblLayout w:type="fixed"/>
        <w:tblInd w:w="560" w:type="dxa"/>
        <w:tblCellMar>
          <w:top w:w="0" w:type="dxa"/>
          <w:left w:w="0" w:type="dxa"/>
          <w:bottom w:w="0" w:type="dxa"/>
          <w:right w:w="0" w:type="dxa"/>
        </w:tblCellMar>
      </w:tblPr>
      <w:tr>
        <w:trPr>
          <w:trHeight w:val="66"/>
        </w:trPr>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31.1</w:t>
            </w:r>
          </w:p>
        </w:tc>
        <w:tc>
          <w:tcPr>
            <w:tcW w:w="3080" w:type="dxa"/>
            <w:vAlign w:val="bottom"/>
            <w:tcBorders>
              <w:bottom w:val="single" w:sz="8" w:color="0000FF"/>
            </w:tcBorders>
          </w:tcPr>
          <w:p>
            <w:pPr>
              <w:spacing w:after="0"/>
              <w:rPr>
                <w:sz w:val="5"/>
                <w:szCs w:val="5"/>
                <w:color w:val="auto"/>
              </w:rPr>
            </w:pPr>
          </w:p>
        </w:tc>
        <w:tc>
          <w:tcPr>
            <w:tcW w:w="6660" w:type="dxa"/>
            <w:vAlign w:val="bottom"/>
            <w:tcBorders>
              <w:bottom w:val="single" w:sz="8" w:color="0000FF"/>
            </w:tcBorders>
          </w:tcPr>
          <w:p>
            <w:pPr>
              <w:spacing w:after="0"/>
              <w:rPr>
                <w:sz w:val="5"/>
                <w:szCs w:val="5"/>
                <w:color w:val="auto"/>
              </w:rPr>
            </w:pPr>
          </w:p>
        </w:tc>
        <w:tc>
          <w:tcPr>
            <w:tcW w:w="40" w:type="dxa"/>
            <w:vAlign w:val="bottom"/>
            <w:tcBorders>
              <w:bottom w:val="single" w:sz="8" w:color="0000FF"/>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9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9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31.2</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w:t>
            </w: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6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vMerge w:val="continue"/>
          </w:tcPr>
          <w:p>
            <w:pPr>
              <w:spacing w:after="0"/>
              <w:rPr>
                <w:sz w:val="11"/>
                <w:szCs w:val="11"/>
                <w:color w:val="auto"/>
              </w:rPr>
            </w:pPr>
          </w:p>
        </w:tc>
        <w:tc>
          <w:tcPr>
            <w:tcW w:w="9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9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6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80" w:right="60" w:hanging="662"/>
        <w:spacing w:after="0" w:line="184" w:lineRule="auto"/>
        <w:tabs>
          <w:tab w:leader="none" w:pos="1280" w:val="left"/>
        </w:tabs>
        <w:numPr>
          <w:ilvl w:val="0"/>
          <w:numId w:val="5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0000FF"/>
        </w:rPr>
        <w:t>Certification of the Chief Executive Officer and Chief Financial Officer pursuant to 18 U.S.C. §1350, as adopted pursuant to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-161925</wp:posOffset>
            </wp:positionV>
            <wp:extent cx="62718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6271895"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-24765</wp:posOffset>
            </wp:positionV>
            <wp:extent cx="13036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101.SCH</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101.CAL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101.DEF</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101.LAB</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5" w:lineRule="exact"/>
        <w:rPr>
          <w:sz w:val="20"/>
          <w:szCs w:val="20"/>
          <w:color w:val="auto"/>
        </w:rPr>
      </w:pPr>
    </w:p>
    <w:p>
      <w:pPr>
        <w:sectPr>
          <w:pgSz w:w="11900" w:h="16838" w:orient="portrait"/>
          <w:cols w:equalWidth="0" w:num="2">
            <w:col w:w="1000" w:space="280"/>
            <w:col w:w="9880"/>
          </w:cols>
          <w:pgMar w:left="320" w:top="135" w:right="419" w:bottom="1440" w:gutter="0" w:footer="0" w:header="0"/>
          <w:type w:val="continuous"/>
        </w:sectPr>
      </w:pPr>
    </w:p>
    <w:p>
      <w:pPr>
        <w:ind w:right="3320" w:firstLine="528"/>
        <w:spacing w:after="0" w:line="339" w:lineRule="auto"/>
        <w:tabs>
          <w:tab w:leader="none" w:pos="126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The schedules to this Exhibit have been omitted in accordance with Regulation S-K</w:t>
      </w:r>
    </w:p>
    <w:p>
      <w:pPr>
        <w:spacing w:after="0" w:line="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Item 601(b)(2). The Company agrees to furnish supplementally a copy of any omitted schedule to the Securities and Exchange Commission upon its request.</w:t>
      </w:r>
    </w:p>
    <w:p>
      <w:pPr>
        <w:spacing w:after="0" w:line="1" w:lineRule="exact"/>
        <w:rPr>
          <w:sz w:val="20"/>
          <w:szCs w:val="20"/>
          <w:color w:val="auto"/>
        </w:rPr>
      </w:pPr>
    </w:p>
    <w:p>
      <w:pPr>
        <w:ind w:left="5500" w:right="5200" w:hanging="5492"/>
        <w:spacing w:after="0" w:line="372" w:lineRule="auto"/>
        <w:tabs>
          <w:tab w:leader="none" w:pos="15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contract or arrangement.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March 13, 2023</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56"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Jason Wilk</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Ricci or Kyle Beilman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Wilk</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Wilk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Kyle Beilman</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Kyle Beilman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Carroll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Carroll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 Mitchell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Mitchell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Pope</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Pope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 Preston</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 Preston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Teresa Aragones</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Teresa Aragones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20" w:type="dxa"/>
            <w:vAlign w:val="bottom"/>
            <w:gridSpan w:val="3"/>
          </w:tcPr>
          <w:p>
            <w:pPr>
              <w:jc w:val="right"/>
              <w:ind w:right="3332"/>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333-269482, 333-268785, 333-263589) of our report dated March 13, 2023 relating to the consolidated financial statements of Dave Inc., appearing in the Annual Report on Form 10-K of Dave Inc. for the year ended December 31, 2022.</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333-269482, 333-268785, 333-263589) of Dave Inc. (the “Company”), of our report dated March 25, 2022 (except for the effects of the reverse recapitalization described in Note 3, as to which the date is August 22, 2022, and the effects of the 1-for-32 reverse stock split described in Notes 2 and 22, as to which the date is March 13, 2023), relating to the consolidated financial statements of the Company as of December 31, 2021 and for the year then ended, appearing in this Annual Report on Form 10-K of the Company for the year ended December 31, 2022.</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0" w:lineRule="exact"/>
        <w:rPr>
          <w:sz w:val="20"/>
          <w:szCs w:val="20"/>
          <w:color w:val="auto"/>
        </w:rPr>
      </w:pPr>
    </w:p>
    <w:p>
      <w:pPr>
        <w:spacing w:after="0" w:line="30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54" w:lineRule="exact"/>
        <w:rPr>
          <w:sz w:val="20"/>
          <w:szCs w:val="20"/>
          <w:color w:val="auto"/>
        </w:rPr>
      </w:pPr>
    </w:p>
    <w:p>
      <w:pPr>
        <w:ind w:left="1020" w:right="7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2022,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5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lowerLetter"/>
      <w:start w:val="3"/>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decimal"/>
      <w:start w:val="848"/>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Roman"/>
      <w:start w:val="1"/>
    </w:lvl>
  </w:abstractNum>
  <w:abstractNum w:abstractNumId="40">
    <w:nsid w:val="32FFF902"/>
    <w:multiLevelType w:val="hybridMultilevel"/>
    <w:lvl w:ilvl="0">
      <w:lvlJc w:val="left"/>
      <w:lvlText w:val="(%1)"/>
      <w:numFmt w:val="lowerRoman"/>
      <w:start w:val="3"/>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lowerRoman"/>
      <w:start w:val="2"/>
    </w:lvl>
  </w:abstractNum>
  <w:abstractNum w:abstractNumId="45">
    <w:nsid w:val="1BA026FA"/>
    <w:multiLevelType w:val="hybridMultilevel"/>
    <w:lvl w:ilvl="0">
      <w:lvlJc w:val="left"/>
      <w:lvlText w:val="(%1)"/>
      <w:numFmt w:val="lowerRoman"/>
      <w:start w:val="4"/>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32"/>
    </w:lvl>
  </w:abstractNum>
  <w:abstractNum w:abstractNumId="51">
    <w:nsid w:val="374A3FE6"/>
    <w:multiLevelType w:val="hybridMultilevel"/>
    <w:lvl w:ilvl="0">
      <w:lvlJc w:val="left"/>
      <w:lvlText w:val="*"/>
      <w:numFmt w:val="bullet"/>
      <w:start w:val="1"/>
    </w:lvl>
    <w:lvl w:ilvl="1">
      <w:lvlJc w:val="left"/>
      <w:lvlText w:val="%2"/>
      <w:numFmt w:val="decimal"/>
      <w:start w:val="104"/>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84" Type="http://schemas.openxmlformats.org/officeDocument/2006/relationships/hyperlink" Target="https://www.sec.gov/ix?doc=/Archives/edgar/data/0001841408/000119312522226507/d389751d8ka.htm" TargetMode="External"/><Relationship Id="rId352" Type="http://schemas.openxmlformats.org/officeDocument/2006/relationships/hyperlink" Target="https://www.sec.gov/Archives/edgar/data/1841408/000119312521183575/d165916dex21.htm" TargetMode="External"/><Relationship Id="rId353" Type="http://schemas.openxmlformats.org/officeDocument/2006/relationships/hyperlink" Target="https://www.sec.gov/Archives/edgar/data/1841408/000119312522006854/d253532dex31.htm" TargetMode="External"/><Relationship Id="rId354" Type="http://schemas.openxmlformats.org/officeDocument/2006/relationships/hyperlink" Target="https://www.sec.gov/Archives/edgar/data/1841408/000119312523002529/d380889dex31.htm" TargetMode="External"/><Relationship Id="rId355" Type="http://schemas.openxmlformats.org/officeDocument/2006/relationships/hyperlink" Target="https://www.sec.gov/Archives/edgar/data/1841408/000119312522006854/d253532dex32.htm" TargetMode="External"/><Relationship Id="rId356" Type="http://schemas.openxmlformats.org/officeDocument/2006/relationships/hyperlink" Target="https://www.sec.gov/Archives/edgar/data/1841408/000119312522080609/d325306dex41.htm" TargetMode="External"/><Relationship Id="rId357" Type="http://schemas.openxmlformats.org/officeDocument/2006/relationships/hyperlink" Target="https://www.sec.gov/Archives/edgar/data/1841408/000119312521074943/d153642dex41.htm" TargetMode="External"/><Relationship Id="rId358" Type="http://schemas.openxmlformats.org/officeDocument/2006/relationships/hyperlink" Target="https://www.sec.gov/Archives/edgar/data/1841408/000119312522085334/d288520dex43.htm" TargetMode="External"/><Relationship Id="rId359" Type="http://schemas.openxmlformats.org/officeDocument/2006/relationships/hyperlink" Target="https://www.sec.gov/Archives/edgar/data/1841408/000119312522006854/d253532dex101.htm" TargetMode="External"/><Relationship Id="rId360" Type="http://schemas.openxmlformats.org/officeDocument/2006/relationships/hyperlink" Target="https://www.sec.gov/Archives/edgar/data/1841408/000119312522006854/d253532dex102.htm" TargetMode="External"/><Relationship Id="rId361" Type="http://schemas.openxmlformats.org/officeDocument/2006/relationships/hyperlink" Target="https://www.sec.gov/Archives/edgar/data/1841408/000119312522006854/d253532dex103.htm" TargetMode="External"/><Relationship Id="rId362" Type="http://schemas.openxmlformats.org/officeDocument/2006/relationships/hyperlink" Target="https://www.sec.gov/Archives/edgar/data/1841408/000119312522006854/d253532dex104.htm" TargetMode="External"/><Relationship Id="rId363" Type="http://schemas.openxmlformats.org/officeDocument/2006/relationships/hyperlink" Target="https://www.sec.gov/Archives/edgar/data/1841408/000119312522303917/d281798dex101.htm" TargetMode="External"/><Relationship Id="rId364" Type="http://schemas.openxmlformats.org/officeDocument/2006/relationships/hyperlink" Target="https://www.sec.gov/Archives/edgar/data/1841408/000119312522006854/d253532dex106.htm" TargetMode="External"/><Relationship Id="rId365" Type="http://schemas.openxmlformats.org/officeDocument/2006/relationships/hyperlink" Target="https://www.sec.gov/Archives/edgar/data/1841408/000119312522006854/d253532dex107.htm" TargetMode="External"/><Relationship Id="rId366" Type="http://schemas.openxmlformats.org/officeDocument/2006/relationships/hyperlink" Target="https://www.sec.gov/Archives/edgar/data/1841408/000119312522024663/d291934dex102.htm" TargetMode="External"/><Relationship Id="rId369" Type="http://schemas.openxmlformats.org/officeDocument/2006/relationships/hyperlink" Target="https://www.sec.gov/Archives/edgar/data/1841408/000119312522080609/d325306dex101.htm" TargetMode="External"/><Relationship Id="rId372" Type="http://schemas.openxmlformats.org/officeDocument/2006/relationships/hyperlink" Target="https://www.sec.gov/Archives/edgar/data/1841408/000119312522090833/d311249dex101.htm" TargetMode="External"/><Relationship Id="rId375" Type="http://schemas.openxmlformats.org/officeDocument/2006/relationships/hyperlink" Target="https://www.sec.gov/Archives/edgar/data/1841408/000119312522024663/d291934dex101.htm" TargetMode="External"/><Relationship Id="rId378" Type="http://schemas.openxmlformats.org/officeDocument/2006/relationships/hyperlink" Target="https://www.sec.gov/Archives/edgar/data/1841408/000119312522006854/d253532dex161.htm" TargetMode="External"/><Relationship Id="rId381" Type="http://schemas.openxmlformats.org/officeDocument/2006/relationships/hyperlink" Target="https://www.sec.gov/Archives/edgar/data/1841408/000119312522006854/d25353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2023-03-13T18:04:26Z</dcterms:created>
  <dcterms:modified xsi:type="dcterms:W3CDTF">2023-03-13T18:04:26Z</dcterms:modified>
</cp:coreProperties>
</file>