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340"/>
        <w:rPr/>
      </w:pPr>
      <w:hyperlink w:anchor="toc">
        <w:bookmarkStart w:id="0" w:name="d340063d10q.htm"/>
        <w:bookmarkStart w:id="1" w:name="ksd340063d10q"/>
        <w:bookmarkEnd w:id="0"/>
        <w:bookmarkEnd w:id="1"/>
        <w:r>
          <w:rPr>
            <w:rStyle w:val="InternetLink"/>
            <w:b/>
            <w:sz w:val="20"/>
          </w:rPr>
          <w:t>Table of Contents</w:t>
        </w:r>
      </w:hyperlink>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TextBody"/>
        <w:spacing w:before="8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z w:val="36"/>
        </w:rPr>
      </w:pPr>
      <w:r>
        <w:rPr>
          <w:rFonts w:ascii="Times New Roman" w:hAnsi="Times New Roman"/>
          <w:b/>
          <w:sz w:val="36"/>
        </w:rPr>
        <w:t xml:space="preserve">FORM </w:t>
      </w:r>
    </w:p>
    <w:p>
      <w:pPr>
        <w:pStyle w:val="TextBody"/>
        <w:spacing w:before="240" w:after="0"/>
        <w:jc w:val="center"/>
        <w:rPr>
          <w:rFonts w:ascii="Times New Roman" w:hAnsi="Times New Roman"/>
          <w:b/>
          <w:spacing w:val="0"/>
          <w:sz w:val="36"/>
        </w:rPr>
      </w:pPr>
      <w:r>
        <w:rPr>
          <w:rFonts w:ascii="Times New Roman" w:hAnsi="Times New Roman"/>
          <w:b/>
          <w:spacing w:val="0"/>
          <w:sz w:val="36"/>
        </w:rPr>
        <w:t>10-Q</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(Mark One)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QUARTERLY REPORT PURSUANT TO SECTION 13 OR 15(d) OF THE SECURITIES EXCHANGE ACT OF 1934 </w:t>
            </w:r>
          </w:p>
        </w:tc>
      </w:tr>
    </w:tbl>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For the quarterly period ended March 31, 2022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or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spacing w:before="240" w:after="0"/>
        <w:jc w:val="center"/>
        <w:rPr>
          <w:rFonts w:ascii="Times New Roman" w:hAnsi="Times New Roman"/>
          <w:b/>
          <w:sz w:val="20"/>
        </w:rPr>
      </w:pPr>
      <w:r>
        <w:rPr>
          <w:rFonts w:ascii="Times New Roman" w:hAnsi="Times New Roman"/>
          <w:b/>
          <w:sz w:val="20"/>
        </w:rPr>
        <w:t xml:space="preserve">For the transition period from </w:t>
      </w:r>
    </w:p>
    <w:p>
      <w:pPr>
        <w:pStyle w:val="TextBody"/>
        <w:spacing w:before="240" w:after="0"/>
        <w:jc w:val="center"/>
        <w:rPr>
          <w:spacing w:val="0"/>
          <w:u w:val="single"/>
        </w:rPr>
      </w:pPr>
      <w:r>
        <w:rPr>
          <w:spacing w:val="0"/>
          <w:u w:val="single"/>
        </w:rPr>
        <w:t>                </w:t>
      </w:r>
    </w:p>
    <w:p>
      <w:pPr>
        <w:pStyle w:val="TextBody"/>
        <w:spacing w:before="240" w:after="0"/>
        <w:jc w:val="center"/>
        <w:rPr>
          <w:rFonts w:ascii="Times New Roman" w:hAnsi="Times New Roman"/>
          <w:b/>
          <w:sz w:val="20"/>
        </w:rPr>
      </w:pPr>
      <w:r>
        <w:rPr>
          <w:rFonts w:ascii="Times New Roman" w:hAnsi="Times New Roman"/>
          <w:b/>
          <w:sz w:val="20"/>
        </w:rPr>
        <w:t xml:space="preserve">to </w:t>
      </w:r>
    </w:p>
    <w:p>
      <w:pPr>
        <w:pStyle w:val="TextBody"/>
        <w:spacing w:before="240" w:after="0"/>
        <w:jc w:val="center"/>
        <w:rPr>
          <w:spacing w:val="0"/>
          <w:u w:val="single"/>
        </w:rPr>
      </w:pPr>
      <w:r>
        <w:rPr>
          <w:spacing w:val="0"/>
          <w:u w:val="single"/>
        </w:rPr>
        <w:t>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pacing w:val="0"/>
          <w:sz w:val="48"/>
        </w:rPr>
      </w:pPr>
      <w:r>
        <w:rPr>
          <w:rFonts w:ascii="Times New Roman" w:hAnsi="Times New Roman"/>
          <w:b/>
          <w:spacing w:val="0"/>
          <w:sz w:val="48"/>
        </w:rPr>
        <w:t xml:space="preserve">DAVE INC.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jc w:val="left"/>
        <w:rPr>
          <w:spacing w:val="0"/>
        </w:rPr>
      </w:pPr>
      <w:r>
        <w:rPr>
          <w:spacing w:val="0"/>
        </w:rPr>
        <w:t> </w:t>
      </w:r>
    </w:p>
    <w:tbl>
      <w:tblPr>
        <w:tblW w:w="5670" w:type="dxa"/>
        <w:jc w:val="left"/>
        <w:tblInd w:w="0" w:type="dxa"/>
        <w:tblCellMar>
          <w:top w:w="0" w:type="dxa"/>
          <w:left w:w="0" w:type="dxa"/>
          <w:bottom w:w="0" w:type="dxa"/>
          <w:right w:w="0" w:type="dxa"/>
        </w:tblCellMar>
      </w:tblPr>
      <w:tblGrid>
        <w:gridCol w:w="3125"/>
        <w:gridCol w:w="60"/>
        <w:gridCol w:w="1055"/>
        <w:gridCol w:w="60"/>
        <w:gridCol w:w="1370"/>
      </w:tblGrid>
      <w:tr>
        <w:trPr/>
        <w:tc>
          <w:tcPr>
            <w:tcW w:w="3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3125" w:type="dxa"/>
            <w:tcBorders/>
            <w:shd w:fill="auto" w:val="clear"/>
            <w:vAlign w:val="center"/>
          </w:tcPr>
          <w:p>
            <w:pPr>
              <w:pStyle w:val="TableContents"/>
              <w:spacing w:before="0" w:after="0"/>
              <w:jc w:val="center"/>
              <w:rPr>
                <w:b/>
                <w:spacing w:val="0"/>
              </w:rPr>
            </w:pPr>
            <w:r>
              <w:rPr>
                <w:b/>
                <w:spacing w:val="0"/>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b/>
                <w:spacing w:val="0"/>
              </w:rPr>
            </w:pPr>
            <w:r>
              <w:rPr>
                <w:b/>
                <w:spacing w:val="0"/>
              </w:rPr>
              <w:t>001-40161</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b/>
                <w:spacing w:val="0"/>
              </w:rPr>
            </w:pPr>
            <w:r>
              <w:rPr>
                <w:b/>
                <w:spacing w:val="0"/>
              </w:rPr>
              <w:t>86-1481509</w:t>
            </w:r>
          </w:p>
        </w:tc>
      </w:tr>
      <w:tr>
        <w:trPr/>
        <w:tc>
          <w:tcPr>
            <w:tcW w:w="3125" w:type="dxa"/>
            <w:tcBorders/>
            <w:shd w:fill="auto" w:val="clear"/>
            <w:vAlign w:val="center"/>
          </w:tcPr>
          <w:p>
            <w:pPr>
              <w:pStyle w:val="TableContents"/>
              <w:spacing w:before="0" w:after="0"/>
              <w:jc w:val="center"/>
              <w:rPr>
                <w:b/>
                <w:spacing w:val="0"/>
              </w:rPr>
            </w:pPr>
            <w:r>
              <w:rPr>
                <w:b/>
                <w:spacing w:val="0"/>
              </w:rPr>
              <w:t>(State or other jurisdiction of</w:t>
              <w:br/>
              <w:t>incorporation or organization)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(Commission</w:t>
            </w:r>
          </w:p>
          <w:p>
            <w:pPr>
              <w:pStyle w:val="TableContents"/>
              <w:spacing w:before="0" w:after="20"/>
              <w:jc w:val="center"/>
              <w:rPr>
                <w:rFonts w:ascii="Times New Roman" w:hAnsi="Times New Roman"/>
                <w:b/>
                <w:spacing w:val="0"/>
                <w:sz w:val="16"/>
              </w:rPr>
            </w:pPr>
            <w:r>
              <w:rPr>
                <w:rFonts w:ascii="Times New Roman" w:hAnsi="Times New Roman"/>
                <w:b/>
                <w:spacing w:val="0"/>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spacing w:before="0" w:after="20"/>
              <w:jc w:val="center"/>
              <w:rPr>
                <w:rFonts w:ascii="Times New Roman" w:hAnsi="Times New Roman"/>
                <w:b/>
                <w:spacing w:val="0"/>
                <w:sz w:val="16"/>
              </w:rPr>
            </w:pPr>
            <w:r>
              <w:rPr>
                <w:rFonts w:ascii="Times New Roman" w:hAnsi="Times New Roman"/>
                <w:b/>
                <w:spacing w:val="0"/>
                <w:sz w:val="16"/>
              </w:rPr>
              <w:t>Identification No.)</w:t>
            </w:r>
          </w:p>
        </w:tc>
      </w:tr>
    </w:tbl>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750 N. San Vicente Blvd. 900W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West Hollywood, CA 90069 </w:t>
      </w:r>
    </w:p>
    <w:p>
      <w:pPr>
        <w:pStyle w:val="TextBody"/>
        <w:spacing w:before="0" w:after="0"/>
        <w:jc w:val="center"/>
        <w:rPr>
          <w:rFonts w:ascii="Times New Roman" w:hAnsi="Times New Roman"/>
          <w:b/>
          <w:spacing w:val="0"/>
          <w:sz w:val="16"/>
        </w:rPr>
      </w:pPr>
      <w:r>
        <w:rPr>
          <w:rFonts w:ascii="Times New Roman" w:hAnsi="Times New Roman"/>
          <w:b/>
          <w:spacing w:val="0"/>
          <w:sz w:val="16"/>
        </w:rPr>
        <w:t xml:space="preserve">(Address of principal executive offices, including zip code) </w:t>
      </w:r>
    </w:p>
    <w:p>
      <w:pPr>
        <w:pStyle w:val="TextBody"/>
        <w:spacing w:before="240" w:after="0"/>
        <w:jc w:val="center"/>
        <w:rPr>
          <w:rFonts w:ascii="Times New Roman" w:hAnsi="Times New Roman"/>
          <w:b/>
          <w:sz w:val="20"/>
        </w:rPr>
      </w:pPr>
      <w:r>
        <w:rPr>
          <w:rFonts w:ascii="Times New Roman" w:hAnsi="Times New Roman"/>
          <w:b/>
          <w:sz w:val="20"/>
        </w:rPr>
        <w:t xml:space="preserve">Registrant’s telephone number, including area code: (844) </w:t>
      </w:r>
    </w:p>
    <w:p>
      <w:pPr>
        <w:pStyle w:val="TextBody"/>
        <w:spacing w:before="240" w:after="0"/>
        <w:jc w:val="center"/>
        <w:rPr>
          <w:rFonts w:ascii="Times New Roman" w:hAnsi="Times New Roman"/>
          <w:b/>
          <w:spacing w:val="0"/>
          <w:sz w:val="20"/>
        </w:rPr>
      </w:pPr>
      <w:r>
        <w:rPr>
          <w:rFonts w:ascii="Times New Roman" w:hAnsi="Times New Roman"/>
          <w:b/>
          <w:spacing w:val="0"/>
          <w:sz w:val="20"/>
        </w:rPr>
        <w:t>857-3283</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Securities registered pursuant to Section 12(b) of the Act: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167"/>
        <w:gridCol w:w="60"/>
        <w:gridCol w:w="965"/>
        <w:gridCol w:w="60"/>
        <w:gridCol w:w="1953"/>
      </w:tblGrid>
      <w:tr>
        <w:trPr/>
        <w:tc>
          <w:tcPr>
            <w:tcW w:w="71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r>
      <w:tr>
        <w:trPr/>
        <w:tc>
          <w:tcPr>
            <w:tcW w:w="7167"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shd w:fill="auto" w:val="clear"/>
            <w:vAlign w:val="center"/>
          </w:tcPr>
          <w:p>
            <w:pPr>
              <w:pStyle w:val="TableContents"/>
              <w:spacing w:before="0" w:after="283"/>
              <w:rPr/>
            </w:pPr>
            <w:r>
              <w:rPr/>
              <w:t> </w:t>
            </w:r>
          </w:p>
        </w:tc>
        <w:tc>
          <w:tcPr>
            <w:tcW w:w="1953"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7167" w:type="dxa"/>
            <w:tcBorders/>
            <w:shd w:fill="auto" w:val="clear"/>
            <w:vAlign w:val="center"/>
          </w:tcPr>
          <w:p>
            <w:pPr>
              <w:pStyle w:val="TableContents"/>
              <w:spacing w:before="0" w:after="0"/>
              <w:jc w:val="center"/>
              <w:rPr>
                <w:b/>
                <w:spacing w:val="0"/>
              </w:rPr>
            </w:pPr>
            <w:r>
              <w:rPr>
                <w:b/>
                <w:spacing w:val="0"/>
              </w:rPr>
              <w:t>Common Stock, par value of $0.0001 per share</w:t>
            </w:r>
          </w:p>
        </w:tc>
        <w:tc>
          <w:tcPr>
            <w:tcW w:w="6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b/>
                <w:spacing w:val="0"/>
              </w:rPr>
            </w:pPr>
            <w:r>
              <w:rPr>
                <w:b/>
                <w:spacing w:val="0"/>
              </w:rPr>
              <w:t>DAVE</w:t>
            </w:r>
          </w:p>
        </w:tc>
        <w:tc>
          <w:tcPr>
            <w:tcW w:w="60" w:type="dxa"/>
            <w:tcBorders/>
            <w:shd w:fill="auto" w:val="clear"/>
            <w:vAlign w:val="center"/>
          </w:tcPr>
          <w:p>
            <w:pPr>
              <w:pStyle w:val="TableContents"/>
              <w:spacing w:before="0" w:after="283"/>
              <w:rPr/>
            </w:pPr>
            <w:r>
              <w:rPr/>
              <w:t> </w:t>
            </w:r>
          </w:p>
        </w:tc>
        <w:tc>
          <w:tcPr>
            <w:tcW w:w="1953" w:type="dxa"/>
            <w:tcBorders/>
            <w:shd w:fill="auto" w:val="clear"/>
            <w:vAlign w:val="center"/>
          </w:tcPr>
          <w:p>
            <w:pPr>
              <w:pStyle w:val="TableContents"/>
              <w:spacing w:before="0" w:after="0"/>
              <w:jc w:val="center"/>
              <w:rPr>
                <w:b/>
                <w:spacing w:val="0"/>
              </w:rPr>
            </w:pPr>
            <w:r>
              <w:rPr>
                <w:b/>
                <w:spacing w:val="0"/>
              </w:rPr>
              <w:t>The Nasdaq Stock Market LLC</w:t>
            </w:r>
          </w:p>
        </w:tc>
      </w:tr>
      <w:tr>
        <w:trPr/>
        <w:tc>
          <w:tcPr>
            <w:tcW w:w="7167" w:type="dxa"/>
            <w:tcBorders/>
            <w:shd w:fill="auto" w:val="clear"/>
            <w:vAlign w:val="center"/>
          </w:tcPr>
          <w:p>
            <w:pPr>
              <w:pStyle w:val="TableContents"/>
              <w:spacing w:before="0" w:after="283"/>
              <w:rPr/>
            </w:pPr>
            <w:r>
              <w:rPr/>
              <w:t> </w:t>
            </w:r>
          </w:p>
        </w:tc>
        <w:tc>
          <w:tcPr>
            <w:tcW w:w="1025" w:type="dxa"/>
            <w:gridSpan w:val="2"/>
            <w:tcBorders/>
            <w:shd w:fill="auto" w:val="clear"/>
            <w:vAlign w:val="center"/>
          </w:tcPr>
          <w:p>
            <w:pPr>
              <w:pStyle w:val="TableContents"/>
              <w:spacing w:before="0" w:after="283"/>
              <w:rPr/>
            </w:pPr>
            <w:r>
              <w:rPr/>
              <w:t> </w:t>
            </w:r>
          </w:p>
        </w:tc>
        <w:tc>
          <w:tcPr>
            <w:tcW w:w="2013" w:type="dxa"/>
            <w:gridSpan w:val="2"/>
            <w:tcBorders/>
            <w:shd w:fill="auto" w:val="clear"/>
            <w:vAlign w:val="center"/>
          </w:tcPr>
          <w:p>
            <w:pPr>
              <w:pStyle w:val="TableContents"/>
              <w:spacing w:before="0" w:after="283"/>
              <w:rPr/>
            </w:pPr>
            <w:r>
              <w:rPr/>
              <w:t> </w:t>
            </w:r>
          </w:p>
        </w:tc>
      </w:tr>
      <w:tr>
        <w:trPr/>
        <w:tc>
          <w:tcPr>
            <w:tcW w:w="7167" w:type="dxa"/>
            <w:tcBorders/>
            <w:shd w:fill="auto" w:val="clear"/>
            <w:vAlign w:val="center"/>
          </w:tcPr>
          <w:p>
            <w:pPr>
              <w:pStyle w:val="TableContents"/>
              <w:spacing w:before="0" w:after="0"/>
              <w:jc w:val="center"/>
              <w:rPr>
                <w:b/>
                <w:spacing w:val="0"/>
              </w:rPr>
            </w:pPr>
            <w:r>
              <w:rPr>
                <w:b/>
                <w:spacing w:val="0"/>
              </w:rPr>
              <w:t>Redeemable warrants, each whole warrant exercisable for one share of Class A common stock, each at an exercise price of $11.50 per share</w:t>
            </w:r>
          </w:p>
        </w:tc>
        <w:tc>
          <w:tcPr>
            <w:tcW w:w="6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b/>
                <w:spacing w:val="0"/>
              </w:rPr>
            </w:pPr>
            <w:r>
              <w:rPr>
                <w:b/>
                <w:spacing w:val="0"/>
              </w:rPr>
              <w:t>DAVEW</w:t>
            </w:r>
          </w:p>
        </w:tc>
        <w:tc>
          <w:tcPr>
            <w:tcW w:w="60" w:type="dxa"/>
            <w:tcBorders/>
            <w:shd w:fill="auto" w:val="clear"/>
            <w:vAlign w:val="center"/>
          </w:tcPr>
          <w:p>
            <w:pPr>
              <w:pStyle w:val="TableContents"/>
              <w:spacing w:before="0" w:after="283"/>
              <w:rPr/>
            </w:pPr>
            <w:r>
              <w:rPr/>
              <w:t> </w:t>
            </w:r>
          </w:p>
        </w:tc>
        <w:tc>
          <w:tcPr>
            <w:tcW w:w="1953" w:type="dxa"/>
            <w:tcBorders/>
            <w:shd w:fill="auto" w:val="clear"/>
            <w:vAlign w:val="center"/>
          </w:tcPr>
          <w:p>
            <w:pPr>
              <w:pStyle w:val="TableContents"/>
              <w:spacing w:before="0" w:after="0"/>
              <w:jc w:val="center"/>
              <w:rPr>
                <w:b/>
                <w:spacing w:val="0"/>
              </w:rPr>
            </w:pPr>
            <w:r>
              <w:rPr>
                <w:b/>
                <w:spacing w:val="0"/>
              </w:rPr>
              <w:t>The Nasdaq Stock Market LLC</w:t>
            </w:r>
          </w:p>
        </w:tc>
      </w:tr>
    </w:tbl>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Securities registered pursuant to Section 12(g) of the Act: None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Indicate by check mark if the registrant is not required to file reports pursuant to Section 13 or 15(d) of the Act.    Yes  ☐    No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w:t>
      </w:r>
    </w:p>
    <w:p>
      <w:pPr>
        <w:pStyle w:val="TextBody"/>
        <w:spacing w:before="240" w:after="0"/>
        <w:jc w:val="left"/>
        <w:rPr>
          <w:rFonts w:ascii="Times New Roman" w:hAnsi="Times New Roman"/>
          <w:spacing w:val="0"/>
          <w:sz w:val="20"/>
        </w:rPr>
      </w:pPr>
      <w:r>
        <w:rPr>
          <w:rFonts w:ascii="Times New Roman" w:hAnsi="Times New Roman"/>
          <w:spacing w:val="0"/>
          <w:sz w:val="20"/>
        </w:rPr>
        <w:t>Regulation S-T(§232.405</w:t>
      </w:r>
    </w:p>
    <w:p>
      <w:pPr>
        <w:pStyle w:val="TextBody"/>
        <w:spacing w:before="240" w:after="0"/>
        <w:jc w:val="left"/>
        <w:rPr>
          <w:rFonts w:ascii="Times New Roman" w:hAnsi="Times New Roman"/>
          <w:sz w:val="20"/>
        </w:rPr>
      </w:pPr>
      <w:r>
        <w:rPr>
          <w:rFonts w:ascii="Times New Roman" w:hAnsi="Times New Roman"/>
          <w:sz w:val="20"/>
        </w:rPr>
        <w:t xml:space="preserve">of this chapter) during the preceding 12 months (or for such shorter period that the registrant was required to submit such files).    Yes  ☒    No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spacing w:before="24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w:t>
      </w:r>
    </w:p>
    <w:p>
      <w:pPr>
        <w:pStyle w:val="TextBody"/>
        <w:spacing w:before="240" w:after="0"/>
        <w:jc w:val="left"/>
        <w:rPr>
          <w:rFonts w:ascii="Times New Roman" w:hAnsi="Times New Roman"/>
          <w:spacing w:val="0"/>
          <w:sz w:val="20"/>
        </w:rPr>
      </w:pPr>
      <w:r>
        <w:rPr>
          <w:rFonts w:ascii="Times New Roman" w:hAnsi="Times New Roman"/>
          <w:spacing w:val="0"/>
          <w:sz w:val="20"/>
        </w:rPr>
        <w:t>Rule 12b-2of</w:t>
      </w:r>
    </w:p>
    <w:p>
      <w:pPr>
        <w:pStyle w:val="TextBody"/>
        <w:spacing w:before="240" w:after="0"/>
        <w:jc w:val="left"/>
        <w:rPr>
          <w:rFonts w:ascii="Times New Roman" w:hAnsi="Times New Roman"/>
          <w:sz w:val="20"/>
        </w:rPr>
      </w:pPr>
      <w:r>
        <w:rPr>
          <w:rFonts w:ascii="Times New Roman" w:hAnsi="Times New Roman"/>
          <w:sz w:val="20"/>
        </w:rPr>
        <w:t xml:space="preserve">the Exchange Act. </w:t>
      </w:r>
    </w:p>
    <w:p>
      <w:pPr>
        <w:pStyle w:val="TextBody"/>
        <w:spacing w:before="0" w:after="0"/>
        <w:jc w:val="left"/>
        <w:rPr>
          <w:spacing w:val="0"/>
        </w:rPr>
      </w:pPr>
      <w:r>
        <w:rPr>
          <w:spacing w:val="0"/>
        </w:rPr>
        <w:t> </w:t>
      </w:r>
    </w:p>
    <w:tbl>
      <w:tblPr>
        <w:tblW w:w="5465" w:type="dxa"/>
        <w:jc w:val="left"/>
        <w:tblInd w:w="0" w:type="dxa"/>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283"/>
              <w:rPr/>
            </w:pPr>
            <w:r>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3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Non-accelerated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3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Emerging growth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120" w:after="0"/>
        <w:jc w:val="left"/>
        <w:rPr>
          <w:rFonts w:ascii="Times New Roman" w:hAnsi="Times New Roman"/>
          <w:sz w:val="20"/>
        </w:rPr>
      </w:pPr>
      <w:r>
        <w:rPr>
          <w:rFonts w:ascii="Times New Roman" w:hAnsi="Times New Roman"/>
          <w:sz w:val="20"/>
        </w:rPr>
        <w:t xml:space="preserve">Indicate by check mark whether the registrant is a shell company (as defined in </w:t>
      </w:r>
    </w:p>
    <w:p>
      <w:pPr>
        <w:pStyle w:val="TextBody"/>
        <w:spacing w:before="120" w:after="0"/>
        <w:jc w:val="left"/>
        <w:rPr>
          <w:rFonts w:ascii="Times New Roman" w:hAnsi="Times New Roman"/>
          <w:spacing w:val="0"/>
          <w:sz w:val="20"/>
        </w:rPr>
      </w:pPr>
      <w:r>
        <w:rPr>
          <w:rFonts w:ascii="Times New Roman" w:hAnsi="Times New Roman"/>
          <w:spacing w:val="0"/>
          <w:sz w:val="20"/>
        </w:rPr>
        <w:t>Rule 12b-2of</w:t>
      </w:r>
    </w:p>
    <w:p>
      <w:pPr>
        <w:pStyle w:val="TextBody"/>
        <w:spacing w:before="120" w:after="0"/>
        <w:jc w:val="left"/>
        <w:rPr>
          <w:rFonts w:ascii="Times New Roman" w:hAnsi="Times New Roman"/>
          <w:sz w:val="20"/>
        </w:rPr>
      </w:pPr>
      <w:r>
        <w:rPr>
          <w:rFonts w:ascii="Times New Roman" w:hAnsi="Times New Roman"/>
          <w:sz w:val="20"/>
        </w:rPr>
        <w:t xml:space="preserve">the Act).    Yes  ☐    No  ☒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As of May 5, 2022, the number of outstanding shares of Dave Inc’s Class A common stock was</w:t>
      </w:r>
    </w:p>
    <w:p>
      <w:pPr>
        <w:pStyle w:val="TextBody"/>
        <w:spacing w:before="240" w:after="0"/>
        <w:jc w:val="left"/>
        <w:rPr>
          <w:spacing w:val="0"/>
        </w:rPr>
      </w:pPr>
      <w:r>
        <w:rPr>
          <w:spacing w:val="0"/>
        </w:rPr>
        <w:t> </w:t>
      </w:r>
      <w:r>
        <w:rPr>
          <w:rFonts w:ascii="Times New Roman" w:hAnsi="Times New Roman"/>
          <w:spacing w:val="0"/>
          <w:sz w:val="20"/>
        </w:rPr>
        <w:t>323,539,696</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at and the number of outstanding shares of Dave Inc.’s Class V common stock was 48,450,639. </w:t>
      </w:r>
    </w:p>
    <w:p>
      <w:pPr>
        <w:pStyle w:val="TextBody"/>
        <w:spacing w:before="0" w:after="0"/>
        <w:jc w:val="left"/>
        <w:rPr>
          <w:spacing w:val="0"/>
        </w:rPr>
      </w:pPr>
      <w:r>
        <w:rPr>
          <w:spacing w:val="0"/>
        </w:rPr>
        <w:t> </w:t>
      </w:r>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TABLE OF CONTENTS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5"/>
        <w:gridCol w:w="120"/>
        <w:gridCol w:w="8815"/>
        <w:gridCol w:w="120"/>
        <w:gridCol w:w="60"/>
        <w:gridCol w:w="260"/>
        <w:gridCol w:w="75"/>
      </w:tblGrid>
      <w:tr>
        <w:trPr/>
        <w:tc>
          <w:tcPr>
            <w:tcW w:w="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gridSpan w:val="3"/>
            <w:tcBorders/>
            <w:shd w:fill="auto" w:val="clear"/>
            <w:vAlign w:val="center"/>
          </w:tcPr>
          <w:p>
            <w:pPr>
              <w:pStyle w:val="TableContents"/>
              <w:spacing w:before="0" w:after="0"/>
              <w:rPr/>
            </w:pPr>
            <w:hyperlink w:anchor="tx340063_1">
              <w:r>
                <w:rPr>
                  <w:rStyle w:val="InternetLink"/>
                  <w:rFonts w:ascii="Times New Roman" w:hAnsi="Times New Roman"/>
                  <w:b/>
                  <w:spacing w:val="0"/>
                  <w:sz w:val="20"/>
                </w:rPr>
                <w:t xml:space="preserve">PART I – FINANCIAL INFORMATION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jc w:val="right"/>
              <w:rPr>
                <w:b/>
                <w:spacing w:val="0"/>
              </w:rPr>
            </w:pPr>
            <w:r>
              <w:rPr>
                <w:b/>
                <w:spacing w:val="0"/>
              </w:rPr>
              <w:t>5</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1.</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2">
              <w:r>
                <w:rPr>
                  <w:rStyle w:val="InternetLink"/>
                  <w:b/>
                  <w:spacing w:val="0"/>
                </w:rPr>
                <w:t>Unaudited Condensed Consolidated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jc w:val="right"/>
              <w:rPr>
                <w:b/>
                <w:spacing w:val="0"/>
              </w:rPr>
            </w:pPr>
            <w:r>
              <w:rPr>
                <w:b/>
                <w:spacing w:val="0"/>
              </w:rPr>
              <w:t>5</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2.</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3">
              <w:r>
                <w:rPr>
                  <w:rStyle w:val="InternetLink"/>
                  <w:b/>
                  <w:spacing w:val="0"/>
                </w:rPr>
                <w:t>Management’s Discussion and Analysis of Financial Condition and Results of Operations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39</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3.</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4">
              <w:r>
                <w:rPr>
                  <w:rStyle w:val="InternetLink"/>
                  <w:b/>
                  <w:spacing w:val="0"/>
                </w:rPr>
                <w:t>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55</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4.</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5">
              <w:r>
                <w:rPr>
                  <w:rStyle w:val="InternetLink"/>
                  <w:b/>
                  <w:spacing w:val="0"/>
                </w:rPr>
                <w:t>Controls and Procedures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56</w:t>
            </w:r>
          </w:p>
        </w:tc>
        <w:tc>
          <w:tcPr>
            <w:tcW w:w="75" w:type="dxa"/>
            <w:tcBorders/>
            <w:shd w:fill="auto" w:val="clear"/>
            <w:vAlign w:val="center"/>
          </w:tcPr>
          <w:p>
            <w:pPr>
              <w:pStyle w:val="TableContents"/>
              <w:spacing w:before="0" w:after="0"/>
              <w:rPr>
                <w:spacing w:val="0"/>
              </w:rPr>
            </w:pPr>
            <w:r>
              <w:rPr>
                <w:spacing w:val="0"/>
              </w:rPr>
              <w:t> </w:t>
            </w:r>
          </w:p>
        </w:tc>
      </w:tr>
      <w:tr>
        <w:trPr/>
        <w:tc>
          <w:tcPr>
            <w:tcW w:w="9690" w:type="dxa"/>
            <w:gridSpan w:val="3"/>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gridSpan w:val="3"/>
            <w:tcBorders/>
            <w:shd w:fill="auto" w:val="clear"/>
            <w:vAlign w:val="center"/>
          </w:tcPr>
          <w:p>
            <w:pPr>
              <w:pStyle w:val="TableContents"/>
              <w:spacing w:before="0" w:after="0"/>
              <w:rPr/>
            </w:pPr>
            <w:hyperlink w:anchor="tx340063_6">
              <w:r>
                <w:rPr>
                  <w:rStyle w:val="InternetLink"/>
                  <w:rFonts w:ascii="Times New Roman" w:hAnsi="Times New Roman"/>
                  <w:b/>
                  <w:spacing w:val="0"/>
                  <w:sz w:val="20"/>
                </w:rPr>
                <w:t xml:space="preserve">PART II – OTHER INFORMATION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1.</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7">
              <w:r>
                <w:rPr>
                  <w:rStyle w:val="InternetLink"/>
                  <w:b/>
                  <w:spacing w:val="0"/>
                </w:rPr>
                <w:t>Legal Proceedings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1A.</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8">
              <w:r>
                <w:rPr>
                  <w:rStyle w:val="InternetLink"/>
                  <w:b/>
                  <w:spacing w:val="0"/>
                </w:rPr>
                <w:t>Risk Factors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2.</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9">
              <w:r>
                <w:rPr>
                  <w:rStyle w:val="InternetLink"/>
                  <w:b/>
                  <w:spacing w:val="0"/>
                </w:rPr>
                <w:t>Unregistered Sales of Equity Securities and Use of Proceeds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3.</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10">
              <w:r>
                <w:rPr>
                  <w:rStyle w:val="InternetLink"/>
                  <w:b/>
                  <w:spacing w:val="0"/>
                </w:rPr>
                <w:t>Defaults Upon Senior Securities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4.</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11">
              <w:r>
                <w:rPr>
                  <w:rStyle w:val="InternetLink"/>
                  <w:b/>
                  <w:spacing w:val="0"/>
                </w:rPr>
                <w:t>Mine Safety Disclosures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5.</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12">
              <w:r>
                <w:rPr>
                  <w:rStyle w:val="InternetLink"/>
                  <w:b/>
                  <w:spacing w:val="0"/>
                </w:rPr>
                <w:t>Other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7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Item 6.</w:t>
            </w:r>
          </w:p>
        </w:tc>
        <w:tc>
          <w:tcPr>
            <w:tcW w:w="120" w:type="dxa"/>
            <w:tcBorders/>
            <w:shd w:fill="auto" w:val="clear"/>
            <w:vAlign w:val="center"/>
          </w:tcPr>
          <w:p>
            <w:pPr>
              <w:pStyle w:val="TableContents"/>
              <w:spacing w:before="0" w:after="283"/>
              <w:rPr/>
            </w:pPr>
            <w:r>
              <w:rPr/>
              <w:t>  </w:t>
            </w:r>
          </w:p>
        </w:tc>
        <w:tc>
          <w:tcPr>
            <w:tcW w:w="8815" w:type="dxa"/>
            <w:tcBorders/>
            <w:shd w:fill="auto" w:val="clear"/>
            <w:vAlign w:val="center"/>
          </w:tcPr>
          <w:p>
            <w:pPr>
              <w:pStyle w:val="TableContents"/>
              <w:spacing w:before="0" w:after="0"/>
              <w:rPr/>
            </w:pPr>
            <w:hyperlink w:anchor="tx340063_13">
              <w:r>
                <w:rPr>
                  <w:rStyle w:val="InternetLink"/>
                  <w:b/>
                  <w:spacing w:val="0"/>
                </w:rPr>
                <w:t>Exhibits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57</w:t>
            </w:r>
          </w:p>
        </w:tc>
        <w:tc>
          <w:tcPr>
            <w:tcW w:w="75" w:type="dxa"/>
            <w:tcBorders/>
            <w:shd w:fill="auto" w:val="clear"/>
            <w:vAlign w:val="center"/>
          </w:tcPr>
          <w:p>
            <w:pPr>
              <w:pStyle w:val="TableContents"/>
              <w:spacing w:before="0" w:after="0"/>
              <w:rPr>
                <w:spacing w:val="0"/>
              </w:rPr>
            </w:pPr>
            <w:r>
              <w:rPr>
                <w:spacing w:val="0"/>
              </w:rPr>
              <w:t> </w:t>
            </w:r>
          </w:p>
        </w:tc>
      </w:tr>
      <w:tr>
        <w:trPr/>
        <w:tc>
          <w:tcPr>
            <w:tcW w:w="9690" w:type="dxa"/>
            <w:gridSpan w:val="3"/>
            <w:tcBorders/>
            <w:shd w:fill="auto" w:val="clear"/>
            <w:vAlign w:val="center"/>
          </w:tcPr>
          <w:p>
            <w:pPr>
              <w:pStyle w:val="TableContents"/>
              <w:spacing w:before="0" w:after="0"/>
              <w:rPr/>
            </w:pPr>
            <w:hyperlink w:anchor="tx340063_14">
              <w:r>
                <w:rPr>
                  <w:rStyle w:val="InternetLink"/>
                  <w:rFonts w:ascii="Times New Roman" w:hAnsi="Times New Roman"/>
                  <w:b/>
                  <w:spacing w:val="0"/>
                  <w:sz w:val="20"/>
                </w:rPr>
                <w:t xml:space="preserve">SIGNATURE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rPr>
                <w:b/>
                <w:spacing w:val="0"/>
              </w:rPr>
            </w:pPr>
            <w:r>
              <w:rPr>
                <w:b/>
                <w:spacing w:val="0"/>
              </w:rPr>
              <w:t>59</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Quarterly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or this “report”) contains forward-looking statements within the meaning of Section 27A of the Securities Act of 1933, as amended (the “Securities Act”), and Section 21E of the Securities Exchange Act of 1934, as amended (the “Exchange Act”), that are forward looking and as such are not historical facts. All statements contained in 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10-K</w:t>
      </w:r>
    </w:p>
    <w:p>
      <w:pPr>
        <w:pStyle w:val="TextBody"/>
        <w:spacing w:before="240" w:after="0"/>
        <w:jc w:val="left"/>
        <w:rPr>
          <w:rFonts w:ascii="Times New Roman" w:hAnsi="Times New Roman"/>
          <w:sz w:val="20"/>
        </w:rPr>
      </w:pPr>
      <w:r>
        <w:rPr>
          <w:rFonts w:ascii="Times New Roman" w:hAnsi="Times New Roman"/>
          <w:sz w:val="20"/>
        </w:rPr>
        <w:t xml:space="preserve">for the year ended December 31, 2021 filed with the Securities and Exchange Commission (the “SEC”) on March 25, 2022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may not occur, and actual results could differ materially and adversely from those anticipated or implied in the forward-looking statements. Forward-looking statements contained in 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involve a number of judgments, risks and uncertainties, including, without limitation, risks related to: </w:t>
      </w:r>
    </w:p>
    <w:p>
      <w:pPr>
        <w:pStyle w:val="TextBody"/>
        <w:spacing w:before="0" w:after="0"/>
        <w:jc w:val="left"/>
        <w:rPr>
          <w:spacing w:val="0"/>
        </w:rPr>
      </w:pPr>
      <w:r>
        <w:rPr>
          <w:spacing w:val="0"/>
        </w:rPr>
        <w:t> </w:t>
      </w:r>
    </w:p>
    <w:tbl>
      <w:tblPr>
        <w:tblW w:w="5620" w:type="dxa"/>
        <w:jc w:val="left"/>
        <w:tblInd w:w="0" w:type="dxa"/>
        <w:tblCellMar>
          <w:top w:w="0" w:type="dxa"/>
          <w:left w:w="0" w:type="dxa"/>
          <w:bottom w:w="0" w:type="dxa"/>
          <w:right w:w="0" w:type="dxa"/>
        </w:tblCellMar>
      </w:tblPr>
      <w:tblGrid>
        <w:gridCol w:w="75"/>
        <w:gridCol w:w="110"/>
        <w:gridCol w:w="60"/>
        <w:gridCol w:w="5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of Dave to compete in its highly competitive industry;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of Dave to keep pace with the rapid technological developments in its industry and the larger financial services industry; </w:t>
            </w:r>
          </w:p>
        </w:tc>
      </w:tr>
    </w:tbl>
    <w:p>
      <w:pPr>
        <w:pStyle w:val="TextBody"/>
        <w:spacing w:before="0" w:after="0"/>
        <w:jc w:val="left"/>
        <w:rPr>
          <w:spacing w:val="0"/>
        </w:rPr>
      </w:pPr>
      <w:r>
        <w:rPr>
          <w:spacing w:val="0"/>
        </w:rPr>
        <w:t> </w:t>
      </w:r>
    </w:p>
    <w:tbl>
      <w:tblPr>
        <w:tblW w:w="5350" w:type="dxa"/>
        <w:jc w:val="left"/>
        <w:tblInd w:w="0" w:type="dxa"/>
        <w:tblCellMar>
          <w:top w:w="0" w:type="dxa"/>
          <w:left w:w="0" w:type="dxa"/>
          <w:bottom w:w="0" w:type="dxa"/>
          <w:right w:w="0" w:type="dxa"/>
        </w:tblCellMar>
      </w:tblPr>
      <w:tblGrid>
        <w:gridCol w:w="75"/>
        <w:gridCol w:w="110"/>
        <w:gridCol w:w="60"/>
        <w:gridCol w:w="5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of Dave to manage its growth as a public company; </w:t>
            </w:r>
          </w:p>
        </w:tc>
      </w:tr>
    </w:tbl>
    <w:p>
      <w:pPr>
        <w:pStyle w:val="TextBody"/>
        <w:spacing w:before="0" w:after="0"/>
        <w:jc w:val="left"/>
        <w:rPr>
          <w:spacing w:val="0"/>
        </w:rPr>
      </w:pPr>
      <w:r>
        <w:rPr>
          <w:spacing w:val="0"/>
        </w:rPr>
        <w:t> </w:t>
      </w:r>
    </w:p>
    <w:tbl>
      <w:tblPr>
        <w:tblW w:w="5815" w:type="dxa"/>
        <w:jc w:val="left"/>
        <w:tblInd w:w="0" w:type="dxa"/>
        <w:tblCellMar>
          <w:top w:w="0" w:type="dxa"/>
          <w:left w:w="0" w:type="dxa"/>
          <w:bottom w:w="0" w:type="dxa"/>
          <w:right w:w="0" w:type="dxa"/>
        </w:tblCellMar>
      </w:tblPr>
      <w:tblGrid>
        <w:gridCol w:w="75"/>
        <w:gridCol w:w="110"/>
        <w:gridCol w:w="60"/>
        <w:gridCol w:w="5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of Dave to protect intellectual property and trade secrets;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changes in applicable laws or regulations and extensive and evolving government regulations that impact operations and business; </w:t>
            </w:r>
          </w:p>
        </w:tc>
      </w:tr>
    </w:tbl>
    <w:p>
      <w:pPr>
        <w:pStyle w:val="TextBody"/>
        <w:spacing w:before="0" w:after="0"/>
        <w:jc w:val="left"/>
        <w:rPr>
          <w:spacing w:val="0"/>
        </w:rPr>
      </w:pPr>
      <w:r>
        <w:rPr>
          <w:spacing w:val="0"/>
        </w:rPr>
        <w:t> </w:t>
      </w:r>
    </w:p>
    <w:tbl>
      <w:tblPr>
        <w:tblW w:w="4735" w:type="dxa"/>
        <w:jc w:val="left"/>
        <w:tblInd w:w="0" w:type="dxa"/>
        <w:tblCellMar>
          <w:top w:w="0" w:type="dxa"/>
          <w:left w:w="0" w:type="dxa"/>
          <w:bottom w:w="0" w:type="dxa"/>
          <w:right w:w="0" w:type="dxa"/>
        </w:tblCellMar>
      </w:tblPr>
      <w:tblGrid>
        <w:gridCol w:w="75"/>
        <w:gridCol w:w="110"/>
        <w:gridCol w:w="60"/>
        <w:gridCol w:w="4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to attract or maintain a qualified workforce; </w:t>
            </w:r>
          </w:p>
        </w:tc>
      </w:tr>
    </w:tbl>
    <w:p>
      <w:pPr>
        <w:pStyle w:val="TextBody"/>
        <w:spacing w:before="0" w:after="0"/>
        <w:jc w:val="left"/>
        <w:rPr>
          <w:spacing w:val="0"/>
        </w:rPr>
      </w:pPr>
      <w:r>
        <w:rPr>
          <w:spacing w:val="0"/>
        </w:rPr>
        <w:t> </w:t>
      </w:r>
    </w:p>
    <w:tbl>
      <w:tblPr>
        <w:tblW w:w="8800" w:type="dxa"/>
        <w:jc w:val="left"/>
        <w:tblInd w:w="0" w:type="dxa"/>
        <w:tblCellMar>
          <w:top w:w="0" w:type="dxa"/>
          <w:left w:w="0" w:type="dxa"/>
          <w:bottom w:w="0" w:type="dxa"/>
          <w:right w:w="0" w:type="dxa"/>
        </w:tblCellMar>
      </w:tblPr>
      <w:tblGrid>
        <w:gridCol w:w="75"/>
        <w:gridCol w:w="110"/>
        <w:gridCol w:w="60"/>
        <w:gridCol w:w="8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of product service failures that could lead Dave members (“Members”) to use competitors’ services; </w:t>
            </w:r>
          </w:p>
        </w:tc>
      </w:tr>
    </w:tbl>
    <w:p>
      <w:pPr>
        <w:pStyle w:val="TextBody"/>
        <w:spacing w:before="0" w:after="0"/>
        <w:jc w:val="left"/>
        <w:rPr>
          <w:spacing w:val="0"/>
        </w:rPr>
      </w:pPr>
      <w:r>
        <w:rPr>
          <w:spacing w:val="0"/>
        </w:rPr>
        <w:t> </w:t>
      </w:r>
    </w:p>
    <w:tbl>
      <w:tblPr>
        <w:tblW w:w="9115" w:type="dxa"/>
        <w:jc w:val="left"/>
        <w:tblInd w:w="0" w:type="dxa"/>
        <w:tblCellMar>
          <w:top w:w="0" w:type="dxa"/>
          <w:left w:w="0" w:type="dxa"/>
          <w:bottom w:w="0" w:type="dxa"/>
          <w:right w:w="0" w:type="dxa"/>
        </w:tblCellMar>
      </w:tblPr>
      <w:tblGrid>
        <w:gridCol w:w="75"/>
        <w:gridCol w:w="110"/>
        <w:gridCol w:w="60"/>
        <w:gridCol w:w="88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investigations, claims, disputes, enforcement actions, litigation and/or other regulatory or legal proceedings; </w:t>
            </w:r>
          </w:p>
        </w:tc>
      </w:tr>
    </w:tbl>
    <w:p>
      <w:pPr>
        <w:pStyle w:val="TextBody"/>
        <w:spacing w:before="0" w:after="0"/>
        <w:jc w:val="left"/>
        <w:rPr>
          <w:spacing w:val="0"/>
        </w:rPr>
      </w:pPr>
      <w:r>
        <w:rPr>
          <w:spacing w:val="0"/>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to maintain the listing of Dave Class A Common Stock on Nasdaq; </w:t>
            </w:r>
          </w:p>
        </w:tc>
      </w:tr>
    </w:tbl>
    <w:p>
      <w:pPr>
        <w:pStyle w:val="TextBody"/>
        <w:spacing w:before="0" w:after="0"/>
        <w:jc w:val="left"/>
        <w:rPr>
          <w:spacing w:val="0"/>
        </w:rPr>
      </w:pPr>
      <w:r>
        <w:rPr>
          <w:spacing w:val="0"/>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effects of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pandemic, the Russia-Ukraine war or rising inflation on Dave’s business; </w:t>
            </w:r>
          </w:p>
        </w:tc>
      </w:tr>
    </w:tbl>
    <w:p>
      <w:pPr>
        <w:pStyle w:val="TextBody"/>
        <w:spacing w:before="0" w:after="0"/>
        <w:jc w:val="left"/>
        <w:rPr>
          <w:spacing w:val="0"/>
        </w:rPr>
      </w:pPr>
      <w:r>
        <w:rPr>
          <w:spacing w:val="0"/>
        </w:rPr>
        <w:t> </w:t>
      </w:r>
    </w:p>
    <w:tbl>
      <w:tblPr>
        <w:tblW w:w="9430" w:type="dxa"/>
        <w:jc w:val="left"/>
        <w:tblInd w:w="0" w:type="dxa"/>
        <w:tblCellMar>
          <w:top w:w="0" w:type="dxa"/>
          <w:left w:w="0" w:type="dxa"/>
          <w:bottom w:w="0" w:type="dxa"/>
          <w:right w:w="0" w:type="dxa"/>
        </w:tblCellMar>
      </w:tblPr>
      <w:tblGrid>
        <w:gridCol w:w="75"/>
        <w:gridCol w:w="110"/>
        <w:gridCol w:w="60"/>
        <w:gridCol w:w="9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possibility that Dave may be adversely affected by other economic, business, and/or competitive factors; and </w:t>
            </w:r>
          </w:p>
        </w:tc>
      </w:tr>
    </w:tbl>
    <w:p>
      <w:pPr>
        <w:pStyle w:val="TextBody"/>
        <w:spacing w:before="0" w:after="0"/>
        <w:jc w:val="left"/>
        <w:rPr>
          <w:spacing w:val="0"/>
        </w:rPr>
      </w:pPr>
      <w:r>
        <w:rPr>
          <w:spacing w:val="0"/>
        </w:rPr>
        <w:t> </w:t>
      </w:r>
    </w:p>
    <w:tbl>
      <w:tblPr>
        <w:tblW w:w="6700" w:type="dxa"/>
        <w:jc w:val="left"/>
        <w:tblInd w:w="0" w:type="dxa"/>
        <w:tblCellMar>
          <w:top w:w="0" w:type="dxa"/>
          <w:left w:w="0" w:type="dxa"/>
          <w:bottom w:w="0" w:type="dxa"/>
          <w:right w:w="0" w:type="dxa"/>
        </w:tblCellMar>
      </w:tblPr>
      <w:tblGrid>
        <w:gridCol w:w="75"/>
        <w:gridCol w:w="110"/>
        <w:gridCol w:w="60"/>
        <w:gridCol w:w="6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risks and uncertainties described in this Form </w:t>
            </w:r>
          </w:p>
          <w:p>
            <w:pPr>
              <w:pStyle w:val="TableContents"/>
              <w:spacing w:before="0" w:after="0"/>
              <w:jc w:val="left"/>
              <w:rPr>
                <w:rFonts w:ascii="Times New Roman" w:hAnsi="Times New Roman"/>
                <w:spacing w:val="0"/>
                <w:sz w:val="20"/>
              </w:rPr>
            </w:pPr>
            <w:r>
              <w:rPr>
                <w:rFonts w:ascii="Times New Roman" w:hAnsi="Times New Roman"/>
                <w:spacing w:val="0"/>
                <w:sz w:val="20"/>
              </w:rPr>
              <w:t>10-Q,</w:t>
            </w:r>
          </w:p>
          <w:p>
            <w:pPr>
              <w:pStyle w:val="TableContents"/>
              <w:spacing w:before="0" w:after="0"/>
              <w:jc w:val="left"/>
              <w:rPr>
                <w:rFonts w:ascii="Times New Roman" w:hAnsi="Times New Roman"/>
                <w:sz w:val="20"/>
              </w:rPr>
            </w:pPr>
            <w:r>
              <w:rPr>
                <w:rFonts w:ascii="Times New Roman" w:hAnsi="Times New Roman"/>
                <w:sz w:val="20"/>
              </w:rPr>
              <w:t xml:space="preserve">including those described under Item 1A, “Risk Factors” of the Annual Report.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Except as required by law, we do not intend to update any of these forward-looking statements after the date of this report or to conform these statements to actual results or revised expectations. </w:t>
      </w:r>
    </w:p>
    <w:p>
      <w:pPr>
        <w:pStyle w:val="TextBody"/>
        <w:spacing w:before="240" w:after="0"/>
        <w:jc w:val="left"/>
        <w:rPr>
          <w:rFonts w:ascii="Times New Roman" w:hAnsi="Times New Roman"/>
          <w:sz w:val="20"/>
        </w:rPr>
      </w:pPr>
      <w:r>
        <w:rPr>
          <w:rFonts w:ascii="Times New Roman" w:hAnsi="Times New Roman"/>
          <w:sz w:val="20"/>
        </w:rPr>
        <w:t xml:space="preserve">You should read 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with the understanding that our actual future results, levels of activity, performance and events and circumstances may be materially different from what we expect.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a result of a number of known and unknown risks and uncertainties, including without limitation, the important factors described in Part I, Item 1A, “Risk Factors” in the Annual Report, our actual results or performance may be materially different from those expressed or implied by these forward-looking statements.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As used in this report, the “Company,” “Dave,” “we,” “us,” “our” and similar terms refer Dave Inc. (f/k/a VPC Impact Acquisition Holdings III, Inc.) and its consolidated subsidiaries, unless otherwise noted or the context otherwise requires.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b/>
          <w:spacing w:val="0"/>
          <w:sz w:val="20"/>
        </w:rPr>
      </w:pPr>
      <w:r>
        <w:rPr>
          <w:rFonts w:ascii="Times New Roman" w:hAnsi="Times New Roman"/>
          <w:b/>
          <w:spacing w:val="0"/>
          <w:sz w:val="20"/>
        </w:rPr>
        <w:t xml:space="preserve">Part I — Financial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ind w:left="0" w:right="0" w:hanging="0"/>
        <w:rPr>
          <w:rFonts w:ascii="Times New Roman" w:hAnsi="Times New Roman"/>
          <w:b/>
          <w:spacing w:val="0"/>
          <w:sz w:val="20"/>
          <w:highlight w:val="white"/>
        </w:rPr>
      </w:pPr>
      <w:r>
        <w:rPr>
          <w:rFonts w:ascii="Times New Roman" w:hAnsi="Times New Roman"/>
          <w:b/>
          <w:spacing w:val="0"/>
          <w:sz w:val="20"/>
          <w:highlight w:val="white"/>
        </w:rPr>
        <w:t xml:space="preserve">Item 1.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Dave Inc. and Subsidiaries </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Condensed Consolidated Balance Sheets </w:t>
      </w:r>
    </w:p>
    <w:p>
      <w:pPr>
        <w:pStyle w:val="TextBody"/>
        <w:spacing w:before="0" w:after="0"/>
        <w:ind w:left="0" w:right="0" w:hanging="0"/>
        <w:jc w:val="center"/>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(in thousands; except share data) </w:t>
      </w:r>
    </w:p>
    <w:p>
      <w:pPr>
        <w:pStyle w:val="TextBody"/>
        <w:spacing w:before="0" w:after="0"/>
        <w:ind w:left="0" w:right="0" w:hanging="0"/>
        <w:jc w:val="left"/>
        <w:rPr>
          <w:spacing w:val="0"/>
          <w:highlight w:val="white"/>
        </w:rPr>
      </w:pPr>
      <w:r>
        <w:rPr>
          <w:spacing w:val="0"/>
          <w:highlight w:val="white"/>
        </w:rPr>
        <w:t> </w:t>
      </w:r>
    </w:p>
    <w:tbl>
      <w:tblPr>
        <w:tblW w:w="11935" w:type="dxa"/>
        <w:jc w:val="left"/>
        <w:tblInd w:w="0" w:type="dxa"/>
        <w:tblCellMar>
          <w:top w:w="0" w:type="dxa"/>
          <w:left w:w="0" w:type="dxa"/>
          <w:bottom w:w="0" w:type="dxa"/>
          <w:right w:w="0" w:type="dxa"/>
        </w:tblCellMar>
      </w:tblPr>
      <w:tblGrid>
        <w:gridCol w:w="7835"/>
        <w:gridCol w:w="120"/>
        <w:gridCol w:w="252"/>
        <w:gridCol w:w="1403"/>
        <w:gridCol w:w="125"/>
        <w:gridCol w:w="60"/>
        <w:gridCol w:w="304"/>
        <w:gridCol w:w="1696"/>
        <w:gridCol w:w="140"/>
      </w:tblGrid>
      <w:tr>
        <w:trPr/>
        <w:tc>
          <w:tcPr>
            <w:tcW w:w="7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r>
      <w:tr>
        <w:trPr/>
        <w:tc>
          <w:tcPr>
            <w:tcW w:w="78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55" w:type="dxa"/>
            <w:gridSpan w:val="2"/>
            <w:tcBorders/>
            <w:shd w:fill="auto" w:val="clear"/>
            <w:vAlign w:val="center"/>
          </w:tcPr>
          <w:p>
            <w:pPr>
              <w:pStyle w:val="TableContents"/>
              <w:spacing w:before="0" w:after="0"/>
              <w:jc w:val="center"/>
              <w:rPr>
                <w:b/>
                <w:spacing w:val="0"/>
              </w:rPr>
            </w:pPr>
            <w:r>
              <w:rPr>
                <w:b/>
                <w:spacing w:val="0"/>
              </w:rPr>
              <w:t>As of March 31,</w:t>
              <w:br/>
              <w:t>2022</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000" w:type="dxa"/>
            <w:gridSpan w:val="2"/>
            <w:tcBorders/>
            <w:shd w:fill="auto" w:val="clear"/>
            <w:vAlign w:val="center"/>
          </w:tcPr>
          <w:p>
            <w:pPr>
              <w:pStyle w:val="TableContents"/>
              <w:spacing w:before="0" w:after="0"/>
              <w:jc w:val="center"/>
              <w:rPr>
                <w:b/>
                <w:spacing w:val="0"/>
              </w:rPr>
            </w:pPr>
            <w:r>
              <w:rPr>
                <w:b/>
                <w:spacing w:val="0"/>
              </w:rPr>
              <w:t>As of December 31,</w:t>
              <w:br/>
              <w:t>2021</w:t>
            </w:r>
          </w:p>
        </w:tc>
        <w:tc>
          <w:tcPr>
            <w:tcW w:w="140" w:type="dxa"/>
            <w:tcBorders/>
            <w:shd w:fill="auto" w:val="clear"/>
            <w:vAlign w:val="center"/>
          </w:tcPr>
          <w:p>
            <w:pPr>
              <w:pStyle w:val="TableContents"/>
              <w:spacing w:before="0" w:after="0"/>
              <w:rPr>
                <w:spacing w:val="0"/>
              </w:rPr>
            </w:pPr>
            <w:r>
              <w:rPr>
                <w:spacing w:val="0"/>
              </w:rPr>
              <w:t> </w:t>
            </w:r>
          </w:p>
        </w:tc>
      </w:tr>
      <w:tr>
        <w:trPr/>
        <w:tc>
          <w:tcPr>
            <w:tcW w:w="78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55" w:type="dxa"/>
            <w:gridSpan w:val="2"/>
            <w:tcBorders/>
            <w:shd w:fill="auto" w:val="clear"/>
            <w:vAlign w:val="center"/>
          </w:tcPr>
          <w:p>
            <w:pPr>
              <w:pStyle w:val="TableContents"/>
              <w:spacing w:before="0" w:after="0"/>
              <w:jc w:val="center"/>
              <w:rPr>
                <w:i/>
                <w:caps w:val="false"/>
                <w:smallCaps w:val="false"/>
                <w:spacing w:val="0"/>
              </w:rPr>
            </w:pPr>
            <w:r>
              <w:rPr>
                <w:i/>
                <w:caps w:val="false"/>
                <w:smallCaps w:val="false"/>
                <w:spacing w:val="0"/>
              </w:rPr>
              <w:t>(unaudited)</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000" w:type="dxa"/>
            <w:gridSpan w:val="2"/>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 </w:t>
            </w:r>
          </w:p>
        </w:tc>
      </w:tr>
      <w:tr>
        <w:trPr/>
        <w:tc>
          <w:tcPr>
            <w:tcW w:w="7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r>
      <w:tr>
        <w:trPr/>
        <w:tc>
          <w:tcPr>
            <w:tcW w:w="7835" w:type="dxa"/>
            <w:tcBorders/>
            <w:shd w:fill="CCEEFF"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Assets</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Current assets: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sz w:val="19"/>
              </w:rPr>
            </w:pPr>
            <w:r>
              <w:rPr>
                <w:rFonts w:ascii="Times New Roman" w:hAnsi="Times New Roman"/>
                <w:sz w:val="19"/>
              </w:rPr>
              <w:t>Cash and cash equivalents</w:t>
            </w:r>
          </w:p>
        </w:tc>
        <w:tc>
          <w:tcPr>
            <w:tcW w:w="120" w:type="dxa"/>
            <w:tcBorders/>
            <w:shd w:fill="CCEEFF" w:val="clear"/>
            <w:vAlign w:val="center"/>
          </w:tcPr>
          <w:p>
            <w:pPr>
              <w:pStyle w:val="TableContents"/>
              <w:spacing w:lineRule="atLeast" w:line="190" w:before="0" w:after="0"/>
              <w:rPr/>
            </w:pPr>
            <w:r>
              <w:rPr/>
              <w:t>  </w:t>
            </w:r>
          </w:p>
        </w:tc>
        <w:tc>
          <w:tcPr>
            <w:tcW w:w="252" w:type="dxa"/>
            <w:tcBorders/>
            <w:shd w:fill="CCEEFF" w:val="clear"/>
            <w:vAlign w:val="center"/>
          </w:tcPr>
          <w:p>
            <w:pPr>
              <w:pStyle w:val="TableContents"/>
              <w:spacing w:lineRule="atLeast" w:line="190" w:before="0" w:after="0"/>
              <w:rPr>
                <w:sz w:val="19"/>
              </w:rPr>
            </w:pPr>
            <w:r>
              <w:rPr>
                <w:sz w:val="19"/>
              </w:rPr>
              <w:t>$</w:t>
            </w:r>
          </w:p>
        </w:tc>
        <w:tc>
          <w:tcPr>
            <w:tcW w:w="1403" w:type="dxa"/>
            <w:tcBorders/>
            <w:shd w:fill="CCEEFF" w:val="clear"/>
            <w:vAlign w:val="center"/>
          </w:tcPr>
          <w:p>
            <w:pPr>
              <w:pStyle w:val="TableContents"/>
              <w:spacing w:lineRule="atLeast" w:line="190" w:before="0" w:after="283"/>
              <w:jc w:val="right"/>
              <w:rPr>
                <w:sz w:val="19"/>
              </w:rPr>
            </w:pPr>
            <w:r>
              <w:rPr>
                <w:sz w:val="19"/>
              </w:rPr>
              <w:t>23,569</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sz w:val="19"/>
              </w:rPr>
            </w:pPr>
            <w:r>
              <w:rPr>
                <w:sz w:val="19"/>
              </w:rPr>
              <w:t>$</w:t>
            </w:r>
          </w:p>
        </w:tc>
        <w:tc>
          <w:tcPr>
            <w:tcW w:w="1696" w:type="dxa"/>
            <w:tcBorders/>
            <w:shd w:fill="CCEEFF" w:val="clear"/>
            <w:vAlign w:val="center"/>
          </w:tcPr>
          <w:p>
            <w:pPr>
              <w:pStyle w:val="TableContents"/>
              <w:spacing w:lineRule="atLeast" w:line="190" w:before="0" w:after="283"/>
              <w:jc w:val="right"/>
              <w:rPr>
                <w:sz w:val="19"/>
              </w:rPr>
            </w:pPr>
            <w:r>
              <w:rPr>
                <w:sz w:val="19"/>
              </w:rPr>
              <w:t>32,009</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sz w:val="19"/>
              </w:rPr>
            </w:pPr>
            <w:r>
              <w:rPr>
                <w:rFonts w:ascii="Times New Roman" w:hAnsi="Times New Roman"/>
                <w:sz w:val="19"/>
              </w:rPr>
              <w:t>Marketable securities</w:t>
            </w:r>
          </w:p>
        </w:tc>
        <w:tc>
          <w:tcPr>
            <w:tcW w:w="120" w:type="dxa"/>
            <w:tcBorders/>
            <w:shd w:fill="auto" w:val="clear"/>
            <w:vAlign w:val="center"/>
          </w:tcPr>
          <w:p>
            <w:pPr>
              <w:pStyle w:val="TableContents"/>
              <w:spacing w:lineRule="atLeast" w:line="190" w:before="0" w:after="0"/>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278,265</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8,226</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Member advances, net of allowance for unrecoverable advances of $16,340 and $11,995 as of March 31, 2022 and December 31, 2021, respectively</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61,813</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49,013</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Prepaid income taxes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1,359</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1,381</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Deferred issuance costs</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0"/>
              <w:jc w:val="right"/>
              <w:rPr/>
            </w:pPr>
            <w:r>
              <w:rPr/>
              <w:t>—  </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5,131</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Prepaid expenses and other current assets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10,002</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4,443</w:t>
            </w:r>
          </w:p>
        </w:tc>
        <w:tc>
          <w:tcPr>
            <w:tcW w:w="140" w:type="dxa"/>
            <w:tcBorders/>
            <w:shd w:fill="auto"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single" w:sz="2" w:space="1" w:color="000000"/>
              </w:rPr>
            </w:pPr>
            <w:r>
              <w:rPr>
                <w:bdr w:val="single" w:sz="2" w:space="1" w:color="000000"/>
              </w:rPr>
              <w:t> </w:t>
            </w:r>
          </w:p>
        </w:tc>
        <w:tc>
          <w:tcPr>
            <w:tcW w:w="1403"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1696" w:type="dxa"/>
            <w:tcBorders/>
            <w:shd w:fill="auto" w:val="clear"/>
            <w:vAlign w:val="center"/>
          </w:tcPr>
          <w:p>
            <w:pPr>
              <w:pStyle w:val="TableContents"/>
              <w:spacing w:before="0" w:after="0"/>
              <w:rPr>
                <w:bdr w:val="single" w:sz="2" w:space="1" w:color="000000"/>
              </w:rPr>
            </w:pPr>
            <w:r>
              <w:rPr>
                <w:bdr w:val="single" w:sz="2"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Total current assets</w:t>
            </w:r>
          </w:p>
        </w:tc>
        <w:tc>
          <w:tcPr>
            <w:tcW w:w="120" w:type="dxa"/>
            <w:tcBorders/>
            <w:shd w:fill="CCEEFF" w:val="clear"/>
            <w:vAlign w:val="center"/>
          </w:tcPr>
          <w:p>
            <w:pPr>
              <w:pStyle w:val="TableContents"/>
              <w:spacing w:lineRule="atLeast" w:line="190" w:before="0" w:after="0"/>
              <w:rPr/>
            </w:pPr>
            <w:r>
              <w:rPr/>
              <w:t>  </w:t>
            </w:r>
          </w:p>
        </w:tc>
        <w:tc>
          <w:tcPr>
            <w:tcW w:w="252" w:type="dxa"/>
            <w:tcBorders/>
            <w:shd w:fill="CCEEFF" w:val="clear"/>
            <w:vAlign w:val="center"/>
          </w:tcPr>
          <w:p>
            <w:pPr>
              <w:pStyle w:val="TableContents"/>
              <w:spacing w:lineRule="atLeast" w:line="190" w:before="0" w:after="0"/>
              <w:rPr>
                <w:spacing w:val="0"/>
              </w:rPr>
            </w:pPr>
            <w:r>
              <w:rPr>
                <w:spacing w:val="0"/>
              </w:rPr>
              <w:t> </w:t>
            </w:r>
          </w:p>
        </w:tc>
        <w:tc>
          <w:tcPr>
            <w:tcW w:w="1403" w:type="dxa"/>
            <w:tcBorders/>
            <w:shd w:fill="CCEEFF" w:val="clear"/>
            <w:vAlign w:val="center"/>
          </w:tcPr>
          <w:p>
            <w:pPr>
              <w:pStyle w:val="TableContents"/>
              <w:spacing w:lineRule="atLeast" w:line="190" w:before="0" w:after="0"/>
              <w:jc w:val="right"/>
              <w:rPr>
                <w:b/>
                <w:spacing w:val="0"/>
                <w:sz w:val="19"/>
              </w:rPr>
            </w:pPr>
            <w:r>
              <w:rPr>
                <w:b/>
                <w:spacing w:val="0"/>
                <w:sz w:val="19"/>
              </w:rPr>
              <w:t>375,008</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spacing w:val="0"/>
              </w:rPr>
            </w:pPr>
            <w:r>
              <w:rPr>
                <w:spacing w:val="0"/>
              </w:rPr>
              <w:t> </w:t>
            </w:r>
          </w:p>
        </w:tc>
        <w:tc>
          <w:tcPr>
            <w:tcW w:w="1696" w:type="dxa"/>
            <w:tcBorders/>
            <w:shd w:fill="CCEEFF" w:val="clear"/>
            <w:vAlign w:val="center"/>
          </w:tcPr>
          <w:p>
            <w:pPr>
              <w:pStyle w:val="TableContents"/>
              <w:spacing w:lineRule="atLeast" w:line="190" w:before="0" w:after="0"/>
              <w:jc w:val="right"/>
              <w:rPr>
                <w:b/>
                <w:spacing w:val="0"/>
                <w:sz w:val="19"/>
              </w:rPr>
            </w:pPr>
            <w:r>
              <w:rPr>
                <w:b/>
                <w:spacing w:val="0"/>
                <w:sz w:val="19"/>
              </w:rPr>
              <w:t>100,203</w:t>
            </w:r>
          </w:p>
        </w:tc>
        <w:tc>
          <w:tcPr>
            <w:tcW w:w="140" w:type="dxa"/>
            <w:tcBorders/>
            <w:shd w:fill="CCEEFF" w:val="clear"/>
            <w:vAlign w:val="center"/>
          </w:tcPr>
          <w:p>
            <w:pPr>
              <w:pStyle w:val="TableContents"/>
              <w:spacing w:before="0" w:after="0"/>
              <w:rPr>
                <w:spacing w:val="0"/>
              </w:rPr>
            </w:pPr>
            <w:r>
              <w:rPr>
                <w:spacing w:val="0"/>
              </w:rPr>
              <w:t> </w:t>
            </w:r>
          </w:p>
        </w:tc>
      </w:tr>
      <w:tr>
        <w:trPr/>
        <w:tc>
          <w:tcPr>
            <w:tcW w:w="7835" w:type="dxa"/>
            <w:tcBorders/>
            <w:shd w:fill="auto" w:val="clear"/>
            <w:vAlign w:val="center"/>
          </w:tcPr>
          <w:p>
            <w:pPr>
              <w:pStyle w:val="TableContents"/>
              <w:spacing w:lineRule="atLeast" w:line="190" w:before="0" w:after="0"/>
              <w:rPr>
                <w:rFonts w:ascii="Times New Roman" w:hAnsi="Times New Roman"/>
                <w:sz w:val="19"/>
              </w:rPr>
            </w:pPr>
            <w:r>
              <w:rPr>
                <w:rFonts w:ascii="Times New Roman" w:hAnsi="Times New Roman"/>
                <w:sz w:val="19"/>
              </w:rPr>
              <w:t>Property and equipment, net</w:t>
            </w:r>
          </w:p>
        </w:tc>
        <w:tc>
          <w:tcPr>
            <w:tcW w:w="120" w:type="dxa"/>
            <w:tcBorders/>
            <w:shd w:fill="auto" w:val="clear"/>
            <w:vAlign w:val="center"/>
          </w:tcPr>
          <w:p>
            <w:pPr>
              <w:pStyle w:val="TableContents"/>
              <w:spacing w:lineRule="atLeast" w:line="190" w:before="0" w:after="0"/>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849</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685</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spacing w:val="0"/>
                <w:sz w:val="19"/>
              </w:rPr>
            </w:pPr>
            <w:r>
              <w:rPr>
                <w:rFonts w:ascii="Times New Roman" w:hAnsi="Times New Roman"/>
                <w:spacing w:val="0"/>
                <w:sz w:val="19"/>
              </w:rPr>
              <w:t>Lease right-of-use assets (related-party of $914 and $970 as of March 31, 2022 and December 31,</w:t>
            </w:r>
          </w:p>
          <w:p>
            <w:pPr>
              <w:pStyle w:val="TableContents"/>
              <w:spacing w:lineRule="atLeast" w:line="190" w:before="0" w:after="0"/>
              <w:rPr>
                <w:rFonts w:ascii="Times New Roman" w:hAnsi="Times New Roman"/>
                <w:sz w:val="19"/>
              </w:rPr>
            </w:pPr>
            <w:r>
              <w:rPr>
                <w:rFonts w:ascii="Times New Roman" w:hAnsi="Times New Roman"/>
                <w:sz w:val="19"/>
              </w:rPr>
              <w:t>2021, respectively)</w:t>
            </w:r>
          </w:p>
        </w:tc>
        <w:tc>
          <w:tcPr>
            <w:tcW w:w="120" w:type="dxa"/>
            <w:tcBorders/>
            <w:shd w:fill="CCEEFF" w:val="clear"/>
            <w:vAlign w:val="center"/>
          </w:tcPr>
          <w:p>
            <w:pPr>
              <w:pStyle w:val="TableContents"/>
              <w:spacing w:lineRule="atLeast" w:line="190" w:before="0" w:after="0"/>
              <w:rPr/>
            </w:pPr>
            <w:r>
              <w:rPr/>
              <w:t>  </w:t>
            </w:r>
          </w:p>
        </w:tc>
        <w:tc>
          <w:tcPr>
            <w:tcW w:w="252" w:type="dxa"/>
            <w:tcBorders/>
            <w:shd w:fill="CCEEFF" w:val="clear"/>
            <w:vAlign w:val="center"/>
          </w:tcPr>
          <w:p>
            <w:pPr>
              <w:pStyle w:val="TableContents"/>
              <w:spacing w:lineRule="atLeast" w:line="190" w:before="0" w:after="0"/>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2,263</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2,702</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sz w:val="19"/>
              </w:rPr>
            </w:pPr>
            <w:r>
              <w:rPr>
                <w:rFonts w:ascii="Times New Roman" w:hAnsi="Times New Roman"/>
                <w:sz w:val="19"/>
              </w:rPr>
              <w:t>Intangible assets, net</w:t>
            </w:r>
          </w:p>
        </w:tc>
        <w:tc>
          <w:tcPr>
            <w:tcW w:w="120" w:type="dxa"/>
            <w:tcBorders/>
            <w:shd w:fill="auto" w:val="clear"/>
            <w:vAlign w:val="center"/>
          </w:tcPr>
          <w:p>
            <w:pPr>
              <w:pStyle w:val="TableContents"/>
              <w:spacing w:lineRule="atLeast" w:line="190" w:before="0" w:after="0"/>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9,090</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7,849</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sz w:val="19"/>
              </w:rPr>
            </w:pPr>
            <w:r>
              <w:rPr>
                <w:rFonts w:ascii="Times New Roman" w:hAnsi="Times New Roman"/>
                <w:sz w:val="19"/>
              </w:rPr>
              <w:t>Derivative asset on loans to stockholders</w:t>
            </w:r>
          </w:p>
        </w:tc>
        <w:tc>
          <w:tcPr>
            <w:tcW w:w="120" w:type="dxa"/>
            <w:tcBorders/>
            <w:shd w:fill="CCEEFF" w:val="clear"/>
            <w:vAlign w:val="center"/>
          </w:tcPr>
          <w:p>
            <w:pPr>
              <w:pStyle w:val="TableContents"/>
              <w:spacing w:lineRule="atLeast" w:line="190" w:before="0" w:after="0"/>
              <w:rPr/>
            </w:pPr>
            <w:r>
              <w:rPr/>
              <w:t>  </w:t>
            </w:r>
          </w:p>
        </w:tc>
        <w:tc>
          <w:tcPr>
            <w:tcW w:w="252" w:type="dxa"/>
            <w:tcBorders/>
            <w:shd w:fill="CCEEFF" w:val="clear"/>
            <w:vAlign w:val="center"/>
          </w:tcPr>
          <w:p>
            <w:pPr>
              <w:pStyle w:val="TableContents"/>
              <w:spacing w:lineRule="atLeast" w:line="190" w:before="0" w:after="0"/>
              <w:rPr/>
            </w:pPr>
            <w:r>
              <w:rPr/>
              <w:t> </w:t>
            </w:r>
          </w:p>
        </w:tc>
        <w:tc>
          <w:tcPr>
            <w:tcW w:w="1403" w:type="dxa"/>
            <w:tcBorders/>
            <w:shd w:fill="CCEEFF" w:val="clear"/>
            <w:vAlign w:val="center"/>
          </w:tcPr>
          <w:p>
            <w:pPr>
              <w:pStyle w:val="TableContents"/>
              <w:spacing w:lineRule="atLeast" w:line="190" w:before="0" w:after="0"/>
              <w:jc w:val="right"/>
              <w:rPr/>
            </w:pPr>
            <w:r>
              <w:rPr/>
              <w:t>—  </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35,253</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sz w:val="19"/>
              </w:rPr>
            </w:pPr>
            <w:r>
              <w:rPr>
                <w:rFonts w:ascii="Times New Roman" w:hAnsi="Times New Roman"/>
                <w:sz w:val="19"/>
              </w:rPr>
              <w:t>Debt facility commitment fee, long-term</w:t>
            </w:r>
          </w:p>
        </w:tc>
        <w:tc>
          <w:tcPr>
            <w:tcW w:w="120" w:type="dxa"/>
            <w:tcBorders/>
            <w:shd w:fill="auto" w:val="clear"/>
            <w:vAlign w:val="center"/>
          </w:tcPr>
          <w:p>
            <w:pPr>
              <w:pStyle w:val="TableContents"/>
              <w:spacing w:lineRule="atLeast" w:line="190" w:before="0" w:after="0"/>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117</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131</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sz w:val="19"/>
              </w:rPr>
            </w:pPr>
            <w:r>
              <w:rPr>
                <w:rFonts w:ascii="Times New Roman" w:hAnsi="Times New Roman"/>
                <w:sz w:val="19"/>
              </w:rPr>
              <w:t>Restricted cash, net of current portion</w:t>
            </w:r>
          </w:p>
        </w:tc>
        <w:tc>
          <w:tcPr>
            <w:tcW w:w="120" w:type="dxa"/>
            <w:tcBorders/>
            <w:shd w:fill="CCEEFF" w:val="clear"/>
            <w:vAlign w:val="center"/>
          </w:tcPr>
          <w:p>
            <w:pPr>
              <w:pStyle w:val="TableContents"/>
              <w:spacing w:lineRule="atLeast" w:line="190" w:before="0" w:after="0"/>
              <w:rPr/>
            </w:pPr>
            <w:r>
              <w:rPr/>
              <w:t>  </w:t>
            </w:r>
          </w:p>
        </w:tc>
        <w:tc>
          <w:tcPr>
            <w:tcW w:w="252" w:type="dxa"/>
            <w:tcBorders/>
            <w:shd w:fill="CCEEFF" w:val="clear"/>
            <w:vAlign w:val="center"/>
          </w:tcPr>
          <w:p>
            <w:pPr>
              <w:pStyle w:val="TableContents"/>
              <w:spacing w:lineRule="atLeast" w:line="190" w:before="0" w:after="0"/>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447</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363</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single" w:sz="2" w:space="1" w:color="000000"/>
              </w:rPr>
            </w:pPr>
            <w:r>
              <w:rPr>
                <w:bdr w:val="single" w:sz="2" w:space="1" w:color="000000"/>
              </w:rPr>
              <w:t> </w:t>
            </w:r>
          </w:p>
        </w:tc>
        <w:tc>
          <w:tcPr>
            <w:tcW w:w="1403"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1696" w:type="dxa"/>
            <w:tcBorders/>
            <w:shd w:fill="auto" w:val="clear"/>
            <w:vAlign w:val="center"/>
          </w:tcPr>
          <w:p>
            <w:pPr>
              <w:pStyle w:val="TableContents"/>
              <w:spacing w:before="0" w:after="0"/>
              <w:rPr>
                <w:bdr w:val="single" w:sz="2" w:space="1" w:color="000000"/>
              </w:rPr>
            </w:pPr>
            <w:r>
              <w:rPr>
                <w:bdr w:val="single" w:sz="2"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Total assets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lineRule="atLeast" w:line="190" w:before="0" w:after="0"/>
              <w:rPr>
                <w:b/>
                <w:spacing w:val="0"/>
                <w:sz w:val="19"/>
              </w:rPr>
            </w:pPr>
            <w:r>
              <w:rPr>
                <w:b/>
                <w:spacing w:val="0"/>
                <w:sz w:val="19"/>
              </w:rPr>
              <w:t>$</w:t>
            </w:r>
          </w:p>
        </w:tc>
        <w:tc>
          <w:tcPr>
            <w:tcW w:w="1403" w:type="dxa"/>
            <w:tcBorders/>
            <w:shd w:fill="auto" w:val="clear"/>
            <w:vAlign w:val="center"/>
          </w:tcPr>
          <w:p>
            <w:pPr>
              <w:pStyle w:val="TableContents"/>
              <w:spacing w:lineRule="atLeast" w:line="190" w:before="0" w:after="0"/>
              <w:jc w:val="right"/>
              <w:rPr>
                <w:b/>
                <w:spacing w:val="0"/>
                <w:sz w:val="19"/>
              </w:rPr>
            </w:pPr>
            <w:r>
              <w:rPr>
                <w:b/>
                <w:spacing w:val="0"/>
                <w:sz w:val="19"/>
              </w:rPr>
              <w:t>387,774</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b/>
                <w:spacing w:val="0"/>
                <w:sz w:val="19"/>
              </w:rPr>
            </w:pPr>
            <w:r>
              <w:rPr>
                <w:b/>
                <w:spacing w:val="0"/>
                <w:sz w:val="19"/>
              </w:rPr>
              <w:t>$</w:t>
            </w:r>
          </w:p>
        </w:tc>
        <w:tc>
          <w:tcPr>
            <w:tcW w:w="1696" w:type="dxa"/>
            <w:tcBorders/>
            <w:shd w:fill="auto" w:val="clear"/>
            <w:vAlign w:val="center"/>
          </w:tcPr>
          <w:p>
            <w:pPr>
              <w:pStyle w:val="TableContents"/>
              <w:spacing w:lineRule="atLeast" w:line="190" w:before="0" w:after="0"/>
              <w:jc w:val="right"/>
              <w:rPr>
                <w:b/>
                <w:spacing w:val="0"/>
                <w:sz w:val="19"/>
              </w:rPr>
            </w:pPr>
            <w:r>
              <w:rPr>
                <w:b/>
                <w:spacing w:val="0"/>
                <w:sz w:val="19"/>
              </w:rPr>
              <w:t>147,186</w:t>
            </w:r>
          </w:p>
        </w:tc>
        <w:tc>
          <w:tcPr>
            <w:tcW w:w="140" w:type="dxa"/>
            <w:tcBorders/>
            <w:shd w:fill="auto" w:val="clear"/>
            <w:vAlign w:val="center"/>
          </w:tcPr>
          <w:p>
            <w:pPr>
              <w:pStyle w:val="TableContents"/>
              <w:spacing w:before="0" w:after="0"/>
              <w:rPr>
                <w:spacing w:val="0"/>
              </w:rPr>
            </w:pPr>
            <w:r>
              <w:rPr>
                <w:spacing w:val="0"/>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double" w:sz="6" w:space="1" w:color="000000"/>
              </w:rPr>
            </w:pPr>
            <w:r>
              <w:rPr>
                <w:bdr w:val="double" w:sz="6" w:space="1" w:color="000000"/>
              </w:rPr>
              <w:t> </w:t>
            </w:r>
          </w:p>
        </w:tc>
        <w:tc>
          <w:tcPr>
            <w:tcW w:w="1403"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1696" w:type="dxa"/>
            <w:tcBorders/>
            <w:shd w:fill="auto" w:val="clear"/>
            <w:vAlign w:val="center"/>
          </w:tcPr>
          <w:p>
            <w:pPr>
              <w:pStyle w:val="TableContents"/>
              <w:spacing w:before="0" w:after="0"/>
              <w:rPr>
                <w:bdr w:val="double" w:sz="6" w:space="1" w:color="000000"/>
              </w:rPr>
            </w:pPr>
            <w:r>
              <w:rPr>
                <w:bdr w:val="double" w:sz="6"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Liabilities, and stockholders’ equity</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Current liabilities: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Accounts payable</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lineRule="atLeast" w:line="190" w:before="0" w:after="0"/>
              <w:rPr>
                <w:sz w:val="19"/>
              </w:rPr>
            </w:pPr>
            <w:r>
              <w:rPr>
                <w:sz w:val="19"/>
              </w:rPr>
              <w:t>$</w:t>
            </w:r>
          </w:p>
        </w:tc>
        <w:tc>
          <w:tcPr>
            <w:tcW w:w="1403" w:type="dxa"/>
            <w:tcBorders/>
            <w:shd w:fill="CCEEFF" w:val="clear"/>
            <w:vAlign w:val="center"/>
          </w:tcPr>
          <w:p>
            <w:pPr>
              <w:pStyle w:val="TableContents"/>
              <w:spacing w:lineRule="atLeast" w:line="190" w:before="0" w:after="283"/>
              <w:jc w:val="right"/>
              <w:rPr>
                <w:sz w:val="19"/>
              </w:rPr>
            </w:pPr>
            <w:r>
              <w:rPr>
                <w:sz w:val="19"/>
              </w:rPr>
              <w:t>13,599</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sz w:val="19"/>
              </w:rPr>
            </w:pPr>
            <w:r>
              <w:rPr>
                <w:sz w:val="19"/>
              </w:rPr>
              <w:t>$</w:t>
            </w:r>
          </w:p>
        </w:tc>
        <w:tc>
          <w:tcPr>
            <w:tcW w:w="1696" w:type="dxa"/>
            <w:tcBorders/>
            <w:shd w:fill="CCEEFF" w:val="clear"/>
            <w:vAlign w:val="center"/>
          </w:tcPr>
          <w:p>
            <w:pPr>
              <w:pStyle w:val="TableContents"/>
              <w:spacing w:lineRule="atLeast" w:line="190" w:before="0" w:after="283"/>
              <w:jc w:val="right"/>
              <w:rPr>
                <w:sz w:val="19"/>
              </w:rPr>
            </w:pPr>
            <w:r>
              <w:rPr>
                <w:sz w:val="19"/>
              </w:rPr>
              <w:t>13,044</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Accrued expenses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11,609</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13,045</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Lease liabilities, short-term (related-party of $253 and $243 as of March 31, 2022 and December 31, 2021, respectively)</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lineRule="atLeast" w:line="190" w:before="0" w:after="0"/>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1,674</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1,920</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Legal settlement accrual</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3,576</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3,701</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Note payable</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lineRule="atLeast" w:line="190" w:before="0" w:after="0"/>
              <w:rPr/>
            </w:pPr>
            <w:r>
              <w:rPr/>
              <w:t> </w:t>
            </w:r>
          </w:p>
        </w:tc>
        <w:tc>
          <w:tcPr>
            <w:tcW w:w="1403" w:type="dxa"/>
            <w:tcBorders/>
            <w:shd w:fill="CCEEFF" w:val="clear"/>
            <w:vAlign w:val="center"/>
          </w:tcPr>
          <w:p>
            <w:pPr>
              <w:pStyle w:val="TableContents"/>
              <w:spacing w:lineRule="atLeast" w:line="190" w:before="0" w:after="0"/>
              <w:jc w:val="right"/>
              <w:rPr/>
            </w:pPr>
            <w:r>
              <w:rPr/>
              <w:t>—  </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15,051</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Credit facility</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20,000</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20,000</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Convertible debt, current</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lineRule="atLeast" w:line="190" w:before="0" w:after="0"/>
              <w:rPr/>
            </w:pPr>
            <w:r>
              <w:rPr/>
              <w:t> </w:t>
            </w:r>
          </w:p>
        </w:tc>
        <w:tc>
          <w:tcPr>
            <w:tcW w:w="1403" w:type="dxa"/>
            <w:tcBorders/>
            <w:shd w:fill="CCEEFF" w:val="clear"/>
            <w:vAlign w:val="center"/>
          </w:tcPr>
          <w:p>
            <w:pPr>
              <w:pStyle w:val="TableContents"/>
              <w:spacing w:lineRule="atLeast" w:line="190" w:before="0" w:after="0"/>
              <w:jc w:val="right"/>
              <w:rPr/>
            </w:pPr>
            <w:r>
              <w:rPr/>
              <w:t>—  </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695</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sz w:val="19"/>
              </w:rPr>
            </w:pPr>
            <w:r>
              <w:rPr>
                <w:rFonts w:ascii="Times New Roman" w:hAnsi="Times New Roman"/>
                <w:sz w:val="19"/>
              </w:rPr>
              <w:t>Interest payable, convertible notes, current</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lineRule="atLeast" w:line="190" w:before="0" w:after="0"/>
              <w:rPr/>
            </w:pPr>
            <w:r>
              <w:rPr/>
              <w:t> </w:t>
            </w:r>
          </w:p>
        </w:tc>
        <w:tc>
          <w:tcPr>
            <w:tcW w:w="1403" w:type="dxa"/>
            <w:tcBorders/>
            <w:shd w:fill="auto" w:val="clear"/>
            <w:vAlign w:val="center"/>
          </w:tcPr>
          <w:p>
            <w:pPr>
              <w:pStyle w:val="TableContents"/>
              <w:spacing w:lineRule="atLeast" w:line="190" w:before="0" w:after="0"/>
              <w:jc w:val="right"/>
              <w:rPr/>
            </w:pPr>
            <w:r>
              <w:rPr/>
              <w:t>—  </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25</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sz w:val="19"/>
              </w:rPr>
            </w:pPr>
            <w:r>
              <w:rPr>
                <w:rFonts w:ascii="Times New Roman" w:hAnsi="Times New Roman"/>
                <w:sz w:val="19"/>
              </w:rPr>
              <w:t>Other current liabilities</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lineRule="atLeast" w:line="190" w:before="0" w:after="0"/>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8,332</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1,153</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single" w:sz="2" w:space="1" w:color="000000"/>
              </w:rPr>
            </w:pPr>
            <w:r>
              <w:rPr>
                <w:bdr w:val="single" w:sz="2" w:space="1" w:color="000000"/>
              </w:rPr>
              <w:t> </w:t>
            </w:r>
          </w:p>
        </w:tc>
        <w:tc>
          <w:tcPr>
            <w:tcW w:w="1403"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1696" w:type="dxa"/>
            <w:tcBorders/>
            <w:shd w:fill="auto" w:val="clear"/>
            <w:vAlign w:val="center"/>
          </w:tcPr>
          <w:p>
            <w:pPr>
              <w:pStyle w:val="TableContents"/>
              <w:spacing w:before="0" w:after="0"/>
              <w:rPr>
                <w:bdr w:val="single" w:sz="2" w:space="1" w:color="000000"/>
              </w:rPr>
            </w:pPr>
            <w:r>
              <w:rPr>
                <w:bdr w:val="single" w:sz="2"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Total current liabilities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rPr>
            </w:pPr>
            <w:r>
              <w:rPr>
                <w:spacing w:val="0"/>
              </w:rPr>
              <w:t> </w:t>
            </w:r>
          </w:p>
        </w:tc>
        <w:tc>
          <w:tcPr>
            <w:tcW w:w="1403" w:type="dxa"/>
            <w:tcBorders/>
            <w:shd w:fill="auto" w:val="clear"/>
            <w:vAlign w:val="center"/>
          </w:tcPr>
          <w:p>
            <w:pPr>
              <w:pStyle w:val="TableContents"/>
              <w:spacing w:lineRule="atLeast" w:line="190" w:before="0" w:after="0"/>
              <w:jc w:val="right"/>
              <w:rPr>
                <w:b/>
                <w:spacing w:val="0"/>
                <w:sz w:val="19"/>
              </w:rPr>
            </w:pPr>
            <w:r>
              <w:rPr>
                <w:b/>
                <w:spacing w:val="0"/>
                <w:sz w:val="19"/>
              </w:rPr>
              <w:t>58,790</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spacing w:val="0"/>
              </w:rPr>
            </w:pPr>
            <w:r>
              <w:rPr>
                <w:spacing w:val="0"/>
              </w:rPr>
              <w:t> </w:t>
            </w:r>
          </w:p>
        </w:tc>
        <w:tc>
          <w:tcPr>
            <w:tcW w:w="1696" w:type="dxa"/>
            <w:tcBorders/>
            <w:shd w:fill="auto" w:val="clear"/>
            <w:vAlign w:val="center"/>
          </w:tcPr>
          <w:p>
            <w:pPr>
              <w:pStyle w:val="TableContents"/>
              <w:spacing w:lineRule="atLeast" w:line="190" w:before="0" w:after="0"/>
              <w:jc w:val="right"/>
              <w:rPr>
                <w:b/>
                <w:spacing w:val="0"/>
                <w:sz w:val="19"/>
              </w:rPr>
            </w:pPr>
            <w:r>
              <w:rPr>
                <w:b/>
                <w:spacing w:val="0"/>
                <w:sz w:val="19"/>
              </w:rPr>
              <w:t>68,634</w:t>
            </w:r>
          </w:p>
        </w:tc>
        <w:tc>
          <w:tcPr>
            <w:tcW w:w="140" w:type="dxa"/>
            <w:tcBorders/>
            <w:shd w:fill="auto" w:val="clear"/>
            <w:vAlign w:val="center"/>
          </w:tcPr>
          <w:p>
            <w:pPr>
              <w:pStyle w:val="TableContents"/>
              <w:spacing w:before="0" w:after="0"/>
              <w:rPr>
                <w:spacing w:val="0"/>
              </w:rPr>
            </w:pPr>
            <w:r>
              <w:rPr>
                <w:spacing w:val="0"/>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Lease liabilities, long-term (related-party of $754 and $822 as of March 31, 2022 and December 31, 2021, respectively)</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754</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970</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Debt facility, long-term</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35,000</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35,000</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Convertible debt, long-term</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99,949</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lineRule="atLeast" w:line="190" w:before="0" w:after="0"/>
              <w:jc w:val="right"/>
              <w:rPr/>
            </w:pPr>
            <w:r>
              <w:rPr/>
              <w:t>—  </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Warrant liabilities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18,720</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3,726</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Other </w:t>
            </w:r>
          </w:p>
          <w:p>
            <w:pPr>
              <w:pStyle w:val="TableContents"/>
              <w:spacing w:lineRule="atLeast" w:line="190" w:before="0" w:after="0"/>
              <w:rPr>
                <w:rFonts w:ascii="Times New Roman" w:hAnsi="Times New Roman"/>
                <w:spacing w:val="0"/>
                <w:sz w:val="19"/>
              </w:rPr>
            </w:pPr>
            <w:r>
              <w:rPr>
                <w:rFonts w:ascii="Times New Roman" w:hAnsi="Times New Roman"/>
                <w:spacing w:val="0"/>
                <w:sz w:val="19"/>
              </w:rPr>
              <w:t>non-current</w:t>
            </w:r>
          </w:p>
          <w:p>
            <w:pPr>
              <w:pStyle w:val="TableContents"/>
              <w:spacing w:before="0" w:after="0"/>
              <w:rPr>
                <w:rFonts w:ascii="Times New Roman" w:hAnsi="Times New Roman"/>
                <w:sz w:val="19"/>
              </w:rPr>
            </w:pPr>
            <w:r>
              <w:rPr>
                <w:rFonts w:ascii="Times New Roman" w:hAnsi="Times New Roman"/>
                <w:sz w:val="19"/>
              </w:rPr>
              <w:t>liabilities</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121</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119</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single" w:sz="2" w:space="1" w:color="000000"/>
              </w:rPr>
            </w:pPr>
            <w:r>
              <w:rPr>
                <w:bdr w:val="single" w:sz="2" w:space="1" w:color="000000"/>
              </w:rPr>
              <w:t> </w:t>
            </w:r>
          </w:p>
        </w:tc>
        <w:tc>
          <w:tcPr>
            <w:tcW w:w="1403"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1696" w:type="dxa"/>
            <w:tcBorders/>
            <w:shd w:fill="auto" w:val="clear"/>
            <w:vAlign w:val="center"/>
          </w:tcPr>
          <w:p>
            <w:pPr>
              <w:pStyle w:val="TableContents"/>
              <w:spacing w:before="0" w:after="0"/>
              <w:rPr>
                <w:bdr w:val="single" w:sz="2" w:space="1" w:color="000000"/>
              </w:rPr>
            </w:pPr>
            <w:r>
              <w:rPr>
                <w:bdr w:val="single" w:sz="2"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Total liabilities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rPr>
            </w:pPr>
            <w:r>
              <w:rPr>
                <w:spacing w:val="0"/>
              </w:rPr>
              <w:t> </w:t>
            </w:r>
          </w:p>
        </w:tc>
        <w:tc>
          <w:tcPr>
            <w:tcW w:w="1403" w:type="dxa"/>
            <w:tcBorders/>
            <w:shd w:fill="auto" w:val="clear"/>
            <w:vAlign w:val="center"/>
          </w:tcPr>
          <w:p>
            <w:pPr>
              <w:pStyle w:val="TableContents"/>
              <w:spacing w:lineRule="atLeast" w:line="190" w:before="0" w:after="0"/>
              <w:jc w:val="right"/>
              <w:rPr>
                <w:b/>
                <w:spacing w:val="0"/>
                <w:sz w:val="19"/>
              </w:rPr>
            </w:pPr>
            <w:r>
              <w:rPr>
                <w:b/>
                <w:spacing w:val="0"/>
                <w:sz w:val="19"/>
              </w:rPr>
              <w:t>213,334</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spacing w:val="0"/>
              </w:rPr>
            </w:pPr>
            <w:r>
              <w:rPr>
                <w:spacing w:val="0"/>
              </w:rPr>
              <w:t> </w:t>
            </w:r>
          </w:p>
        </w:tc>
        <w:tc>
          <w:tcPr>
            <w:tcW w:w="1696" w:type="dxa"/>
            <w:tcBorders/>
            <w:shd w:fill="auto" w:val="clear"/>
            <w:vAlign w:val="center"/>
          </w:tcPr>
          <w:p>
            <w:pPr>
              <w:pStyle w:val="TableContents"/>
              <w:spacing w:lineRule="atLeast" w:line="190" w:before="0" w:after="0"/>
              <w:jc w:val="right"/>
              <w:rPr>
                <w:b/>
                <w:spacing w:val="0"/>
                <w:sz w:val="19"/>
              </w:rPr>
            </w:pPr>
            <w:r>
              <w:rPr>
                <w:b/>
                <w:spacing w:val="0"/>
                <w:sz w:val="19"/>
              </w:rPr>
              <w:t>108,449</w:t>
            </w:r>
          </w:p>
        </w:tc>
        <w:tc>
          <w:tcPr>
            <w:tcW w:w="140" w:type="dxa"/>
            <w:tcBorders/>
            <w:shd w:fill="auto" w:val="clear"/>
            <w:vAlign w:val="center"/>
          </w:tcPr>
          <w:p>
            <w:pPr>
              <w:pStyle w:val="TableContents"/>
              <w:spacing w:before="0" w:after="0"/>
              <w:rPr>
                <w:spacing w:val="0"/>
              </w:rPr>
            </w:pPr>
            <w:r>
              <w:rPr>
                <w:spacing w:val="0"/>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double" w:sz="6" w:space="1" w:color="000000"/>
              </w:rPr>
            </w:pPr>
            <w:r>
              <w:rPr>
                <w:bdr w:val="double" w:sz="6" w:space="1" w:color="000000"/>
              </w:rPr>
              <w:t> </w:t>
            </w:r>
          </w:p>
        </w:tc>
        <w:tc>
          <w:tcPr>
            <w:tcW w:w="1403"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1696" w:type="dxa"/>
            <w:tcBorders/>
            <w:shd w:fill="auto" w:val="clear"/>
            <w:vAlign w:val="center"/>
          </w:tcPr>
          <w:p>
            <w:pPr>
              <w:pStyle w:val="TableContents"/>
              <w:spacing w:before="0" w:after="0"/>
              <w:rPr>
                <w:bdr w:val="double" w:sz="6" w:space="1" w:color="000000"/>
              </w:rPr>
            </w:pPr>
            <w:r>
              <w:rPr>
                <w:bdr w:val="double" w:sz="6"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Commitments and contingencies (Note 13)</w:t>
            </w:r>
          </w:p>
        </w:tc>
        <w:tc>
          <w:tcPr>
            <w:tcW w:w="120" w:type="dxa"/>
            <w:tcBorders/>
            <w:shd w:fill="CCEEFF" w:val="clear"/>
            <w:vAlign w:val="center"/>
          </w:tcPr>
          <w:p>
            <w:pPr>
              <w:pStyle w:val="TableContents"/>
              <w:spacing w:before="0" w:after="283"/>
              <w:rPr>
                <w:sz w:val="4"/>
                <w:szCs w:val="4"/>
              </w:rPr>
            </w:pPr>
            <w:r>
              <w:rPr>
                <w:sz w:val="4"/>
                <w:szCs w:val="4"/>
              </w:rPr>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sz w:val="4"/>
                <w:szCs w:val="4"/>
              </w:rPr>
            </w:pPr>
            <w:r>
              <w:rPr>
                <w:sz w:val="4"/>
                <w:szCs w:val="4"/>
              </w:rPr>
            </w:r>
          </w:p>
        </w:tc>
        <w:tc>
          <w:tcPr>
            <w:tcW w:w="1696"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Stockholders’ equity:</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Preferred stock, par value per share $0.0001, 10,000,000 shares authorized; 0 shares issued and outstanding at March 31, 2022 and December 31, 2021</w:t>
            </w:r>
          </w:p>
        </w:tc>
        <w:tc>
          <w:tcPr>
            <w:tcW w:w="120" w:type="dxa"/>
            <w:tcBorders/>
            <w:shd w:fill="CCEEFF" w:val="clear"/>
            <w:vAlign w:val="center"/>
          </w:tcPr>
          <w:p>
            <w:pPr>
              <w:pStyle w:val="TableContents"/>
              <w:spacing w:before="0" w:after="0"/>
              <w:rPr/>
            </w:pPr>
            <w:r>
              <w:rPr/>
              <w:t> </w:t>
            </w:r>
          </w:p>
        </w:tc>
        <w:tc>
          <w:tcPr>
            <w:tcW w:w="252" w:type="dxa"/>
            <w:tcBorders/>
            <w:shd w:fill="CCEEFF" w:val="clear"/>
            <w:vAlign w:val="center"/>
          </w:tcPr>
          <w:p>
            <w:pPr>
              <w:pStyle w:val="TableContents"/>
              <w:spacing w:before="0" w:after="0"/>
              <w:rPr/>
            </w:pPr>
            <w:r>
              <w:rPr/>
              <w:t> </w:t>
            </w:r>
          </w:p>
        </w:tc>
        <w:tc>
          <w:tcPr>
            <w:tcW w:w="1403" w:type="dxa"/>
            <w:tcBorders/>
            <w:shd w:fill="CCEEFF" w:val="clear"/>
            <w:vAlign w:val="center"/>
          </w:tcPr>
          <w:p>
            <w:pPr>
              <w:pStyle w:val="TableContents"/>
              <w:spacing w:lineRule="atLeast" w:line="190" w:before="0" w:after="0"/>
              <w:ind w:left="0" w:right="0" w:hanging="0"/>
              <w:jc w:val="right"/>
              <w:rPr>
                <w:spacing w:val="0"/>
              </w:rPr>
            </w:pPr>
            <w:r>
              <w:rPr>
                <w:spacing w:val="0"/>
              </w:rPr>
              <w:t>—</w:t>
            </w:r>
          </w:p>
        </w:tc>
        <w:tc>
          <w:tcPr>
            <w:tcW w:w="125" w:type="dxa"/>
            <w:tcBorders/>
            <w:shd w:fill="CCEEFF" w:val="clear"/>
            <w:vAlign w:val="center"/>
          </w:tcPr>
          <w:p>
            <w:pPr>
              <w:pStyle w:val="TableContents"/>
              <w:spacing w:lineRule="atLeast" w:line="190" w:before="0" w:after="0"/>
              <w:jc w:val="right"/>
              <w:rPr/>
            </w:pPr>
            <w:r>
              <w:rPr/>
              <w:t> </w:t>
            </w:r>
          </w:p>
        </w:tc>
        <w:tc>
          <w:tcPr>
            <w:tcW w:w="60" w:type="dxa"/>
            <w:tcBorders/>
            <w:shd w:fill="CCEEFF" w:val="clear"/>
            <w:vAlign w:val="center"/>
          </w:tcPr>
          <w:p>
            <w:pPr>
              <w:pStyle w:val="TableContents"/>
              <w:spacing w:before="0" w:after="0"/>
              <w:jc w:val="right"/>
              <w:rPr/>
            </w:pPr>
            <w:r>
              <w:rPr/>
              <w:t> </w:t>
            </w:r>
          </w:p>
        </w:tc>
        <w:tc>
          <w:tcPr>
            <w:tcW w:w="304" w:type="dxa"/>
            <w:tcBorders/>
            <w:shd w:fill="CCEEFF" w:val="clear"/>
            <w:vAlign w:val="center"/>
          </w:tcPr>
          <w:p>
            <w:pPr>
              <w:pStyle w:val="TableContents"/>
              <w:spacing w:before="0" w:after="0"/>
              <w:jc w:val="right"/>
              <w:rPr/>
            </w:pPr>
            <w:r>
              <w:rPr/>
              <w:t> </w:t>
            </w:r>
          </w:p>
        </w:tc>
        <w:tc>
          <w:tcPr>
            <w:tcW w:w="1696" w:type="dxa"/>
            <w:tcBorders/>
            <w:shd w:fill="CCEEFF" w:val="clear"/>
            <w:vAlign w:val="center"/>
          </w:tcPr>
          <w:p>
            <w:pPr>
              <w:pStyle w:val="TableContents"/>
              <w:spacing w:lineRule="atLeast" w:line="190" w:before="0" w:after="0"/>
              <w:ind w:left="0" w:right="0" w:hanging="0"/>
              <w:jc w:val="right"/>
              <w:rPr>
                <w:spacing w:val="0"/>
              </w:rPr>
            </w:pPr>
            <w:r>
              <w:rPr>
                <w:spacing w:val="0"/>
              </w:rPr>
              <w:t>—</w:t>
            </w:r>
          </w:p>
        </w:tc>
        <w:tc>
          <w:tcPr>
            <w:tcW w:w="140" w:type="dxa"/>
            <w:tcBorders/>
            <w:shd w:fill="CCEEFF" w:val="clear"/>
            <w:vAlign w:val="center"/>
          </w:tcPr>
          <w:p>
            <w:pPr>
              <w:pStyle w:val="TableContents"/>
              <w:spacing w:lineRule="atLeast" w:line="190" w:before="0" w:after="0"/>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Class A common stock, par value per share $0.0001, 500,000,000 shares authorized; 324,245,822 and 297,094,254 shares issued and outstanding at March 31, 2022 and December 31, 2021, respectively</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lineRule="atLeast" w:line="190" w:before="0" w:after="283"/>
              <w:jc w:val="right"/>
              <w:rPr>
                <w:sz w:val="19"/>
              </w:rPr>
            </w:pPr>
            <w:r>
              <w:rPr>
                <w:sz w:val="19"/>
              </w:rPr>
              <w:t>32</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30</w:t>
            </w:r>
          </w:p>
        </w:tc>
        <w:tc>
          <w:tcPr>
            <w:tcW w:w="140" w:type="dxa"/>
            <w:tcBorders/>
            <w:shd w:fill="auto" w:val="clear"/>
            <w:vAlign w:val="center"/>
          </w:tcPr>
          <w:p>
            <w:pPr>
              <w:pStyle w:val="TableContents"/>
              <w:spacing w:lineRule="atLeast" w:line="190" w:before="0" w:after="0"/>
              <w:rPr/>
            </w:pPr>
            <w:r>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Class V common stock, par value per share $0.0001, 100,000,000 shares authorized; 48,450,639 shares issued and outstanding at March 31, 2022 and December 31, 2021, respectively;</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5</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5</w:t>
            </w:r>
          </w:p>
        </w:tc>
        <w:tc>
          <w:tcPr>
            <w:tcW w:w="140" w:type="dxa"/>
            <w:tcBorders/>
            <w:shd w:fill="CCEEFF" w:val="clear"/>
            <w:vAlign w:val="center"/>
          </w:tcPr>
          <w:p>
            <w:pPr>
              <w:pStyle w:val="TableContents"/>
              <w:spacing w:lineRule="atLeast" w:line="190" w:before="0" w:after="0"/>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Treasury stock</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lineRule="atLeast" w:line="190" w:before="0" w:after="0"/>
              <w:jc w:val="right"/>
              <w:rPr/>
            </w:pPr>
            <w:r>
              <w:rPr/>
              <w:t>–—  </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(5</w:t>
            </w:r>
          </w:p>
        </w:tc>
        <w:tc>
          <w:tcPr>
            <w:tcW w:w="140" w:type="dxa"/>
            <w:tcBorders/>
            <w:shd w:fill="auto" w:val="clear"/>
            <w:vAlign w:val="center"/>
          </w:tcPr>
          <w:p>
            <w:pPr>
              <w:pStyle w:val="TableContents"/>
              <w:spacing w:lineRule="atLeast" w:line="190" w:before="0" w:after="0"/>
              <w:rPr>
                <w:sz w:val="19"/>
              </w:rPr>
            </w:pPr>
            <w:r>
              <w:rPr>
                <w:sz w:val="19"/>
              </w:rPr>
              <w:t>) </w:t>
            </w:r>
          </w:p>
        </w:tc>
      </w:tr>
      <w:tr>
        <w:trPr/>
        <w:tc>
          <w:tcPr>
            <w:tcW w:w="7835" w:type="dxa"/>
            <w:tcBorders/>
            <w:shd w:fill="CCEEFF" w:val="clear"/>
            <w:vAlign w:val="center"/>
          </w:tcPr>
          <w:p>
            <w:pPr>
              <w:pStyle w:val="TableContents"/>
              <w:spacing w:lineRule="atLeast" w:line="190" w:before="0" w:after="0"/>
              <w:rPr>
                <w:rFonts w:ascii="Times New Roman" w:hAnsi="Times New Roman"/>
                <w:sz w:val="19"/>
              </w:rPr>
            </w:pPr>
            <w:r>
              <w:rPr>
                <w:rFonts w:ascii="Times New Roman" w:hAnsi="Times New Roman"/>
                <w:sz w:val="19"/>
              </w:rPr>
              <w:t xml:space="preserve">Additional </w:t>
            </w:r>
          </w:p>
          <w:p>
            <w:pPr>
              <w:pStyle w:val="TableContents"/>
              <w:spacing w:lineRule="atLeast" w:line="190" w:before="0" w:after="0"/>
              <w:rPr>
                <w:rFonts w:ascii="Times New Roman" w:hAnsi="Times New Roman"/>
                <w:spacing w:val="0"/>
                <w:sz w:val="19"/>
              </w:rPr>
            </w:pPr>
            <w:r>
              <w:rPr>
                <w:rFonts w:ascii="Times New Roman" w:hAnsi="Times New Roman"/>
                <w:spacing w:val="0"/>
                <w:sz w:val="19"/>
              </w:rPr>
              <w:t>paid-in</w:t>
            </w:r>
          </w:p>
          <w:p>
            <w:pPr>
              <w:pStyle w:val="TableContents"/>
              <w:spacing w:lineRule="atLeast" w:line="190" w:before="0" w:after="0"/>
              <w:rPr>
                <w:rFonts w:ascii="Times New Roman" w:hAnsi="Times New Roman"/>
                <w:sz w:val="19"/>
              </w:rPr>
            </w:pPr>
            <w:r>
              <w:rPr>
                <w:rFonts w:ascii="Times New Roman" w:hAnsi="Times New Roman"/>
                <w:sz w:val="19"/>
              </w:rPr>
              <w:t>capital</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242,135</w:t>
            </w:r>
          </w:p>
        </w:tc>
        <w:tc>
          <w:tcPr>
            <w:tcW w:w="125" w:type="dxa"/>
            <w:tcBorders/>
            <w:shd w:fill="CCEEFF" w:val="clear"/>
            <w:vAlign w:val="center"/>
          </w:tcPr>
          <w:p>
            <w:pPr>
              <w:pStyle w:val="TableContents"/>
              <w:spacing w:lineRule="atLeast" w:line="190" w:before="0" w:after="0"/>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86,796</w:t>
            </w:r>
          </w:p>
        </w:tc>
        <w:tc>
          <w:tcPr>
            <w:tcW w:w="140" w:type="dxa"/>
            <w:tcBorders/>
            <w:shd w:fill="CCEEFF" w:val="clear"/>
            <w:vAlign w:val="center"/>
          </w:tcPr>
          <w:p>
            <w:pPr>
              <w:pStyle w:val="TableContents"/>
              <w:spacing w:lineRule="atLeast" w:line="190" w:before="0" w:after="0"/>
              <w:rPr/>
            </w:pPr>
            <w:r>
              <w:rPr/>
              <w:t> </w:t>
            </w:r>
          </w:p>
        </w:tc>
      </w:tr>
      <w:tr>
        <w:trPr/>
        <w:tc>
          <w:tcPr>
            <w:tcW w:w="783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Loans to stockholders</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283"/>
              <w:rPr/>
            </w:pPr>
            <w:r>
              <w:rPr/>
              <w:t> </w:t>
            </w:r>
          </w:p>
        </w:tc>
        <w:tc>
          <w:tcPr>
            <w:tcW w:w="1403" w:type="dxa"/>
            <w:tcBorders/>
            <w:shd w:fill="auto" w:val="clear"/>
            <w:vAlign w:val="center"/>
          </w:tcPr>
          <w:p>
            <w:pPr>
              <w:pStyle w:val="TableContents"/>
              <w:spacing w:lineRule="atLeast" w:line="190" w:before="0" w:after="0"/>
              <w:jc w:val="right"/>
              <w:rPr/>
            </w:pPr>
            <w:r>
              <w:rPr/>
              <w:t>–—  </w:t>
            </w:r>
          </w:p>
        </w:tc>
        <w:tc>
          <w:tcPr>
            <w:tcW w:w="125" w:type="dxa"/>
            <w:tcBorders/>
            <w:shd w:fill="auto" w:val="clear"/>
            <w:vAlign w:val="center"/>
          </w:tcPr>
          <w:p>
            <w:pPr>
              <w:pStyle w:val="TableContents"/>
              <w:spacing w:lineRule="atLeast" w:line="190" w:before="0" w:after="0"/>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696" w:type="dxa"/>
            <w:tcBorders/>
            <w:shd w:fill="auto" w:val="clear"/>
            <w:vAlign w:val="center"/>
          </w:tcPr>
          <w:p>
            <w:pPr>
              <w:pStyle w:val="TableContents"/>
              <w:spacing w:lineRule="atLeast" w:line="190" w:before="0" w:after="283"/>
              <w:jc w:val="right"/>
              <w:rPr>
                <w:sz w:val="19"/>
              </w:rPr>
            </w:pPr>
            <w:r>
              <w:rPr>
                <w:sz w:val="19"/>
              </w:rPr>
              <w:t>(15,192</w:t>
            </w:r>
          </w:p>
        </w:tc>
        <w:tc>
          <w:tcPr>
            <w:tcW w:w="140" w:type="dxa"/>
            <w:tcBorders/>
            <w:shd w:fill="auto" w:val="clear"/>
            <w:vAlign w:val="center"/>
          </w:tcPr>
          <w:p>
            <w:pPr>
              <w:pStyle w:val="TableContents"/>
              <w:spacing w:lineRule="atLeast" w:line="190" w:before="0" w:after="0"/>
              <w:rPr>
                <w:sz w:val="19"/>
              </w:rPr>
            </w:pPr>
            <w:r>
              <w:rPr>
                <w:sz w:val="19"/>
              </w:rPr>
              <w:t>) </w:t>
            </w:r>
          </w:p>
        </w:tc>
      </w:tr>
      <w:tr>
        <w:trPr/>
        <w:tc>
          <w:tcPr>
            <w:tcW w:w="7835"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Accumulated deficit</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before="0" w:after="283"/>
              <w:rPr/>
            </w:pPr>
            <w:r>
              <w:rPr/>
              <w:t> </w:t>
            </w:r>
          </w:p>
        </w:tc>
        <w:tc>
          <w:tcPr>
            <w:tcW w:w="1403" w:type="dxa"/>
            <w:tcBorders/>
            <w:shd w:fill="CCEEFF" w:val="clear"/>
            <w:vAlign w:val="center"/>
          </w:tcPr>
          <w:p>
            <w:pPr>
              <w:pStyle w:val="TableContents"/>
              <w:spacing w:lineRule="atLeast" w:line="190" w:before="0" w:after="283"/>
              <w:jc w:val="right"/>
              <w:rPr>
                <w:sz w:val="19"/>
              </w:rPr>
            </w:pPr>
            <w:r>
              <w:rPr>
                <w:sz w:val="19"/>
              </w:rPr>
              <w:t>(67,732</w:t>
            </w:r>
          </w:p>
        </w:tc>
        <w:tc>
          <w:tcPr>
            <w:tcW w:w="125" w:type="dxa"/>
            <w:tcBorders/>
            <w:shd w:fill="CCEEFF" w:val="clear"/>
            <w:vAlign w:val="center"/>
          </w:tcPr>
          <w:p>
            <w:pPr>
              <w:pStyle w:val="TableContents"/>
              <w:spacing w:lineRule="atLeast" w:line="190" w:before="0" w:after="0"/>
              <w:rPr>
                <w:sz w:val="19"/>
              </w:rPr>
            </w:pPr>
            <w:r>
              <w:rPr>
                <w:sz w:val="19"/>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696" w:type="dxa"/>
            <w:tcBorders/>
            <w:shd w:fill="CCEEFF" w:val="clear"/>
            <w:vAlign w:val="center"/>
          </w:tcPr>
          <w:p>
            <w:pPr>
              <w:pStyle w:val="TableContents"/>
              <w:spacing w:lineRule="atLeast" w:line="190" w:before="0" w:after="283"/>
              <w:jc w:val="right"/>
              <w:rPr>
                <w:sz w:val="19"/>
              </w:rPr>
            </w:pPr>
            <w:r>
              <w:rPr>
                <w:sz w:val="19"/>
              </w:rPr>
              <w:t>(32,897</w:t>
            </w:r>
          </w:p>
        </w:tc>
        <w:tc>
          <w:tcPr>
            <w:tcW w:w="140" w:type="dxa"/>
            <w:tcBorders/>
            <w:shd w:fill="CCEEFF" w:val="clear"/>
            <w:vAlign w:val="center"/>
          </w:tcPr>
          <w:p>
            <w:pPr>
              <w:pStyle w:val="TableContents"/>
              <w:spacing w:lineRule="atLeast" w:line="190" w:before="0" w:after="0"/>
              <w:rPr>
                <w:sz w:val="19"/>
              </w:rPr>
            </w:pPr>
            <w:r>
              <w:rPr>
                <w:sz w:val="19"/>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single" w:sz="2" w:space="1" w:color="000000"/>
              </w:rPr>
            </w:pPr>
            <w:r>
              <w:rPr>
                <w:bdr w:val="single" w:sz="2" w:space="1" w:color="000000"/>
              </w:rPr>
              <w:t> </w:t>
            </w:r>
          </w:p>
        </w:tc>
        <w:tc>
          <w:tcPr>
            <w:tcW w:w="1403"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single" w:sz="2" w:space="1" w:color="000000"/>
              </w:rPr>
            </w:pPr>
            <w:r>
              <w:rPr>
                <w:bdr w:val="single" w:sz="2" w:space="1" w:color="000000"/>
              </w:rPr>
              <w:t> </w:t>
            </w:r>
          </w:p>
        </w:tc>
        <w:tc>
          <w:tcPr>
            <w:tcW w:w="1696" w:type="dxa"/>
            <w:tcBorders/>
            <w:shd w:fill="auto" w:val="clear"/>
            <w:vAlign w:val="center"/>
          </w:tcPr>
          <w:p>
            <w:pPr>
              <w:pStyle w:val="TableContents"/>
              <w:spacing w:before="0" w:after="0"/>
              <w:rPr>
                <w:bdr w:val="single" w:sz="2" w:space="1" w:color="000000"/>
              </w:rPr>
            </w:pPr>
            <w:r>
              <w:rPr>
                <w:bdr w:val="single" w:sz="2"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auto"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Total stockholders’ equity</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spacing w:val="0"/>
              </w:rPr>
            </w:pPr>
            <w:r>
              <w:rPr>
                <w:spacing w:val="0"/>
              </w:rPr>
              <w:t> </w:t>
            </w:r>
          </w:p>
        </w:tc>
        <w:tc>
          <w:tcPr>
            <w:tcW w:w="1403" w:type="dxa"/>
            <w:tcBorders/>
            <w:shd w:fill="auto" w:val="clear"/>
            <w:vAlign w:val="center"/>
          </w:tcPr>
          <w:p>
            <w:pPr>
              <w:pStyle w:val="TableContents"/>
              <w:spacing w:lineRule="atLeast" w:line="190" w:before="0" w:after="0"/>
              <w:jc w:val="right"/>
              <w:rPr>
                <w:b/>
                <w:spacing w:val="0"/>
                <w:sz w:val="19"/>
              </w:rPr>
            </w:pPr>
            <w:r>
              <w:rPr>
                <w:b/>
                <w:spacing w:val="0"/>
                <w:sz w:val="19"/>
              </w:rPr>
              <w:t>174,440</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60" w:type="dxa"/>
            <w:tcBorders/>
            <w:shd w:fill="auto" w:val="clear"/>
            <w:vAlign w:val="center"/>
          </w:tcPr>
          <w:p>
            <w:pPr>
              <w:pStyle w:val="TableContents"/>
              <w:spacing w:lineRule="atLeast" w:line="190" w:before="0" w:after="0"/>
              <w:rPr/>
            </w:pPr>
            <w:r>
              <w:rPr/>
              <w:t> </w:t>
            </w:r>
          </w:p>
        </w:tc>
        <w:tc>
          <w:tcPr>
            <w:tcW w:w="304" w:type="dxa"/>
            <w:tcBorders/>
            <w:shd w:fill="auto" w:val="clear"/>
            <w:vAlign w:val="center"/>
          </w:tcPr>
          <w:p>
            <w:pPr>
              <w:pStyle w:val="TableContents"/>
              <w:spacing w:lineRule="atLeast" w:line="190" w:before="0" w:after="0"/>
              <w:rPr>
                <w:spacing w:val="0"/>
              </w:rPr>
            </w:pPr>
            <w:r>
              <w:rPr>
                <w:spacing w:val="0"/>
              </w:rPr>
              <w:t> </w:t>
            </w:r>
          </w:p>
        </w:tc>
        <w:tc>
          <w:tcPr>
            <w:tcW w:w="1696" w:type="dxa"/>
            <w:tcBorders/>
            <w:shd w:fill="auto" w:val="clear"/>
            <w:vAlign w:val="center"/>
          </w:tcPr>
          <w:p>
            <w:pPr>
              <w:pStyle w:val="TableContents"/>
              <w:spacing w:lineRule="atLeast" w:line="190" w:before="0" w:after="0"/>
              <w:jc w:val="right"/>
              <w:rPr>
                <w:b/>
                <w:spacing w:val="0"/>
                <w:sz w:val="19"/>
              </w:rPr>
            </w:pPr>
            <w:r>
              <w:rPr>
                <w:b/>
                <w:spacing w:val="0"/>
                <w:sz w:val="19"/>
              </w:rPr>
              <w:t>38,737</w:t>
            </w:r>
          </w:p>
        </w:tc>
        <w:tc>
          <w:tcPr>
            <w:tcW w:w="140" w:type="dxa"/>
            <w:tcBorders/>
            <w:shd w:fill="auto" w:val="clear"/>
            <w:vAlign w:val="center"/>
          </w:tcPr>
          <w:p>
            <w:pPr>
              <w:pStyle w:val="TableContents"/>
              <w:spacing w:before="0" w:after="0"/>
              <w:rPr>
                <w:spacing w:val="0"/>
              </w:rPr>
            </w:pPr>
            <w:r>
              <w:rPr>
                <w:spacing w:val="0"/>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double" w:sz="6" w:space="1" w:color="000000"/>
              </w:rPr>
            </w:pPr>
            <w:r>
              <w:rPr>
                <w:bdr w:val="double" w:sz="6" w:space="1" w:color="000000"/>
              </w:rPr>
              <w:t> </w:t>
            </w:r>
          </w:p>
        </w:tc>
        <w:tc>
          <w:tcPr>
            <w:tcW w:w="1403"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1696" w:type="dxa"/>
            <w:tcBorders/>
            <w:shd w:fill="auto" w:val="clear"/>
            <w:vAlign w:val="center"/>
          </w:tcPr>
          <w:p>
            <w:pPr>
              <w:pStyle w:val="TableContents"/>
              <w:spacing w:before="0" w:after="0"/>
              <w:rPr>
                <w:bdr w:val="double" w:sz="6" w:space="1" w:color="000000"/>
              </w:rPr>
            </w:pPr>
            <w:r>
              <w:rPr>
                <w:bdr w:val="double" w:sz="6" w:space="1" w:color="000000"/>
              </w:rPr>
              <w:t> </w:t>
            </w:r>
          </w:p>
        </w:tc>
        <w:tc>
          <w:tcPr>
            <w:tcW w:w="140" w:type="dxa"/>
            <w:tcBorders/>
            <w:shd w:fill="auto" w:val="clear"/>
            <w:vAlign w:val="center"/>
          </w:tcPr>
          <w:p>
            <w:pPr>
              <w:pStyle w:val="TableContents"/>
              <w:spacing w:before="0" w:after="283"/>
              <w:rPr/>
            </w:pPr>
            <w:r>
              <w:rPr/>
              <w:t> </w:t>
            </w:r>
          </w:p>
        </w:tc>
      </w:tr>
      <w:tr>
        <w:trPr/>
        <w:tc>
          <w:tcPr>
            <w:tcW w:w="7835" w:type="dxa"/>
            <w:tcBorders/>
            <w:shd w:fill="CCEEFF" w:val="clear"/>
            <w:vAlign w:val="center"/>
          </w:tcPr>
          <w:p>
            <w:pPr>
              <w:pStyle w:val="TableContents"/>
              <w:spacing w:lineRule="atLeast" w:line="190" w:before="0" w:after="0"/>
              <w:rPr>
                <w:rFonts w:ascii="Times New Roman" w:hAnsi="Times New Roman"/>
                <w:b/>
                <w:sz w:val="19"/>
              </w:rPr>
            </w:pPr>
            <w:r>
              <w:rPr>
                <w:rFonts w:ascii="Times New Roman" w:hAnsi="Times New Roman"/>
                <w:b/>
                <w:sz w:val="19"/>
              </w:rPr>
              <w:t>Total liabilities, and stockholders’ equity</w:t>
            </w:r>
          </w:p>
        </w:tc>
        <w:tc>
          <w:tcPr>
            <w:tcW w:w="120" w:type="dxa"/>
            <w:tcBorders/>
            <w:shd w:fill="CCEEFF" w:val="clear"/>
            <w:vAlign w:val="center"/>
          </w:tcPr>
          <w:p>
            <w:pPr>
              <w:pStyle w:val="TableContents"/>
              <w:spacing w:before="0" w:after="283"/>
              <w:rPr/>
            </w:pPr>
            <w:r>
              <w:rPr/>
              <w:t>  </w:t>
            </w:r>
          </w:p>
        </w:tc>
        <w:tc>
          <w:tcPr>
            <w:tcW w:w="252" w:type="dxa"/>
            <w:tcBorders/>
            <w:shd w:fill="CCEEFF" w:val="clear"/>
            <w:vAlign w:val="center"/>
          </w:tcPr>
          <w:p>
            <w:pPr>
              <w:pStyle w:val="TableContents"/>
              <w:spacing w:lineRule="atLeast" w:line="190" w:before="0" w:after="0"/>
              <w:rPr>
                <w:b/>
                <w:spacing w:val="0"/>
                <w:sz w:val="19"/>
              </w:rPr>
            </w:pPr>
            <w:r>
              <w:rPr>
                <w:b/>
                <w:spacing w:val="0"/>
                <w:sz w:val="19"/>
              </w:rPr>
              <w:t>$</w:t>
            </w:r>
          </w:p>
        </w:tc>
        <w:tc>
          <w:tcPr>
            <w:tcW w:w="1403" w:type="dxa"/>
            <w:tcBorders/>
            <w:shd w:fill="CCEEFF" w:val="clear"/>
            <w:vAlign w:val="center"/>
          </w:tcPr>
          <w:p>
            <w:pPr>
              <w:pStyle w:val="TableContents"/>
              <w:spacing w:lineRule="atLeast" w:line="190" w:before="0" w:after="0"/>
              <w:jc w:val="right"/>
              <w:rPr>
                <w:b/>
                <w:spacing w:val="0"/>
                <w:sz w:val="19"/>
              </w:rPr>
            </w:pPr>
            <w:r>
              <w:rPr>
                <w:b/>
                <w:spacing w:val="0"/>
                <w:sz w:val="19"/>
              </w:rPr>
              <w:t>387,774</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pPr>
            <w:r>
              <w:rPr/>
              <w:t> </w:t>
            </w:r>
          </w:p>
        </w:tc>
        <w:tc>
          <w:tcPr>
            <w:tcW w:w="304" w:type="dxa"/>
            <w:tcBorders/>
            <w:shd w:fill="CCEEFF" w:val="clear"/>
            <w:vAlign w:val="center"/>
          </w:tcPr>
          <w:p>
            <w:pPr>
              <w:pStyle w:val="TableContents"/>
              <w:spacing w:lineRule="atLeast" w:line="190" w:before="0" w:after="0"/>
              <w:rPr>
                <w:b/>
                <w:spacing w:val="0"/>
                <w:sz w:val="19"/>
              </w:rPr>
            </w:pPr>
            <w:r>
              <w:rPr>
                <w:b/>
                <w:spacing w:val="0"/>
                <w:sz w:val="19"/>
              </w:rPr>
              <w:t>$</w:t>
            </w:r>
          </w:p>
        </w:tc>
        <w:tc>
          <w:tcPr>
            <w:tcW w:w="1696" w:type="dxa"/>
            <w:tcBorders/>
            <w:shd w:fill="CCEEFF" w:val="clear"/>
            <w:vAlign w:val="center"/>
          </w:tcPr>
          <w:p>
            <w:pPr>
              <w:pStyle w:val="TableContents"/>
              <w:spacing w:lineRule="atLeast" w:line="190" w:before="0" w:after="0"/>
              <w:jc w:val="right"/>
              <w:rPr>
                <w:b/>
                <w:spacing w:val="0"/>
                <w:sz w:val="19"/>
              </w:rPr>
            </w:pPr>
            <w:r>
              <w:rPr>
                <w:b/>
                <w:spacing w:val="0"/>
                <w:sz w:val="19"/>
              </w:rPr>
              <w:t>147,186</w:t>
            </w:r>
          </w:p>
        </w:tc>
        <w:tc>
          <w:tcPr>
            <w:tcW w:w="140" w:type="dxa"/>
            <w:tcBorders/>
            <w:shd w:fill="CCEEFF" w:val="clear"/>
            <w:vAlign w:val="center"/>
          </w:tcPr>
          <w:p>
            <w:pPr>
              <w:pStyle w:val="TableContents"/>
              <w:spacing w:before="0" w:after="0"/>
              <w:rPr>
                <w:spacing w:val="0"/>
              </w:rPr>
            </w:pPr>
            <w:r>
              <w:rPr>
                <w:spacing w:val="0"/>
              </w:rPr>
              <w:t> </w:t>
            </w:r>
          </w:p>
        </w:tc>
      </w:tr>
      <w:tr>
        <w:trPr/>
        <w:tc>
          <w:tcPr>
            <w:tcW w:w="7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2" w:type="dxa"/>
            <w:tcBorders/>
            <w:shd w:fill="auto" w:val="clear"/>
            <w:vAlign w:val="center"/>
          </w:tcPr>
          <w:p>
            <w:pPr>
              <w:pStyle w:val="TableContents"/>
              <w:spacing w:before="0" w:after="0"/>
              <w:rPr>
                <w:bdr w:val="double" w:sz="6" w:space="1" w:color="000000"/>
              </w:rPr>
            </w:pPr>
            <w:r>
              <w:rPr>
                <w:bdr w:val="double" w:sz="6" w:space="1" w:color="000000"/>
              </w:rPr>
              <w:t> </w:t>
            </w:r>
          </w:p>
        </w:tc>
        <w:tc>
          <w:tcPr>
            <w:tcW w:w="1403"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0"/>
              <w:rPr>
                <w:bdr w:val="double" w:sz="6" w:space="1" w:color="000000"/>
              </w:rPr>
            </w:pPr>
            <w:r>
              <w:rPr>
                <w:bdr w:val="double" w:sz="6" w:space="1" w:color="000000"/>
              </w:rPr>
              <w:t> </w:t>
            </w:r>
          </w:p>
        </w:tc>
        <w:tc>
          <w:tcPr>
            <w:tcW w:w="1696" w:type="dxa"/>
            <w:tcBorders/>
            <w:shd w:fill="auto" w:val="clear"/>
            <w:vAlign w:val="center"/>
          </w:tcPr>
          <w:p>
            <w:pPr>
              <w:pStyle w:val="TableContents"/>
              <w:spacing w:before="0" w:after="0"/>
              <w:rPr>
                <w:bdr w:val="double" w:sz="6" w:space="1" w:color="000000"/>
              </w:rPr>
            </w:pPr>
            <w:r>
              <w:rPr>
                <w:bdr w:val="double" w:sz="6" w:space="1" w:color="000000"/>
              </w:rPr>
              <w:t> </w:t>
            </w:r>
          </w:p>
        </w:tc>
        <w:tc>
          <w:tcPr>
            <w:tcW w:w="140" w:type="dxa"/>
            <w:tcBorders/>
            <w:shd w:fill="auto" w:val="clear"/>
            <w:vAlign w:val="center"/>
          </w:tcPr>
          <w:p>
            <w:pPr>
              <w:pStyle w:val="TableContents"/>
              <w:spacing w:before="0" w:after="283"/>
              <w:rPr/>
            </w:pPr>
            <w:r>
              <w:rPr/>
              <w:t> </w:t>
            </w:r>
          </w:p>
        </w:tc>
      </w:tr>
    </w:tbl>
    <w:p>
      <w:pPr>
        <w:pStyle w:val="TextBody"/>
        <w:spacing w:before="240" w:after="0"/>
        <w:ind w:left="0" w:right="0" w:hanging="0"/>
        <w:jc w:val="center"/>
        <w:rPr>
          <w:rFonts w:ascii="Times New Roman" w:hAnsi="Times New Roman"/>
          <w:b/>
          <w:sz w:val="20"/>
          <w:highlight w:val="white"/>
        </w:rPr>
      </w:pPr>
      <w:r>
        <w:rPr>
          <w:rFonts w:ascii="Times New Roman" w:hAnsi="Times New Roman"/>
          <w:b/>
          <w:sz w:val="20"/>
          <w:highlight w:val="white"/>
        </w:rPr>
        <w:t xml:space="preserve">See accompanying notes to the condensed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Dave Inc. and Subsidiaries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w:t>
      </w:r>
    </w:p>
    <w:p>
      <w:pPr>
        <w:pStyle w:val="TextBody"/>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thousands) </w:t>
      </w:r>
    </w:p>
    <w:p>
      <w:pPr>
        <w:pStyle w:val="TextBody"/>
        <w:spacing w:before="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(unaudited) </w:t>
      </w:r>
    </w:p>
    <w:p>
      <w:pPr>
        <w:pStyle w:val="TextBody"/>
        <w:spacing w:before="0" w:after="0"/>
        <w:jc w:val="left"/>
        <w:rPr>
          <w:spacing w:val="0"/>
        </w:rPr>
      </w:pPr>
      <w:r>
        <w:rPr>
          <w:spacing w:val="0"/>
        </w:rPr>
        <w:t> </w:t>
      </w:r>
    </w:p>
    <w:tbl>
      <w:tblPr>
        <w:tblW w:w="9583" w:type="dxa"/>
        <w:jc w:val="left"/>
        <w:tblInd w:w="0" w:type="dxa"/>
        <w:tblCellMar>
          <w:top w:w="0" w:type="dxa"/>
          <w:left w:w="0" w:type="dxa"/>
          <w:bottom w:w="0" w:type="dxa"/>
          <w:right w:w="0" w:type="dxa"/>
        </w:tblCellMar>
      </w:tblPr>
      <w:tblGrid>
        <w:gridCol w:w="5855"/>
        <w:gridCol w:w="120"/>
        <w:gridCol w:w="165"/>
        <w:gridCol w:w="1444"/>
        <w:gridCol w:w="159"/>
        <w:gridCol w:w="61"/>
        <w:gridCol w:w="165"/>
        <w:gridCol w:w="1444"/>
        <w:gridCol w:w="170"/>
      </w:tblGrid>
      <w:tr>
        <w:trPr/>
        <w:tc>
          <w:tcPr>
            <w:tcW w:w="5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38" w:type="dxa"/>
            <w:gridSpan w:val="6"/>
            <w:tcBorders/>
            <w:shd w:fill="auto" w:val="clear"/>
            <w:vAlign w:val="center"/>
          </w:tcPr>
          <w:p>
            <w:pPr>
              <w:pStyle w:val="TableContents"/>
              <w:spacing w:before="0" w:after="0"/>
              <w:jc w:val="center"/>
              <w:rPr>
                <w:b/>
                <w:spacing w:val="0"/>
              </w:rPr>
            </w:pPr>
            <w:r>
              <w:rPr>
                <w:b/>
                <w:spacing w:val="0"/>
              </w:rPr>
              <w:t>For the Three Months Ended</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9" w:type="dxa"/>
            <w:gridSpan w:val="2"/>
            <w:tcBorders/>
            <w:shd w:fill="auto" w:val="clear"/>
            <w:vAlign w:val="center"/>
          </w:tcPr>
          <w:p>
            <w:pPr>
              <w:pStyle w:val="TableContents"/>
              <w:spacing w:before="0" w:after="0"/>
              <w:jc w:val="center"/>
              <w:rPr>
                <w:b/>
                <w:spacing w:val="0"/>
              </w:rPr>
            </w:pPr>
            <w:r>
              <w:rPr>
                <w:b/>
                <w:spacing w:val="0"/>
              </w:rPr>
              <w:t>March 31, 2022</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09" w:type="dxa"/>
            <w:gridSpan w:val="2"/>
            <w:tcBorders/>
            <w:shd w:fill="auto" w:val="clear"/>
            <w:vAlign w:val="center"/>
          </w:tcPr>
          <w:p>
            <w:pPr>
              <w:pStyle w:val="TableContents"/>
              <w:spacing w:before="0" w:after="0"/>
              <w:jc w:val="center"/>
              <w:rPr>
                <w:b/>
                <w:spacing w:val="0"/>
              </w:rPr>
            </w:pPr>
            <w:r>
              <w:rPr>
                <w:b/>
                <w:spacing w:val="0"/>
              </w:rPr>
              <w:t>March 31, 2021</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Operating revenues: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Service based revenue, net</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w:t>
            </w:r>
          </w:p>
        </w:tc>
        <w:tc>
          <w:tcPr>
            <w:tcW w:w="1444" w:type="dxa"/>
            <w:tcBorders/>
            <w:shd w:fill="auto" w:val="clear"/>
            <w:vAlign w:val="center"/>
          </w:tcPr>
          <w:p>
            <w:pPr>
              <w:pStyle w:val="TableContents"/>
              <w:spacing w:before="0" w:after="283"/>
              <w:jc w:val="right"/>
              <w:rPr/>
            </w:pPr>
            <w:r>
              <w:rPr/>
              <w:t>39,268</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w:t>
            </w:r>
          </w:p>
        </w:tc>
        <w:tc>
          <w:tcPr>
            <w:tcW w:w="1444" w:type="dxa"/>
            <w:tcBorders/>
            <w:shd w:fill="auto" w:val="clear"/>
            <w:vAlign w:val="center"/>
          </w:tcPr>
          <w:p>
            <w:pPr>
              <w:pStyle w:val="TableContents"/>
              <w:spacing w:before="0" w:after="283"/>
              <w:jc w:val="right"/>
              <w:rPr/>
            </w:pPr>
            <w:r>
              <w:rPr/>
              <w:t>32,418</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Transaction based revenue, net</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3,283</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2,008</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operating revenues, net</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rPr>
            </w:pPr>
            <w:r>
              <w:rPr>
                <w:spacing w:val="0"/>
              </w:rPr>
              <w:t> </w:t>
            </w:r>
          </w:p>
        </w:tc>
        <w:tc>
          <w:tcPr>
            <w:tcW w:w="1444" w:type="dxa"/>
            <w:tcBorders/>
            <w:shd w:fill="auto" w:val="clear"/>
            <w:vAlign w:val="center"/>
          </w:tcPr>
          <w:p>
            <w:pPr>
              <w:pStyle w:val="TableContents"/>
              <w:spacing w:before="0" w:after="0"/>
              <w:jc w:val="right"/>
              <w:rPr>
                <w:b/>
                <w:spacing w:val="0"/>
              </w:rPr>
            </w:pPr>
            <w:r>
              <w:rPr>
                <w:b/>
                <w:spacing w:val="0"/>
              </w:rPr>
              <w:t>42,551</w:t>
            </w:r>
          </w:p>
        </w:tc>
        <w:tc>
          <w:tcPr>
            <w:tcW w:w="159" w:type="dxa"/>
            <w:tcBorders/>
            <w:shd w:fill="auto" w:val="clear"/>
            <w:vAlign w:val="center"/>
          </w:tcPr>
          <w:p>
            <w:pPr>
              <w:pStyle w:val="TableContents"/>
              <w:spacing w:before="0" w:after="0"/>
              <w:rPr>
                <w:spacing w:val="0"/>
              </w:rPr>
            </w:pPr>
            <w:r>
              <w:rPr>
                <w:spacing w:val="0"/>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rPr>
            </w:pPr>
            <w:r>
              <w:rPr>
                <w:spacing w:val="0"/>
              </w:rPr>
              <w:t> </w:t>
            </w:r>
          </w:p>
        </w:tc>
        <w:tc>
          <w:tcPr>
            <w:tcW w:w="1444" w:type="dxa"/>
            <w:tcBorders/>
            <w:shd w:fill="auto" w:val="clear"/>
            <w:vAlign w:val="center"/>
          </w:tcPr>
          <w:p>
            <w:pPr>
              <w:pStyle w:val="TableContents"/>
              <w:spacing w:before="0" w:after="0"/>
              <w:jc w:val="right"/>
              <w:rPr>
                <w:b/>
                <w:spacing w:val="0"/>
              </w:rPr>
            </w:pPr>
            <w:r>
              <w:rPr>
                <w:b/>
                <w:spacing w:val="0"/>
              </w:rPr>
              <w:t>34,426</w:t>
            </w:r>
          </w:p>
        </w:tc>
        <w:tc>
          <w:tcPr>
            <w:tcW w:w="170" w:type="dxa"/>
            <w:tcBorders/>
            <w:shd w:fill="auto" w:val="clear"/>
            <w:vAlign w:val="center"/>
          </w:tcPr>
          <w:p>
            <w:pPr>
              <w:pStyle w:val="TableContents"/>
              <w:spacing w:before="0" w:after="0"/>
              <w:rPr>
                <w:spacing w:val="0"/>
              </w:rPr>
            </w:pPr>
            <w:r>
              <w:rPr>
                <w:spacing w:val="0"/>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Operating expenses: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unrecoverable advances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13,785</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3,538</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Processing and servicing fees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6,543</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5,220</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Advertising and marketing</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12,204</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14,040</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Compensation and benefits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17,894</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9,384</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operating expenses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14,798</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12,577</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operating expenses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0"/>
              <w:rPr>
                <w:spacing w:val="0"/>
              </w:rPr>
            </w:pPr>
            <w:r>
              <w:rPr>
                <w:spacing w:val="0"/>
              </w:rPr>
              <w:t> </w:t>
            </w:r>
          </w:p>
        </w:tc>
        <w:tc>
          <w:tcPr>
            <w:tcW w:w="1444" w:type="dxa"/>
            <w:tcBorders/>
            <w:shd w:fill="CCEEFF" w:val="clear"/>
            <w:vAlign w:val="center"/>
          </w:tcPr>
          <w:p>
            <w:pPr>
              <w:pStyle w:val="TableContents"/>
              <w:spacing w:before="0" w:after="0"/>
              <w:jc w:val="right"/>
              <w:rPr>
                <w:b/>
                <w:spacing w:val="0"/>
              </w:rPr>
            </w:pPr>
            <w:r>
              <w:rPr>
                <w:b/>
                <w:spacing w:val="0"/>
              </w:rPr>
              <w:t>65,224</w:t>
            </w:r>
          </w:p>
        </w:tc>
        <w:tc>
          <w:tcPr>
            <w:tcW w:w="159"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0"/>
              <w:rPr>
                <w:spacing w:val="0"/>
              </w:rPr>
            </w:pPr>
            <w:r>
              <w:rPr>
                <w:spacing w:val="0"/>
              </w:rPr>
              <w:t> </w:t>
            </w:r>
          </w:p>
        </w:tc>
        <w:tc>
          <w:tcPr>
            <w:tcW w:w="1444" w:type="dxa"/>
            <w:tcBorders/>
            <w:shd w:fill="CCEEFF" w:val="clear"/>
            <w:vAlign w:val="center"/>
          </w:tcPr>
          <w:p>
            <w:pPr>
              <w:pStyle w:val="TableContents"/>
              <w:spacing w:before="0" w:after="0"/>
              <w:jc w:val="right"/>
              <w:rPr>
                <w:b/>
                <w:spacing w:val="0"/>
              </w:rPr>
            </w:pPr>
            <w:r>
              <w:rPr>
                <w:b/>
                <w:spacing w:val="0"/>
              </w:rPr>
              <w:t>44,759</w:t>
            </w:r>
          </w:p>
        </w:tc>
        <w:tc>
          <w:tcPr>
            <w:tcW w:w="170" w:type="dxa"/>
            <w:tcBorders/>
            <w:shd w:fill="CCEEFF" w:val="clear"/>
            <w:vAlign w:val="center"/>
          </w:tcPr>
          <w:p>
            <w:pPr>
              <w:pStyle w:val="TableContents"/>
              <w:spacing w:before="0" w:after="0"/>
              <w:rPr>
                <w:spacing w:val="0"/>
              </w:rPr>
            </w:pPr>
            <w:r>
              <w:rPr>
                <w:spacing w:val="0"/>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Other (income) expenses: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(13</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(70</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1,555</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277</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Legal settlement and litigation expenses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  </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368</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strategic financing and transactional expenses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961</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108</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fair value of derivative asset on loans to stockholders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5,572</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(17,146</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fair value of warrant liabilities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4,065</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2,186</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other (income) expense, net</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0"/>
              <w:rPr>
                <w:spacing w:val="0"/>
              </w:rPr>
            </w:pPr>
            <w:r>
              <w:rPr>
                <w:spacing w:val="0"/>
              </w:rPr>
              <w:t> </w:t>
            </w:r>
          </w:p>
        </w:tc>
        <w:tc>
          <w:tcPr>
            <w:tcW w:w="1444" w:type="dxa"/>
            <w:tcBorders/>
            <w:shd w:fill="CCEEFF" w:val="clear"/>
            <w:vAlign w:val="center"/>
          </w:tcPr>
          <w:p>
            <w:pPr>
              <w:pStyle w:val="TableContents"/>
              <w:spacing w:before="0" w:after="0"/>
              <w:jc w:val="right"/>
              <w:rPr>
                <w:b/>
                <w:spacing w:val="0"/>
              </w:rPr>
            </w:pPr>
            <w:r>
              <w:rPr>
                <w:b/>
                <w:spacing w:val="0"/>
              </w:rPr>
              <w:t>12,140</w:t>
            </w:r>
          </w:p>
        </w:tc>
        <w:tc>
          <w:tcPr>
            <w:tcW w:w="159" w:type="dxa"/>
            <w:tcBorders/>
            <w:shd w:fill="CCEEFF" w:val="clear"/>
            <w:vAlign w:val="center"/>
          </w:tcPr>
          <w:p>
            <w:pPr>
              <w:pStyle w:val="TableContents"/>
              <w:spacing w:before="0" w:after="0"/>
              <w:rPr>
                <w:spacing w:val="0"/>
              </w:rPr>
            </w:pPr>
            <w:r>
              <w:rPr>
                <w:spacing w:val="0"/>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0"/>
              <w:rPr>
                <w:spacing w:val="0"/>
              </w:rPr>
            </w:pPr>
            <w:r>
              <w:rPr>
                <w:spacing w:val="0"/>
              </w:rPr>
              <w:t> </w:t>
            </w:r>
          </w:p>
        </w:tc>
        <w:tc>
          <w:tcPr>
            <w:tcW w:w="1444" w:type="dxa"/>
            <w:tcBorders/>
            <w:shd w:fill="CCEEFF" w:val="clear"/>
            <w:vAlign w:val="center"/>
          </w:tcPr>
          <w:p>
            <w:pPr>
              <w:pStyle w:val="TableContents"/>
              <w:spacing w:before="0" w:after="0"/>
              <w:jc w:val="right"/>
              <w:rPr>
                <w:b/>
                <w:spacing w:val="0"/>
              </w:rPr>
            </w:pPr>
            <w:r>
              <w:rPr>
                <w:b/>
                <w:spacing w:val="0"/>
              </w:rPr>
              <w:t>(14,277</w:t>
            </w:r>
          </w:p>
        </w:tc>
        <w:tc>
          <w:tcPr>
            <w:tcW w:w="170" w:type="dxa"/>
            <w:tcBorders/>
            <w:shd w:fill="CCEEFF" w:val="clear"/>
            <w:vAlign w:val="center"/>
          </w:tcPr>
          <w:p>
            <w:pPr>
              <w:pStyle w:val="TableContents"/>
              <w:spacing w:before="0" w:after="0"/>
              <w:rPr>
                <w:b/>
                <w:spacing w:val="0"/>
              </w:rPr>
            </w:pPr>
            <w:r>
              <w:rPr>
                <w:b/>
                <w:spacing w:val="0"/>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(loss) income before provision (benefit) for income taxes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rPr>
            </w:pPr>
            <w:r>
              <w:rPr>
                <w:spacing w:val="0"/>
              </w:rPr>
              <w:t> </w:t>
            </w:r>
          </w:p>
        </w:tc>
        <w:tc>
          <w:tcPr>
            <w:tcW w:w="1444" w:type="dxa"/>
            <w:tcBorders/>
            <w:shd w:fill="auto" w:val="clear"/>
            <w:vAlign w:val="center"/>
          </w:tcPr>
          <w:p>
            <w:pPr>
              <w:pStyle w:val="TableContents"/>
              <w:spacing w:before="0" w:after="0"/>
              <w:jc w:val="right"/>
              <w:rPr>
                <w:b/>
                <w:spacing w:val="0"/>
              </w:rPr>
            </w:pPr>
            <w:r>
              <w:rPr>
                <w:b/>
                <w:spacing w:val="0"/>
              </w:rPr>
              <w:t>(34,813</w:t>
            </w:r>
          </w:p>
        </w:tc>
        <w:tc>
          <w:tcPr>
            <w:tcW w:w="159" w:type="dxa"/>
            <w:tcBorders/>
            <w:shd w:fill="auto" w:val="clear"/>
            <w:vAlign w:val="center"/>
          </w:tcPr>
          <w:p>
            <w:pPr>
              <w:pStyle w:val="TableContents"/>
              <w:spacing w:before="0" w:after="0"/>
              <w:rPr>
                <w:b/>
                <w:spacing w:val="0"/>
              </w:rPr>
            </w:pPr>
            <w:r>
              <w:rPr>
                <w:b/>
                <w:spacing w:val="0"/>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rPr>
            </w:pPr>
            <w:r>
              <w:rPr>
                <w:spacing w:val="0"/>
              </w:rPr>
              <w:t> </w:t>
            </w:r>
          </w:p>
        </w:tc>
        <w:tc>
          <w:tcPr>
            <w:tcW w:w="1444" w:type="dxa"/>
            <w:tcBorders/>
            <w:shd w:fill="auto" w:val="clear"/>
            <w:vAlign w:val="center"/>
          </w:tcPr>
          <w:p>
            <w:pPr>
              <w:pStyle w:val="TableContents"/>
              <w:spacing w:before="0" w:after="0"/>
              <w:jc w:val="right"/>
              <w:rPr>
                <w:b/>
                <w:spacing w:val="0"/>
              </w:rPr>
            </w:pPr>
            <w:r>
              <w:rPr>
                <w:b/>
                <w:spacing w:val="0"/>
              </w:rPr>
              <w:t>3,944</w:t>
            </w:r>
          </w:p>
        </w:tc>
        <w:tc>
          <w:tcPr>
            <w:tcW w:w="170" w:type="dxa"/>
            <w:tcBorders/>
            <w:shd w:fill="auto" w:val="clear"/>
            <w:vAlign w:val="center"/>
          </w:tcPr>
          <w:p>
            <w:pPr>
              <w:pStyle w:val="TableContents"/>
              <w:spacing w:before="0" w:after="0"/>
              <w:rPr>
                <w:spacing w:val="0"/>
              </w:rPr>
            </w:pPr>
            <w:r>
              <w:rPr>
                <w:spacing w:val="0"/>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(benefit) for income taxes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22</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(8</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(loss) income</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
                <w:spacing w:val="0"/>
              </w:rPr>
            </w:pPr>
            <w:r>
              <w:rPr>
                <w:b/>
                <w:spacing w:val="0"/>
              </w:rPr>
              <w:t>$</w:t>
            </w:r>
          </w:p>
        </w:tc>
        <w:tc>
          <w:tcPr>
            <w:tcW w:w="1444" w:type="dxa"/>
            <w:tcBorders/>
            <w:shd w:fill="auto" w:val="clear"/>
            <w:vAlign w:val="center"/>
          </w:tcPr>
          <w:p>
            <w:pPr>
              <w:pStyle w:val="TableContents"/>
              <w:spacing w:before="0" w:after="0"/>
              <w:jc w:val="right"/>
              <w:rPr>
                <w:b/>
                <w:spacing w:val="0"/>
              </w:rPr>
            </w:pPr>
            <w:r>
              <w:rPr>
                <w:b/>
                <w:spacing w:val="0"/>
              </w:rPr>
              <w:t>(34,835</w:t>
            </w:r>
          </w:p>
        </w:tc>
        <w:tc>
          <w:tcPr>
            <w:tcW w:w="159" w:type="dxa"/>
            <w:tcBorders/>
            <w:shd w:fill="auto" w:val="clear"/>
            <w:vAlign w:val="center"/>
          </w:tcPr>
          <w:p>
            <w:pPr>
              <w:pStyle w:val="TableContents"/>
              <w:spacing w:before="0" w:after="0"/>
              <w:rPr>
                <w:b/>
                <w:spacing w:val="0"/>
              </w:rPr>
            </w:pPr>
            <w:r>
              <w:rPr>
                <w:b/>
                <w:spacing w:val="0"/>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
                <w:spacing w:val="0"/>
              </w:rPr>
            </w:pPr>
            <w:r>
              <w:rPr>
                <w:b/>
                <w:spacing w:val="0"/>
              </w:rPr>
              <w:t>$</w:t>
            </w:r>
          </w:p>
        </w:tc>
        <w:tc>
          <w:tcPr>
            <w:tcW w:w="1444" w:type="dxa"/>
            <w:tcBorders/>
            <w:shd w:fill="auto" w:val="clear"/>
            <w:vAlign w:val="center"/>
          </w:tcPr>
          <w:p>
            <w:pPr>
              <w:pStyle w:val="TableContents"/>
              <w:spacing w:before="0" w:after="0"/>
              <w:jc w:val="right"/>
              <w:rPr>
                <w:b/>
                <w:spacing w:val="0"/>
              </w:rPr>
            </w:pPr>
            <w:r>
              <w:rPr>
                <w:b/>
                <w:spacing w:val="0"/>
              </w:rPr>
              <w:t>3,952</w:t>
            </w:r>
          </w:p>
        </w:tc>
        <w:tc>
          <w:tcPr>
            <w:tcW w:w="170" w:type="dxa"/>
            <w:tcBorders/>
            <w:shd w:fill="auto" w:val="clear"/>
            <w:vAlign w:val="center"/>
          </w:tcPr>
          <w:p>
            <w:pPr>
              <w:pStyle w:val="TableContents"/>
              <w:spacing w:before="0" w:after="0"/>
              <w:rPr>
                <w:spacing w:val="0"/>
              </w:rPr>
            </w:pPr>
            <w:r>
              <w:rPr>
                <w:spacing w:val="0"/>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4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4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(loss) income per share:</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w:t>
            </w:r>
          </w:p>
        </w:tc>
        <w:tc>
          <w:tcPr>
            <w:tcW w:w="1444" w:type="dxa"/>
            <w:tcBorders/>
            <w:shd w:fill="auto" w:val="clear"/>
            <w:vAlign w:val="center"/>
          </w:tcPr>
          <w:p>
            <w:pPr>
              <w:pStyle w:val="TableContents"/>
              <w:spacing w:before="0" w:after="283"/>
              <w:jc w:val="right"/>
              <w:rPr/>
            </w:pPr>
            <w:r>
              <w:rPr/>
              <w:t>(0.10</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w:t>
            </w:r>
          </w:p>
        </w:tc>
        <w:tc>
          <w:tcPr>
            <w:tcW w:w="1444" w:type="dxa"/>
            <w:tcBorders/>
            <w:shd w:fill="auto" w:val="clear"/>
            <w:vAlign w:val="center"/>
          </w:tcPr>
          <w:p>
            <w:pPr>
              <w:pStyle w:val="TableContents"/>
              <w:spacing w:before="0" w:after="283"/>
              <w:jc w:val="right"/>
              <w:rPr/>
            </w:pPr>
            <w:r>
              <w:rPr/>
              <w:t>0.00</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1444" w:type="dxa"/>
            <w:tcBorders/>
            <w:shd w:fill="CCEEFF" w:val="clear"/>
            <w:vAlign w:val="center"/>
          </w:tcPr>
          <w:p>
            <w:pPr>
              <w:pStyle w:val="TableContents"/>
              <w:spacing w:before="0" w:after="283"/>
              <w:jc w:val="right"/>
              <w:rPr/>
            </w:pPr>
            <w:r>
              <w:rPr/>
              <w:t>(0.10</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1444" w:type="dxa"/>
            <w:tcBorders/>
            <w:shd w:fill="CCEEFF" w:val="clear"/>
            <w:vAlign w:val="center"/>
          </w:tcPr>
          <w:p>
            <w:pPr>
              <w:pStyle w:val="TableContents"/>
              <w:spacing w:before="0" w:after="283"/>
              <w:jc w:val="right"/>
              <w:rPr/>
            </w:pPr>
            <w:r>
              <w:rPr/>
              <w:t>0.00</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Weighted-average shares used to compute net (loss) income per share</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361,939,372</w:t>
            </w:r>
          </w:p>
        </w:tc>
        <w:tc>
          <w:tcPr>
            <w:tcW w:w="159"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444" w:type="dxa"/>
            <w:tcBorders/>
            <w:shd w:fill="CCEEFF" w:val="clear"/>
            <w:vAlign w:val="center"/>
          </w:tcPr>
          <w:p>
            <w:pPr>
              <w:pStyle w:val="TableContents"/>
              <w:spacing w:before="0" w:after="283"/>
              <w:jc w:val="right"/>
              <w:rPr/>
            </w:pPr>
            <w:r>
              <w:rPr/>
              <w:t>133,243,614</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361,939,372</w:t>
            </w:r>
          </w:p>
        </w:tc>
        <w:tc>
          <w:tcPr>
            <w:tcW w:w="159"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jc w:val="right"/>
              <w:rPr/>
            </w:pPr>
            <w:r>
              <w:rPr/>
              <w:t>340,910,349</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See accompanying notes to the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Dave Inc. and Subsidiaries </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Condensed Consolidated Statement of Stockholders’ Equity </w:t>
      </w:r>
    </w:p>
    <w:p>
      <w:pPr>
        <w:pStyle w:val="TextBody"/>
        <w:spacing w:before="0" w:after="0"/>
        <w:ind w:left="0" w:right="0" w:hanging="0"/>
        <w:jc w:val="center"/>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(in thousands, except share data) </w:t>
      </w:r>
    </w:p>
    <w:p>
      <w:pPr>
        <w:pStyle w:val="TextBody"/>
        <w:spacing w:before="0" w:after="0"/>
        <w:ind w:left="0" w:right="0" w:hanging="0"/>
        <w:jc w:val="center"/>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(unaudited) </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highlight w:val="white"/>
        </w:rPr>
      </w:pPr>
      <w:r>
        <w:rPr>
          <w:spacing w:val="0"/>
          <w:highlight w:val="white"/>
        </w:rPr>
        <w:t> </w:t>
      </w:r>
    </w:p>
    <w:tbl>
      <w:tblPr>
        <w:tblW w:w="22505" w:type="dxa"/>
        <w:jc w:val="left"/>
        <w:tblInd w:w="0" w:type="dxa"/>
        <w:tblCellMar>
          <w:top w:w="0" w:type="dxa"/>
          <w:left w:w="0" w:type="dxa"/>
          <w:bottom w:w="0" w:type="dxa"/>
          <w:right w:w="0" w:type="dxa"/>
        </w:tblCellMar>
      </w:tblPr>
      <w:tblGrid>
        <w:gridCol w:w="2300"/>
        <w:gridCol w:w="120"/>
        <w:gridCol w:w="60"/>
        <w:gridCol w:w="980"/>
        <w:gridCol w:w="125"/>
        <w:gridCol w:w="60"/>
        <w:gridCol w:w="158"/>
        <w:gridCol w:w="702"/>
        <w:gridCol w:w="125"/>
        <w:gridCol w:w="60"/>
        <w:gridCol w:w="60"/>
        <w:gridCol w:w="890"/>
        <w:gridCol w:w="125"/>
        <w:gridCol w:w="60"/>
        <w:gridCol w:w="138"/>
        <w:gridCol w:w="722"/>
        <w:gridCol w:w="125"/>
        <w:gridCol w:w="60"/>
        <w:gridCol w:w="60"/>
        <w:gridCol w:w="800"/>
        <w:gridCol w:w="125"/>
        <w:gridCol w:w="60"/>
        <w:gridCol w:w="138"/>
        <w:gridCol w:w="722"/>
        <w:gridCol w:w="125"/>
        <w:gridCol w:w="60"/>
        <w:gridCol w:w="60"/>
        <w:gridCol w:w="980"/>
        <w:gridCol w:w="125"/>
        <w:gridCol w:w="60"/>
        <w:gridCol w:w="193"/>
        <w:gridCol w:w="667"/>
        <w:gridCol w:w="125"/>
        <w:gridCol w:w="60"/>
        <w:gridCol w:w="60"/>
        <w:gridCol w:w="920"/>
        <w:gridCol w:w="125"/>
        <w:gridCol w:w="60"/>
        <w:gridCol w:w="193"/>
        <w:gridCol w:w="667"/>
        <w:gridCol w:w="125"/>
        <w:gridCol w:w="60"/>
        <w:gridCol w:w="110"/>
        <w:gridCol w:w="830"/>
        <w:gridCol w:w="60"/>
        <w:gridCol w:w="120"/>
        <w:gridCol w:w="193"/>
        <w:gridCol w:w="667"/>
        <w:gridCol w:w="60"/>
        <w:gridCol w:w="120"/>
        <w:gridCol w:w="169"/>
        <w:gridCol w:w="931"/>
        <w:gridCol w:w="125"/>
        <w:gridCol w:w="60"/>
        <w:gridCol w:w="207"/>
        <w:gridCol w:w="1088"/>
        <w:gridCol w:w="125"/>
        <w:gridCol w:w="60"/>
        <w:gridCol w:w="216"/>
        <w:gridCol w:w="749"/>
        <w:gridCol w:w="125"/>
        <w:gridCol w:w="60"/>
        <w:gridCol w:w="220"/>
        <w:gridCol w:w="1150"/>
        <w:gridCol w:w="125"/>
        <w:gridCol w:w="60"/>
        <w:gridCol w:w="1295"/>
        <w:gridCol w:w="140"/>
      </w:tblGrid>
      <w:tr>
        <w:trPr/>
        <w:tc>
          <w:tcPr>
            <w:tcW w:w="2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4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5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085" w:type="dxa"/>
            <w:gridSpan w:val="6"/>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4190" w:type="dxa"/>
            <w:gridSpan w:val="14"/>
            <w:tcBorders/>
            <w:shd w:fill="auto" w:val="cle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95"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65"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370" w:type="dxa"/>
            <w:gridSpan w:val="2"/>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95" w:type="dxa"/>
            <w:gridSpan w:val="2"/>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 </w:t>
            </w:r>
          </w:p>
        </w:tc>
      </w:tr>
      <w:tr>
        <w:trPr/>
        <w:tc>
          <w:tcPr>
            <w:tcW w:w="23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85" w:type="dxa"/>
            <w:gridSpan w:val="6"/>
            <w:tcBorders/>
            <w:shd w:fill="auto" w:val="clear"/>
            <w:vAlign w:val="center"/>
          </w:tcPr>
          <w:p>
            <w:pPr>
              <w:pStyle w:val="TableContents"/>
              <w:spacing w:before="0" w:after="0"/>
              <w:jc w:val="center"/>
              <w:rPr>
                <w:b/>
                <w:spacing w:val="0"/>
              </w:rPr>
            </w:pPr>
            <w:r>
              <w:rPr>
                <w:b/>
                <w:spacing w:val="0"/>
              </w:rPr>
              <w:t>Series A</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995" w:type="dxa"/>
            <w:gridSpan w:val="6"/>
            <w:tcBorders/>
            <w:shd w:fill="auto" w:val="clear"/>
            <w:vAlign w:val="center"/>
          </w:tcPr>
          <w:p>
            <w:pPr>
              <w:pStyle w:val="TableContents"/>
              <w:spacing w:before="0" w:after="0"/>
              <w:jc w:val="center"/>
              <w:rPr>
                <w:b/>
                <w:spacing w:val="0"/>
              </w:rPr>
            </w:pPr>
            <w:r>
              <w:rPr>
                <w:b/>
                <w:spacing w:val="0"/>
              </w:rPr>
              <w:t xml:space="preserve">Series </w:t>
            </w:r>
          </w:p>
          <w:p>
            <w:pPr>
              <w:pStyle w:val="TableContents"/>
              <w:spacing w:before="0" w:after="0"/>
              <w:jc w:val="center"/>
              <w:rPr>
                <w:b/>
                <w:spacing w:val="0"/>
              </w:rPr>
            </w:pPr>
            <w:r>
              <w:rPr>
                <w:b/>
                <w:spacing w:val="0"/>
              </w:rPr>
              <w:t>B-1</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905" w:type="dxa"/>
            <w:gridSpan w:val="6"/>
            <w:tcBorders/>
            <w:shd w:fill="auto" w:val="clear"/>
            <w:vAlign w:val="center"/>
          </w:tcPr>
          <w:p>
            <w:pPr>
              <w:pStyle w:val="TableContents"/>
              <w:spacing w:before="0" w:after="0"/>
              <w:jc w:val="center"/>
              <w:rPr>
                <w:b/>
                <w:spacing w:val="0"/>
              </w:rPr>
            </w:pPr>
            <w:r>
              <w:rPr>
                <w:b/>
                <w:spacing w:val="0"/>
              </w:rPr>
              <w:t>Series B-2</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085" w:type="dxa"/>
            <w:gridSpan w:val="6"/>
            <w:tcBorders/>
            <w:shd w:fill="auto" w:val="clear"/>
            <w:vAlign w:val="center"/>
          </w:tcPr>
          <w:p>
            <w:pPr>
              <w:pStyle w:val="TableContents"/>
              <w:spacing w:before="0" w:after="0"/>
              <w:jc w:val="center"/>
              <w:rPr>
                <w:b/>
                <w:spacing w:val="0"/>
              </w:rPr>
            </w:pPr>
            <w:r>
              <w:rPr>
                <w:b/>
                <w:spacing w:val="0"/>
              </w:rPr>
              <w:t>Common stock</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025" w:type="dxa"/>
            <w:gridSpan w:val="6"/>
            <w:tcBorders/>
            <w:shd w:fill="auto" w:val="clear"/>
            <w:vAlign w:val="center"/>
          </w:tcPr>
          <w:p>
            <w:pPr>
              <w:pStyle w:val="TableContents"/>
              <w:spacing w:before="0" w:after="0"/>
              <w:jc w:val="center"/>
              <w:rPr>
                <w:b/>
                <w:spacing w:val="0"/>
              </w:rPr>
            </w:pPr>
            <w:r>
              <w:rPr>
                <w:b/>
                <w:spacing w:val="0"/>
              </w:rPr>
              <w:t>Class A</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980" w:type="dxa"/>
            <w:gridSpan w:val="6"/>
            <w:tcBorders/>
            <w:shd w:fill="auto" w:val="clear"/>
            <w:vAlign w:val="center"/>
          </w:tcPr>
          <w:p>
            <w:pPr>
              <w:pStyle w:val="TableContents"/>
              <w:spacing w:before="0" w:after="0"/>
              <w:jc w:val="center"/>
              <w:rPr>
                <w:b/>
                <w:spacing w:val="0"/>
              </w:rPr>
            </w:pPr>
            <w:r>
              <w:rPr>
                <w:b/>
                <w:spacing w:val="0"/>
              </w:rPr>
              <w:t>Class V</w:t>
            </w:r>
          </w:p>
        </w:tc>
        <w:tc>
          <w:tcPr>
            <w:tcW w:w="60" w:type="dxa"/>
            <w:tcBorders/>
            <w:shd w:fill="auto" w:val="clear"/>
            <w:vAlign w:val="center"/>
          </w:tcPr>
          <w:p>
            <w:pPr>
              <w:pStyle w:val="TableContents"/>
              <w:spacing w:before="0" w:after="0"/>
              <w:rPr>
                <w:spacing w:val="0"/>
              </w:rPr>
            </w:pPr>
            <w:r>
              <w:rPr>
                <w:spacing w:val="0"/>
              </w:rPr>
              <w:t> </w:t>
            </w:r>
          </w:p>
        </w:tc>
        <w:tc>
          <w:tcPr>
            <w:tcW w:w="120" w:type="dxa"/>
            <w:vMerge w:val="restart"/>
            <w:tcBorders/>
            <w:shd w:fill="auto" w:val="clear"/>
            <w:vAlign w:val="center"/>
          </w:tcPr>
          <w:p>
            <w:pPr>
              <w:pStyle w:val="TableContents"/>
              <w:spacing w:before="0" w:after="0"/>
              <w:rPr>
                <w:spacing w:val="0"/>
              </w:rPr>
            </w:pPr>
            <w:r>
              <w:rPr>
                <w:spacing w:val="0"/>
              </w:rPr>
              <w:t> </w:t>
            </w:r>
          </w:p>
        </w:tc>
        <w:tc>
          <w:tcPr>
            <w:tcW w:w="1100"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pPr>
            <w:r>
              <w:rPr/>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12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295" w:type="dxa"/>
            <w:gridSpan w:val="2"/>
            <w:vMerge w:val="restart"/>
            <w:tcBorders/>
            <w:shd w:fill="auto" w:val="clear"/>
            <w:vAlign w:val="center"/>
          </w:tcPr>
          <w:p>
            <w:pPr>
              <w:pStyle w:val="TableContents"/>
              <w:spacing w:before="0" w:after="0"/>
              <w:jc w:val="center"/>
              <w:rPr>
                <w:b/>
                <w:spacing w:val="0"/>
              </w:rPr>
            </w:pPr>
            <w:r>
              <w:rPr>
                <w:b/>
                <w:spacing w:val="0"/>
              </w:rPr>
              <w:t>Loans to</w:t>
            </w:r>
          </w:p>
          <w:p>
            <w:pPr>
              <w:pStyle w:val="TableContents"/>
              <w:spacing w:before="0" w:after="0"/>
              <w:jc w:val="center"/>
              <w:rPr/>
            </w:pPr>
            <w:r>
              <w:rPr/>
            </w:r>
          </w:p>
          <w:p>
            <w:pPr>
              <w:pStyle w:val="TableContents"/>
              <w:spacing w:before="0" w:after="0"/>
              <w:jc w:val="center"/>
              <w:rPr>
                <w:b/>
                <w:spacing w:val="0"/>
              </w:rPr>
            </w:pPr>
            <w:r>
              <w:rPr>
                <w:b/>
                <w:spacing w:val="0"/>
              </w:rPr>
              <w:t>stockholders</w:t>
            </w:r>
          </w:p>
        </w:tc>
        <w:tc>
          <w:tcPr>
            <w:tcW w:w="12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965" w:type="dxa"/>
            <w:gridSpan w:val="2"/>
            <w:vMerge w:val="restart"/>
            <w:tcBorders/>
            <w:shd w:fill="auto" w:val="clear"/>
            <w:vAlign w:val="center"/>
          </w:tcPr>
          <w:p>
            <w:pPr>
              <w:pStyle w:val="TableContents"/>
              <w:spacing w:before="0" w:after="0"/>
              <w:jc w:val="center"/>
              <w:rPr>
                <w:b/>
                <w:spacing w:val="0"/>
              </w:rPr>
            </w:pPr>
            <w:r>
              <w:rPr>
                <w:b/>
                <w:spacing w:val="0"/>
              </w:rPr>
              <w:t>Treasury</w:t>
            </w:r>
          </w:p>
          <w:p>
            <w:pPr>
              <w:pStyle w:val="TableContents"/>
              <w:spacing w:before="0" w:after="0"/>
              <w:jc w:val="center"/>
              <w:rPr/>
            </w:pPr>
            <w:r>
              <w:rPr/>
            </w:r>
          </w:p>
          <w:p>
            <w:pPr>
              <w:pStyle w:val="TableContents"/>
              <w:spacing w:before="0" w:after="0"/>
              <w:jc w:val="center"/>
              <w:rPr>
                <w:b/>
                <w:spacing w:val="0"/>
              </w:rPr>
            </w:pPr>
            <w:r>
              <w:rPr>
                <w:b/>
                <w:spacing w:val="0"/>
              </w:rPr>
              <w:t>stock</w:t>
            </w:r>
          </w:p>
        </w:tc>
        <w:tc>
          <w:tcPr>
            <w:tcW w:w="12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37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2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295" w:type="dxa"/>
            <w:gridSpan w:val="2"/>
            <w:vMerge w:val="restart"/>
            <w:tcBorders/>
            <w:shd w:fill="auto" w:val="cle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stockholders’</w:t>
            </w:r>
          </w:p>
          <w:p>
            <w:pPr>
              <w:pStyle w:val="TableContents"/>
              <w:spacing w:before="0" w:after="0"/>
              <w:jc w:val="center"/>
              <w:rPr/>
            </w:pPr>
            <w:r>
              <w:rPr/>
            </w:r>
          </w:p>
          <w:p>
            <w:pPr>
              <w:pStyle w:val="TableContents"/>
              <w:spacing w:before="0" w:after="0"/>
              <w:jc w:val="center"/>
              <w:rPr>
                <w:b/>
                <w:spacing w:val="0"/>
              </w:rPr>
            </w:pPr>
            <w:r>
              <w:rPr>
                <w:b/>
                <w:spacing w:val="0"/>
              </w:rPr>
              <w:t>equity</w:t>
            </w:r>
          </w:p>
        </w:tc>
        <w:tc>
          <w:tcPr>
            <w:tcW w:w="140" w:type="dxa"/>
            <w:vMerge w:val="restart"/>
            <w:tcBorders/>
            <w:shd w:fill="auto" w:val="clear"/>
            <w:vAlign w:val="center"/>
          </w:tcPr>
          <w:p>
            <w:pPr>
              <w:pStyle w:val="TableContents"/>
              <w:spacing w:before="0" w:after="0"/>
              <w:rPr>
                <w:spacing w:val="0"/>
              </w:rPr>
            </w:pPr>
            <w:r>
              <w:rPr>
                <w:spacing w:val="0"/>
              </w:rPr>
              <w:t> </w:t>
            </w:r>
          </w:p>
        </w:tc>
      </w:tr>
      <w:tr>
        <w:trPr/>
        <w:tc>
          <w:tcPr>
            <w:tcW w:w="23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40" w:type="dxa"/>
            <w:gridSpan w:val="2"/>
            <w:tcBorders/>
            <w:shd w:fill="auto" w:val="cle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50" w:type="dxa"/>
            <w:gridSpan w:val="2"/>
            <w:tcBorders/>
            <w:shd w:fill="auto" w:val="cle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040" w:type="dxa"/>
            <w:gridSpan w:val="2"/>
            <w:tcBorders/>
            <w:shd w:fill="auto" w:val="cle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80" w:type="dxa"/>
            <w:gridSpan w:val="2"/>
            <w:tcBorders/>
            <w:shd w:fill="auto" w:val="cle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4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12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95" w:type="dxa"/>
            <w:gridSpan w:val="2"/>
            <w:vMerge w:val="continue"/>
            <w:tcBorders/>
            <w:shd w:fill="auto" w:val="cle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965" w:type="dxa"/>
            <w:gridSpan w:val="2"/>
            <w:vMerge w:val="continue"/>
            <w:tcBorders/>
            <w:shd w:fill="auto" w:val="cle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95" w:type="dxa"/>
            <w:gridSpan w:val="2"/>
            <w:vMerge w:val="continue"/>
            <w:tcBorders/>
            <w:shd w:fill="auto" w:val="clear"/>
            <w:vAlign w:val="center"/>
          </w:tcPr>
          <w:p>
            <w:pPr>
              <w:pStyle w:val="Normal"/>
              <w:rPr/>
            </w:pPr>
            <w:r>
              <w:rPr/>
            </w:r>
          </w:p>
        </w:tc>
        <w:tc>
          <w:tcPr>
            <w:tcW w:w="140" w:type="dxa"/>
            <w:vMerge w:val="continue"/>
            <w:tcBorders/>
            <w:shd w:fill="auto" w:val="clear"/>
            <w:vAlign w:val="center"/>
          </w:tcPr>
          <w:p>
            <w:pPr>
              <w:pStyle w:val="Normal"/>
              <w:rPr/>
            </w:pPr>
            <w:r>
              <w:rPr/>
            </w:r>
          </w:p>
        </w:tc>
      </w:tr>
      <w:tr>
        <w:trPr/>
        <w:tc>
          <w:tcPr>
            <w:tcW w:w="2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2300" w:type="dxa"/>
            <w:tcBorders/>
            <w:shd w:fill="CCEEFF" w:val="clear"/>
            <w:vAlign w:val="center"/>
          </w:tcPr>
          <w:p>
            <w:pPr>
              <w:pStyle w:val="TableContents"/>
              <w:spacing w:lineRule="atLeast" w:line="160" w:before="0" w:after="0"/>
              <w:rPr>
                <w:rFonts w:ascii="Times New Roman" w:hAnsi="Times New Roman"/>
                <w:b/>
                <w:sz w:val="16"/>
              </w:rPr>
            </w:pPr>
            <w:r>
              <w:rPr>
                <w:rFonts w:ascii="Times New Roman" w:hAnsi="Times New Roman"/>
                <w:b/>
                <w:sz w:val="16"/>
              </w:rPr>
              <w:t>Balance at January 1, 2022 (as previously reported)</w:t>
            </w:r>
          </w:p>
        </w:tc>
        <w:tc>
          <w:tcPr>
            <w:tcW w:w="12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b/>
                <w:spacing w:val="0"/>
                <w:sz w:val="16"/>
              </w:rPr>
            </w:pPr>
            <w:r>
              <w:rPr>
                <w:b/>
                <w:spacing w:val="0"/>
                <w:sz w:val="16"/>
              </w:rPr>
              <w:t>133,216,940</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b/>
                <w:spacing w:val="0"/>
                <w:sz w:val="16"/>
              </w:rPr>
            </w:pPr>
            <w:r>
              <w:rPr>
                <w:b/>
                <w:spacing w:val="0"/>
                <w:sz w:val="16"/>
              </w:rPr>
              <w:t>$</w:t>
            </w:r>
          </w:p>
        </w:tc>
        <w:tc>
          <w:tcPr>
            <w:tcW w:w="702" w:type="dxa"/>
            <w:tcBorders/>
            <w:shd w:fill="CCEEFF" w:val="clear"/>
            <w:vAlign w:val="center"/>
          </w:tcPr>
          <w:p>
            <w:pPr>
              <w:pStyle w:val="TableContents"/>
              <w:spacing w:lineRule="atLeast" w:line="160" w:before="0" w:after="0"/>
              <w:jc w:val="right"/>
              <w:rPr>
                <w:b/>
                <w:spacing w:val="0"/>
                <w:sz w:val="16"/>
              </w:rPr>
            </w:pPr>
            <w:r>
              <w:rPr>
                <w:b/>
                <w:spacing w:val="0"/>
                <w:sz w:val="16"/>
              </w:rPr>
              <w:t>9,881</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90" w:type="dxa"/>
            <w:tcBorders/>
            <w:shd w:fill="CCEEFF" w:val="clear"/>
            <w:vAlign w:val="center"/>
          </w:tcPr>
          <w:p>
            <w:pPr>
              <w:pStyle w:val="TableContents"/>
              <w:spacing w:lineRule="atLeast" w:line="160" w:before="0" w:after="0"/>
              <w:jc w:val="right"/>
              <w:rPr>
                <w:b/>
                <w:spacing w:val="0"/>
                <w:sz w:val="16"/>
              </w:rPr>
            </w:pPr>
            <w:r>
              <w:rPr>
                <w:b/>
                <w:spacing w:val="0"/>
                <w:sz w:val="16"/>
              </w:rPr>
              <w:t>13,326,050</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b/>
                <w:spacing w:val="0"/>
                <w:sz w:val="16"/>
              </w:rPr>
            </w:pPr>
            <w:r>
              <w:rPr>
                <w:b/>
                <w:spacing w:val="0"/>
                <w:sz w:val="16"/>
              </w:rPr>
              <w:t>$</w:t>
            </w:r>
          </w:p>
        </w:tc>
        <w:tc>
          <w:tcPr>
            <w:tcW w:w="722" w:type="dxa"/>
            <w:tcBorders/>
            <w:shd w:fill="CCEEFF" w:val="clear"/>
            <w:vAlign w:val="center"/>
          </w:tcPr>
          <w:p>
            <w:pPr>
              <w:pStyle w:val="TableContents"/>
              <w:spacing w:lineRule="atLeast" w:line="160" w:before="0" w:after="0"/>
              <w:jc w:val="right"/>
              <w:rPr>
                <w:b/>
                <w:spacing w:val="0"/>
                <w:sz w:val="16"/>
              </w:rPr>
            </w:pPr>
            <w:r>
              <w:rPr>
                <w:b/>
                <w:spacing w:val="0"/>
                <w:sz w:val="16"/>
              </w:rPr>
              <w:t>49,675</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00" w:type="dxa"/>
            <w:tcBorders/>
            <w:shd w:fill="CCEEFF" w:val="clear"/>
            <w:vAlign w:val="center"/>
          </w:tcPr>
          <w:p>
            <w:pPr>
              <w:pStyle w:val="TableContents"/>
              <w:spacing w:lineRule="atLeast" w:line="160" w:before="0" w:after="0"/>
              <w:jc w:val="right"/>
              <w:rPr>
                <w:b/>
                <w:spacing w:val="0"/>
                <w:sz w:val="16"/>
              </w:rPr>
            </w:pPr>
            <w:r>
              <w:rPr>
                <w:b/>
                <w:spacing w:val="0"/>
                <w:sz w:val="16"/>
              </w:rPr>
              <w:t>3,991,610</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b/>
                <w:spacing w:val="0"/>
                <w:sz w:val="16"/>
              </w:rPr>
            </w:pPr>
            <w:r>
              <w:rPr>
                <w:b/>
                <w:spacing w:val="0"/>
                <w:sz w:val="16"/>
              </w:rPr>
              <w:t>$</w:t>
            </w:r>
          </w:p>
        </w:tc>
        <w:tc>
          <w:tcPr>
            <w:tcW w:w="722" w:type="dxa"/>
            <w:tcBorders/>
            <w:shd w:fill="CCEEFF" w:val="clear"/>
            <w:vAlign w:val="center"/>
          </w:tcPr>
          <w:p>
            <w:pPr>
              <w:pStyle w:val="TableContents"/>
              <w:spacing w:lineRule="atLeast" w:line="160" w:before="0" w:after="0"/>
              <w:jc w:val="right"/>
              <w:rPr>
                <w:b/>
                <w:spacing w:val="0"/>
                <w:sz w:val="16"/>
              </w:rPr>
            </w:pPr>
            <w:r>
              <w:rPr>
                <w:b/>
                <w:spacing w:val="0"/>
                <w:sz w:val="16"/>
              </w:rPr>
              <w:t>12,617</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b/>
                <w:spacing w:val="0"/>
                <w:sz w:val="16"/>
              </w:rPr>
            </w:pPr>
            <w:r>
              <w:rPr>
                <w:b/>
                <w:spacing w:val="0"/>
                <w:sz w:val="16"/>
              </w:rPr>
              <w:t>104,022,678</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b/>
                <w:spacing w:val="0"/>
                <w:sz w:val="16"/>
              </w:rPr>
            </w:pPr>
            <w:r>
              <w:rPr>
                <w:b/>
                <w:spacing w:val="0"/>
                <w:sz w:val="16"/>
              </w:rPr>
              <w:t>$</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0.1</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2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b/>
                <w:spacing w:val="0"/>
                <w:sz w:val="16"/>
              </w:rPr>
            </w:pPr>
            <w:r>
              <w:rPr>
                <w:b/>
                <w:spacing w:val="0"/>
                <w:sz w:val="16"/>
              </w:rPr>
              <w:t>$</w:t>
            </w:r>
          </w:p>
        </w:tc>
        <w:tc>
          <w:tcPr>
            <w:tcW w:w="667"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spacing w:val="0"/>
              </w:rPr>
            </w:pPr>
            <w:r>
              <w:rPr>
                <w:spacing w:val="0"/>
              </w:rPr>
              <w:t> </w:t>
            </w:r>
          </w:p>
        </w:tc>
        <w:tc>
          <w:tcPr>
            <w:tcW w:w="830" w:type="dxa"/>
            <w:tcBorders/>
            <w:shd w:fill="CCEEFF" w:val="clear"/>
            <w:vAlign w:val="center"/>
          </w:tcPr>
          <w:p>
            <w:pPr>
              <w:pStyle w:val="TableContents"/>
              <w:spacing w:lineRule="atLeast" w:line="160" w:before="0" w:after="0"/>
              <w:jc w:val="right"/>
              <w:rPr>
                <w:spacing w:val="0"/>
              </w:rPr>
            </w:pPr>
            <w:r>
              <w:rPr>
                <w:spacing w:val="0"/>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b/>
                <w:spacing w:val="0"/>
                <w:sz w:val="16"/>
              </w:rPr>
            </w:pPr>
            <w:r>
              <w:rPr>
                <w:b/>
                <w:spacing w:val="0"/>
                <w:sz w:val="16"/>
              </w:rPr>
              <w:t>$</w:t>
            </w:r>
          </w:p>
        </w:tc>
        <w:tc>
          <w:tcPr>
            <w:tcW w:w="667" w:type="dxa"/>
            <w:tcBorders/>
            <w:shd w:fill="CCEEFF" w:val="clear"/>
            <w:vAlign w:val="center"/>
          </w:tcPr>
          <w:p>
            <w:pPr>
              <w:pStyle w:val="TableContents"/>
              <w:spacing w:lineRule="atLeast" w:line="160" w:before="0" w:after="0"/>
              <w:jc w:val="right"/>
              <w:rPr>
                <w:spacing w:val="0"/>
              </w:rPr>
            </w:pPr>
            <w:r>
              <w:rPr>
                <w:spacing w:val="0"/>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b/>
                <w:spacing w:val="0"/>
                <w:sz w:val="16"/>
              </w:rPr>
            </w:pPr>
            <w:r>
              <w:rPr>
                <w:b/>
                <w:spacing w:val="0"/>
                <w:sz w:val="16"/>
              </w:rPr>
              <w:t>$</w:t>
            </w:r>
          </w:p>
        </w:tc>
        <w:tc>
          <w:tcPr>
            <w:tcW w:w="931" w:type="dxa"/>
            <w:tcBorders/>
            <w:shd w:fill="CCEEFF" w:val="clear"/>
            <w:vAlign w:val="center"/>
          </w:tcPr>
          <w:p>
            <w:pPr>
              <w:pStyle w:val="TableContents"/>
              <w:spacing w:lineRule="atLeast" w:line="160" w:before="0" w:after="0"/>
              <w:jc w:val="right"/>
              <w:rPr>
                <w:b/>
                <w:spacing w:val="0"/>
                <w:sz w:val="16"/>
              </w:rPr>
            </w:pPr>
            <w:r>
              <w:rPr>
                <w:b/>
                <w:spacing w:val="0"/>
                <w:sz w:val="16"/>
              </w:rPr>
              <w:t>14,658</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b/>
                <w:spacing w:val="0"/>
                <w:sz w:val="16"/>
              </w:rPr>
            </w:pPr>
            <w:r>
              <w:rPr>
                <w:b/>
                <w:spacing w:val="0"/>
                <w:sz w:val="16"/>
              </w:rPr>
              <w:t>$</w:t>
            </w:r>
          </w:p>
        </w:tc>
        <w:tc>
          <w:tcPr>
            <w:tcW w:w="1088" w:type="dxa"/>
            <w:tcBorders/>
            <w:shd w:fill="CCEEFF" w:val="clear"/>
            <w:vAlign w:val="center"/>
          </w:tcPr>
          <w:p>
            <w:pPr>
              <w:pStyle w:val="TableContents"/>
              <w:spacing w:lineRule="atLeast" w:line="160" w:before="0" w:after="0"/>
              <w:jc w:val="right"/>
              <w:rPr>
                <w:b/>
                <w:spacing w:val="0"/>
                <w:sz w:val="16"/>
              </w:rPr>
            </w:pPr>
            <w:r>
              <w:rPr>
                <w:b/>
                <w:spacing w:val="0"/>
                <w:sz w:val="16"/>
              </w:rPr>
              <w:t>(15,192</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spacing w:val="0"/>
              </w:rPr>
            </w:pPr>
            <w:r>
              <w:rPr>
                <w:spacing w:val="0"/>
              </w:rPr>
              <w:t> </w:t>
            </w:r>
          </w:p>
        </w:tc>
        <w:tc>
          <w:tcPr>
            <w:tcW w:w="749" w:type="dxa"/>
            <w:tcBorders/>
            <w:shd w:fill="CCEEFF" w:val="clear"/>
            <w:vAlign w:val="center"/>
          </w:tcPr>
          <w:p>
            <w:pPr>
              <w:pStyle w:val="TableContents"/>
              <w:spacing w:lineRule="atLeast" w:line="160" w:before="0" w:after="0"/>
              <w:jc w:val="right"/>
              <w:rPr>
                <w:b/>
                <w:spacing w:val="0"/>
                <w:sz w:val="16"/>
              </w:rPr>
            </w:pPr>
            <w:r>
              <w:rPr>
                <w:b/>
                <w:spacing w:val="0"/>
                <w:sz w:val="16"/>
              </w:rPr>
              <w:t>(5</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(32,897</w:t>
            </w:r>
          </w:p>
          <w:p>
            <w:pPr>
              <w:pStyle w:val="TableContents"/>
              <w:spacing w:lineRule="atLeast" w:line="160" w:before="0" w:after="0"/>
              <w:rPr>
                <w:b/>
                <w:spacing w:val="0"/>
                <w:sz w:val="16"/>
              </w:rPr>
            </w:pPr>
            <w:r>
              <w:rPr>
                <w:b/>
                <w:spacing w:val="0"/>
                <w:sz w:val="16"/>
              </w:rPr>
              <w:t>) </w:t>
            </w:r>
          </w:p>
          <w:p>
            <w:pPr>
              <w:pStyle w:val="TableContents"/>
              <w:spacing w:lineRule="atLeast" w:line="160" w:before="0" w:after="0"/>
              <w:rPr/>
            </w:pPr>
            <w:r>
              <w:rPr/>
              <w:t> </w:t>
            </w:r>
          </w:p>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(33,436</w:t>
            </w:r>
          </w:p>
          <w:p>
            <w:pPr>
              <w:pStyle w:val="TableContents"/>
              <w:spacing w:lineRule="atLeast" w:line="160" w:before="0" w:after="0"/>
              <w:rPr>
                <w:b/>
                <w:spacing w:val="0"/>
                <w:sz w:val="16"/>
              </w:rPr>
            </w:pPr>
            <w:r>
              <w:rPr>
                <w:b/>
                <w:spacing w:val="0"/>
                <w:sz w:val="16"/>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Retroactive application of recapitalization</w:t>
            </w:r>
          </w:p>
        </w:tc>
        <w:tc>
          <w:tcPr>
            <w:tcW w:w="12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283"/>
              <w:jc w:val="right"/>
              <w:rPr>
                <w:sz w:val="16"/>
              </w:rPr>
            </w:pPr>
            <w:r>
              <w:rPr>
                <w:sz w:val="16"/>
              </w:rPr>
              <w:t>(133,216,940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283"/>
              <w:jc w:val="right"/>
              <w:rPr>
                <w:sz w:val="16"/>
              </w:rPr>
            </w:pPr>
            <w:r>
              <w:rPr>
                <w:sz w:val="16"/>
              </w:rPr>
              <w:t>(9,881</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283"/>
              <w:jc w:val="right"/>
              <w:rPr>
                <w:sz w:val="16"/>
              </w:rPr>
            </w:pPr>
            <w:r>
              <w:rPr>
                <w:sz w:val="16"/>
              </w:rPr>
              <w:t>(13,326,050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283"/>
              <w:jc w:val="right"/>
              <w:rPr>
                <w:sz w:val="16"/>
              </w:rPr>
            </w:pPr>
            <w:r>
              <w:rPr>
                <w:sz w:val="16"/>
              </w:rPr>
              <w:t>(49,675</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283"/>
              <w:jc w:val="right"/>
              <w:rPr>
                <w:sz w:val="16"/>
              </w:rPr>
            </w:pPr>
            <w:r>
              <w:rPr>
                <w:sz w:val="16"/>
              </w:rPr>
              <w:t>(3,991,610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283"/>
              <w:jc w:val="right"/>
              <w:rPr>
                <w:sz w:val="16"/>
              </w:rPr>
            </w:pPr>
            <w:r>
              <w:rPr>
                <w:sz w:val="16"/>
              </w:rPr>
              <w:t>(12,617</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283"/>
              <w:jc w:val="right"/>
              <w:rPr>
                <w:sz w:val="16"/>
              </w:rPr>
            </w:pPr>
            <w:r>
              <w:rPr>
                <w:sz w:val="16"/>
              </w:rPr>
              <w:t>(104,022,678</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(0.1</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297,094,254</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30</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283"/>
              <w:jc w:val="right"/>
              <w:rPr>
                <w:sz w:val="16"/>
              </w:rPr>
            </w:pPr>
            <w:r>
              <w:rPr>
                <w:sz w:val="16"/>
              </w:rPr>
              <w:t>48,450,639</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5</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72,138</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72,173</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bdr w:val="single" w:sz="2" w:space="1" w:color="000000"/>
              </w:rPr>
            </w:pPr>
            <w:r>
              <w:rPr>
                <w:bdr w:val="single" w:sz="2" w:space="1" w:color="000000"/>
              </w:rPr>
              <w:t> </w:t>
            </w:r>
          </w:p>
        </w:tc>
        <w:tc>
          <w:tcPr>
            <w:tcW w:w="70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9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2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8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single" w:sz="2" w:space="1" w:color="000000"/>
              </w:rPr>
            </w:pPr>
            <w:r>
              <w:rPr>
                <w:bdr w:val="single" w:sz="2" w:space="1" w:color="000000"/>
              </w:rPr>
              <w:t> </w:t>
            </w:r>
          </w:p>
        </w:tc>
        <w:tc>
          <w:tcPr>
            <w:tcW w:w="931"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088"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749"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p>
            <w:pPr>
              <w:pStyle w:val="TableContents"/>
              <w:spacing w:before="0" w:after="283"/>
              <w:rPr/>
            </w:pPr>
            <w:r>
              <w:rPr/>
              <w:t> </w:t>
            </w:r>
          </w:p>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tc>
      </w:tr>
      <w:tr>
        <w:trPr/>
        <w:tc>
          <w:tcPr>
            <w:tcW w:w="2300" w:type="dxa"/>
            <w:tcBorders/>
            <w:shd w:fill="CCEEFF" w:val="clear"/>
            <w:vAlign w:val="center"/>
          </w:tcPr>
          <w:p>
            <w:pPr>
              <w:pStyle w:val="TableContents"/>
              <w:spacing w:lineRule="atLeast" w:line="160" w:before="0" w:after="0"/>
              <w:rPr>
                <w:rFonts w:ascii="Times New Roman" w:hAnsi="Times New Roman"/>
                <w:b/>
                <w:sz w:val="16"/>
              </w:rPr>
            </w:pPr>
            <w:r>
              <w:rPr>
                <w:rFonts w:ascii="Times New Roman" w:hAnsi="Times New Roman"/>
                <w:b/>
                <w:sz w:val="16"/>
              </w:rPr>
              <w:t>Balance at January 1, 2022 (as adjusted)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spacing w:val="0"/>
              </w:rPr>
            </w:pPr>
            <w:r>
              <w:rPr>
                <w:spacing w:val="0"/>
              </w:rPr>
              <w:t> </w:t>
            </w:r>
          </w:p>
        </w:tc>
        <w:tc>
          <w:tcPr>
            <w:tcW w:w="70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9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spacing w:val="0"/>
              </w:rPr>
            </w:pPr>
            <w:r>
              <w:rPr>
                <w:spacing w:val="0"/>
              </w:rPr>
              <w:t> </w:t>
            </w:r>
          </w:p>
        </w:tc>
        <w:tc>
          <w:tcPr>
            <w:tcW w:w="72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0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spacing w:val="0"/>
              </w:rPr>
            </w:pPr>
            <w:r>
              <w:rPr>
                <w:spacing w:val="0"/>
              </w:rPr>
              <w:t> </w:t>
            </w:r>
          </w:p>
        </w:tc>
        <w:tc>
          <w:tcPr>
            <w:tcW w:w="72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20" w:type="dxa"/>
            <w:tcBorders/>
            <w:shd w:fill="CCEEFF" w:val="clear"/>
            <w:vAlign w:val="center"/>
          </w:tcPr>
          <w:p>
            <w:pPr>
              <w:pStyle w:val="TableContents"/>
              <w:spacing w:lineRule="atLeast" w:line="160" w:before="0" w:after="0"/>
              <w:jc w:val="right"/>
              <w:rPr>
                <w:b/>
                <w:spacing w:val="0"/>
                <w:sz w:val="16"/>
              </w:rPr>
            </w:pPr>
            <w:r>
              <w:rPr>
                <w:b/>
                <w:spacing w:val="0"/>
                <w:sz w:val="16"/>
              </w:rPr>
              <w:t>297,094,254</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30</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spacing w:val="0"/>
              </w:rPr>
            </w:pPr>
            <w:r>
              <w:rPr>
                <w:spacing w:val="0"/>
              </w:rPr>
              <w:t> </w:t>
            </w:r>
          </w:p>
        </w:tc>
        <w:tc>
          <w:tcPr>
            <w:tcW w:w="830" w:type="dxa"/>
            <w:tcBorders/>
            <w:shd w:fill="CCEEFF" w:val="clear"/>
            <w:vAlign w:val="center"/>
          </w:tcPr>
          <w:p>
            <w:pPr>
              <w:pStyle w:val="TableContents"/>
              <w:spacing w:lineRule="atLeast" w:line="160" w:before="0" w:after="0"/>
              <w:jc w:val="right"/>
              <w:rPr>
                <w:b/>
                <w:spacing w:val="0"/>
                <w:sz w:val="16"/>
              </w:rPr>
            </w:pPr>
            <w:r>
              <w:rPr>
                <w:b/>
                <w:spacing w:val="0"/>
                <w:sz w:val="16"/>
              </w:rPr>
              <w:t>48,450,639</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5</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spacing w:val="0"/>
              </w:rPr>
            </w:pPr>
            <w:r>
              <w:rPr>
                <w:spacing w:val="0"/>
              </w:rPr>
              <w:t> </w:t>
            </w:r>
          </w:p>
        </w:tc>
        <w:tc>
          <w:tcPr>
            <w:tcW w:w="931" w:type="dxa"/>
            <w:tcBorders/>
            <w:shd w:fill="CCEEFF" w:val="clear"/>
            <w:vAlign w:val="center"/>
          </w:tcPr>
          <w:p>
            <w:pPr>
              <w:pStyle w:val="TableContents"/>
              <w:spacing w:lineRule="atLeast" w:line="160" w:before="0" w:after="0"/>
              <w:jc w:val="right"/>
              <w:rPr>
                <w:b/>
                <w:spacing w:val="0"/>
                <w:sz w:val="16"/>
              </w:rPr>
            </w:pPr>
            <w:r>
              <w:rPr>
                <w:b/>
                <w:spacing w:val="0"/>
                <w:sz w:val="16"/>
              </w:rPr>
              <w:t>86,796</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spacing w:val="0"/>
              </w:rPr>
            </w:pPr>
            <w:r>
              <w:rPr>
                <w:spacing w:val="0"/>
              </w:rPr>
              <w:t> </w:t>
            </w:r>
          </w:p>
        </w:tc>
        <w:tc>
          <w:tcPr>
            <w:tcW w:w="1088" w:type="dxa"/>
            <w:tcBorders/>
            <w:shd w:fill="CCEEFF" w:val="clear"/>
            <w:vAlign w:val="center"/>
          </w:tcPr>
          <w:p>
            <w:pPr>
              <w:pStyle w:val="TableContents"/>
              <w:spacing w:lineRule="atLeast" w:line="160" w:before="0" w:after="0"/>
              <w:jc w:val="right"/>
              <w:rPr>
                <w:b/>
                <w:spacing w:val="0"/>
                <w:sz w:val="16"/>
              </w:rPr>
            </w:pPr>
            <w:r>
              <w:rPr>
                <w:b/>
                <w:spacing w:val="0"/>
                <w:sz w:val="16"/>
              </w:rPr>
              <w:t>(15,192</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spacing w:val="0"/>
              </w:rPr>
            </w:pPr>
            <w:r>
              <w:rPr>
                <w:spacing w:val="0"/>
              </w:rPr>
              <w:t> </w:t>
            </w:r>
          </w:p>
        </w:tc>
        <w:tc>
          <w:tcPr>
            <w:tcW w:w="749" w:type="dxa"/>
            <w:tcBorders/>
            <w:shd w:fill="CCEEFF" w:val="clear"/>
            <w:vAlign w:val="center"/>
          </w:tcPr>
          <w:p>
            <w:pPr>
              <w:pStyle w:val="TableContents"/>
              <w:spacing w:lineRule="atLeast" w:line="160" w:before="0" w:after="0"/>
              <w:jc w:val="right"/>
              <w:rPr>
                <w:b/>
                <w:spacing w:val="0"/>
                <w:sz w:val="16"/>
              </w:rPr>
            </w:pPr>
            <w:r>
              <w:rPr>
                <w:b/>
                <w:spacing w:val="0"/>
                <w:sz w:val="16"/>
              </w:rPr>
              <w:t>(5</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(32,897</w:t>
            </w:r>
          </w:p>
          <w:p>
            <w:pPr>
              <w:pStyle w:val="TableContents"/>
              <w:spacing w:lineRule="atLeast" w:line="160" w:before="0" w:after="0"/>
              <w:rPr>
                <w:b/>
                <w:spacing w:val="0"/>
                <w:sz w:val="16"/>
              </w:rPr>
            </w:pPr>
            <w:r>
              <w:rPr>
                <w:b/>
                <w:spacing w:val="0"/>
                <w:sz w:val="16"/>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38,737</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Issuance of Class A common stock for stock option exercises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3,336,683</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1,558</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1,558</w:t>
            </w:r>
          </w:p>
          <w:p>
            <w:pPr>
              <w:pStyle w:val="TableContents"/>
              <w:spacing w:lineRule="atLeast" w:line="160" w:before="0" w:after="0"/>
              <w:rPr>
                <w:spacing w:val="0"/>
              </w:rPr>
            </w:pPr>
            <w:r>
              <w:rPr>
                <w:spacing w:val="0"/>
              </w:rPr>
              <w:t> </w:t>
            </w:r>
          </w:p>
        </w:tc>
      </w:tr>
      <w:tr>
        <w:trPr/>
        <w:tc>
          <w:tcPr>
            <w:tcW w:w="2300" w:type="dxa"/>
            <w:tcBorders/>
            <w:shd w:fill="CCEEFF" w:val="clear"/>
            <w:vAlign w:val="center"/>
          </w:tcPr>
          <w:p>
            <w:pPr>
              <w:pStyle w:val="TableContents"/>
              <w:spacing w:lineRule="atLeast" w:line="160" w:before="0" w:after="0"/>
              <w:rPr>
                <w:rFonts w:ascii="Times New Roman" w:hAnsi="Times New Roman"/>
                <w:sz w:val="16"/>
              </w:rPr>
            </w:pPr>
            <w:r>
              <w:rPr>
                <w:rFonts w:ascii="Times New Roman" w:hAnsi="Times New Roman"/>
                <w:sz w:val="16"/>
              </w:rPr>
              <w:t>Issuance of Class A common stock pursuant to the PIPE financing</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pPr>
            <w:r>
              <w:rPr/>
              <w:t> </w:t>
            </w:r>
          </w:p>
        </w:tc>
        <w:tc>
          <w:tcPr>
            <w:tcW w:w="70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9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0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20" w:type="dxa"/>
            <w:tcBorders/>
            <w:shd w:fill="CCEEFF" w:val="clear"/>
            <w:vAlign w:val="center"/>
          </w:tcPr>
          <w:p>
            <w:pPr>
              <w:pStyle w:val="TableContents"/>
              <w:spacing w:lineRule="atLeast" w:line="160" w:before="0" w:after="283"/>
              <w:jc w:val="right"/>
              <w:rPr>
                <w:sz w:val="16"/>
              </w:rPr>
            </w:pPr>
            <w:r>
              <w:rPr>
                <w:sz w:val="16"/>
              </w:rPr>
              <w:t>21,000,000</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283"/>
              <w:jc w:val="right"/>
              <w:rPr>
                <w:sz w:val="16"/>
              </w:rPr>
            </w:pPr>
            <w:r>
              <w:rPr>
                <w:sz w:val="16"/>
              </w:rPr>
              <w:t>2</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pPr>
            <w:r>
              <w:rPr/>
              <w:t> </w:t>
            </w:r>
          </w:p>
        </w:tc>
        <w:tc>
          <w:tcPr>
            <w:tcW w:w="830"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pPr>
            <w:r>
              <w:rPr/>
              <w:t> </w:t>
            </w:r>
          </w:p>
        </w:tc>
        <w:tc>
          <w:tcPr>
            <w:tcW w:w="931" w:type="dxa"/>
            <w:tcBorders/>
            <w:shd w:fill="CCEEFF" w:val="clear"/>
            <w:vAlign w:val="center"/>
          </w:tcPr>
          <w:p>
            <w:pPr>
              <w:pStyle w:val="TableContents"/>
              <w:spacing w:lineRule="atLeast" w:line="160" w:before="0" w:after="283"/>
              <w:jc w:val="right"/>
              <w:rPr>
                <w:sz w:val="16"/>
              </w:rPr>
            </w:pPr>
            <w:r>
              <w:rPr>
                <w:sz w:val="16"/>
              </w:rPr>
              <w:t>209,999</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pPr>
            <w:r>
              <w:rPr/>
              <w:t> </w:t>
            </w:r>
          </w:p>
        </w:tc>
        <w:tc>
          <w:tcPr>
            <w:tcW w:w="1088"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pPr>
            <w:r>
              <w:rPr/>
              <w:t> </w:t>
            </w:r>
          </w:p>
        </w:tc>
        <w:tc>
          <w:tcPr>
            <w:tcW w:w="749"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210,001</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Issuance of Class A common stock pursuant to the Merger Agreement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8,351,359</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1</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(17,020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(17,019</w:t>
            </w:r>
          </w:p>
          <w:p>
            <w:pPr>
              <w:pStyle w:val="TableContents"/>
              <w:spacing w:lineRule="atLeast" w:line="160" w:before="0" w:after="0"/>
              <w:rPr>
                <w:b/>
                <w:spacing w:val="0"/>
                <w:sz w:val="16"/>
              </w:rPr>
            </w:pPr>
            <w:r>
              <w:rPr>
                <w:b/>
                <w:spacing w:val="0"/>
                <w:sz w:val="16"/>
              </w:rPr>
              <w:t>) </w:t>
            </w:r>
          </w:p>
        </w:tc>
      </w:tr>
      <w:tr>
        <w:trPr/>
        <w:tc>
          <w:tcPr>
            <w:tcW w:w="2300" w:type="dxa"/>
            <w:tcBorders/>
            <w:shd w:fill="CCEEFF" w:val="clear"/>
            <w:vAlign w:val="center"/>
          </w:tcPr>
          <w:p>
            <w:pPr>
              <w:pStyle w:val="TableContents"/>
              <w:spacing w:lineRule="atLeast" w:line="160" w:before="0" w:after="0"/>
              <w:rPr>
                <w:rFonts w:ascii="Times New Roman" w:hAnsi="Times New Roman"/>
                <w:sz w:val="16"/>
              </w:rPr>
            </w:pPr>
            <w:r>
              <w:rPr>
                <w:rFonts w:ascii="Times New Roman" w:hAnsi="Times New Roman"/>
                <w:sz w:val="16"/>
              </w:rPr>
              <w:t xml:space="preserve">Exercise of Series </w:t>
            </w:r>
          </w:p>
          <w:p>
            <w:pPr>
              <w:pStyle w:val="TableContents"/>
              <w:spacing w:lineRule="atLeast" w:line="160" w:before="0" w:after="0"/>
              <w:rPr>
                <w:rFonts w:ascii="Times New Roman" w:hAnsi="Times New Roman"/>
                <w:spacing w:val="0"/>
                <w:sz w:val="16"/>
              </w:rPr>
            </w:pPr>
            <w:r>
              <w:rPr>
                <w:rFonts w:ascii="Times New Roman" w:hAnsi="Times New Roman"/>
                <w:spacing w:val="0"/>
                <w:sz w:val="16"/>
              </w:rPr>
              <w:t>B-1</w:t>
            </w:r>
          </w:p>
          <w:p>
            <w:pPr>
              <w:pStyle w:val="TableContents"/>
              <w:spacing w:lineRule="atLeast" w:line="160" w:before="0" w:after="0"/>
              <w:rPr>
                <w:rFonts w:ascii="Times New Roman" w:hAnsi="Times New Roman"/>
                <w:sz w:val="16"/>
              </w:rPr>
            </w:pPr>
            <w:r>
              <w:rPr>
                <w:rFonts w:ascii="Times New Roman" w:hAnsi="Times New Roman"/>
                <w:sz w:val="16"/>
              </w:rPr>
              <w:t>preferred stock warrants, net of settlement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pPr>
            <w:r>
              <w:rPr/>
              <w:t> </w:t>
            </w:r>
          </w:p>
        </w:tc>
        <w:tc>
          <w:tcPr>
            <w:tcW w:w="70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9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0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20" w:type="dxa"/>
            <w:tcBorders/>
            <w:shd w:fill="CCEEFF" w:val="clear"/>
            <w:vAlign w:val="center"/>
          </w:tcPr>
          <w:p>
            <w:pPr>
              <w:pStyle w:val="TableContents"/>
              <w:spacing w:lineRule="atLeast" w:line="160" w:before="0" w:after="283"/>
              <w:jc w:val="right"/>
              <w:rPr>
                <w:sz w:val="16"/>
              </w:rPr>
            </w:pPr>
            <w:r>
              <w:rPr>
                <w:sz w:val="16"/>
              </w:rPr>
              <w:t>450,841</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pPr>
            <w:r>
              <w:rPr/>
              <w:t> </w:t>
            </w:r>
          </w:p>
        </w:tc>
        <w:tc>
          <w:tcPr>
            <w:tcW w:w="830"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pPr>
            <w:r>
              <w:rPr/>
              <w:t> </w:t>
            </w:r>
          </w:p>
        </w:tc>
        <w:tc>
          <w:tcPr>
            <w:tcW w:w="931" w:type="dxa"/>
            <w:tcBorders/>
            <w:shd w:fill="CCEEFF" w:val="clear"/>
            <w:vAlign w:val="center"/>
          </w:tcPr>
          <w:p>
            <w:pPr>
              <w:pStyle w:val="TableContents"/>
              <w:spacing w:lineRule="atLeast" w:line="160" w:before="0" w:after="283"/>
              <w:jc w:val="right"/>
              <w:rPr>
                <w:sz w:val="16"/>
              </w:rPr>
            </w:pPr>
            <w:r>
              <w:rPr>
                <w:sz w:val="16"/>
              </w:rPr>
              <w:t>3,365</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pPr>
            <w:r>
              <w:rPr/>
              <w:t> </w:t>
            </w:r>
          </w:p>
        </w:tc>
        <w:tc>
          <w:tcPr>
            <w:tcW w:w="1088"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pPr>
            <w:r>
              <w:rPr/>
              <w:t> </w:t>
            </w:r>
          </w:p>
        </w:tc>
        <w:tc>
          <w:tcPr>
            <w:tcW w:w="749"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3,365</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Conversion of 2019 convertible notes and accrued interest to Class A common stock</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225,330</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720</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720</w:t>
            </w:r>
          </w:p>
          <w:p>
            <w:pPr>
              <w:pStyle w:val="TableContents"/>
              <w:spacing w:lineRule="atLeast" w:line="160" w:before="0" w:after="0"/>
              <w:rPr>
                <w:spacing w:val="0"/>
              </w:rPr>
            </w:pPr>
            <w:r>
              <w:rPr>
                <w:spacing w:val="0"/>
              </w:rPr>
              <w:t> </w:t>
            </w:r>
          </w:p>
        </w:tc>
      </w:tr>
      <w:tr>
        <w:trPr/>
        <w:tc>
          <w:tcPr>
            <w:tcW w:w="2300" w:type="dxa"/>
            <w:tcBorders/>
            <w:shd w:fill="CCEEFF" w:val="clear"/>
            <w:vAlign w:val="center"/>
          </w:tcPr>
          <w:p>
            <w:pPr>
              <w:pStyle w:val="TableContents"/>
              <w:spacing w:lineRule="atLeast" w:line="160" w:before="0" w:after="0"/>
              <w:rPr>
                <w:rFonts w:ascii="Times New Roman" w:hAnsi="Times New Roman"/>
                <w:sz w:val="16"/>
              </w:rPr>
            </w:pPr>
            <w:r>
              <w:rPr>
                <w:rFonts w:ascii="Times New Roman" w:hAnsi="Times New Roman"/>
                <w:sz w:val="16"/>
              </w:rPr>
              <w:t>Repurchase of Class A common stock</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pPr>
            <w:r>
              <w:rPr/>
              <w:t> </w:t>
            </w:r>
          </w:p>
        </w:tc>
        <w:tc>
          <w:tcPr>
            <w:tcW w:w="70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9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0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20" w:type="dxa"/>
            <w:tcBorders/>
            <w:shd w:fill="CCEEFF" w:val="clear"/>
            <w:vAlign w:val="center"/>
          </w:tcPr>
          <w:p>
            <w:pPr>
              <w:pStyle w:val="TableContents"/>
              <w:spacing w:lineRule="atLeast" w:line="160" w:before="0" w:after="283"/>
              <w:jc w:val="right"/>
              <w:rPr>
                <w:sz w:val="16"/>
              </w:rPr>
            </w:pPr>
            <w:r>
              <w:rPr>
                <w:sz w:val="16"/>
              </w:rPr>
              <w:t>(198,505</w:t>
            </w:r>
          </w:p>
        </w:tc>
        <w:tc>
          <w:tcPr>
            <w:tcW w:w="125" w:type="dxa"/>
            <w:tcBorders/>
            <w:shd w:fill="CCEEFF" w:val="clear"/>
            <w:vAlign w:val="center"/>
          </w:tcPr>
          <w:p>
            <w:pPr>
              <w:pStyle w:val="TableContents"/>
              <w:spacing w:lineRule="atLeast" w:line="160" w:before="0" w:after="0"/>
              <w:rPr>
                <w:sz w:val="16"/>
              </w:rPr>
            </w:pPr>
            <w:r>
              <w:rPr>
                <w:sz w:val="16"/>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pPr>
            <w:r>
              <w:rPr/>
              <w:t> </w:t>
            </w:r>
          </w:p>
        </w:tc>
        <w:tc>
          <w:tcPr>
            <w:tcW w:w="830"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pPr>
            <w:r>
              <w:rPr/>
              <w:t> </w:t>
            </w:r>
          </w:p>
        </w:tc>
        <w:tc>
          <w:tcPr>
            <w:tcW w:w="931" w:type="dxa"/>
            <w:tcBorders/>
            <w:shd w:fill="CCEEFF" w:val="clear"/>
            <w:vAlign w:val="center"/>
          </w:tcPr>
          <w:p>
            <w:pPr>
              <w:pStyle w:val="TableContents"/>
              <w:spacing w:lineRule="atLeast" w:line="160" w:before="0" w:after="283"/>
              <w:jc w:val="right"/>
              <w:rPr>
                <w:sz w:val="16"/>
              </w:rPr>
            </w:pPr>
            <w:r>
              <w:rPr>
                <w:sz w:val="16"/>
              </w:rPr>
              <w:t>(1,588</w:t>
            </w:r>
          </w:p>
        </w:tc>
        <w:tc>
          <w:tcPr>
            <w:tcW w:w="125" w:type="dxa"/>
            <w:tcBorders/>
            <w:shd w:fill="CCEEFF" w:val="clear"/>
            <w:vAlign w:val="center"/>
          </w:tcPr>
          <w:p>
            <w:pPr>
              <w:pStyle w:val="TableContents"/>
              <w:spacing w:lineRule="atLeast" w:line="160" w:before="0" w:after="0"/>
              <w:rPr>
                <w:sz w:val="16"/>
              </w:rPr>
            </w:pPr>
            <w:r>
              <w:rPr>
                <w:sz w:val="16"/>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pPr>
            <w:r>
              <w:rPr/>
              <w:t> </w:t>
            </w:r>
          </w:p>
        </w:tc>
        <w:tc>
          <w:tcPr>
            <w:tcW w:w="1088"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pPr>
            <w:r>
              <w:rPr/>
              <w:t> </w:t>
            </w:r>
          </w:p>
        </w:tc>
        <w:tc>
          <w:tcPr>
            <w:tcW w:w="749" w:type="dxa"/>
            <w:tcBorders/>
            <w:shd w:fill="CCEEFF" w:val="clear"/>
            <w:vAlign w:val="center"/>
          </w:tcPr>
          <w:p>
            <w:pPr>
              <w:pStyle w:val="TableContents"/>
              <w:spacing w:lineRule="atLeast" w:line="160" w:before="0" w:after="283"/>
              <w:jc w:val="right"/>
              <w:rPr>
                <w:sz w:val="16"/>
              </w:rPr>
            </w:pPr>
            <w:r>
              <w:rPr>
                <w:sz w:val="16"/>
              </w:rPr>
              <w:t>5</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(1,583</w:t>
            </w:r>
          </w:p>
          <w:p>
            <w:pPr>
              <w:pStyle w:val="TableContents"/>
              <w:spacing w:lineRule="atLeast" w:line="160" w:before="0" w:after="0"/>
              <w:rPr>
                <w:b/>
                <w:spacing w:val="0"/>
                <w:sz w:val="16"/>
              </w:rPr>
            </w:pPr>
            <w:r>
              <w:rPr>
                <w:b/>
                <w:spacing w:val="0"/>
                <w:sz w:val="16"/>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Exercise of warrant for Class A common stock</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110</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spacing w:val="0"/>
              </w:rPr>
            </w:pPr>
            <w:r>
              <w:rPr>
                <w:spacing w:val="0"/>
              </w:rPr>
              <w:t>—  </w:t>
            </w:r>
          </w:p>
          <w:p>
            <w:pPr>
              <w:pStyle w:val="TableContents"/>
              <w:spacing w:lineRule="atLeast" w:line="160" w:before="0" w:after="0"/>
              <w:rPr>
                <w:spacing w:val="0"/>
              </w:rPr>
            </w:pPr>
            <w:r>
              <w:rPr>
                <w:spacing w:val="0"/>
              </w:rPr>
              <w:t> </w:t>
            </w:r>
          </w:p>
        </w:tc>
      </w:tr>
      <w:tr>
        <w:trPr/>
        <w:tc>
          <w:tcPr>
            <w:tcW w:w="2300" w:type="dxa"/>
            <w:tcBorders/>
            <w:shd w:fill="CCEEFF" w:val="clear"/>
            <w:vAlign w:val="center"/>
          </w:tcPr>
          <w:p>
            <w:pPr>
              <w:pStyle w:val="TableContents"/>
              <w:spacing w:lineRule="atLeast" w:line="160" w:before="0" w:after="0"/>
              <w:rPr>
                <w:rFonts w:ascii="Times New Roman" w:hAnsi="Times New Roman"/>
                <w:sz w:val="16"/>
              </w:rPr>
            </w:pPr>
            <w:r>
              <w:rPr>
                <w:rFonts w:ascii="Times New Roman" w:hAnsi="Times New Roman"/>
                <w:sz w:val="16"/>
              </w:rPr>
              <w:t>Stockholder loans interest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pPr>
            <w:r>
              <w:rPr/>
              <w:t> </w:t>
            </w:r>
          </w:p>
        </w:tc>
        <w:tc>
          <w:tcPr>
            <w:tcW w:w="70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9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0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2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pPr>
            <w:r>
              <w:rPr/>
              <w:t> </w:t>
            </w:r>
          </w:p>
        </w:tc>
        <w:tc>
          <w:tcPr>
            <w:tcW w:w="830"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pPr>
            <w:r>
              <w:rPr/>
              <w:t> </w:t>
            </w:r>
          </w:p>
        </w:tc>
        <w:tc>
          <w:tcPr>
            <w:tcW w:w="931"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pPr>
            <w:r>
              <w:rPr/>
              <w:t> </w:t>
            </w:r>
          </w:p>
        </w:tc>
        <w:tc>
          <w:tcPr>
            <w:tcW w:w="1088" w:type="dxa"/>
            <w:tcBorders/>
            <w:shd w:fill="CCEEFF" w:val="clear"/>
            <w:vAlign w:val="center"/>
          </w:tcPr>
          <w:p>
            <w:pPr>
              <w:pStyle w:val="TableContents"/>
              <w:spacing w:lineRule="atLeast" w:line="160" w:before="0" w:after="283"/>
              <w:jc w:val="right"/>
              <w:rPr>
                <w:sz w:val="16"/>
              </w:rPr>
            </w:pPr>
            <w:r>
              <w:rPr>
                <w:sz w:val="16"/>
              </w:rPr>
              <w:t>(12</w:t>
            </w:r>
          </w:p>
        </w:tc>
        <w:tc>
          <w:tcPr>
            <w:tcW w:w="125" w:type="dxa"/>
            <w:tcBorders/>
            <w:shd w:fill="CCEEFF" w:val="clear"/>
            <w:vAlign w:val="center"/>
          </w:tcPr>
          <w:p>
            <w:pPr>
              <w:pStyle w:val="TableContents"/>
              <w:spacing w:lineRule="atLeast" w:line="160" w:before="0" w:after="0"/>
              <w:rPr>
                <w:sz w:val="16"/>
              </w:rPr>
            </w:pPr>
            <w:r>
              <w:rPr>
                <w:sz w:val="16"/>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pPr>
            <w:r>
              <w:rPr/>
              <w:t> </w:t>
            </w:r>
          </w:p>
        </w:tc>
        <w:tc>
          <w:tcPr>
            <w:tcW w:w="749"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(12</w:t>
            </w:r>
          </w:p>
          <w:p>
            <w:pPr>
              <w:pStyle w:val="TableContents"/>
              <w:spacing w:lineRule="atLeast" w:line="160" w:before="0" w:after="0"/>
              <w:rPr>
                <w:b/>
                <w:spacing w:val="0"/>
                <w:sz w:val="16"/>
              </w:rPr>
            </w:pPr>
            <w:r>
              <w:rPr>
                <w:b/>
                <w:spacing w:val="0"/>
                <w:sz w:val="16"/>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Exercise of derivative asset and paydown of stockholder loans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(6,014,250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(1</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(44,885</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283"/>
              <w:jc w:val="right"/>
              <w:rPr>
                <w:sz w:val="16"/>
              </w:rPr>
            </w:pPr>
            <w:r>
              <w:rPr>
                <w:sz w:val="16"/>
              </w:rPr>
              <w:t>15,204</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(29,682</w:t>
            </w:r>
          </w:p>
          <w:p>
            <w:pPr>
              <w:pStyle w:val="TableContents"/>
              <w:spacing w:lineRule="atLeast" w:line="160" w:before="0" w:after="0"/>
              <w:rPr>
                <w:b/>
                <w:spacing w:val="0"/>
                <w:sz w:val="16"/>
              </w:rPr>
            </w:pPr>
            <w:r>
              <w:rPr>
                <w:b/>
                <w:spacing w:val="0"/>
                <w:sz w:val="16"/>
              </w:rPr>
              <w:t>) </w:t>
            </w:r>
          </w:p>
        </w:tc>
      </w:tr>
      <w:tr>
        <w:trPr/>
        <w:tc>
          <w:tcPr>
            <w:tcW w:w="2300" w:type="dxa"/>
            <w:tcBorders/>
            <w:shd w:fill="CCEEFF" w:val="clear"/>
            <w:vAlign w:val="center"/>
          </w:tcPr>
          <w:p>
            <w:pPr>
              <w:pStyle w:val="TableContents"/>
              <w:spacing w:lineRule="atLeast" w:line="160" w:before="0" w:after="0"/>
              <w:rPr>
                <w:rFonts w:ascii="Times New Roman" w:hAnsi="Times New Roman"/>
                <w:sz w:val="16"/>
              </w:rPr>
            </w:pPr>
            <w:r>
              <w:rPr>
                <w:rFonts w:ascii="Times New Roman" w:hAnsi="Times New Roman"/>
                <w:sz w:val="16"/>
              </w:rPr>
              <w:t>Stock-based compensation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pPr>
            <w:r>
              <w:rPr/>
              <w:t> </w:t>
            </w:r>
          </w:p>
        </w:tc>
        <w:tc>
          <w:tcPr>
            <w:tcW w:w="70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9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0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2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pPr>
            <w:r>
              <w:rPr/>
              <w:t> </w:t>
            </w:r>
          </w:p>
        </w:tc>
        <w:tc>
          <w:tcPr>
            <w:tcW w:w="830"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pPr>
            <w:r>
              <w:rPr/>
              <w:t> </w:t>
            </w:r>
          </w:p>
        </w:tc>
        <w:tc>
          <w:tcPr>
            <w:tcW w:w="931" w:type="dxa"/>
            <w:tcBorders/>
            <w:shd w:fill="CCEEFF" w:val="clear"/>
            <w:vAlign w:val="center"/>
          </w:tcPr>
          <w:p>
            <w:pPr>
              <w:pStyle w:val="TableContents"/>
              <w:spacing w:lineRule="atLeast" w:line="160" w:before="0" w:after="283"/>
              <w:jc w:val="right"/>
              <w:rPr>
                <w:sz w:val="16"/>
              </w:rPr>
            </w:pPr>
            <w:r>
              <w:rPr>
                <w:sz w:val="16"/>
              </w:rPr>
              <w:t>3,190</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pPr>
            <w:r>
              <w:rPr/>
              <w:t> </w:t>
            </w:r>
          </w:p>
        </w:tc>
        <w:tc>
          <w:tcPr>
            <w:tcW w:w="1088"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pPr>
            <w:r>
              <w:rPr/>
              <w:t> </w:t>
            </w:r>
          </w:p>
        </w:tc>
        <w:tc>
          <w:tcPr>
            <w:tcW w:w="749"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3,190</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283"/>
              <w:jc w:val="right"/>
              <w:rPr>
                <w:sz w:val="16"/>
              </w:rPr>
            </w:pPr>
            <w:r>
              <w:rPr>
                <w:sz w:val="16"/>
              </w:rPr>
              <w:t>(34,835</w:t>
            </w:r>
          </w:p>
          <w:p>
            <w:pPr>
              <w:pStyle w:val="TableContents"/>
              <w:spacing w:lineRule="atLeast" w:line="160" w:before="0" w:after="0"/>
              <w:rPr>
                <w:sz w:val="16"/>
              </w:rPr>
            </w:pPr>
            <w:r>
              <w:rPr>
                <w:sz w:val="16"/>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(34,835</w:t>
            </w:r>
          </w:p>
          <w:p>
            <w:pPr>
              <w:pStyle w:val="TableContents"/>
              <w:spacing w:lineRule="atLeast" w:line="160" w:before="0" w:after="0"/>
              <w:rPr>
                <w:b/>
                <w:spacing w:val="0"/>
                <w:sz w:val="16"/>
              </w:rPr>
            </w:pPr>
            <w:r>
              <w:rPr>
                <w:b/>
                <w:spacing w:val="0"/>
                <w:sz w:val="16"/>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bdr w:val="single" w:sz="2" w:space="1" w:color="000000"/>
              </w:rPr>
            </w:pPr>
            <w:r>
              <w:rPr>
                <w:bdr w:val="single" w:sz="2" w:space="1" w:color="000000"/>
              </w:rPr>
              <w:t> </w:t>
            </w:r>
          </w:p>
        </w:tc>
        <w:tc>
          <w:tcPr>
            <w:tcW w:w="70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9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2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8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single" w:sz="2" w:space="1" w:color="000000"/>
              </w:rPr>
            </w:pPr>
            <w:r>
              <w:rPr>
                <w:bdr w:val="single" w:sz="2" w:space="1" w:color="000000"/>
              </w:rPr>
              <w:t> </w:t>
            </w:r>
          </w:p>
        </w:tc>
        <w:tc>
          <w:tcPr>
            <w:tcW w:w="931"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088"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749"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p>
            <w:pPr>
              <w:pStyle w:val="TableContents"/>
              <w:spacing w:before="0" w:after="283"/>
              <w:rPr/>
            </w:pPr>
            <w:r>
              <w:rPr/>
              <w:t> </w:t>
            </w:r>
          </w:p>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tc>
      </w:tr>
      <w:tr>
        <w:trPr/>
        <w:tc>
          <w:tcPr>
            <w:tcW w:w="2300" w:type="dxa"/>
            <w:tcBorders/>
            <w:shd w:fill="CCEEFF" w:val="clear"/>
            <w:vAlign w:val="center"/>
          </w:tcPr>
          <w:p>
            <w:pPr>
              <w:pStyle w:val="TableContents"/>
              <w:spacing w:lineRule="atLeast" w:line="160" w:before="0" w:after="0"/>
              <w:rPr>
                <w:rFonts w:ascii="Times New Roman" w:hAnsi="Times New Roman"/>
                <w:b/>
                <w:sz w:val="16"/>
              </w:rPr>
            </w:pPr>
            <w:r>
              <w:rPr>
                <w:rFonts w:ascii="Times New Roman" w:hAnsi="Times New Roman"/>
                <w:b/>
                <w:sz w:val="16"/>
              </w:rPr>
              <w:t>Balance at March 31, 2022</w:t>
            </w:r>
          </w:p>
        </w:tc>
        <w:tc>
          <w:tcPr>
            <w:tcW w:w="12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b/>
                <w:spacing w:val="0"/>
                <w:sz w:val="16"/>
              </w:rPr>
            </w:pPr>
            <w:r>
              <w:rPr>
                <w:b/>
                <w:spacing w:val="0"/>
                <w:sz w:val="16"/>
              </w:rPr>
              <w:t>$</w:t>
            </w:r>
          </w:p>
        </w:tc>
        <w:tc>
          <w:tcPr>
            <w:tcW w:w="70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9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b/>
                <w:spacing w:val="0"/>
                <w:sz w:val="16"/>
              </w:rPr>
            </w:pPr>
            <w:r>
              <w:rPr>
                <w:b/>
                <w:spacing w:val="0"/>
                <w:sz w:val="16"/>
              </w:rPr>
              <w:t>$</w:t>
            </w:r>
          </w:p>
        </w:tc>
        <w:tc>
          <w:tcPr>
            <w:tcW w:w="72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0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b/>
                <w:spacing w:val="0"/>
                <w:sz w:val="16"/>
              </w:rPr>
            </w:pPr>
            <w:r>
              <w:rPr>
                <w:b/>
                <w:spacing w:val="0"/>
                <w:sz w:val="16"/>
              </w:rPr>
              <w:t>$</w:t>
            </w:r>
          </w:p>
        </w:tc>
        <w:tc>
          <w:tcPr>
            <w:tcW w:w="72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b/>
                <w:spacing w:val="0"/>
                <w:sz w:val="16"/>
              </w:rPr>
            </w:pPr>
            <w:r>
              <w:rPr>
                <w:b/>
                <w:spacing w:val="0"/>
                <w:sz w:val="16"/>
              </w:rPr>
              <w:t>$</w:t>
            </w:r>
          </w:p>
        </w:tc>
        <w:tc>
          <w:tcPr>
            <w:tcW w:w="667"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20" w:type="dxa"/>
            <w:tcBorders/>
            <w:shd w:fill="CCEEFF" w:val="clear"/>
            <w:vAlign w:val="center"/>
          </w:tcPr>
          <w:p>
            <w:pPr>
              <w:pStyle w:val="TableContents"/>
              <w:spacing w:lineRule="atLeast" w:line="160" w:before="0" w:after="0"/>
              <w:jc w:val="right"/>
              <w:rPr>
                <w:b/>
                <w:spacing w:val="0"/>
                <w:sz w:val="16"/>
              </w:rPr>
            </w:pPr>
            <w:r>
              <w:rPr>
                <w:b/>
                <w:spacing w:val="0"/>
                <w:sz w:val="16"/>
              </w:rPr>
              <w:t>324,245,822</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32</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spacing w:val="0"/>
              </w:rPr>
            </w:pPr>
            <w:r>
              <w:rPr>
                <w:spacing w:val="0"/>
              </w:rPr>
              <w:t> </w:t>
            </w:r>
          </w:p>
        </w:tc>
        <w:tc>
          <w:tcPr>
            <w:tcW w:w="830" w:type="dxa"/>
            <w:tcBorders/>
            <w:shd w:fill="CCEEFF" w:val="clear"/>
            <w:vAlign w:val="center"/>
          </w:tcPr>
          <w:p>
            <w:pPr>
              <w:pStyle w:val="TableContents"/>
              <w:spacing w:lineRule="atLeast" w:line="160" w:before="0" w:after="0"/>
              <w:jc w:val="right"/>
              <w:rPr>
                <w:b/>
                <w:spacing w:val="0"/>
                <w:sz w:val="16"/>
              </w:rPr>
            </w:pPr>
            <w:r>
              <w:rPr>
                <w:b/>
                <w:spacing w:val="0"/>
                <w:sz w:val="16"/>
              </w:rPr>
              <w:t>48,450,639</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5</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b/>
                <w:spacing w:val="0"/>
                <w:sz w:val="16"/>
              </w:rPr>
            </w:pPr>
            <w:r>
              <w:rPr>
                <w:b/>
                <w:spacing w:val="0"/>
                <w:sz w:val="16"/>
              </w:rPr>
              <w:t>$</w:t>
            </w:r>
          </w:p>
        </w:tc>
        <w:tc>
          <w:tcPr>
            <w:tcW w:w="931" w:type="dxa"/>
            <w:tcBorders/>
            <w:shd w:fill="CCEEFF" w:val="clear"/>
            <w:vAlign w:val="center"/>
          </w:tcPr>
          <w:p>
            <w:pPr>
              <w:pStyle w:val="TableContents"/>
              <w:spacing w:lineRule="atLeast" w:line="160" w:before="0" w:after="0"/>
              <w:jc w:val="right"/>
              <w:rPr>
                <w:b/>
                <w:spacing w:val="0"/>
                <w:sz w:val="16"/>
              </w:rPr>
            </w:pPr>
            <w:r>
              <w:rPr>
                <w:b/>
                <w:spacing w:val="0"/>
                <w:sz w:val="16"/>
              </w:rPr>
              <w:t>242,135</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b/>
                <w:spacing w:val="0"/>
                <w:sz w:val="16"/>
              </w:rPr>
            </w:pPr>
            <w:r>
              <w:rPr>
                <w:b/>
                <w:spacing w:val="0"/>
                <w:sz w:val="16"/>
              </w:rPr>
              <w:t>$</w:t>
            </w:r>
          </w:p>
        </w:tc>
        <w:tc>
          <w:tcPr>
            <w:tcW w:w="1088"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b/>
                <w:spacing w:val="0"/>
                <w:sz w:val="16"/>
              </w:rPr>
            </w:pPr>
            <w:r>
              <w:rPr>
                <w:b/>
                <w:spacing w:val="0"/>
                <w:sz w:val="16"/>
              </w:rPr>
              <w:t>$</w:t>
            </w:r>
          </w:p>
        </w:tc>
        <w:tc>
          <w:tcPr>
            <w:tcW w:w="749"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(67,732</w:t>
            </w:r>
          </w:p>
          <w:p>
            <w:pPr>
              <w:pStyle w:val="TableContents"/>
              <w:spacing w:lineRule="atLeast" w:line="160" w:before="0" w:after="0"/>
              <w:rPr>
                <w:b/>
                <w:spacing w:val="0"/>
                <w:sz w:val="16"/>
              </w:rPr>
            </w:pPr>
            <w:r>
              <w:rPr>
                <w:b/>
                <w:spacing w:val="0"/>
                <w:sz w:val="16"/>
              </w:rPr>
              <w:t>) </w:t>
            </w:r>
          </w:p>
          <w:p>
            <w:pPr>
              <w:pStyle w:val="TableContents"/>
              <w:spacing w:lineRule="atLeast" w:line="160" w:before="0" w:after="0"/>
              <w:rPr/>
            </w:pPr>
            <w:r>
              <w:rPr/>
              <w:t> </w:t>
            </w:r>
          </w:p>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174,440</w:t>
            </w:r>
          </w:p>
          <w:p>
            <w:pPr>
              <w:pStyle w:val="TableContents"/>
              <w:spacing w:before="0" w:after="0"/>
              <w:rPr>
                <w:spacing w:val="0"/>
              </w:rPr>
            </w:pPr>
            <w:r>
              <w:rPr>
                <w:spacing w:val="0"/>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bdr w:val="double" w:sz="6" w:space="1" w:color="000000"/>
              </w:rPr>
            </w:pPr>
            <w:r>
              <w:rPr>
                <w:bdr w:val="double" w:sz="6" w:space="1" w:color="000000"/>
              </w:rPr>
              <w:t> </w:t>
            </w:r>
          </w:p>
        </w:tc>
        <w:tc>
          <w:tcPr>
            <w:tcW w:w="702"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89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double" w:sz="6" w:space="1" w:color="000000"/>
              </w:rPr>
            </w:pPr>
            <w:r>
              <w:rPr>
                <w:bdr w:val="double" w:sz="6" w:space="1" w:color="000000"/>
              </w:rPr>
              <w:t> </w:t>
            </w:r>
          </w:p>
        </w:tc>
        <w:tc>
          <w:tcPr>
            <w:tcW w:w="722"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double" w:sz="6" w:space="1" w:color="000000"/>
              </w:rPr>
            </w:pPr>
            <w:r>
              <w:rPr>
                <w:bdr w:val="double" w:sz="6" w:space="1" w:color="000000"/>
              </w:rPr>
              <w:t> </w:t>
            </w:r>
          </w:p>
        </w:tc>
        <w:tc>
          <w:tcPr>
            <w:tcW w:w="722"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double" w:sz="6" w:space="1" w:color="000000"/>
              </w:rPr>
            </w:pPr>
            <w:r>
              <w:rPr>
                <w:bdr w:val="double" w:sz="6" w:space="1" w:color="000000"/>
              </w:rPr>
              <w:t> </w:t>
            </w:r>
          </w:p>
        </w:tc>
        <w:tc>
          <w:tcPr>
            <w:tcW w:w="667"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2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double" w:sz="6" w:space="1" w:color="000000"/>
              </w:rPr>
            </w:pPr>
            <w:r>
              <w:rPr>
                <w:bdr w:val="double" w:sz="6" w:space="1" w:color="000000"/>
              </w:rPr>
              <w:t> </w:t>
            </w:r>
          </w:p>
        </w:tc>
        <w:tc>
          <w:tcPr>
            <w:tcW w:w="667"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double" w:sz="6" w:space="1" w:color="000000"/>
              </w:rPr>
            </w:pPr>
            <w:r>
              <w:rPr>
                <w:bdr w:val="double" w:sz="6" w:space="1" w:color="000000"/>
              </w:rPr>
              <w:t> </w:t>
            </w:r>
          </w:p>
        </w:tc>
        <w:tc>
          <w:tcPr>
            <w:tcW w:w="83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double" w:sz="6" w:space="1" w:color="000000"/>
              </w:rPr>
            </w:pPr>
            <w:r>
              <w:rPr>
                <w:bdr w:val="double" w:sz="6" w:space="1" w:color="000000"/>
              </w:rPr>
              <w:t> </w:t>
            </w:r>
          </w:p>
        </w:tc>
        <w:tc>
          <w:tcPr>
            <w:tcW w:w="667"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double" w:sz="6" w:space="1" w:color="000000"/>
              </w:rPr>
            </w:pPr>
            <w:r>
              <w:rPr>
                <w:bdr w:val="double" w:sz="6" w:space="1" w:color="000000"/>
              </w:rPr>
              <w:t> </w:t>
            </w:r>
          </w:p>
        </w:tc>
        <w:tc>
          <w:tcPr>
            <w:tcW w:w="931"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bdr w:val="double" w:sz="6" w:space="1" w:color="000000"/>
              </w:rPr>
            </w:pPr>
            <w:r>
              <w:rPr>
                <w:bdr w:val="double" w:sz="6" w:space="1" w:color="000000"/>
              </w:rPr>
              <w:t> </w:t>
            </w:r>
          </w:p>
        </w:tc>
        <w:tc>
          <w:tcPr>
            <w:tcW w:w="1088"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double" w:sz="6" w:space="1" w:color="000000"/>
              </w:rPr>
            </w:pPr>
            <w:r>
              <w:rPr>
                <w:bdr w:val="double" w:sz="6" w:space="1" w:color="000000"/>
              </w:rPr>
              <w:t> </w:t>
            </w:r>
          </w:p>
        </w:tc>
        <w:tc>
          <w:tcPr>
            <w:tcW w:w="749"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bdr w:val="double" w:sz="6" w:space="1" w:color="000000"/>
              </w:rPr>
            </w:pPr>
            <w:r>
              <w:rPr>
                <w:bdr w:val="double" w:sz="6" w:space="1" w:color="000000"/>
              </w:rPr>
              <w:t> </w:t>
            </w:r>
          </w:p>
          <w:p>
            <w:pPr>
              <w:pStyle w:val="TableContents"/>
              <w:spacing w:before="0" w:after="0"/>
              <w:rPr>
                <w:bdr w:val="double" w:sz="6" w:space="1" w:color="000000"/>
              </w:rPr>
            </w:pPr>
            <w:r>
              <w:rPr>
                <w:bdr w:val="double" w:sz="6" w:space="1" w:color="000000"/>
              </w:rPr>
              <w:t> </w:t>
            </w:r>
          </w:p>
          <w:p>
            <w:pPr>
              <w:pStyle w:val="TableContents"/>
              <w:spacing w:before="0" w:after="283"/>
              <w:rPr/>
            </w:pPr>
            <w:r>
              <w:rPr/>
              <w:t> </w:t>
            </w:r>
          </w:p>
          <w:p>
            <w:pPr>
              <w:pStyle w:val="TableContents"/>
              <w:spacing w:before="0" w:after="283"/>
              <w:rPr/>
            </w:pPr>
            <w:r>
              <w:rPr/>
              <w:t> </w:t>
            </w:r>
          </w:p>
          <w:p>
            <w:pPr>
              <w:pStyle w:val="TableContents"/>
              <w:spacing w:before="0" w:after="0"/>
              <w:rPr>
                <w:bdr w:val="double" w:sz="6" w:space="1" w:color="000000"/>
              </w:rPr>
            </w:pPr>
            <w:r>
              <w:rPr>
                <w:bdr w:val="double" w:sz="6" w:space="1" w:color="000000"/>
              </w:rPr>
              <w:t> </w:t>
            </w:r>
          </w:p>
          <w:p>
            <w:pPr>
              <w:pStyle w:val="TableContents"/>
              <w:spacing w:before="0" w:after="0"/>
              <w:rPr>
                <w:bdr w:val="double" w:sz="6" w:space="1" w:color="000000"/>
              </w:rPr>
            </w:pPr>
            <w:r>
              <w:rPr>
                <w:bdr w:val="double" w:sz="6" w:space="1" w:color="000000"/>
              </w:rPr>
              <w:t> </w:t>
            </w:r>
          </w:p>
          <w:p>
            <w:pPr>
              <w:pStyle w:val="TableContents"/>
              <w:spacing w:before="0" w:after="283"/>
              <w:rPr/>
            </w:pPr>
            <w:r>
              <w:rPr/>
              <w:t> </w:t>
            </w:r>
          </w:p>
        </w:tc>
      </w:tr>
      <w:tr>
        <w:trPr/>
        <w:tc>
          <w:tcPr>
            <w:tcW w:w="2300" w:type="dxa"/>
            <w:tcBorders/>
            <w:shd w:fill="auto" w:val="clear"/>
            <w:vAlign w:val="center"/>
          </w:tcPr>
          <w:p>
            <w:pPr>
              <w:pStyle w:val="TableContents"/>
              <w:spacing w:before="0" w:after="0"/>
              <w:rPr>
                <w:spacing w:val="0"/>
                <w:highlight w:val="white"/>
              </w:rPr>
            </w:pPr>
            <w:r>
              <w:rPr>
                <w:spacing w:val="0"/>
                <w:highlight w:val="white"/>
              </w:rPr>
              <w:t> </w:t>
            </w:r>
          </w:p>
        </w:tc>
        <w:tc>
          <w:tcPr>
            <w:tcW w:w="128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04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13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04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04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04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2270" w:type="dxa"/>
            <w:gridSpan w:val="8"/>
            <w:tcBorders/>
            <w:shd w:fill="auto" w:val="clear"/>
            <w:vAlign w:val="center"/>
          </w:tcPr>
          <w:p>
            <w:pPr>
              <w:pStyle w:val="TableContents"/>
              <w:spacing w:before="0" w:after="0"/>
              <w:rPr>
                <w:spacing w:val="0"/>
                <w:highlight w:val="white"/>
              </w:rPr>
            </w:pPr>
            <w:r>
              <w:rPr>
                <w:spacing w:val="0"/>
                <w:highlight w:val="white"/>
              </w:rPr>
              <w:t> </w:t>
            </w:r>
          </w:p>
        </w:tc>
        <w:tc>
          <w:tcPr>
            <w:tcW w:w="4310" w:type="dxa"/>
            <w:gridSpan w:val="16"/>
            <w:tcBorders/>
            <w:shd w:fill="auto" w:val="clear"/>
            <w:vAlign w:val="center"/>
          </w:tcPr>
          <w:p>
            <w:pPr>
              <w:pStyle w:val="TableContents"/>
              <w:spacing w:before="0" w:after="0"/>
              <w:rPr>
                <w:spacing w:val="0"/>
                <w:highlight w:val="white"/>
              </w:rPr>
            </w:pPr>
            <w:r>
              <w:rPr>
                <w:spacing w:val="0"/>
                <w:highlight w:val="white"/>
              </w:rPr>
              <w:t> </w:t>
            </w:r>
          </w:p>
        </w:tc>
        <w:tc>
          <w:tcPr>
            <w:tcW w:w="134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480"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150"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555" w:type="dxa"/>
            <w:gridSpan w:val="4"/>
            <w:tcBorders/>
            <w:shd w:fill="auto" w:val="clear"/>
            <w:vAlign w:val="center"/>
          </w:tcPr>
          <w:p>
            <w:pPr>
              <w:pStyle w:val="TableContents"/>
              <w:spacing w:before="0" w:after="0"/>
              <w:rPr>
                <w:spacing w:val="0"/>
                <w:highlight w:val="white"/>
              </w:rPr>
            </w:pPr>
            <w:r>
              <w:rPr>
                <w:spacing w:val="0"/>
                <w:highlight w:val="white"/>
              </w:rPr>
              <w:t> </w:t>
            </w:r>
          </w:p>
        </w:tc>
        <w:tc>
          <w:tcPr>
            <w:tcW w:w="1495" w:type="dxa"/>
            <w:gridSpan w:val="4"/>
            <w:tcBorders/>
            <w:shd w:fill="auto" w:val="clear"/>
            <w:vAlign w:val="center"/>
          </w:tcPr>
          <w:p>
            <w:pPr>
              <w:pStyle w:val="TableContents"/>
              <w:spacing w:before="0" w:after="0"/>
              <w:rPr>
                <w:spacing w:val="0"/>
                <w:highlight w:val="white"/>
              </w:rPr>
            </w:pPr>
            <w:r>
              <w:rPr>
                <w:spacing w:val="0"/>
                <w:highlight w:val="white"/>
              </w:rPr>
              <w:t> </w:t>
            </w:r>
          </w:p>
        </w:tc>
      </w:tr>
      <w:tr>
        <w:trPr/>
        <w:tc>
          <w:tcPr>
            <w:tcW w:w="2300" w:type="dxa"/>
            <w:tcBorders/>
            <w:shd w:fill="auto" w:val="clear"/>
            <w:vAlign w:val="center"/>
          </w:tcPr>
          <w:p>
            <w:pPr>
              <w:pStyle w:val="TableContents"/>
              <w:spacing w:lineRule="atLeast" w:line="200" w:before="0" w:after="0"/>
              <w:rPr>
                <w:spacing w:val="0"/>
              </w:rPr>
            </w:pPr>
            <w:r>
              <w:rPr>
                <w:spacing w:val="0"/>
              </w:rPr>
              <w:t> </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04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86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95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86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86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86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2085" w:type="dxa"/>
            <w:gridSpan w:val="6"/>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4190" w:type="dxa"/>
            <w:gridSpan w:val="14"/>
            <w:tcBorders/>
            <w:shd w:fill="auto" w:val="clear"/>
            <w:vAlign w:val="center"/>
          </w:tcPr>
          <w:p>
            <w:pPr>
              <w:pStyle w:val="TableContents"/>
              <w:spacing w:lineRule="atLeast" w:line="200" w:before="0" w:after="0"/>
              <w:jc w:val="center"/>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10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95"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965"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370" w:type="dxa"/>
            <w:gridSpan w:val="2"/>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95" w:type="dxa"/>
            <w:gridSpan w:val="2"/>
            <w:tcBorders/>
            <w:shd w:fill="auto" w:val="clear"/>
            <w:vAlign w:val="center"/>
          </w:tcPr>
          <w:p>
            <w:pPr>
              <w:pStyle w:val="TableContents"/>
              <w:spacing w:lineRule="atLeast" w:line="200" w:before="0" w:after="0"/>
              <w:rPr>
                <w:spacing w:val="0"/>
              </w:rPr>
            </w:pPr>
            <w:r>
              <w:rPr>
                <w:spacing w:val="0"/>
              </w:rPr>
              <w:t> </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5" w:type="dxa"/>
            <w:gridSpan w:val="6"/>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190" w:type="dxa"/>
            <w:gridSpan w:val="14"/>
            <w:tcBorders/>
            <w:shd w:fill="auto" w:val="cle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Series A</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 xml:space="preserve">Series </w:t>
            </w:r>
          </w:p>
          <w:p>
            <w:pPr>
              <w:pStyle w:val="TableContents"/>
              <w:spacing w:before="0" w:after="0"/>
              <w:jc w:val="center"/>
              <w:rPr>
                <w:b/>
                <w:spacing w:val="0"/>
              </w:rPr>
            </w:pPr>
            <w:r>
              <w:rPr>
                <w:b/>
                <w:spacing w:val="0"/>
              </w:rPr>
              <w:t>B-1</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Series B-2</w:t>
            </w:r>
          </w:p>
          <w:p>
            <w:pPr>
              <w:pStyle w:val="TableContents"/>
              <w:spacing w:before="0" w:after="0"/>
              <w:jc w:val="center"/>
              <w:rPr/>
            </w:pPr>
            <w:r>
              <w:rPr/>
            </w:r>
          </w:p>
          <w:p>
            <w:pPr>
              <w:pStyle w:val="TableContents"/>
              <w:spacing w:before="0" w:after="0"/>
              <w:jc w:val="center"/>
              <w:rPr>
                <w:b/>
                <w:spacing w:val="0"/>
              </w:rPr>
            </w:pPr>
            <w:r>
              <w:rPr>
                <w:b/>
                <w:spacing w:val="0"/>
              </w:rPr>
              <w:t>convertible</w:t>
            </w:r>
          </w:p>
          <w:p>
            <w:pPr>
              <w:pStyle w:val="TableContents"/>
              <w:spacing w:before="0" w:after="0"/>
              <w:jc w:val="center"/>
              <w:rPr/>
            </w:pPr>
            <w:r>
              <w:rPr/>
            </w:r>
          </w:p>
          <w:p>
            <w:pPr>
              <w:pStyle w:val="TableContents"/>
              <w:spacing w:before="0" w:after="0"/>
              <w:jc w:val="center"/>
              <w:rPr>
                <w:b/>
                <w:spacing w:val="0"/>
              </w:rPr>
            </w:pPr>
            <w:r>
              <w:rPr>
                <w:b/>
                <w:spacing w:val="0"/>
              </w:rPr>
              <w:t>preferred stock</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Common stock</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2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A</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8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V</w:t>
            </w:r>
          </w:p>
        </w:tc>
        <w:tc>
          <w:tcPr>
            <w:tcW w:w="60"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10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Additional</w:t>
            </w:r>
          </w:p>
          <w:p>
            <w:pPr>
              <w:pStyle w:val="TableContents"/>
              <w:spacing w:before="0" w:after="0"/>
              <w:jc w:val="center"/>
              <w:rPr/>
            </w:pPr>
            <w:r>
              <w:rPr/>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12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29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Loans to</w:t>
            </w:r>
          </w:p>
          <w:p>
            <w:pPr>
              <w:pStyle w:val="TableContents"/>
              <w:spacing w:before="0" w:after="0"/>
              <w:jc w:val="center"/>
              <w:rPr/>
            </w:pPr>
            <w:r>
              <w:rPr/>
            </w:r>
          </w:p>
          <w:p>
            <w:pPr>
              <w:pStyle w:val="TableContents"/>
              <w:spacing w:before="0" w:after="0"/>
              <w:jc w:val="center"/>
              <w:rPr>
                <w:b/>
                <w:spacing w:val="0"/>
              </w:rPr>
            </w:pPr>
            <w:r>
              <w:rPr>
                <w:b/>
                <w:spacing w:val="0"/>
              </w:rPr>
              <w:t>stockholders</w:t>
            </w:r>
          </w:p>
        </w:tc>
        <w:tc>
          <w:tcPr>
            <w:tcW w:w="12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96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Treasury</w:t>
            </w:r>
          </w:p>
          <w:p>
            <w:pPr>
              <w:pStyle w:val="TableContents"/>
              <w:spacing w:before="0" w:after="0"/>
              <w:jc w:val="center"/>
              <w:rPr/>
            </w:pPr>
            <w:r>
              <w:rPr/>
            </w:r>
          </w:p>
          <w:p>
            <w:pPr>
              <w:pStyle w:val="TableContents"/>
              <w:spacing w:before="0" w:after="0"/>
              <w:jc w:val="center"/>
              <w:rPr>
                <w:b/>
                <w:spacing w:val="0"/>
              </w:rPr>
            </w:pPr>
            <w:r>
              <w:rPr>
                <w:b/>
                <w:spacing w:val="0"/>
              </w:rPr>
              <w:t>stock</w:t>
            </w:r>
          </w:p>
        </w:tc>
        <w:tc>
          <w:tcPr>
            <w:tcW w:w="12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7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2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29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stockholders’</w:t>
            </w:r>
          </w:p>
          <w:p>
            <w:pPr>
              <w:pStyle w:val="TableContents"/>
              <w:spacing w:before="0" w:after="0"/>
              <w:jc w:val="center"/>
              <w:rPr/>
            </w:pPr>
            <w:r>
              <w:rPr/>
            </w:r>
          </w:p>
          <w:p>
            <w:pPr>
              <w:pStyle w:val="TableContents"/>
              <w:spacing w:before="0" w:after="0"/>
              <w:jc w:val="center"/>
              <w:rPr>
                <w:b/>
                <w:spacing w:val="0"/>
              </w:rPr>
            </w:pPr>
            <w:r>
              <w:rPr>
                <w:b/>
                <w:spacing w:val="0"/>
              </w:rPr>
              <w:t>equity</w:t>
            </w:r>
          </w:p>
        </w:tc>
        <w:tc>
          <w:tcPr>
            <w:tcW w:w="140" w:type="dxa"/>
            <w:vMerge w:val="restart"/>
            <w:tcBorders/>
            <w:shd w:fill="auto" w:val="clear"/>
            <w:vAlign w:val="center"/>
          </w:tcPr>
          <w:p>
            <w:pPr>
              <w:pStyle w:val="TableContents"/>
              <w:spacing w:before="0" w:after="283"/>
              <w:rPr/>
            </w:pPr>
            <w:r>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283"/>
              <w:rPr/>
            </w:pPr>
            <w:r>
              <w:rPr/>
              <w:t> </w:t>
            </w:r>
          </w:p>
        </w:tc>
        <w:tc>
          <w:tcPr>
            <w:tcW w:w="120" w:type="dxa"/>
            <w:vMerge w:val="continue"/>
            <w:tcBorders/>
            <w:shd w:fill="auto" w:val="clear"/>
            <w:vAlign w:val="center"/>
          </w:tcPr>
          <w:p>
            <w:pPr>
              <w:pStyle w:val="Normal"/>
              <w:rPr/>
            </w:pPr>
            <w:r>
              <w:rPr/>
            </w:r>
          </w:p>
        </w:tc>
        <w:tc>
          <w:tcPr>
            <w:tcW w:w="1100" w:type="dxa"/>
            <w:gridSpan w:val="2"/>
            <w:vMerge w:val="continue"/>
            <w:tcBorders>
              <w:bottom w:val="single" w:sz="8" w:space="0" w:color="000000"/>
            </w:tcBorders>
            <w:shd w:fill="auto" w:val="clear"/>
            <w:tcMar>
              <w:bottom w:w="28"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95" w:type="dxa"/>
            <w:gridSpan w:val="2"/>
            <w:vMerge w:val="continue"/>
            <w:tcBorders>
              <w:bottom w:val="single" w:sz="8" w:space="0" w:color="000000"/>
            </w:tcBorders>
            <w:shd w:fill="auto" w:val="clear"/>
            <w:tcMar>
              <w:bottom w:w="28"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965" w:type="dxa"/>
            <w:gridSpan w:val="2"/>
            <w:vMerge w:val="continue"/>
            <w:tcBorders>
              <w:bottom w:val="single" w:sz="8" w:space="0" w:color="000000"/>
            </w:tcBorders>
            <w:shd w:fill="auto" w:val="clear"/>
            <w:tcMar>
              <w:bottom w:w="28"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bottom w:val="single" w:sz="8" w:space="0" w:color="000000"/>
            </w:tcBorders>
            <w:shd w:fill="auto" w:val="clear"/>
            <w:tcMar>
              <w:bottom w:w="28"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95" w:type="dxa"/>
            <w:gridSpan w:val="2"/>
            <w:vMerge w:val="continue"/>
            <w:tcBorders>
              <w:bottom w:val="single" w:sz="8" w:space="0" w:color="000000"/>
            </w:tcBorders>
            <w:shd w:fill="auto" w:val="clear"/>
            <w:tcMar>
              <w:bottom w:w="28" w:type="dxa"/>
            </w:tcMar>
            <w:vAlign w:val="center"/>
          </w:tcPr>
          <w:p>
            <w:pPr>
              <w:pStyle w:val="Normal"/>
              <w:rPr/>
            </w:pPr>
            <w:r>
              <w:rPr/>
            </w:r>
          </w:p>
        </w:tc>
        <w:tc>
          <w:tcPr>
            <w:tcW w:w="140" w:type="dxa"/>
            <w:vMerge w:val="continue"/>
            <w:tcBorders/>
            <w:shd w:fill="auto" w:val="clear"/>
            <w:vAlign w:val="center"/>
          </w:tcPr>
          <w:p>
            <w:pPr>
              <w:pStyle w:val="Normal"/>
              <w:rPr/>
            </w:pPr>
            <w:r>
              <w:rPr/>
            </w:r>
          </w:p>
        </w:tc>
      </w:tr>
      <w:tr>
        <w:trPr/>
        <w:tc>
          <w:tcPr>
            <w:tcW w:w="2300" w:type="dxa"/>
            <w:tcBorders/>
            <w:shd w:fill="CCEEFF" w:val="clear"/>
            <w:vAlign w:val="center"/>
          </w:tcPr>
          <w:p>
            <w:pPr>
              <w:pStyle w:val="TableContents"/>
              <w:spacing w:lineRule="atLeast" w:line="160" w:before="0" w:after="0"/>
              <w:rPr>
                <w:rFonts w:ascii="Times New Roman" w:hAnsi="Times New Roman"/>
                <w:b/>
                <w:sz w:val="16"/>
              </w:rPr>
            </w:pPr>
            <w:r>
              <w:rPr>
                <w:rFonts w:ascii="Times New Roman" w:hAnsi="Times New Roman"/>
                <w:b/>
                <w:sz w:val="16"/>
              </w:rPr>
              <w:t>Balance at January 1, 2021 (as previously reported)</w:t>
            </w:r>
          </w:p>
        </w:tc>
        <w:tc>
          <w:tcPr>
            <w:tcW w:w="12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b/>
                <w:spacing w:val="0"/>
                <w:sz w:val="16"/>
              </w:rPr>
            </w:pPr>
            <w:r>
              <w:rPr>
                <w:b/>
                <w:spacing w:val="0"/>
                <w:sz w:val="16"/>
              </w:rPr>
              <w:t>133,216,940</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b/>
                <w:spacing w:val="0"/>
                <w:sz w:val="16"/>
              </w:rPr>
            </w:pPr>
            <w:r>
              <w:rPr>
                <w:b/>
                <w:spacing w:val="0"/>
                <w:sz w:val="16"/>
              </w:rPr>
              <w:t>$</w:t>
            </w:r>
          </w:p>
        </w:tc>
        <w:tc>
          <w:tcPr>
            <w:tcW w:w="702" w:type="dxa"/>
            <w:tcBorders/>
            <w:shd w:fill="CCEEFF" w:val="clear"/>
            <w:vAlign w:val="center"/>
          </w:tcPr>
          <w:p>
            <w:pPr>
              <w:pStyle w:val="TableContents"/>
              <w:spacing w:lineRule="atLeast" w:line="160" w:before="0" w:after="0"/>
              <w:jc w:val="right"/>
              <w:rPr>
                <w:b/>
                <w:spacing w:val="0"/>
                <w:sz w:val="16"/>
              </w:rPr>
            </w:pPr>
            <w:r>
              <w:rPr>
                <w:b/>
                <w:spacing w:val="0"/>
                <w:sz w:val="16"/>
              </w:rPr>
              <w:t>9,881</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90" w:type="dxa"/>
            <w:tcBorders/>
            <w:shd w:fill="CCEEFF" w:val="clear"/>
            <w:vAlign w:val="center"/>
          </w:tcPr>
          <w:p>
            <w:pPr>
              <w:pStyle w:val="TableContents"/>
              <w:spacing w:lineRule="atLeast" w:line="160" w:before="0" w:after="0"/>
              <w:jc w:val="right"/>
              <w:rPr>
                <w:b/>
                <w:spacing w:val="0"/>
                <w:sz w:val="16"/>
              </w:rPr>
            </w:pPr>
            <w:r>
              <w:rPr>
                <w:b/>
                <w:spacing w:val="0"/>
                <w:sz w:val="16"/>
              </w:rPr>
              <w:t>13,326,050</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b/>
                <w:spacing w:val="0"/>
                <w:sz w:val="16"/>
              </w:rPr>
            </w:pPr>
            <w:r>
              <w:rPr>
                <w:b/>
                <w:spacing w:val="0"/>
                <w:sz w:val="16"/>
              </w:rPr>
              <w:t>$</w:t>
            </w:r>
          </w:p>
        </w:tc>
        <w:tc>
          <w:tcPr>
            <w:tcW w:w="722" w:type="dxa"/>
            <w:tcBorders/>
            <w:shd w:fill="CCEEFF" w:val="clear"/>
            <w:vAlign w:val="center"/>
          </w:tcPr>
          <w:p>
            <w:pPr>
              <w:pStyle w:val="TableContents"/>
              <w:spacing w:lineRule="atLeast" w:line="160" w:before="0" w:after="0"/>
              <w:jc w:val="right"/>
              <w:rPr>
                <w:b/>
                <w:spacing w:val="0"/>
                <w:sz w:val="16"/>
              </w:rPr>
            </w:pPr>
            <w:r>
              <w:rPr>
                <w:b/>
                <w:spacing w:val="0"/>
                <w:sz w:val="16"/>
              </w:rPr>
              <w:t>49,675</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00" w:type="dxa"/>
            <w:tcBorders/>
            <w:shd w:fill="CCEEFF" w:val="clear"/>
            <w:vAlign w:val="center"/>
          </w:tcPr>
          <w:p>
            <w:pPr>
              <w:pStyle w:val="TableContents"/>
              <w:spacing w:lineRule="atLeast" w:line="160" w:before="0" w:after="0"/>
              <w:jc w:val="right"/>
              <w:rPr>
                <w:b/>
                <w:spacing w:val="0"/>
                <w:sz w:val="16"/>
              </w:rPr>
            </w:pPr>
            <w:r>
              <w:rPr>
                <w:b/>
                <w:spacing w:val="0"/>
                <w:sz w:val="16"/>
              </w:rPr>
              <w:t>3,991,610</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b/>
                <w:spacing w:val="0"/>
                <w:sz w:val="16"/>
              </w:rPr>
            </w:pPr>
            <w:r>
              <w:rPr>
                <w:b/>
                <w:spacing w:val="0"/>
                <w:sz w:val="16"/>
              </w:rPr>
              <w:t>$</w:t>
            </w:r>
          </w:p>
        </w:tc>
        <w:tc>
          <w:tcPr>
            <w:tcW w:w="722" w:type="dxa"/>
            <w:tcBorders/>
            <w:shd w:fill="CCEEFF" w:val="clear"/>
            <w:vAlign w:val="center"/>
          </w:tcPr>
          <w:p>
            <w:pPr>
              <w:pStyle w:val="TableContents"/>
              <w:spacing w:lineRule="atLeast" w:line="160" w:before="0" w:after="0"/>
              <w:jc w:val="right"/>
              <w:rPr>
                <w:b/>
                <w:spacing w:val="0"/>
                <w:sz w:val="16"/>
              </w:rPr>
            </w:pPr>
            <w:r>
              <w:rPr>
                <w:b/>
                <w:spacing w:val="0"/>
                <w:sz w:val="16"/>
              </w:rPr>
              <w:t>12,617</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b/>
                <w:spacing w:val="0"/>
                <w:sz w:val="16"/>
              </w:rPr>
            </w:pPr>
            <w:r>
              <w:rPr>
                <w:b/>
                <w:spacing w:val="0"/>
                <w:sz w:val="16"/>
              </w:rPr>
              <w:t>100,223,194</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b/>
                <w:spacing w:val="0"/>
                <w:sz w:val="16"/>
              </w:rPr>
            </w:pPr>
            <w:r>
              <w:rPr>
                <w:b/>
                <w:spacing w:val="0"/>
                <w:sz w:val="16"/>
              </w:rPr>
              <w:t>$</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0.1</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2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b/>
                <w:spacing w:val="0"/>
                <w:sz w:val="16"/>
              </w:rPr>
            </w:pPr>
            <w:r>
              <w:rPr>
                <w:b/>
                <w:spacing w:val="0"/>
                <w:sz w:val="16"/>
              </w:rPr>
              <w:t>$</w:t>
            </w:r>
          </w:p>
        </w:tc>
        <w:tc>
          <w:tcPr>
            <w:tcW w:w="667"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b/>
                <w:spacing w:val="0"/>
                <w:sz w:val="16"/>
              </w:rPr>
            </w:pPr>
            <w:r>
              <w:rPr>
                <w:b/>
                <w:spacing w:val="0"/>
                <w:sz w:val="16"/>
              </w:rPr>
              <w:t>$</w:t>
            </w:r>
          </w:p>
        </w:tc>
        <w:tc>
          <w:tcPr>
            <w:tcW w:w="830" w:type="dxa"/>
            <w:tcBorders/>
            <w:shd w:fill="CCEEFF" w:val="clear"/>
            <w:vAlign w:val="center"/>
          </w:tcPr>
          <w:p>
            <w:pPr>
              <w:pStyle w:val="TableContents"/>
              <w:spacing w:lineRule="atLeast" w:line="160" w:before="0" w:after="0"/>
              <w:jc w:val="right"/>
              <w:rPr>
                <w:spacing w:val="0"/>
              </w:rPr>
            </w:pPr>
            <w:r>
              <w:rPr>
                <w:spacing w:val="0"/>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spacing w:val="0"/>
              </w:rPr>
            </w:pPr>
            <w:r>
              <w:rPr>
                <w:spacing w:val="0"/>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b/>
                <w:spacing w:val="0"/>
                <w:sz w:val="16"/>
              </w:rPr>
            </w:pPr>
            <w:r>
              <w:rPr>
                <w:b/>
                <w:spacing w:val="0"/>
                <w:sz w:val="16"/>
              </w:rPr>
              <w:t>$</w:t>
            </w:r>
          </w:p>
        </w:tc>
        <w:tc>
          <w:tcPr>
            <w:tcW w:w="931" w:type="dxa"/>
            <w:tcBorders/>
            <w:shd w:fill="CCEEFF" w:val="clear"/>
            <w:vAlign w:val="center"/>
          </w:tcPr>
          <w:p>
            <w:pPr>
              <w:pStyle w:val="TableContents"/>
              <w:spacing w:lineRule="atLeast" w:line="160" w:before="0" w:after="0"/>
              <w:jc w:val="right"/>
              <w:rPr>
                <w:b/>
                <w:spacing w:val="0"/>
                <w:sz w:val="16"/>
              </w:rPr>
            </w:pPr>
            <w:r>
              <w:rPr>
                <w:b/>
                <w:spacing w:val="0"/>
                <w:sz w:val="16"/>
              </w:rPr>
              <w:t>5,493</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b/>
                <w:spacing w:val="0"/>
                <w:sz w:val="16"/>
              </w:rPr>
            </w:pPr>
            <w:r>
              <w:rPr>
                <w:b/>
                <w:spacing w:val="0"/>
                <w:sz w:val="16"/>
              </w:rPr>
              <w:t>$</w:t>
            </w:r>
          </w:p>
        </w:tc>
        <w:tc>
          <w:tcPr>
            <w:tcW w:w="1088" w:type="dxa"/>
            <w:tcBorders/>
            <w:shd w:fill="CCEEFF" w:val="clear"/>
            <w:vAlign w:val="center"/>
          </w:tcPr>
          <w:p>
            <w:pPr>
              <w:pStyle w:val="TableContents"/>
              <w:spacing w:lineRule="atLeast" w:line="160" w:before="0" w:after="0"/>
              <w:jc w:val="right"/>
              <w:rPr>
                <w:b/>
                <w:spacing w:val="0"/>
                <w:sz w:val="16"/>
              </w:rPr>
            </w:pPr>
            <w:r>
              <w:rPr>
                <w:b/>
                <w:spacing w:val="0"/>
                <w:sz w:val="16"/>
              </w:rPr>
              <w:t>(14,764</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b/>
                <w:spacing w:val="0"/>
                <w:sz w:val="16"/>
              </w:rPr>
            </w:pPr>
            <w:r>
              <w:rPr>
                <w:b/>
                <w:spacing w:val="0"/>
                <w:sz w:val="16"/>
              </w:rPr>
              <w:t>$</w:t>
            </w:r>
          </w:p>
        </w:tc>
        <w:tc>
          <w:tcPr>
            <w:tcW w:w="749" w:type="dxa"/>
            <w:tcBorders/>
            <w:shd w:fill="CCEEFF" w:val="clear"/>
            <w:vAlign w:val="center"/>
          </w:tcPr>
          <w:p>
            <w:pPr>
              <w:pStyle w:val="TableContents"/>
              <w:spacing w:lineRule="atLeast" w:line="160" w:before="0" w:after="0"/>
              <w:jc w:val="right"/>
              <w:rPr>
                <w:b/>
                <w:spacing w:val="0"/>
                <w:sz w:val="16"/>
              </w:rPr>
            </w:pPr>
            <w:r>
              <w:rPr>
                <w:b/>
                <w:spacing w:val="0"/>
                <w:sz w:val="16"/>
              </w:rPr>
              <w:t>(154</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(12,904</w:t>
            </w:r>
          </w:p>
          <w:p>
            <w:pPr>
              <w:pStyle w:val="TableContents"/>
              <w:spacing w:lineRule="atLeast" w:line="160" w:before="0" w:after="0"/>
              <w:rPr>
                <w:b/>
                <w:spacing w:val="0"/>
                <w:sz w:val="16"/>
              </w:rPr>
            </w:pPr>
            <w:r>
              <w:rPr>
                <w:b/>
                <w:spacing w:val="0"/>
                <w:sz w:val="16"/>
              </w:rPr>
              <w:t>) </w:t>
            </w:r>
          </w:p>
          <w:p>
            <w:pPr>
              <w:pStyle w:val="TableContents"/>
              <w:spacing w:lineRule="atLeast" w:line="160" w:before="0" w:after="0"/>
              <w:rPr/>
            </w:pPr>
            <w:r>
              <w:rPr/>
              <w:t> </w:t>
            </w:r>
          </w:p>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(22,329</w:t>
            </w:r>
          </w:p>
          <w:p>
            <w:pPr>
              <w:pStyle w:val="TableContents"/>
              <w:spacing w:lineRule="atLeast" w:line="160" w:before="0" w:after="0"/>
              <w:rPr>
                <w:b/>
                <w:spacing w:val="0"/>
                <w:sz w:val="16"/>
              </w:rPr>
            </w:pPr>
            <w:r>
              <w:rPr>
                <w:b/>
                <w:spacing w:val="0"/>
                <w:sz w:val="16"/>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Retroactive application of recapitalization</w:t>
            </w:r>
          </w:p>
        </w:tc>
        <w:tc>
          <w:tcPr>
            <w:tcW w:w="12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283"/>
              <w:jc w:val="right"/>
              <w:rPr>
                <w:sz w:val="16"/>
              </w:rPr>
            </w:pPr>
            <w:r>
              <w:rPr>
                <w:sz w:val="16"/>
              </w:rPr>
              <w:t>(133,216,940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283"/>
              <w:jc w:val="right"/>
              <w:rPr>
                <w:sz w:val="16"/>
              </w:rPr>
            </w:pPr>
            <w:r>
              <w:rPr>
                <w:sz w:val="16"/>
              </w:rPr>
              <w:t>(9,881</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283"/>
              <w:jc w:val="right"/>
              <w:rPr>
                <w:sz w:val="16"/>
              </w:rPr>
            </w:pPr>
            <w:r>
              <w:rPr>
                <w:sz w:val="16"/>
              </w:rPr>
              <w:t>(13,326,050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283"/>
              <w:jc w:val="right"/>
              <w:rPr>
                <w:sz w:val="16"/>
              </w:rPr>
            </w:pPr>
            <w:r>
              <w:rPr>
                <w:sz w:val="16"/>
              </w:rPr>
              <w:t>(49,675</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283"/>
              <w:jc w:val="right"/>
              <w:rPr>
                <w:sz w:val="16"/>
              </w:rPr>
            </w:pPr>
            <w:r>
              <w:rPr>
                <w:sz w:val="16"/>
              </w:rPr>
              <w:t>(3,991,610</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283"/>
              <w:jc w:val="right"/>
              <w:rPr>
                <w:sz w:val="16"/>
              </w:rPr>
            </w:pPr>
            <w:r>
              <w:rPr>
                <w:sz w:val="16"/>
              </w:rPr>
              <w:t>(12,617</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283"/>
              <w:jc w:val="right"/>
              <w:rPr>
                <w:sz w:val="16"/>
              </w:rPr>
            </w:pPr>
            <w:r>
              <w:rPr>
                <w:sz w:val="16"/>
              </w:rPr>
              <w:t>(100,223,194</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(0.1</w:t>
            </w:r>
          </w:p>
        </w:tc>
        <w:tc>
          <w:tcPr>
            <w:tcW w:w="125" w:type="dxa"/>
            <w:tcBorders/>
            <w:shd w:fill="auto" w:val="clear"/>
            <w:vAlign w:val="center"/>
          </w:tcPr>
          <w:p>
            <w:pPr>
              <w:pStyle w:val="TableContents"/>
              <w:spacing w:lineRule="atLeast" w:line="160" w:before="0" w:after="0"/>
              <w:rPr>
                <w:sz w:val="16"/>
              </w:rPr>
            </w:pPr>
            <w:r>
              <w:rPr>
                <w:sz w:val="16"/>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291,948,352</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29</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283"/>
              <w:jc w:val="right"/>
              <w:rPr>
                <w:sz w:val="16"/>
              </w:rPr>
            </w:pPr>
            <w:r>
              <w:rPr>
                <w:sz w:val="16"/>
              </w:rPr>
              <w:t>48,450,639</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283"/>
              <w:jc w:val="right"/>
              <w:rPr>
                <w:sz w:val="16"/>
              </w:rPr>
            </w:pPr>
            <w:r>
              <w:rPr>
                <w:sz w:val="16"/>
              </w:rPr>
              <w:t>5</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72,139</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72,173</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bdr w:val="single" w:sz="2" w:space="1" w:color="000000"/>
              </w:rPr>
            </w:pPr>
            <w:r>
              <w:rPr>
                <w:bdr w:val="single" w:sz="2" w:space="1" w:color="000000"/>
              </w:rPr>
              <w:t> </w:t>
            </w:r>
          </w:p>
        </w:tc>
        <w:tc>
          <w:tcPr>
            <w:tcW w:w="70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9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2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8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single" w:sz="2" w:space="1" w:color="000000"/>
              </w:rPr>
            </w:pPr>
            <w:r>
              <w:rPr>
                <w:bdr w:val="single" w:sz="2" w:space="1" w:color="000000"/>
              </w:rPr>
              <w:t> </w:t>
            </w:r>
          </w:p>
        </w:tc>
        <w:tc>
          <w:tcPr>
            <w:tcW w:w="931"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088"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749"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p>
            <w:pPr>
              <w:pStyle w:val="TableContents"/>
              <w:spacing w:before="0" w:after="283"/>
              <w:rPr/>
            </w:pPr>
            <w:r>
              <w:rPr/>
              <w:t> </w:t>
            </w:r>
          </w:p>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tc>
      </w:tr>
      <w:tr>
        <w:trPr/>
        <w:tc>
          <w:tcPr>
            <w:tcW w:w="2300" w:type="dxa"/>
            <w:tcBorders/>
            <w:shd w:fill="CCEEFF" w:val="clear"/>
            <w:vAlign w:val="center"/>
          </w:tcPr>
          <w:p>
            <w:pPr>
              <w:pStyle w:val="TableContents"/>
              <w:spacing w:lineRule="atLeast" w:line="160" w:before="0" w:after="0"/>
              <w:rPr>
                <w:rFonts w:ascii="Times New Roman" w:hAnsi="Times New Roman"/>
                <w:b/>
                <w:sz w:val="16"/>
              </w:rPr>
            </w:pPr>
            <w:r>
              <w:rPr>
                <w:rFonts w:ascii="Times New Roman" w:hAnsi="Times New Roman"/>
                <w:b/>
                <w:sz w:val="16"/>
              </w:rPr>
              <w:t>Balance at January 1, 2021 (as adjusted)</w:t>
            </w:r>
          </w:p>
        </w:tc>
        <w:tc>
          <w:tcPr>
            <w:tcW w:w="12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spacing w:val="0"/>
              </w:rPr>
            </w:pPr>
            <w:r>
              <w:rPr>
                <w:spacing w:val="0"/>
              </w:rPr>
              <w:t> </w:t>
            </w:r>
          </w:p>
        </w:tc>
        <w:tc>
          <w:tcPr>
            <w:tcW w:w="70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9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spacing w:val="0"/>
              </w:rPr>
            </w:pPr>
            <w:r>
              <w:rPr>
                <w:spacing w:val="0"/>
              </w:rPr>
              <w:t> </w:t>
            </w:r>
          </w:p>
        </w:tc>
        <w:tc>
          <w:tcPr>
            <w:tcW w:w="72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80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spacing w:val="0"/>
              </w:rPr>
            </w:pPr>
            <w:r>
              <w:rPr>
                <w:spacing w:val="0"/>
              </w:rPr>
              <w:t> </w:t>
            </w:r>
          </w:p>
        </w:tc>
        <w:tc>
          <w:tcPr>
            <w:tcW w:w="722"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80"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spacing w:val="0"/>
              </w:rPr>
            </w:pPr>
            <w:r>
              <w:rPr>
                <w:spacing w:val="0"/>
              </w:rPr>
              <w:t>—  </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920" w:type="dxa"/>
            <w:tcBorders/>
            <w:shd w:fill="CCEEFF" w:val="clear"/>
            <w:vAlign w:val="center"/>
          </w:tcPr>
          <w:p>
            <w:pPr>
              <w:pStyle w:val="TableContents"/>
              <w:spacing w:lineRule="atLeast" w:line="160" w:before="0" w:after="0"/>
              <w:jc w:val="right"/>
              <w:rPr>
                <w:b/>
                <w:spacing w:val="0"/>
                <w:sz w:val="16"/>
              </w:rPr>
            </w:pPr>
            <w:r>
              <w:rPr>
                <w:b/>
                <w:spacing w:val="0"/>
                <w:sz w:val="16"/>
              </w:rPr>
              <w:t>291,948,352</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29</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spacing w:val="0"/>
              </w:rPr>
            </w:pPr>
            <w:r>
              <w:rPr>
                <w:spacing w:val="0"/>
              </w:rPr>
              <w:t> </w:t>
            </w:r>
          </w:p>
        </w:tc>
        <w:tc>
          <w:tcPr>
            <w:tcW w:w="830" w:type="dxa"/>
            <w:tcBorders/>
            <w:shd w:fill="CCEEFF" w:val="clear"/>
            <w:vAlign w:val="center"/>
          </w:tcPr>
          <w:p>
            <w:pPr>
              <w:pStyle w:val="TableContents"/>
              <w:spacing w:lineRule="atLeast" w:line="160" w:before="0" w:after="0"/>
              <w:jc w:val="right"/>
              <w:rPr>
                <w:b/>
                <w:spacing w:val="0"/>
                <w:sz w:val="16"/>
              </w:rPr>
            </w:pPr>
            <w:r>
              <w:rPr>
                <w:b/>
                <w:spacing w:val="0"/>
                <w:sz w:val="16"/>
              </w:rPr>
              <w:t>48,450,639</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spacing w:val="0"/>
              </w:rPr>
            </w:pPr>
            <w:r>
              <w:rPr>
                <w:spacing w:val="0"/>
              </w:rPr>
              <w:t> </w:t>
            </w:r>
          </w:p>
        </w:tc>
        <w:tc>
          <w:tcPr>
            <w:tcW w:w="667" w:type="dxa"/>
            <w:tcBorders/>
            <w:shd w:fill="CCEEFF" w:val="clear"/>
            <w:vAlign w:val="center"/>
          </w:tcPr>
          <w:p>
            <w:pPr>
              <w:pStyle w:val="TableContents"/>
              <w:spacing w:lineRule="atLeast" w:line="160" w:before="0" w:after="0"/>
              <w:jc w:val="right"/>
              <w:rPr>
                <w:b/>
                <w:spacing w:val="0"/>
                <w:sz w:val="16"/>
              </w:rPr>
            </w:pPr>
            <w:r>
              <w:rPr>
                <w:b/>
                <w:spacing w:val="0"/>
                <w:sz w:val="16"/>
              </w:rPr>
              <w:t>5</w:t>
            </w:r>
          </w:p>
        </w:tc>
        <w:tc>
          <w:tcPr>
            <w:tcW w:w="60" w:type="dxa"/>
            <w:tcBorders/>
            <w:shd w:fill="CCEEFF" w:val="clear"/>
            <w:vAlign w:val="center"/>
          </w:tcPr>
          <w:p>
            <w:pPr>
              <w:pStyle w:val="TableContents"/>
              <w:spacing w:lineRule="atLeast" w:line="160" w:before="0" w:after="0"/>
              <w:rPr>
                <w:spacing w:val="0"/>
              </w:rPr>
            </w:pPr>
            <w:r>
              <w:rPr>
                <w:spacing w:val="0"/>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spacing w:val="0"/>
              </w:rPr>
            </w:pPr>
            <w:r>
              <w:rPr>
                <w:spacing w:val="0"/>
              </w:rPr>
              <w:t> </w:t>
            </w:r>
          </w:p>
        </w:tc>
        <w:tc>
          <w:tcPr>
            <w:tcW w:w="931" w:type="dxa"/>
            <w:tcBorders/>
            <w:shd w:fill="CCEEFF" w:val="clear"/>
            <w:vAlign w:val="center"/>
          </w:tcPr>
          <w:p>
            <w:pPr>
              <w:pStyle w:val="TableContents"/>
              <w:spacing w:lineRule="atLeast" w:line="160" w:before="0" w:after="0"/>
              <w:jc w:val="right"/>
              <w:rPr>
                <w:b/>
                <w:spacing w:val="0"/>
                <w:sz w:val="16"/>
              </w:rPr>
            </w:pPr>
            <w:r>
              <w:rPr>
                <w:b/>
                <w:spacing w:val="0"/>
                <w:sz w:val="16"/>
              </w:rPr>
              <w:t>77,632</w:t>
            </w:r>
          </w:p>
        </w:tc>
        <w:tc>
          <w:tcPr>
            <w:tcW w:w="125" w:type="dxa"/>
            <w:tcBorders/>
            <w:shd w:fill="CCEEFF" w:val="clear"/>
            <w:vAlign w:val="center"/>
          </w:tcPr>
          <w:p>
            <w:pPr>
              <w:pStyle w:val="TableContents"/>
              <w:spacing w:lineRule="atLeast" w:line="160" w:before="0" w:after="0"/>
              <w:rPr>
                <w:spacing w:val="0"/>
              </w:rPr>
            </w:pPr>
            <w:r>
              <w:rPr>
                <w:spacing w:val="0"/>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spacing w:val="0"/>
              </w:rPr>
            </w:pPr>
            <w:r>
              <w:rPr>
                <w:spacing w:val="0"/>
              </w:rPr>
              <w:t> </w:t>
            </w:r>
          </w:p>
        </w:tc>
        <w:tc>
          <w:tcPr>
            <w:tcW w:w="1088" w:type="dxa"/>
            <w:tcBorders/>
            <w:shd w:fill="CCEEFF" w:val="clear"/>
            <w:vAlign w:val="center"/>
          </w:tcPr>
          <w:p>
            <w:pPr>
              <w:pStyle w:val="TableContents"/>
              <w:spacing w:lineRule="atLeast" w:line="160" w:before="0" w:after="0"/>
              <w:jc w:val="right"/>
              <w:rPr>
                <w:b/>
                <w:spacing w:val="0"/>
                <w:sz w:val="16"/>
              </w:rPr>
            </w:pPr>
            <w:r>
              <w:rPr>
                <w:b/>
                <w:spacing w:val="0"/>
                <w:sz w:val="16"/>
              </w:rPr>
              <w:t>(14,764</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spacing w:val="0"/>
              </w:rPr>
            </w:pPr>
            <w:r>
              <w:rPr>
                <w:spacing w:val="0"/>
              </w:rPr>
              <w:t> </w:t>
            </w:r>
          </w:p>
        </w:tc>
        <w:tc>
          <w:tcPr>
            <w:tcW w:w="749" w:type="dxa"/>
            <w:tcBorders/>
            <w:shd w:fill="CCEEFF" w:val="clear"/>
            <w:vAlign w:val="center"/>
          </w:tcPr>
          <w:p>
            <w:pPr>
              <w:pStyle w:val="TableContents"/>
              <w:spacing w:lineRule="atLeast" w:line="160" w:before="0" w:after="0"/>
              <w:jc w:val="right"/>
              <w:rPr>
                <w:b/>
                <w:spacing w:val="0"/>
                <w:sz w:val="16"/>
              </w:rPr>
            </w:pPr>
            <w:r>
              <w:rPr>
                <w:b/>
                <w:spacing w:val="0"/>
                <w:sz w:val="16"/>
              </w:rPr>
              <w:t>(154</w:t>
            </w:r>
          </w:p>
        </w:tc>
        <w:tc>
          <w:tcPr>
            <w:tcW w:w="125" w:type="dxa"/>
            <w:tcBorders/>
            <w:shd w:fill="CCEEFF" w:val="clear"/>
            <w:vAlign w:val="center"/>
          </w:tcPr>
          <w:p>
            <w:pPr>
              <w:pStyle w:val="TableContents"/>
              <w:spacing w:lineRule="atLeast" w:line="160" w:before="0" w:after="0"/>
              <w:rPr>
                <w:b/>
                <w:spacing w:val="0"/>
                <w:sz w:val="16"/>
              </w:rPr>
            </w:pPr>
            <w:r>
              <w:rPr>
                <w:b/>
                <w:spacing w:val="0"/>
                <w:sz w:val="16"/>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(12,904</w:t>
            </w:r>
          </w:p>
          <w:p>
            <w:pPr>
              <w:pStyle w:val="TableContents"/>
              <w:spacing w:lineRule="atLeast" w:line="160" w:before="0" w:after="0"/>
              <w:rPr>
                <w:b/>
                <w:spacing w:val="0"/>
                <w:sz w:val="16"/>
              </w:rPr>
            </w:pPr>
            <w:r>
              <w:rPr>
                <w:b/>
                <w:spacing w:val="0"/>
                <w:sz w:val="16"/>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49,844</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Issuance of common stock for stock option exercises</w:t>
            </w:r>
          </w:p>
        </w:tc>
        <w:tc>
          <w:tcPr>
            <w:tcW w:w="12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283"/>
              <w:jc w:val="right"/>
              <w:rPr>
                <w:sz w:val="16"/>
              </w:rPr>
            </w:pPr>
            <w:r>
              <w:rPr>
                <w:sz w:val="16"/>
              </w:rPr>
              <w:t>1,427,875</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599</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599</w:t>
            </w:r>
          </w:p>
          <w:p>
            <w:pPr>
              <w:pStyle w:val="TableContents"/>
              <w:spacing w:lineRule="atLeast" w:line="160" w:before="0" w:after="0"/>
              <w:rPr>
                <w:spacing w:val="0"/>
              </w:rPr>
            </w:pPr>
            <w:r>
              <w:rPr>
                <w:spacing w:val="0"/>
              </w:rPr>
              <w:t> </w:t>
            </w:r>
          </w:p>
        </w:tc>
      </w:tr>
      <w:tr>
        <w:trPr/>
        <w:tc>
          <w:tcPr>
            <w:tcW w:w="2300" w:type="dxa"/>
            <w:tcBorders/>
            <w:shd w:fill="CCEEFF" w:val="clear"/>
            <w:vAlign w:val="center"/>
          </w:tcPr>
          <w:p>
            <w:pPr>
              <w:pStyle w:val="TableContents"/>
              <w:spacing w:lineRule="atLeast" w:line="160" w:before="0" w:after="0"/>
              <w:rPr>
                <w:rFonts w:ascii="Times New Roman" w:hAnsi="Times New Roman"/>
                <w:sz w:val="16"/>
              </w:rPr>
            </w:pPr>
            <w:r>
              <w:rPr>
                <w:rFonts w:ascii="Times New Roman" w:hAnsi="Times New Roman"/>
                <w:sz w:val="16"/>
              </w:rPr>
              <w:t>Stockholder loans interest</w:t>
            </w:r>
          </w:p>
        </w:tc>
        <w:tc>
          <w:tcPr>
            <w:tcW w:w="12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pPr>
            <w:r>
              <w:rPr/>
              <w:t> </w:t>
            </w:r>
          </w:p>
        </w:tc>
        <w:tc>
          <w:tcPr>
            <w:tcW w:w="70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9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0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2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pPr>
            <w:r>
              <w:rPr/>
              <w:t> </w:t>
            </w:r>
          </w:p>
        </w:tc>
        <w:tc>
          <w:tcPr>
            <w:tcW w:w="830"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pPr>
            <w:r>
              <w:rPr/>
              <w:t> </w:t>
            </w:r>
          </w:p>
        </w:tc>
        <w:tc>
          <w:tcPr>
            <w:tcW w:w="931"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pPr>
            <w:r>
              <w:rPr/>
              <w:t> </w:t>
            </w:r>
          </w:p>
        </w:tc>
        <w:tc>
          <w:tcPr>
            <w:tcW w:w="1088" w:type="dxa"/>
            <w:tcBorders/>
            <w:shd w:fill="CCEEFF" w:val="clear"/>
            <w:vAlign w:val="center"/>
          </w:tcPr>
          <w:p>
            <w:pPr>
              <w:pStyle w:val="TableContents"/>
              <w:spacing w:lineRule="atLeast" w:line="160" w:before="0" w:after="283"/>
              <w:jc w:val="right"/>
              <w:rPr>
                <w:sz w:val="16"/>
              </w:rPr>
            </w:pPr>
            <w:r>
              <w:rPr>
                <w:sz w:val="16"/>
              </w:rPr>
              <w:t>(68</w:t>
            </w:r>
          </w:p>
        </w:tc>
        <w:tc>
          <w:tcPr>
            <w:tcW w:w="125" w:type="dxa"/>
            <w:tcBorders/>
            <w:shd w:fill="CCEEFF" w:val="clear"/>
            <w:vAlign w:val="center"/>
          </w:tcPr>
          <w:p>
            <w:pPr>
              <w:pStyle w:val="TableContents"/>
              <w:spacing w:lineRule="atLeast" w:line="160" w:before="0" w:after="0"/>
              <w:rPr>
                <w:sz w:val="16"/>
              </w:rPr>
            </w:pPr>
            <w:r>
              <w:rPr>
                <w:sz w:val="16"/>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pPr>
            <w:r>
              <w:rPr/>
              <w:t> </w:t>
            </w:r>
          </w:p>
        </w:tc>
        <w:tc>
          <w:tcPr>
            <w:tcW w:w="749"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(68</w:t>
            </w:r>
          </w:p>
          <w:p>
            <w:pPr>
              <w:pStyle w:val="TableContents"/>
              <w:spacing w:lineRule="atLeast" w:line="160" w:before="0" w:after="0"/>
              <w:rPr>
                <w:b/>
                <w:spacing w:val="0"/>
                <w:sz w:val="16"/>
              </w:rPr>
            </w:pPr>
            <w:r>
              <w:rPr>
                <w:b/>
                <w:spacing w:val="0"/>
                <w:sz w:val="16"/>
              </w:rPr>
              <w:t>) </w:t>
            </w:r>
          </w:p>
        </w:tc>
      </w:tr>
      <w:tr>
        <w:trPr/>
        <w:tc>
          <w:tcPr>
            <w:tcW w:w="2300" w:type="dxa"/>
            <w:tcBorders/>
            <w:shd w:fill="auto" w:val="clear"/>
            <w:vAlign w:val="center"/>
          </w:tcPr>
          <w:p>
            <w:pPr>
              <w:pStyle w:val="TableContents"/>
              <w:spacing w:lineRule="atLeast" w:line="160" w:before="0" w:after="0"/>
              <w:rPr>
                <w:rFonts w:ascii="Times New Roman" w:hAnsi="Times New Roman"/>
                <w:sz w:val="16"/>
              </w:rPr>
            </w:pPr>
            <w:r>
              <w:rPr>
                <w:rFonts w:ascii="Times New Roman" w:hAnsi="Times New Roman"/>
                <w:sz w:val="16"/>
              </w:rPr>
              <w:t>Stock-based compensation</w:t>
            </w:r>
          </w:p>
        </w:tc>
        <w:tc>
          <w:tcPr>
            <w:tcW w:w="12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pPr>
            <w:r>
              <w:rPr/>
              <w:t> </w:t>
            </w:r>
          </w:p>
        </w:tc>
        <w:tc>
          <w:tcPr>
            <w:tcW w:w="70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9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80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pPr>
            <w:r>
              <w:rPr/>
              <w:t> </w:t>
            </w:r>
          </w:p>
        </w:tc>
        <w:tc>
          <w:tcPr>
            <w:tcW w:w="722"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8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920"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pPr>
            <w:r>
              <w:rPr/>
              <w:t> </w:t>
            </w:r>
          </w:p>
        </w:tc>
        <w:tc>
          <w:tcPr>
            <w:tcW w:w="830"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pPr>
            <w:r>
              <w:rPr/>
              <w:t> </w:t>
            </w:r>
          </w:p>
        </w:tc>
        <w:tc>
          <w:tcPr>
            <w:tcW w:w="667" w:type="dxa"/>
            <w:tcBorders/>
            <w:shd w:fill="auto" w:val="clear"/>
            <w:vAlign w:val="center"/>
          </w:tcPr>
          <w:p>
            <w:pPr>
              <w:pStyle w:val="TableContents"/>
              <w:spacing w:lineRule="atLeast" w:line="160" w:before="0" w:after="0"/>
              <w:jc w:val="right"/>
              <w:rPr/>
            </w:pPr>
            <w:r>
              <w:rPr/>
              <w:t>—  </w:t>
            </w:r>
          </w:p>
        </w:tc>
        <w:tc>
          <w:tcPr>
            <w:tcW w:w="60" w:type="dxa"/>
            <w:tcBorders/>
            <w:shd w:fill="auto" w:val="clear"/>
            <w:vAlign w:val="center"/>
          </w:tcPr>
          <w:p>
            <w:pPr>
              <w:pStyle w:val="TableContents"/>
              <w:spacing w:lineRule="atLeast" w:line="160" w:before="0" w:after="0"/>
              <w:rPr/>
            </w:pPr>
            <w:r>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pPr>
            <w:r>
              <w:rPr/>
              <w:t> </w:t>
            </w:r>
          </w:p>
        </w:tc>
        <w:tc>
          <w:tcPr>
            <w:tcW w:w="931" w:type="dxa"/>
            <w:tcBorders/>
            <w:shd w:fill="auto" w:val="clear"/>
            <w:vAlign w:val="center"/>
          </w:tcPr>
          <w:p>
            <w:pPr>
              <w:pStyle w:val="TableContents"/>
              <w:spacing w:lineRule="atLeast" w:line="160" w:before="0" w:after="283"/>
              <w:jc w:val="right"/>
              <w:rPr>
                <w:sz w:val="16"/>
              </w:rPr>
            </w:pPr>
            <w:r>
              <w:rPr>
                <w:sz w:val="16"/>
              </w:rPr>
              <w:t>1,690</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pPr>
            <w:r>
              <w:rPr/>
              <w:t> </w:t>
            </w:r>
          </w:p>
        </w:tc>
        <w:tc>
          <w:tcPr>
            <w:tcW w:w="1088"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pPr>
            <w:r>
              <w:rPr/>
              <w:t> </w:t>
            </w:r>
          </w:p>
        </w:tc>
        <w:tc>
          <w:tcPr>
            <w:tcW w:w="749" w:type="dxa"/>
            <w:tcBorders/>
            <w:shd w:fill="auto" w:val="clear"/>
            <w:vAlign w:val="center"/>
          </w:tcPr>
          <w:p>
            <w:pPr>
              <w:pStyle w:val="TableContents"/>
              <w:spacing w:lineRule="atLeast" w:line="160" w:before="0" w:after="0"/>
              <w:jc w:val="right"/>
              <w:rPr/>
            </w:pPr>
            <w:r>
              <w:rPr/>
              <w:t>—  </w:t>
            </w:r>
          </w:p>
        </w:tc>
        <w:tc>
          <w:tcPr>
            <w:tcW w:w="12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pPr>
            <w:r>
              <w:rPr/>
              <w:t> </w:t>
            </w:r>
          </w:p>
          <w:p>
            <w:pPr>
              <w:pStyle w:val="TableContents"/>
              <w:spacing w:lineRule="atLeast" w:line="160" w:before="0" w:after="0"/>
              <w:jc w:val="right"/>
              <w:rPr/>
            </w:pPr>
            <w:r>
              <w:rPr/>
              <w:t>—  </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1,690</w:t>
            </w:r>
          </w:p>
          <w:p>
            <w:pPr>
              <w:pStyle w:val="TableContents"/>
              <w:spacing w:lineRule="atLeast" w:line="160" w:before="0" w:after="0"/>
              <w:rPr>
                <w:spacing w:val="0"/>
              </w:rPr>
            </w:pPr>
            <w:r>
              <w:rPr>
                <w:spacing w:val="0"/>
              </w:rPr>
              <w:t> </w:t>
            </w:r>
          </w:p>
        </w:tc>
      </w:tr>
      <w:tr>
        <w:trPr/>
        <w:tc>
          <w:tcPr>
            <w:tcW w:w="2300" w:type="dxa"/>
            <w:tcBorders/>
            <w:shd w:fill="CCEEFF" w:val="clear"/>
            <w:vAlign w:val="center"/>
          </w:tcPr>
          <w:p>
            <w:pPr>
              <w:pStyle w:val="TableContents"/>
              <w:spacing w:lineRule="atLeast" w:line="160" w:before="0" w:after="0"/>
              <w:rPr>
                <w:rFonts w:ascii="Times New Roman" w:hAnsi="Times New Roman"/>
                <w:sz w:val="16"/>
              </w:rPr>
            </w:pPr>
            <w:r>
              <w:rPr>
                <w:rFonts w:ascii="Times New Roman" w:hAnsi="Times New Roman"/>
                <w:sz w:val="16"/>
              </w:rPr>
              <w:t>Net income</w:t>
            </w:r>
          </w:p>
        </w:tc>
        <w:tc>
          <w:tcPr>
            <w:tcW w:w="12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58" w:type="dxa"/>
            <w:tcBorders/>
            <w:shd w:fill="CCEEFF" w:val="clear"/>
            <w:vAlign w:val="center"/>
          </w:tcPr>
          <w:p>
            <w:pPr>
              <w:pStyle w:val="TableContents"/>
              <w:spacing w:lineRule="atLeast" w:line="160" w:before="0" w:after="0"/>
              <w:rPr/>
            </w:pPr>
            <w:r>
              <w:rPr/>
              <w:t> </w:t>
            </w:r>
          </w:p>
        </w:tc>
        <w:tc>
          <w:tcPr>
            <w:tcW w:w="70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9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80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38" w:type="dxa"/>
            <w:tcBorders/>
            <w:shd w:fill="CCEEFF" w:val="clear"/>
            <w:vAlign w:val="center"/>
          </w:tcPr>
          <w:p>
            <w:pPr>
              <w:pStyle w:val="TableContents"/>
              <w:spacing w:lineRule="atLeast" w:line="160" w:before="0" w:after="0"/>
              <w:rPr/>
            </w:pPr>
            <w:r>
              <w:rPr/>
              <w:t> </w:t>
            </w:r>
          </w:p>
        </w:tc>
        <w:tc>
          <w:tcPr>
            <w:tcW w:w="722"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8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920"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110" w:type="dxa"/>
            <w:tcBorders/>
            <w:shd w:fill="CCEEFF" w:val="clear"/>
            <w:vAlign w:val="center"/>
          </w:tcPr>
          <w:p>
            <w:pPr>
              <w:pStyle w:val="TableContents"/>
              <w:spacing w:lineRule="atLeast" w:line="160" w:before="0" w:after="0"/>
              <w:rPr/>
            </w:pPr>
            <w:r>
              <w:rPr/>
              <w:t> </w:t>
            </w:r>
          </w:p>
        </w:tc>
        <w:tc>
          <w:tcPr>
            <w:tcW w:w="830"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93" w:type="dxa"/>
            <w:tcBorders/>
            <w:shd w:fill="CCEEFF" w:val="clear"/>
            <w:vAlign w:val="center"/>
          </w:tcPr>
          <w:p>
            <w:pPr>
              <w:pStyle w:val="TableContents"/>
              <w:spacing w:lineRule="atLeast" w:line="160" w:before="0" w:after="0"/>
              <w:rPr/>
            </w:pPr>
            <w:r>
              <w:rPr/>
              <w:t> </w:t>
            </w:r>
          </w:p>
        </w:tc>
        <w:tc>
          <w:tcPr>
            <w:tcW w:w="667" w:type="dxa"/>
            <w:tcBorders/>
            <w:shd w:fill="CCEEFF" w:val="clear"/>
            <w:vAlign w:val="center"/>
          </w:tcPr>
          <w:p>
            <w:pPr>
              <w:pStyle w:val="TableContents"/>
              <w:spacing w:lineRule="atLeast" w:line="160" w:before="0" w:after="0"/>
              <w:jc w:val="right"/>
              <w:rPr/>
            </w:pPr>
            <w:r>
              <w:rPr/>
              <w:t>—  </w:t>
            </w:r>
          </w:p>
        </w:tc>
        <w:tc>
          <w:tcPr>
            <w:tcW w:w="60" w:type="dxa"/>
            <w:tcBorders/>
            <w:shd w:fill="CCEEFF" w:val="clear"/>
            <w:vAlign w:val="center"/>
          </w:tcPr>
          <w:p>
            <w:pPr>
              <w:pStyle w:val="TableContents"/>
              <w:spacing w:lineRule="atLeast" w:line="160" w:before="0" w:after="0"/>
              <w:rPr/>
            </w:pPr>
            <w:r>
              <w:rPr/>
              <w:t> </w:t>
            </w:r>
          </w:p>
        </w:tc>
        <w:tc>
          <w:tcPr>
            <w:tcW w:w="120" w:type="dxa"/>
            <w:tcBorders/>
            <w:shd w:fill="CCEEFF" w:val="clear"/>
            <w:vAlign w:val="center"/>
          </w:tcPr>
          <w:p>
            <w:pPr>
              <w:pStyle w:val="TableContents"/>
              <w:spacing w:lineRule="atLeast" w:line="160" w:before="0" w:after="0"/>
              <w:rPr/>
            </w:pPr>
            <w:r>
              <w:rPr/>
              <w:t>  </w:t>
            </w:r>
          </w:p>
        </w:tc>
        <w:tc>
          <w:tcPr>
            <w:tcW w:w="169" w:type="dxa"/>
            <w:tcBorders/>
            <w:shd w:fill="CCEEFF" w:val="clear"/>
            <w:vAlign w:val="center"/>
          </w:tcPr>
          <w:p>
            <w:pPr>
              <w:pStyle w:val="TableContents"/>
              <w:spacing w:lineRule="atLeast" w:line="160" w:before="0" w:after="0"/>
              <w:rPr/>
            </w:pPr>
            <w:r>
              <w:rPr/>
              <w:t> </w:t>
            </w:r>
          </w:p>
        </w:tc>
        <w:tc>
          <w:tcPr>
            <w:tcW w:w="931"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07" w:type="dxa"/>
            <w:tcBorders/>
            <w:shd w:fill="CCEEFF" w:val="clear"/>
            <w:vAlign w:val="center"/>
          </w:tcPr>
          <w:p>
            <w:pPr>
              <w:pStyle w:val="TableContents"/>
              <w:spacing w:lineRule="atLeast" w:line="160" w:before="0" w:after="0"/>
              <w:rPr/>
            </w:pPr>
            <w:r>
              <w:rPr/>
              <w:t> </w:t>
            </w:r>
          </w:p>
        </w:tc>
        <w:tc>
          <w:tcPr>
            <w:tcW w:w="1088"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16" w:type="dxa"/>
            <w:tcBorders/>
            <w:shd w:fill="CCEEFF" w:val="clear"/>
            <w:vAlign w:val="center"/>
          </w:tcPr>
          <w:p>
            <w:pPr>
              <w:pStyle w:val="TableContents"/>
              <w:spacing w:lineRule="atLeast" w:line="160" w:before="0" w:after="0"/>
              <w:rPr/>
            </w:pPr>
            <w:r>
              <w:rPr/>
              <w:t> </w:t>
            </w:r>
          </w:p>
        </w:tc>
        <w:tc>
          <w:tcPr>
            <w:tcW w:w="749" w:type="dxa"/>
            <w:tcBorders/>
            <w:shd w:fill="CCEEFF" w:val="clear"/>
            <w:vAlign w:val="center"/>
          </w:tcPr>
          <w:p>
            <w:pPr>
              <w:pStyle w:val="TableContents"/>
              <w:spacing w:lineRule="atLeast" w:line="160" w:before="0" w:after="0"/>
              <w:jc w:val="right"/>
              <w:rPr/>
            </w:pPr>
            <w:r>
              <w:rPr/>
              <w:t>—  </w:t>
            </w:r>
          </w:p>
        </w:tc>
        <w:tc>
          <w:tcPr>
            <w:tcW w:w="125" w:type="dxa"/>
            <w:tcBorders/>
            <w:shd w:fill="CCEEFF" w:val="clear"/>
            <w:vAlign w:val="center"/>
          </w:tcPr>
          <w:p>
            <w:pPr>
              <w:pStyle w:val="TableContents"/>
              <w:spacing w:lineRule="atLeast" w:line="160" w:before="0" w:after="0"/>
              <w:rPr/>
            </w:pPr>
            <w:r>
              <w:rPr/>
              <w:t> </w:t>
            </w:r>
          </w:p>
        </w:tc>
        <w:tc>
          <w:tcPr>
            <w:tcW w:w="60" w:type="dxa"/>
            <w:tcBorders/>
            <w:shd w:fill="CCEEFF" w:val="clear"/>
            <w:vAlign w:val="center"/>
          </w:tcPr>
          <w:p>
            <w:pPr>
              <w:pStyle w:val="TableContents"/>
              <w:spacing w:lineRule="atLeast" w:line="160" w:before="0" w:after="0"/>
              <w:rPr/>
            </w:pPr>
            <w:r>
              <w:rPr/>
              <w:t> </w:t>
            </w:r>
          </w:p>
        </w:tc>
        <w:tc>
          <w:tcPr>
            <w:tcW w:w="220" w:type="dxa"/>
            <w:tcBorders/>
            <w:shd w:fill="CCEEFF" w:val="clear"/>
            <w:vAlign w:val="center"/>
          </w:tcPr>
          <w:p>
            <w:pPr>
              <w:pStyle w:val="TableContents"/>
              <w:spacing w:lineRule="atLeast" w:line="160" w:before="0" w:after="0"/>
              <w:rPr/>
            </w:pPr>
            <w:r>
              <w:rPr/>
              <w:t> </w:t>
            </w:r>
          </w:p>
          <w:p>
            <w:pPr>
              <w:pStyle w:val="TableContents"/>
              <w:spacing w:lineRule="atLeast" w:line="160" w:before="0" w:after="283"/>
              <w:jc w:val="right"/>
              <w:rPr>
                <w:sz w:val="16"/>
              </w:rPr>
            </w:pPr>
            <w:r>
              <w:rPr>
                <w:sz w:val="16"/>
              </w:rPr>
              <w:t>3,952</w:t>
            </w:r>
          </w:p>
          <w:p>
            <w:pPr>
              <w:pStyle w:val="TableContents"/>
              <w:spacing w:lineRule="atLeast" w:line="160" w:before="0" w:after="0"/>
              <w:rPr/>
            </w:pPr>
            <w:r>
              <w:rPr/>
              <w:t> </w:t>
            </w:r>
          </w:p>
          <w:p>
            <w:pPr>
              <w:pStyle w:val="TableContents"/>
              <w:spacing w:lineRule="atLeast" w:line="160" w:before="0" w:after="0"/>
              <w:rPr/>
            </w:pPr>
            <w:r>
              <w:rPr/>
              <w:t> </w:t>
            </w:r>
          </w:p>
          <w:p>
            <w:pPr>
              <w:pStyle w:val="TableContents"/>
              <w:spacing w:lineRule="atLeast" w:line="160" w:before="0" w:after="0"/>
              <w:rPr>
                <w:spacing w:val="0"/>
              </w:rPr>
            </w:pPr>
            <w:r>
              <w:rPr>
                <w:spacing w:val="0"/>
              </w:rPr>
              <w:t> </w:t>
            </w:r>
          </w:p>
          <w:p>
            <w:pPr>
              <w:pStyle w:val="TableContents"/>
              <w:spacing w:lineRule="atLeast" w:line="160" w:before="0" w:after="0"/>
              <w:jc w:val="right"/>
              <w:rPr>
                <w:b/>
                <w:spacing w:val="0"/>
                <w:sz w:val="16"/>
              </w:rPr>
            </w:pPr>
            <w:r>
              <w:rPr>
                <w:b/>
                <w:spacing w:val="0"/>
                <w:sz w:val="16"/>
              </w:rPr>
              <w:t>3,952</w:t>
            </w:r>
          </w:p>
          <w:p>
            <w:pPr>
              <w:pStyle w:val="TableContents"/>
              <w:spacing w:lineRule="atLeast" w:line="160" w:before="0" w:after="0"/>
              <w:rPr>
                <w:spacing w:val="0"/>
              </w:rPr>
            </w:pPr>
            <w:r>
              <w:rPr>
                <w:spacing w:val="0"/>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bdr w:val="single" w:sz="2" w:space="1" w:color="000000"/>
              </w:rPr>
            </w:pPr>
            <w:r>
              <w:rPr>
                <w:bdr w:val="single" w:sz="2" w:space="1" w:color="000000"/>
              </w:rPr>
              <w:t> </w:t>
            </w:r>
          </w:p>
        </w:tc>
        <w:tc>
          <w:tcPr>
            <w:tcW w:w="70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9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single" w:sz="2" w:space="1" w:color="000000"/>
              </w:rPr>
            </w:pPr>
            <w:r>
              <w:rPr>
                <w:bdr w:val="single" w:sz="2" w:space="1" w:color="000000"/>
              </w:rPr>
              <w:t> </w:t>
            </w:r>
          </w:p>
        </w:tc>
        <w:tc>
          <w:tcPr>
            <w:tcW w:w="722"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20"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single" w:sz="2" w:space="1" w:color="000000"/>
              </w:rPr>
            </w:pPr>
            <w:r>
              <w:rPr>
                <w:bdr w:val="single" w:sz="2" w:space="1" w:color="000000"/>
              </w:rPr>
              <w:t> </w:t>
            </w:r>
          </w:p>
        </w:tc>
        <w:tc>
          <w:tcPr>
            <w:tcW w:w="83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single" w:sz="2" w:space="1" w:color="000000"/>
              </w:rPr>
            </w:pPr>
            <w:r>
              <w:rPr>
                <w:bdr w:val="single" w:sz="2" w:space="1" w:color="000000"/>
              </w:rPr>
              <w:t> </w:t>
            </w:r>
          </w:p>
        </w:tc>
        <w:tc>
          <w:tcPr>
            <w:tcW w:w="667"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single" w:sz="2" w:space="1" w:color="000000"/>
              </w:rPr>
            </w:pPr>
            <w:r>
              <w:rPr>
                <w:bdr w:val="single" w:sz="2" w:space="1" w:color="000000"/>
              </w:rPr>
              <w:t> </w:t>
            </w:r>
          </w:p>
        </w:tc>
        <w:tc>
          <w:tcPr>
            <w:tcW w:w="931"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bdr w:val="single" w:sz="2" w:space="1" w:color="000000"/>
              </w:rPr>
            </w:pPr>
            <w:r>
              <w:rPr>
                <w:bdr w:val="single" w:sz="2" w:space="1" w:color="000000"/>
              </w:rPr>
              <w:t> </w:t>
            </w:r>
          </w:p>
        </w:tc>
        <w:tc>
          <w:tcPr>
            <w:tcW w:w="1088"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single" w:sz="2" w:space="1" w:color="000000"/>
              </w:rPr>
            </w:pPr>
            <w:r>
              <w:rPr>
                <w:bdr w:val="single" w:sz="2" w:space="1" w:color="000000"/>
              </w:rPr>
              <w:t> </w:t>
            </w:r>
          </w:p>
        </w:tc>
        <w:tc>
          <w:tcPr>
            <w:tcW w:w="749"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p>
            <w:pPr>
              <w:pStyle w:val="TableContents"/>
              <w:spacing w:before="0" w:after="283"/>
              <w:rPr/>
            </w:pPr>
            <w:r>
              <w:rPr/>
              <w:t> </w:t>
            </w:r>
          </w:p>
          <w:p>
            <w:pPr>
              <w:pStyle w:val="TableContents"/>
              <w:spacing w:before="0" w:after="0"/>
              <w:rPr>
                <w:bdr w:val="single" w:sz="2" w:space="1" w:color="000000"/>
              </w:rPr>
            </w:pPr>
            <w:r>
              <w:rPr>
                <w:bdr w:val="single" w:sz="2" w:space="1" w:color="000000"/>
              </w:rPr>
              <w:t> </w:t>
            </w:r>
          </w:p>
          <w:p>
            <w:pPr>
              <w:pStyle w:val="TableContents"/>
              <w:spacing w:before="0" w:after="0"/>
              <w:rPr>
                <w:bdr w:val="single" w:sz="2" w:space="1" w:color="000000"/>
              </w:rPr>
            </w:pPr>
            <w:r>
              <w:rPr>
                <w:bdr w:val="single" w:sz="2" w:space="1" w:color="000000"/>
              </w:rPr>
              <w:t> </w:t>
            </w:r>
          </w:p>
          <w:p>
            <w:pPr>
              <w:pStyle w:val="TableContents"/>
              <w:spacing w:before="0" w:after="283"/>
              <w:rPr/>
            </w:pPr>
            <w:r>
              <w:rPr/>
              <w:t> </w:t>
            </w:r>
          </w:p>
        </w:tc>
      </w:tr>
      <w:tr>
        <w:trPr/>
        <w:tc>
          <w:tcPr>
            <w:tcW w:w="2300" w:type="dxa"/>
            <w:tcBorders/>
            <w:shd w:fill="auto" w:val="clear"/>
            <w:vAlign w:val="center"/>
          </w:tcPr>
          <w:p>
            <w:pPr>
              <w:pStyle w:val="TableContents"/>
              <w:spacing w:lineRule="atLeast" w:line="160" w:before="0" w:after="0"/>
              <w:rPr>
                <w:rFonts w:ascii="Times New Roman" w:hAnsi="Times New Roman"/>
                <w:b/>
                <w:sz w:val="16"/>
              </w:rPr>
            </w:pPr>
            <w:r>
              <w:rPr>
                <w:rFonts w:ascii="Times New Roman" w:hAnsi="Times New Roman"/>
                <w:b/>
                <w:sz w:val="16"/>
              </w:rPr>
              <w:t>Balance at March 31, 2021</w:t>
            </w:r>
          </w:p>
        </w:tc>
        <w:tc>
          <w:tcPr>
            <w:tcW w:w="12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158" w:type="dxa"/>
            <w:tcBorders/>
            <w:shd w:fill="auto" w:val="clear"/>
            <w:vAlign w:val="center"/>
          </w:tcPr>
          <w:p>
            <w:pPr>
              <w:pStyle w:val="TableContents"/>
              <w:spacing w:lineRule="atLeast" w:line="160" w:before="0" w:after="0"/>
              <w:rPr>
                <w:b/>
                <w:spacing w:val="0"/>
                <w:sz w:val="16"/>
              </w:rPr>
            </w:pPr>
            <w:r>
              <w:rPr>
                <w:b/>
                <w:spacing w:val="0"/>
                <w:sz w:val="16"/>
              </w:rPr>
              <w:t>$</w:t>
            </w:r>
          </w:p>
        </w:tc>
        <w:tc>
          <w:tcPr>
            <w:tcW w:w="702"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890"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b/>
                <w:spacing w:val="0"/>
                <w:sz w:val="16"/>
              </w:rPr>
            </w:pPr>
            <w:r>
              <w:rPr>
                <w:b/>
                <w:spacing w:val="0"/>
                <w:sz w:val="16"/>
              </w:rPr>
              <w:t>$</w:t>
            </w:r>
          </w:p>
        </w:tc>
        <w:tc>
          <w:tcPr>
            <w:tcW w:w="722"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800"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138" w:type="dxa"/>
            <w:tcBorders/>
            <w:shd w:fill="auto" w:val="clear"/>
            <w:vAlign w:val="center"/>
          </w:tcPr>
          <w:p>
            <w:pPr>
              <w:pStyle w:val="TableContents"/>
              <w:spacing w:lineRule="atLeast" w:line="160" w:before="0" w:after="0"/>
              <w:rPr>
                <w:b/>
                <w:spacing w:val="0"/>
                <w:sz w:val="16"/>
              </w:rPr>
            </w:pPr>
            <w:r>
              <w:rPr>
                <w:b/>
                <w:spacing w:val="0"/>
                <w:sz w:val="16"/>
              </w:rPr>
              <w:t>$</w:t>
            </w:r>
          </w:p>
        </w:tc>
        <w:tc>
          <w:tcPr>
            <w:tcW w:w="722"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980"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b/>
                <w:spacing w:val="0"/>
                <w:sz w:val="16"/>
              </w:rPr>
            </w:pPr>
            <w:r>
              <w:rPr>
                <w:b/>
                <w:spacing w:val="0"/>
                <w:sz w:val="16"/>
              </w:rPr>
              <w:t>$</w:t>
            </w:r>
          </w:p>
        </w:tc>
        <w:tc>
          <w:tcPr>
            <w:tcW w:w="667" w:type="dxa"/>
            <w:tcBorders/>
            <w:shd w:fill="auto" w:val="clear"/>
            <w:vAlign w:val="center"/>
          </w:tcPr>
          <w:p>
            <w:pPr>
              <w:pStyle w:val="TableContents"/>
              <w:spacing w:lineRule="atLeast" w:line="160" w:before="0" w:after="0"/>
              <w:jc w:val="right"/>
              <w:rPr>
                <w:spacing w:val="0"/>
              </w:rPr>
            </w:pPr>
            <w:r>
              <w:rPr>
                <w:spacing w:val="0"/>
              </w:rPr>
              <w:t>—  </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920" w:type="dxa"/>
            <w:tcBorders/>
            <w:shd w:fill="auto" w:val="clear"/>
            <w:vAlign w:val="center"/>
          </w:tcPr>
          <w:p>
            <w:pPr>
              <w:pStyle w:val="TableContents"/>
              <w:spacing w:lineRule="atLeast" w:line="160" w:before="0" w:after="0"/>
              <w:jc w:val="right"/>
              <w:rPr>
                <w:b/>
                <w:spacing w:val="0"/>
                <w:sz w:val="16"/>
              </w:rPr>
            </w:pPr>
            <w:r>
              <w:rPr>
                <w:b/>
                <w:spacing w:val="0"/>
                <w:sz w:val="16"/>
              </w:rPr>
              <w:t>293,376,227</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b/>
                <w:spacing w:val="0"/>
                <w:sz w:val="16"/>
              </w:rPr>
            </w:pPr>
            <w:r>
              <w:rPr>
                <w:b/>
                <w:spacing w:val="0"/>
                <w:sz w:val="16"/>
              </w:rPr>
              <w:t>$</w:t>
            </w:r>
          </w:p>
        </w:tc>
        <w:tc>
          <w:tcPr>
            <w:tcW w:w="667" w:type="dxa"/>
            <w:tcBorders/>
            <w:shd w:fill="auto" w:val="clear"/>
            <w:vAlign w:val="center"/>
          </w:tcPr>
          <w:p>
            <w:pPr>
              <w:pStyle w:val="TableContents"/>
              <w:spacing w:lineRule="atLeast" w:line="160" w:before="0" w:after="0"/>
              <w:jc w:val="right"/>
              <w:rPr>
                <w:b/>
                <w:spacing w:val="0"/>
                <w:sz w:val="16"/>
              </w:rPr>
            </w:pPr>
            <w:r>
              <w:rPr>
                <w:b/>
                <w:spacing w:val="0"/>
                <w:sz w:val="16"/>
              </w:rPr>
              <w:t>29</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110" w:type="dxa"/>
            <w:tcBorders/>
            <w:shd w:fill="auto" w:val="clear"/>
            <w:vAlign w:val="center"/>
          </w:tcPr>
          <w:p>
            <w:pPr>
              <w:pStyle w:val="TableContents"/>
              <w:spacing w:lineRule="atLeast" w:line="160" w:before="0" w:after="0"/>
              <w:rPr>
                <w:spacing w:val="0"/>
              </w:rPr>
            </w:pPr>
            <w:r>
              <w:rPr>
                <w:spacing w:val="0"/>
              </w:rPr>
              <w:t> </w:t>
            </w:r>
          </w:p>
        </w:tc>
        <w:tc>
          <w:tcPr>
            <w:tcW w:w="830" w:type="dxa"/>
            <w:tcBorders/>
            <w:shd w:fill="auto" w:val="clear"/>
            <w:vAlign w:val="center"/>
          </w:tcPr>
          <w:p>
            <w:pPr>
              <w:pStyle w:val="TableContents"/>
              <w:spacing w:lineRule="atLeast" w:line="160" w:before="0" w:after="0"/>
              <w:jc w:val="right"/>
              <w:rPr>
                <w:b/>
                <w:spacing w:val="0"/>
                <w:sz w:val="16"/>
              </w:rPr>
            </w:pPr>
            <w:r>
              <w:rPr>
                <w:b/>
                <w:spacing w:val="0"/>
                <w:sz w:val="16"/>
              </w:rPr>
              <w:t>48,450,639</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20" w:type="dxa"/>
            <w:tcBorders/>
            <w:shd w:fill="auto" w:val="clear"/>
            <w:vAlign w:val="center"/>
          </w:tcPr>
          <w:p>
            <w:pPr>
              <w:pStyle w:val="TableContents"/>
              <w:spacing w:lineRule="atLeast" w:line="160" w:before="0" w:after="0"/>
              <w:rPr/>
            </w:pPr>
            <w:r>
              <w:rPr/>
              <w:t>  </w:t>
            </w:r>
          </w:p>
        </w:tc>
        <w:tc>
          <w:tcPr>
            <w:tcW w:w="193" w:type="dxa"/>
            <w:tcBorders/>
            <w:shd w:fill="auto" w:val="clear"/>
            <w:vAlign w:val="center"/>
          </w:tcPr>
          <w:p>
            <w:pPr>
              <w:pStyle w:val="TableContents"/>
              <w:spacing w:lineRule="atLeast" w:line="160" w:before="0" w:after="0"/>
              <w:rPr>
                <w:b/>
                <w:spacing w:val="0"/>
                <w:sz w:val="16"/>
              </w:rPr>
            </w:pPr>
            <w:r>
              <w:rPr>
                <w:b/>
                <w:spacing w:val="0"/>
                <w:sz w:val="16"/>
              </w:rPr>
              <w:t>$</w:t>
            </w:r>
          </w:p>
        </w:tc>
        <w:tc>
          <w:tcPr>
            <w:tcW w:w="667" w:type="dxa"/>
            <w:tcBorders/>
            <w:shd w:fill="auto" w:val="clear"/>
            <w:vAlign w:val="center"/>
          </w:tcPr>
          <w:p>
            <w:pPr>
              <w:pStyle w:val="TableContents"/>
              <w:spacing w:lineRule="atLeast" w:line="160" w:before="0" w:after="0"/>
              <w:jc w:val="right"/>
              <w:rPr>
                <w:b/>
                <w:spacing w:val="0"/>
                <w:sz w:val="16"/>
              </w:rPr>
            </w:pPr>
            <w:r>
              <w:rPr>
                <w:b/>
                <w:spacing w:val="0"/>
                <w:sz w:val="16"/>
              </w:rPr>
              <w:t>5</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20" w:type="dxa"/>
            <w:tcBorders/>
            <w:shd w:fill="auto" w:val="clear"/>
            <w:vAlign w:val="center"/>
          </w:tcPr>
          <w:p>
            <w:pPr>
              <w:pStyle w:val="TableContents"/>
              <w:spacing w:lineRule="atLeast" w:line="160" w:before="0" w:after="0"/>
              <w:rPr/>
            </w:pPr>
            <w:r>
              <w:rPr/>
              <w:t>  </w:t>
            </w:r>
          </w:p>
        </w:tc>
        <w:tc>
          <w:tcPr>
            <w:tcW w:w="169" w:type="dxa"/>
            <w:tcBorders/>
            <w:shd w:fill="auto" w:val="clear"/>
            <w:vAlign w:val="center"/>
          </w:tcPr>
          <w:p>
            <w:pPr>
              <w:pStyle w:val="TableContents"/>
              <w:spacing w:lineRule="atLeast" w:line="160" w:before="0" w:after="0"/>
              <w:rPr>
                <w:b/>
                <w:spacing w:val="0"/>
                <w:sz w:val="16"/>
              </w:rPr>
            </w:pPr>
            <w:r>
              <w:rPr>
                <w:b/>
                <w:spacing w:val="0"/>
                <w:sz w:val="16"/>
              </w:rPr>
              <w:t>$</w:t>
            </w:r>
          </w:p>
        </w:tc>
        <w:tc>
          <w:tcPr>
            <w:tcW w:w="931" w:type="dxa"/>
            <w:tcBorders/>
            <w:shd w:fill="auto" w:val="clear"/>
            <w:vAlign w:val="center"/>
          </w:tcPr>
          <w:p>
            <w:pPr>
              <w:pStyle w:val="TableContents"/>
              <w:spacing w:lineRule="atLeast" w:line="160" w:before="0" w:after="0"/>
              <w:jc w:val="right"/>
              <w:rPr>
                <w:b/>
                <w:spacing w:val="0"/>
                <w:sz w:val="16"/>
              </w:rPr>
            </w:pPr>
            <w:r>
              <w:rPr>
                <w:b/>
                <w:spacing w:val="0"/>
                <w:sz w:val="16"/>
              </w:rPr>
              <w:t>79,921</w:t>
            </w:r>
          </w:p>
        </w:tc>
        <w:tc>
          <w:tcPr>
            <w:tcW w:w="12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pPr>
            <w:r>
              <w:rPr/>
              <w:t> </w:t>
            </w:r>
          </w:p>
        </w:tc>
        <w:tc>
          <w:tcPr>
            <w:tcW w:w="207" w:type="dxa"/>
            <w:tcBorders/>
            <w:shd w:fill="auto" w:val="clear"/>
            <w:vAlign w:val="center"/>
          </w:tcPr>
          <w:p>
            <w:pPr>
              <w:pStyle w:val="TableContents"/>
              <w:spacing w:lineRule="atLeast" w:line="160" w:before="0" w:after="0"/>
              <w:rPr>
                <w:b/>
                <w:spacing w:val="0"/>
                <w:sz w:val="16"/>
              </w:rPr>
            </w:pPr>
            <w:r>
              <w:rPr>
                <w:b/>
                <w:spacing w:val="0"/>
                <w:sz w:val="16"/>
              </w:rPr>
              <w:t>$</w:t>
            </w:r>
          </w:p>
        </w:tc>
        <w:tc>
          <w:tcPr>
            <w:tcW w:w="1088" w:type="dxa"/>
            <w:tcBorders/>
            <w:shd w:fill="auto" w:val="clear"/>
            <w:vAlign w:val="center"/>
          </w:tcPr>
          <w:p>
            <w:pPr>
              <w:pStyle w:val="TableContents"/>
              <w:spacing w:lineRule="atLeast" w:line="160" w:before="0" w:after="0"/>
              <w:jc w:val="right"/>
              <w:rPr>
                <w:b/>
                <w:spacing w:val="0"/>
                <w:sz w:val="16"/>
              </w:rPr>
            </w:pPr>
            <w:r>
              <w:rPr>
                <w:b/>
                <w:spacing w:val="0"/>
                <w:sz w:val="16"/>
              </w:rPr>
              <w:t>(14,832</w:t>
            </w:r>
          </w:p>
        </w:tc>
        <w:tc>
          <w:tcPr>
            <w:tcW w:w="125" w:type="dxa"/>
            <w:tcBorders/>
            <w:shd w:fill="auto" w:val="clear"/>
            <w:vAlign w:val="center"/>
          </w:tcPr>
          <w:p>
            <w:pPr>
              <w:pStyle w:val="TableContents"/>
              <w:spacing w:lineRule="atLeast" w:line="160" w:before="0" w:after="0"/>
              <w:rPr>
                <w:b/>
                <w:spacing w:val="0"/>
                <w:sz w:val="16"/>
              </w:rPr>
            </w:pPr>
            <w:r>
              <w:rPr>
                <w:b/>
                <w:spacing w:val="0"/>
                <w:sz w:val="16"/>
              </w:rPr>
              <w:t>) </w:t>
            </w:r>
          </w:p>
        </w:tc>
        <w:tc>
          <w:tcPr>
            <w:tcW w:w="60" w:type="dxa"/>
            <w:tcBorders/>
            <w:shd w:fill="auto" w:val="clear"/>
            <w:vAlign w:val="center"/>
          </w:tcPr>
          <w:p>
            <w:pPr>
              <w:pStyle w:val="TableContents"/>
              <w:spacing w:lineRule="atLeast" w:line="160" w:before="0" w:after="0"/>
              <w:rPr/>
            </w:pPr>
            <w:r>
              <w:rPr/>
              <w:t> </w:t>
            </w:r>
          </w:p>
        </w:tc>
        <w:tc>
          <w:tcPr>
            <w:tcW w:w="216" w:type="dxa"/>
            <w:tcBorders/>
            <w:shd w:fill="auto" w:val="clear"/>
            <w:vAlign w:val="center"/>
          </w:tcPr>
          <w:p>
            <w:pPr>
              <w:pStyle w:val="TableContents"/>
              <w:spacing w:lineRule="atLeast" w:line="160" w:before="0" w:after="0"/>
              <w:rPr>
                <w:b/>
                <w:spacing w:val="0"/>
                <w:sz w:val="16"/>
              </w:rPr>
            </w:pPr>
            <w:r>
              <w:rPr>
                <w:b/>
                <w:spacing w:val="0"/>
                <w:sz w:val="16"/>
              </w:rPr>
              <w:t>$</w:t>
            </w:r>
          </w:p>
        </w:tc>
        <w:tc>
          <w:tcPr>
            <w:tcW w:w="749" w:type="dxa"/>
            <w:tcBorders/>
            <w:shd w:fill="auto" w:val="clear"/>
            <w:vAlign w:val="center"/>
          </w:tcPr>
          <w:p>
            <w:pPr>
              <w:pStyle w:val="TableContents"/>
              <w:spacing w:lineRule="atLeast" w:line="160" w:before="0" w:after="0"/>
              <w:jc w:val="right"/>
              <w:rPr>
                <w:b/>
                <w:spacing w:val="0"/>
                <w:sz w:val="16"/>
              </w:rPr>
            </w:pPr>
            <w:r>
              <w:rPr>
                <w:b/>
                <w:spacing w:val="0"/>
                <w:sz w:val="16"/>
              </w:rPr>
              <w:t>(154</w:t>
            </w:r>
          </w:p>
        </w:tc>
        <w:tc>
          <w:tcPr>
            <w:tcW w:w="125" w:type="dxa"/>
            <w:tcBorders/>
            <w:shd w:fill="auto" w:val="clear"/>
            <w:vAlign w:val="center"/>
          </w:tcPr>
          <w:p>
            <w:pPr>
              <w:pStyle w:val="TableContents"/>
              <w:spacing w:lineRule="atLeast" w:line="160" w:before="0" w:after="0"/>
              <w:rPr>
                <w:b/>
                <w:spacing w:val="0"/>
                <w:sz w:val="16"/>
              </w:rPr>
            </w:pPr>
            <w:r>
              <w:rPr>
                <w:b/>
                <w:spacing w:val="0"/>
                <w:sz w:val="16"/>
              </w:rPr>
              <w:t>) </w:t>
            </w:r>
          </w:p>
        </w:tc>
        <w:tc>
          <w:tcPr>
            <w:tcW w:w="60" w:type="dxa"/>
            <w:tcBorders/>
            <w:shd w:fill="auto" w:val="clear"/>
            <w:vAlign w:val="center"/>
          </w:tcPr>
          <w:p>
            <w:pPr>
              <w:pStyle w:val="TableContents"/>
              <w:spacing w:lineRule="atLeast" w:line="160" w:before="0" w:after="0"/>
              <w:rPr/>
            </w:pPr>
            <w:r>
              <w:rPr/>
              <w:t> </w:t>
            </w:r>
          </w:p>
        </w:tc>
        <w:tc>
          <w:tcPr>
            <w:tcW w:w="220" w:type="dxa"/>
            <w:tcBorders/>
            <w:shd w:fill="auto" w:val="clear"/>
            <w:vAlign w:val="center"/>
          </w:tcPr>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(8,952</w:t>
            </w:r>
          </w:p>
          <w:p>
            <w:pPr>
              <w:pStyle w:val="TableContents"/>
              <w:spacing w:lineRule="atLeast" w:line="160" w:before="0" w:after="0"/>
              <w:rPr>
                <w:b/>
                <w:spacing w:val="0"/>
                <w:sz w:val="16"/>
              </w:rPr>
            </w:pPr>
            <w:r>
              <w:rPr>
                <w:b/>
                <w:spacing w:val="0"/>
                <w:sz w:val="16"/>
              </w:rPr>
              <w:t>) </w:t>
            </w:r>
          </w:p>
          <w:p>
            <w:pPr>
              <w:pStyle w:val="TableContents"/>
              <w:spacing w:lineRule="atLeast" w:line="160" w:before="0" w:after="0"/>
              <w:rPr/>
            </w:pPr>
            <w:r>
              <w:rPr/>
              <w:t> </w:t>
            </w:r>
          </w:p>
          <w:p>
            <w:pPr>
              <w:pStyle w:val="TableContents"/>
              <w:spacing w:lineRule="atLeast" w:line="160" w:before="0" w:after="0"/>
              <w:rPr>
                <w:b/>
                <w:spacing w:val="0"/>
                <w:sz w:val="16"/>
              </w:rPr>
            </w:pPr>
            <w:r>
              <w:rPr>
                <w:b/>
                <w:spacing w:val="0"/>
                <w:sz w:val="16"/>
              </w:rPr>
              <w:t>$</w:t>
            </w:r>
          </w:p>
          <w:p>
            <w:pPr>
              <w:pStyle w:val="TableContents"/>
              <w:spacing w:lineRule="atLeast" w:line="160" w:before="0" w:after="0"/>
              <w:jc w:val="right"/>
              <w:rPr>
                <w:b/>
                <w:spacing w:val="0"/>
                <w:sz w:val="16"/>
              </w:rPr>
            </w:pPr>
            <w:r>
              <w:rPr>
                <w:b/>
                <w:spacing w:val="0"/>
                <w:sz w:val="16"/>
              </w:rPr>
              <w:t>56,017</w:t>
            </w:r>
          </w:p>
          <w:p>
            <w:pPr>
              <w:pStyle w:val="TableContents"/>
              <w:spacing w:before="0" w:after="0"/>
              <w:rPr>
                <w:spacing w:val="0"/>
              </w:rPr>
            </w:pPr>
            <w:r>
              <w:rPr>
                <w:spacing w:val="0"/>
              </w:rPr>
              <w:t> </w:t>
            </w:r>
          </w:p>
        </w:tc>
      </w:tr>
      <w:tr>
        <w:trPr/>
        <w:tc>
          <w:tcPr>
            <w:tcW w:w="2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bdr w:val="double" w:sz="6" w:space="1" w:color="000000"/>
              </w:rPr>
            </w:pPr>
            <w:r>
              <w:rPr>
                <w:bdr w:val="double" w:sz="6" w:space="1" w:color="000000"/>
              </w:rPr>
              <w:t> </w:t>
            </w:r>
          </w:p>
        </w:tc>
        <w:tc>
          <w:tcPr>
            <w:tcW w:w="702"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89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double" w:sz="6" w:space="1" w:color="000000"/>
              </w:rPr>
            </w:pPr>
            <w:r>
              <w:rPr>
                <w:bdr w:val="double" w:sz="6" w:space="1" w:color="000000"/>
              </w:rPr>
              <w:t> </w:t>
            </w:r>
          </w:p>
        </w:tc>
        <w:tc>
          <w:tcPr>
            <w:tcW w:w="722"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rPr>
                <w:bdr w:val="double" w:sz="6" w:space="1" w:color="000000"/>
              </w:rPr>
            </w:pPr>
            <w:r>
              <w:rPr>
                <w:bdr w:val="double" w:sz="6" w:space="1" w:color="000000"/>
              </w:rPr>
              <w:t> </w:t>
            </w:r>
          </w:p>
        </w:tc>
        <w:tc>
          <w:tcPr>
            <w:tcW w:w="722"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double" w:sz="6" w:space="1" w:color="000000"/>
              </w:rPr>
            </w:pPr>
            <w:r>
              <w:rPr>
                <w:bdr w:val="double" w:sz="6" w:space="1" w:color="000000"/>
              </w:rPr>
              <w:t> </w:t>
            </w:r>
          </w:p>
        </w:tc>
        <w:tc>
          <w:tcPr>
            <w:tcW w:w="667"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20"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double" w:sz="6" w:space="1" w:color="000000"/>
              </w:rPr>
            </w:pPr>
            <w:r>
              <w:rPr>
                <w:bdr w:val="double" w:sz="6" w:space="1" w:color="000000"/>
              </w:rPr>
              <w:t> </w:t>
            </w:r>
          </w:p>
        </w:tc>
        <w:tc>
          <w:tcPr>
            <w:tcW w:w="667"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rPr>
                <w:bdr w:val="double" w:sz="6" w:space="1" w:color="000000"/>
              </w:rPr>
            </w:pPr>
            <w:r>
              <w:rPr>
                <w:bdr w:val="double" w:sz="6" w:space="1" w:color="000000"/>
              </w:rPr>
              <w:t> </w:t>
            </w:r>
          </w:p>
        </w:tc>
        <w:tc>
          <w:tcPr>
            <w:tcW w:w="83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center"/>
          </w:tcPr>
          <w:p>
            <w:pPr>
              <w:pStyle w:val="TableContents"/>
              <w:spacing w:before="0" w:after="0"/>
              <w:rPr>
                <w:bdr w:val="double" w:sz="6" w:space="1" w:color="000000"/>
              </w:rPr>
            </w:pPr>
            <w:r>
              <w:rPr>
                <w:bdr w:val="double" w:sz="6" w:space="1" w:color="000000"/>
              </w:rPr>
              <w:t> </w:t>
            </w:r>
          </w:p>
        </w:tc>
        <w:tc>
          <w:tcPr>
            <w:tcW w:w="667"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double" w:sz="6" w:space="1" w:color="000000"/>
              </w:rPr>
            </w:pPr>
            <w:r>
              <w:rPr>
                <w:bdr w:val="double" w:sz="6" w:space="1" w:color="000000"/>
              </w:rPr>
              <w:t> </w:t>
            </w:r>
          </w:p>
        </w:tc>
        <w:tc>
          <w:tcPr>
            <w:tcW w:w="931"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bdr w:val="double" w:sz="6" w:space="1" w:color="000000"/>
              </w:rPr>
            </w:pPr>
            <w:r>
              <w:rPr>
                <w:bdr w:val="double" w:sz="6" w:space="1" w:color="000000"/>
              </w:rPr>
              <w:t> </w:t>
            </w:r>
          </w:p>
        </w:tc>
        <w:tc>
          <w:tcPr>
            <w:tcW w:w="1088"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0"/>
              <w:rPr>
                <w:bdr w:val="double" w:sz="6" w:space="1" w:color="000000"/>
              </w:rPr>
            </w:pPr>
            <w:r>
              <w:rPr>
                <w:bdr w:val="double" w:sz="6" w:space="1" w:color="000000"/>
              </w:rPr>
              <w:t> </w:t>
            </w:r>
          </w:p>
        </w:tc>
        <w:tc>
          <w:tcPr>
            <w:tcW w:w="749" w:type="dxa"/>
            <w:tcBorders/>
            <w:shd w:fill="auto" w:val="clear"/>
            <w:vAlign w:val="center"/>
          </w:tcPr>
          <w:p>
            <w:pPr>
              <w:pStyle w:val="TableContents"/>
              <w:spacing w:before="0" w:after="0"/>
              <w:rPr>
                <w:bdr w:val="double" w:sz="6" w:space="1" w:color="000000"/>
              </w:rPr>
            </w:pPr>
            <w:r>
              <w:rPr>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bdr w:val="double" w:sz="6" w:space="1" w:color="000000"/>
              </w:rPr>
            </w:pPr>
            <w:r>
              <w:rPr>
                <w:bdr w:val="double" w:sz="6" w:space="1" w:color="000000"/>
              </w:rPr>
              <w:t> </w:t>
            </w:r>
          </w:p>
          <w:p>
            <w:pPr>
              <w:pStyle w:val="TableContents"/>
              <w:spacing w:before="0" w:after="0"/>
              <w:rPr>
                <w:bdr w:val="double" w:sz="6" w:space="1" w:color="000000"/>
              </w:rPr>
            </w:pPr>
            <w:r>
              <w:rPr>
                <w:bdr w:val="double" w:sz="6" w:space="1" w:color="000000"/>
              </w:rPr>
              <w:t> </w:t>
            </w:r>
          </w:p>
          <w:p>
            <w:pPr>
              <w:pStyle w:val="TableContents"/>
              <w:spacing w:before="0" w:after="283"/>
              <w:rPr/>
            </w:pPr>
            <w:r>
              <w:rPr/>
              <w:t> </w:t>
            </w:r>
          </w:p>
          <w:p>
            <w:pPr>
              <w:pStyle w:val="TableContents"/>
              <w:spacing w:before="0" w:after="283"/>
              <w:rPr/>
            </w:pPr>
            <w:r>
              <w:rPr/>
              <w:t> </w:t>
            </w:r>
          </w:p>
          <w:p>
            <w:pPr>
              <w:pStyle w:val="TableContents"/>
              <w:spacing w:before="0" w:after="0"/>
              <w:rPr>
                <w:bdr w:val="double" w:sz="6" w:space="1" w:color="000000"/>
              </w:rPr>
            </w:pPr>
            <w:r>
              <w:rPr>
                <w:bdr w:val="double" w:sz="6" w:space="1" w:color="000000"/>
              </w:rPr>
              <w:t> </w:t>
            </w:r>
          </w:p>
          <w:p>
            <w:pPr>
              <w:pStyle w:val="TableContents"/>
              <w:spacing w:before="0" w:after="0"/>
              <w:rPr>
                <w:bdr w:val="double" w:sz="6" w:space="1" w:color="000000"/>
              </w:rPr>
            </w:pPr>
            <w:r>
              <w:rPr>
                <w:bdr w:val="double" w:sz="6" w:space="1" w:color="000000"/>
              </w:rPr>
              <w:t> </w:t>
            </w:r>
          </w:p>
          <w:p>
            <w:pPr>
              <w:pStyle w:val="TableContents"/>
              <w:spacing w:before="0" w:after="283"/>
              <w:rPr/>
            </w:pPr>
            <w:r>
              <w:rPr/>
              <w:t> </w:t>
            </w:r>
          </w:p>
        </w:tc>
      </w:tr>
    </w:tbl>
    <w:p>
      <w:pPr>
        <w:pStyle w:val="TextBody"/>
        <w:spacing w:before="240" w:after="0"/>
        <w:ind w:left="0" w:right="0" w:hanging="0"/>
        <w:jc w:val="center"/>
        <w:rPr>
          <w:rFonts w:ascii="Times New Roman" w:hAnsi="Times New Roman"/>
          <w:b/>
          <w:spacing w:val="0"/>
          <w:sz w:val="16"/>
          <w:highlight w:val="white"/>
        </w:rPr>
      </w:pPr>
      <w:r>
        <w:rPr>
          <w:rFonts w:ascii="Times New Roman" w:hAnsi="Times New Roman"/>
          <w:b/>
          <w:spacing w:val="0"/>
          <w:sz w:val="16"/>
          <w:highlight w:val="white"/>
        </w:rPr>
        <w:t>See accompanying notes to the condensed consolidated financial statements.</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7 </w:t>
      </w:r>
    </w:p>
    <w:p>
      <w:pPr>
        <w:pStyle w:val="HorizontalLine"/>
        <w:rPr/>
      </w:pPr>
      <w:r>
        <w:rPr/>
      </w:r>
    </w:p>
    <w:p>
      <w:pPr>
        <w:pStyle w:val="TextBody"/>
        <w:spacing w:before="0" w:after="0"/>
        <w:rPr/>
      </w:pPr>
      <w:hyperlink w:anchor="toc">
        <w:r>
          <w:rPr>
            <w:rStyle w:val="InternetLink"/>
            <w:highlight w:val="white"/>
          </w:rPr>
          <w:t>Table of Contents</w:t>
        </w:r>
      </w:hyperlink>
    </w:p>
    <w:tbl>
      <w:tblPr>
        <w:tblW w:w="5255" w:type="dxa"/>
        <w:jc w:val="left"/>
        <w:tblInd w:w="0" w:type="dxa"/>
        <w:tblCellMar>
          <w:top w:w="0" w:type="dxa"/>
          <w:left w:w="0" w:type="dxa"/>
          <w:bottom w:w="0" w:type="dxa"/>
          <w:right w:w="0" w:type="dxa"/>
        </w:tblCellMar>
      </w:tblPr>
      <w:tblGrid>
        <w:gridCol w:w="5255"/>
      </w:tblGrid>
      <w:tr>
        <w:trPr/>
        <w:tc>
          <w:tcPr>
            <w:tcW w:w="5255" w:type="dxa"/>
            <w:tcBorders/>
            <w:shd w:fill="auto" w:val="clear"/>
            <w:vAlign w:val="center"/>
          </w:tcPr>
          <w:p>
            <w:pPr>
              <w:pStyle w:val="TableContents"/>
              <w:spacing w:before="0" w:after="283"/>
              <w:rPr>
                <w:sz w:val="4"/>
                <w:szCs w:val="4"/>
              </w:rPr>
            </w:pPr>
            <w:r>
              <w:rPr>
                <w:sz w:val="4"/>
                <w:szCs w:val="4"/>
              </w:rPr>
            </w:r>
          </w:p>
        </w:tc>
      </w:tr>
      <w:tr>
        <w:trPr/>
        <w:tc>
          <w:tcPr>
            <w:tcW w:w="5255" w:type="dxa"/>
            <w:tcBorders/>
            <w:shd w:fill="auto" w:val="clear"/>
            <w:vAlign w:val="center"/>
          </w:tcPr>
          <w:p>
            <w:pPr>
              <w:pStyle w:val="TableContents"/>
              <w:spacing w:before="0" w:after="0"/>
              <w:jc w:val="center"/>
              <w:rPr>
                <w:b/>
                <w:spacing w:val="0"/>
              </w:rPr>
            </w:pPr>
            <w:r>
              <w:rPr>
                <w:b/>
                <w:spacing w:val="0"/>
              </w:rPr>
              <w:t>Dave Inc. and Subsidiaries</w:t>
            </w:r>
          </w:p>
        </w:tc>
      </w:tr>
      <w:tr>
        <w:trPr/>
        <w:tc>
          <w:tcPr>
            <w:tcW w:w="5255" w:type="dxa"/>
            <w:tcBorders/>
            <w:shd w:fill="auto" w:val="clear"/>
            <w:vAlign w:val="center"/>
          </w:tcPr>
          <w:p>
            <w:pPr>
              <w:pStyle w:val="TableContents"/>
              <w:spacing w:before="0" w:after="0"/>
              <w:jc w:val="center"/>
              <w:rPr>
                <w:b/>
                <w:spacing w:val="0"/>
              </w:rPr>
            </w:pPr>
            <w:r>
              <w:rPr>
                <w:b/>
                <w:spacing w:val="0"/>
              </w:rPr>
              <w:t>Condensed Consolidated Statements of Cash Flows</w:t>
            </w:r>
          </w:p>
        </w:tc>
      </w:tr>
      <w:tr>
        <w:trPr/>
        <w:tc>
          <w:tcPr>
            <w:tcW w:w="5255" w:type="dxa"/>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w:t>
            </w:r>
          </w:p>
        </w:tc>
      </w:tr>
      <w:tr>
        <w:trPr/>
        <w:tc>
          <w:tcPr>
            <w:tcW w:w="5255" w:type="dxa"/>
            <w:tcBorders/>
            <w:shd w:fill="auto" w:val="clear"/>
            <w:vAlign w:val="center"/>
          </w:tcPr>
          <w:p>
            <w:pPr>
              <w:pStyle w:val="TableContents"/>
              <w:spacing w:before="0" w:after="0"/>
              <w:jc w:val="center"/>
              <w:rPr>
                <w:i/>
                <w:caps w:val="false"/>
                <w:smallCaps w:val="false"/>
                <w:spacing w:val="0"/>
              </w:rPr>
            </w:pPr>
            <w:r>
              <w:rPr>
                <w:i/>
                <w:caps w:val="false"/>
                <w:smallCaps w:val="false"/>
                <w:spacing w:val="0"/>
              </w:rPr>
              <w:t>(unaudited)</w:t>
            </w:r>
          </w:p>
        </w:tc>
      </w:tr>
    </w:tbl>
    <w:tbl>
      <w:tblPr>
        <w:tblW w:w="10205" w:type="dxa"/>
        <w:jc w:val="left"/>
        <w:tblInd w:w="0" w:type="dxa"/>
        <w:tblCellMar>
          <w:top w:w="0" w:type="dxa"/>
          <w:left w:w="0" w:type="dxa"/>
          <w:bottom w:w="0" w:type="dxa"/>
          <w:right w:w="0" w:type="dxa"/>
        </w:tblCellMar>
      </w:tblPr>
      <w:tblGrid>
        <w:gridCol w:w="5857"/>
        <w:gridCol w:w="120"/>
        <w:gridCol w:w="273"/>
        <w:gridCol w:w="1652"/>
        <w:gridCol w:w="310"/>
        <w:gridCol w:w="148"/>
        <w:gridCol w:w="273"/>
        <w:gridCol w:w="1430"/>
        <w:gridCol w:w="142"/>
      </w:tblGrid>
      <w:tr>
        <w:trPr/>
        <w:tc>
          <w:tcPr>
            <w:tcW w:w="5857"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4086" w:type="dxa"/>
            <w:gridSpan w:val="6"/>
            <w:tcBorders/>
            <w:shd w:fill="auto" w:val="clear"/>
            <w:vAlign w:val="center"/>
          </w:tcPr>
          <w:p>
            <w:pPr>
              <w:pStyle w:val="TableContents"/>
              <w:spacing w:before="0" w:after="0"/>
              <w:jc w:val="center"/>
              <w:rPr>
                <w:b/>
                <w:spacing w:val="0"/>
              </w:rPr>
            </w:pPr>
            <w:r>
              <w:rPr>
                <w:b/>
                <w:spacing w:val="0"/>
              </w:rPr>
              <w:t>For the Three Months Ended March 31,</w:t>
            </w:r>
          </w:p>
        </w:tc>
        <w:tc>
          <w:tcPr>
            <w:tcW w:w="142" w:type="dxa"/>
            <w:tcBorders/>
            <w:shd w:fill="auto" w:val="clear"/>
            <w:vAlign w:val="center"/>
          </w:tcPr>
          <w:p>
            <w:pPr>
              <w:pStyle w:val="TableContents"/>
              <w:spacing w:before="0" w:after="0"/>
              <w:rPr>
                <w:spacing w:val="0"/>
              </w:rPr>
            </w:pPr>
            <w:r>
              <w:rPr>
                <w:spacing w:val="0"/>
              </w:rPr>
              <w:t> </w:t>
            </w:r>
          </w:p>
        </w:tc>
      </w:tr>
      <w:tr>
        <w:trPr/>
        <w:tc>
          <w:tcPr>
            <w:tcW w:w="5857"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925" w:type="dxa"/>
            <w:gridSpan w:val="2"/>
            <w:tcBorders/>
            <w:shd w:fill="auto" w:val="clear"/>
            <w:vAlign w:val="center"/>
          </w:tcPr>
          <w:p>
            <w:pPr>
              <w:pStyle w:val="TableContents"/>
              <w:spacing w:before="0" w:after="0"/>
              <w:jc w:val="center"/>
              <w:rPr>
                <w:b/>
                <w:spacing w:val="0"/>
              </w:rPr>
            </w:pPr>
            <w:r>
              <w:rPr>
                <w:b/>
                <w:spacing w:val="0"/>
              </w:rPr>
              <w:t>2022</w:t>
            </w:r>
          </w:p>
        </w:tc>
        <w:tc>
          <w:tcPr>
            <w:tcW w:w="310" w:type="dxa"/>
            <w:tcBorders/>
            <w:shd w:fill="auto" w:val="clear"/>
            <w:vAlign w:val="center"/>
          </w:tcPr>
          <w:p>
            <w:pPr>
              <w:pStyle w:val="TableContents"/>
              <w:spacing w:before="0" w:after="0"/>
              <w:rPr>
                <w:spacing w:val="0"/>
              </w:rPr>
            </w:pPr>
            <w:r>
              <w:rPr>
                <w:spacing w:val="0"/>
              </w:rPr>
              <w:t> </w:t>
            </w:r>
          </w:p>
        </w:tc>
        <w:tc>
          <w:tcPr>
            <w:tcW w:w="148" w:type="dxa"/>
            <w:tcBorders/>
            <w:shd w:fill="auto" w:val="clear"/>
            <w:vAlign w:val="center"/>
          </w:tcPr>
          <w:p>
            <w:pPr>
              <w:pStyle w:val="TableContents"/>
              <w:spacing w:before="0" w:after="0"/>
              <w:rPr>
                <w:spacing w:val="0"/>
              </w:rPr>
            </w:pPr>
            <w:r>
              <w:rPr>
                <w:spacing w:val="0"/>
              </w:rPr>
              <w:t> </w:t>
            </w:r>
          </w:p>
        </w:tc>
        <w:tc>
          <w:tcPr>
            <w:tcW w:w="1703" w:type="dxa"/>
            <w:gridSpan w:val="2"/>
            <w:tcBorders/>
            <w:shd w:fill="auto" w:val="clear"/>
            <w:vAlign w:val="center"/>
          </w:tcPr>
          <w:p>
            <w:pPr>
              <w:pStyle w:val="TableContents"/>
              <w:spacing w:before="0" w:after="0"/>
              <w:jc w:val="center"/>
              <w:rPr>
                <w:b/>
                <w:spacing w:val="0"/>
              </w:rPr>
            </w:pPr>
            <w:r>
              <w:rPr>
                <w:b/>
                <w:spacing w:val="0"/>
              </w:rPr>
              <w:t>2021</w:t>
            </w:r>
          </w:p>
        </w:tc>
        <w:tc>
          <w:tcPr>
            <w:tcW w:w="142" w:type="dxa"/>
            <w:tcBorders/>
            <w:shd w:fill="auto" w:val="clear"/>
            <w:vAlign w:val="center"/>
          </w:tcPr>
          <w:p>
            <w:pPr>
              <w:pStyle w:val="TableContents"/>
              <w:spacing w:before="0" w:after="0"/>
              <w:rPr>
                <w:spacing w:val="0"/>
              </w:rPr>
            </w:pPr>
            <w:r>
              <w:rPr>
                <w:spacing w:val="0"/>
              </w:rPr>
              <w:t> </w:t>
            </w:r>
          </w:p>
        </w:tc>
      </w:tr>
      <w:tr>
        <w:trPr/>
        <w:tc>
          <w:tcPr>
            <w:tcW w:w="58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Operating activities</w:t>
            </w:r>
          </w:p>
        </w:tc>
        <w:tc>
          <w:tcPr>
            <w:tcW w:w="12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rPr/>
            </w:pPr>
            <w:r>
              <w:rPr/>
              <w:t> </w:t>
            </w:r>
          </w:p>
        </w:tc>
        <w:tc>
          <w:tcPr>
            <w:tcW w:w="1652"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283"/>
              <w:rPr/>
            </w:pPr>
            <w:r>
              <w:rPr/>
              <w:t> </w:t>
            </w:r>
          </w:p>
        </w:tc>
        <w:tc>
          <w:tcPr>
            <w:tcW w:w="143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Net (loss) income</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652" w:type="dxa"/>
            <w:tcBorders/>
            <w:shd w:fill="auto" w:val="clear"/>
            <w:vAlign w:val="center"/>
          </w:tcPr>
          <w:p>
            <w:pPr>
              <w:pStyle w:val="TableContents"/>
              <w:spacing w:lineRule="atLeast" w:line="180" w:before="0" w:after="283"/>
              <w:jc w:val="right"/>
              <w:rPr>
                <w:sz w:val="18"/>
              </w:rPr>
            </w:pPr>
            <w:r>
              <w:rPr>
                <w:sz w:val="18"/>
              </w:rPr>
              <w:t>(34,835</w:t>
            </w:r>
          </w:p>
        </w:tc>
        <w:tc>
          <w:tcPr>
            <w:tcW w:w="310" w:type="dxa"/>
            <w:tcBorders/>
            <w:shd w:fill="auto" w:val="clear"/>
            <w:vAlign w:val="center"/>
          </w:tcPr>
          <w:p>
            <w:pPr>
              <w:pStyle w:val="TableContents"/>
              <w:spacing w:lineRule="atLeast" w:line="180" w:before="0" w:after="0"/>
              <w:rPr>
                <w:spacing w:val="0"/>
                <w:sz w:val="18"/>
              </w:rPr>
            </w:pPr>
            <w:r>
              <w:rPr>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430" w:type="dxa"/>
            <w:tcBorders/>
            <w:shd w:fill="auto" w:val="clear"/>
            <w:vAlign w:val="center"/>
          </w:tcPr>
          <w:p>
            <w:pPr>
              <w:pStyle w:val="TableContents"/>
              <w:spacing w:lineRule="atLeast" w:line="180" w:before="0" w:after="283"/>
              <w:jc w:val="right"/>
              <w:rPr>
                <w:sz w:val="18"/>
              </w:rPr>
            </w:pPr>
            <w:r>
              <w:rPr>
                <w:sz w:val="18"/>
              </w:rPr>
              <w:t>3,952</w:t>
            </w:r>
          </w:p>
        </w:tc>
        <w:tc>
          <w:tcPr>
            <w:tcW w:w="142" w:type="dxa"/>
            <w:tcBorders/>
            <w:shd w:fill="auto"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Adjustments to reconcile net (loss) income to net cash used in operating activities: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0"/>
              <w:rPr>
                <w:spacing w:val="0"/>
              </w:rPr>
            </w:pPr>
            <w:r>
              <w:rPr>
                <w:spacing w:val="0"/>
              </w:rPr>
              <w:t> </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Depreciation and amortization</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1,158</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2,812</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Provision for unrecoverable advances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13,785</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3,538</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Changes in fair value of derivative assets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5,572</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(17,146</w:t>
            </w:r>
          </w:p>
        </w:tc>
        <w:tc>
          <w:tcPr>
            <w:tcW w:w="142" w:type="dxa"/>
            <w:tcBorders/>
            <w:shd w:fill="auto"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Changes in fair value of warrant liabilities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4,065</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2,186</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Stock-based compensation</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3,190</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1,694</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Non-cash</w:t>
            </w:r>
          </w:p>
          <w:p>
            <w:pPr>
              <w:pStyle w:val="TableContents"/>
              <w:spacing w:lineRule="atLeast" w:line="180" w:before="0" w:after="0"/>
              <w:rPr>
                <w:rFonts w:ascii="Times New Roman" w:hAnsi="Times New Roman"/>
                <w:spacing w:val="0"/>
                <w:sz w:val="18"/>
              </w:rPr>
            </w:pPr>
            <w:r>
              <w:rPr>
                <w:rFonts w:ascii="Times New Roman" w:hAnsi="Times New Roman"/>
                <w:spacing w:val="0"/>
                <w:sz w:val="18"/>
              </w:rPr>
              <w:t>interest</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(63</w:t>
            </w:r>
          </w:p>
        </w:tc>
        <w:tc>
          <w:tcPr>
            <w:tcW w:w="310" w:type="dxa"/>
            <w:tcBorders/>
            <w:shd w:fill="CCEEFF" w:val="clear"/>
            <w:vAlign w:val="center"/>
          </w:tcPr>
          <w:p>
            <w:pPr>
              <w:pStyle w:val="TableContents"/>
              <w:spacing w:lineRule="atLeast" w:line="180" w:before="0" w:after="0"/>
              <w:rPr>
                <w:spacing w:val="0"/>
                <w:sz w:val="18"/>
              </w:rPr>
            </w:pPr>
            <w:r>
              <w:rPr>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(68</w:t>
            </w:r>
          </w:p>
        </w:tc>
        <w:tc>
          <w:tcPr>
            <w:tcW w:w="142" w:type="dxa"/>
            <w:tcBorders/>
            <w:shd w:fill="CCEEFF"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Non-cash</w:t>
            </w:r>
          </w:p>
          <w:p>
            <w:pPr>
              <w:pStyle w:val="TableContents"/>
              <w:spacing w:lineRule="atLeast" w:line="180" w:before="0" w:after="0"/>
              <w:rPr>
                <w:rFonts w:ascii="Times New Roman" w:hAnsi="Times New Roman"/>
                <w:spacing w:val="0"/>
                <w:sz w:val="18"/>
              </w:rPr>
            </w:pPr>
            <w:r>
              <w:rPr>
                <w:rFonts w:ascii="Times New Roman" w:hAnsi="Times New Roman"/>
                <w:spacing w:val="0"/>
                <w:sz w:val="18"/>
              </w:rPr>
              <w:t>lease expense</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(23</w:t>
            </w:r>
          </w:p>
        </w:tc>
        <w:tc>
          <w:tcPr>
            <w:tcW w:w="310" w:type="dxa"/>
            <w:tcBorders/>
            <w:shd w:fill="auto" w:val="clear"/>
            <w:vAlign w:val="center"/>
          </w:tcPr>
          <w:p>
            <w:pPr>
              <w:pStyle w:val="TableContents"/>
              <w:spacing w:lineRule="atLeast" w:line="180" w:before="0" w:after="0"/>
              <w:rPr>
                <w:spacing w:val="0"/>
                <w:sz w:val="18"/>
              </w:rPr>
            </w:pPr>
            <w:r>
              <w:rPr>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(2</w:t>
            </w:r>
          </w:p>
        </w:tc>
        <w:tc>
          <w:tcPr>
            <w:tcW w:w="142" w:type="dxa"/>
            <w:tcBorders/>
            <w:shd w:fill="auto"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Changes in fair value of marketable securities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76</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(2</w:t>
            </w:r>
          </w:p>
        </w:tc>
        <w:tc>
          <w:tcPr>
            <w:tcW w:w="142" w:type="dxa"/>
            <w:tcBorders/>
            <w:shd w:fill="CCEEFF"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auto"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Changes in operating assets and liabilities: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0"/>
              <w:rPr>
                <w:spacing w:val="0"/>
              </w:rPr>
            </w:pPr>
            <w:r>
              <w:rPr>
                <w:spacing w:val="0"/>
              </w:rPr>
              <w:t> </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0"/>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Member advances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(26,585</w:t>
            </w:r>
          </w:p>
        </w:tc>
        <w:tc>
          <w:tcPr>
            <w:tcW w:w="310" w:type="dxa"/>
            <w:tcBorders/>
            <w:shd w:fill="CCEEFF" w:val="clear"/>
            <w:vAlign w:val="center"/>
          </w:tcPr>
          <w:p>
            <w:pPr>
              <w:pStyle w:val="TableContents"/>
              <w:spacing w:lineRule="atLeast" w:line="180" w:before="0" w:after="0"/>
              <w:rPr>
                <w:spacing w:val="0"/>
                <w:sz w:val="18"/>
              </w:rPr>
            </w:pPr>
            <w:r>
              <w:rPr>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4,987</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Prepaid income taxes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22</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788</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Prepaid expenses and other current assets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(4,847</w:t>
            </w:r>
          </w:p>
        </w:tc>
        <w:tc>
          <w:tcPr>
            <w:tcW w:w="310" w:type="dxa"/>
            <w:tcBorders/>
            <w:shd w:fill="CCEEFF" w:val="clear"/>
            <w:vAlign w:val="center"/>
          </w:tcPr>
          <w:p>
            <w:pPr>
              <w:pStyle w:val="TableContents"/>
              <w:spacing w:lineRule="atLeast" w:line="180" w:before="0" w:after="0"/>
              <w:rPr>
                <w:spacing w:val="0"/>
                <w:sz w:val="18"/>
              </w:rPr>
            </w:pPr>
            <w:r>
              <w:rPr>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(497</w:t>
            </w:r>
          </w:p>
        </w:tc>
        <w:tc>
          <w:tcPr>
            <w:tcW w:w="142" w:type="dxa"/>
            <w:tcBorders/>
            <w:shd w:fill="CCEEFF"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Accounts payable</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2,489</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238</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Accrued expenses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(1,039</w:t>
            </w:r>
          </w:p>
        </w:tc>
        <w:tc>
          <w:tcPr>
            <w:tcW w:w="310" w:type="dxa"/>
            <w:tcBorders/>
            <w:shd w:fill="CCEEFF" w:val="clear"/>
            <w:vAlign w:val="center"/>
          </w:tcPr>
          <w:p>
            <w:pPr>
              <w:pStyle w:val="TableContents"/>
              <w:spacing w:lineRule="atLeast" w:line="180" w:before="0" w:after="0"/>
              <w:rPr>
                <w:spacing w:val="0"/>
                <w:sz w:val="18"/>
              </w:rPr>
            </w:pPr>
            <w:r>
              <w:rPr>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1,609</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Income taxes payable</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Legal settlement accrual</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(125</w:t>
            </w:r>
          </w:p>
        </w:tc>
        <w:tc>
          <w:tcPr>
            <w:tcW w:w="310" w:type="dxa"/>
            <w:tcBorders/>
            <w:shd w:fill="CCEEFF" w:val="clear"/>
            <w:vAlign w:val="center"/>
          </w:tcPr>
          <w:p>
            <w:pPr>
              <w:pStyle w:val="TableContents"/>
              <w:spacing w:lineRule="atLeast" w:line="180" w:before="0" w:after="0"/>
              <w:rPr>
                <w:spacing w:val="0"/>
                <w:sz w:val="18"/>
              </w:rPr>
            </w:pPr>
            <w:r>
              <w:rPr>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Other current liabilities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(321</w:t>
            </w:r>
          </w:p>
        </w:tc>
        <w:tc>
          <w:tcPr>
            <w:tcW w:w="310" w:type="dxa"/>
            <w:tcBorders/>
            <w:shd w:fill="auto" w:val="clear"/>
            <w:vAlign w:val="center"/>
          </w:tcPr>
          <w:p>
            <w:pPr>
              <w:pStyle w:val="TableContents"/>
              <w:spacing w:lineRule="atLeast" w:line="180" w:before="0" w:after="0"/>
              <w:rPr>
                <w:spacing w:val="0"/>
                <w:sz w:val="18"/>
              </w:rPr>
            </w:pPr>
            <w:r>
              <w:rPr>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(1,450</w:t>
            </w:r>
          </w:p>
        </w:tc>
        <w:tc>
          <w:tcPr>
            <w:tcW w:w="142" w:type="dxa"/>
            <w:tcBorders/>
            <w:shd w:fill="auto"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 xml:space="preserve">Other </w:t>
            </w:r>
          </w:p>
          <w:p>
            <w:pPr>
              <w:pStyle w:val="TableContents"/>
              <w:spacing w:lineRule="atLeast" w:line="180" w:before="0" w:after="0"/>
              <w:rPr>
                <w:rFonts w:ascii="Times New Roman" w:hAnsi="Times New Roman"/>
                <w:spacing w:val="0"/>
                <w:sz w:val="18"/>
              </w:rPr>
            </w:pPr>
            <w:r>
              <w:rPr>
                <w:rFonts w:ascii="Times New Roman" w:hAnsi="Times New Roman"/>
                <w:spacing w:val="0"/>
                <w:sz w:val="18"/>
              </w:rPr>
              <w:t>non-current</w:t>
            </w:r>
          </w:p>
          <w:p>
            <w:pPr>
              <w:pStyle w:val="TableContents"/>
              <w:spacing w:lineRule="atLeast" w:line="180" w:before="0" w:after="0"/>
              <w:rPr>
                <w:rFonts w:ascii="Times New Roman" w:hAnsi="Times New Roman"/>
                <w:spacing w:val="0"/>
                <w:sz w:val="18"/>
              </w:rPr>
            </w:pPr>
            <w:r>
              <w:rPr>
                <w:rFonts w:ascii="Times New Roman" w:hAnsi="Times New Roman"/>
                <w:spacing w:val="0"/>
                <w:sz w:val="18"/>
              </w:rPr>
              <w:t>liabilities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2</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(23</w:t>
            </w:r>
          </w:p>
        </w:tc>
        <w:tc>
          <w:tcPr>
            <w:tcW w:w="142" w:type="dxa"/>
            <w:tcBorders/>
            <w:shd w:fill="CCEEFF"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Interest payable, convertible notes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3</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652" w:type="dxa"/>
            <w:tcBorders/>
            <w:shd w:fill="auto" w:val="clear"/>
            <w:vAlign w:val="center"/>
          </w:tcPr>
          <w:p>
            <w:pPr>
              <w:pStyle w:val="TableContents"/>
              <w:spacing w:before="0" w:after="0"/>
              <w:rPr>
                <w:bdr w:val="single" w:sz="2" w:space="1" w:color="000000"/>
              </w:rPr>
            </w:pPr>
            <w:r>
              <w:rPr>
                <w:bdr w:val="single" w:sz="2" w:space="1" w:color="000000"/>
              </w:rPr>
              <w:t> </w:t>
            </w:r>
          </w:p>
        </w:tc>
        <w:tc>
          <w:tcPr>
            <w:tcW w:w="31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430" w:type="dxa"/>
            <w:tcBorders/>
            <w:shd w:fill="auto" w:val="clear"/>
            <w:vAlign w:val="center"/>
          </w:tcPr>
          <w:p>
            <w:pPr>
              <w:pStyle w:val="TableContents"/>
              <w:spacing w:before="0" w:after="0"/>
              <w:rPr>
                <w:bdr w:val="single" w:sz="2" w:space="1" w:color="000000"/>
              </w:rPr>
            </w:pPr>
            <w:r>
              <w:rPr>
                <w:bdr w:val="single" w:sz="2" w:space="1" w:color="000000"/>
              </w:rPr>
              <w:t> </w:t>
            </w:r>
          </w:p>
        </w:tc>
        <w:tc>
          <w:tcPr>
            <w:tcW w:w="142" w:type="dxa"/>
            <w:tcBorders/>
            <w:shd w:fill="auto"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Net cash (used in) provided by operating activities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0"/>
              <w:jc w:val="right"/>
              <w:rPr>
                <w:b/>
                <w:spacing w:val="0"/>
                <w:sz w:val="18"/>
              </w:rPr>
            </w:pPr>
            <w:r>
              <w:rPr>
                <w:b/>
                <w:spacing w:val="0"/>
                <w:sz w:val="18"/>
              </w:rPr>
              <w:t>(37,479</w:t>
            </w:r>
          </w:p>
        </w:tc>
        <w:tc>
          <w:tcPr>
            <w:tcW w:w="310" w:type="dxa"/>
            <w:tcBorders/>
            <w:shd w:fill="CCEEFF" w:val="clear"/>
            <w:vAlign w:val="center"/>
          </w:tcPr>
          <w:p>
            <w:pPr>
              <w:pStyle w:val="TableContents"/>
              <w:spacing w:lineRule="atLeast" w:line="180" w:before="0" w:after="0"/>
              <w:rPr>
                <w:b/>
                <w:spacing w:val="0"/>
                <w:sz w:val="18"/>
              </w:rPr>
            </w:pPr>
            <w:r>
              <w:rPr>
                <w:b/>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jc w:val="right"/>
              <w:rPr>
                <w:b/>
                <w:spacing w:val="0"/>
                <w:sz w:val="18"/>
              </w:rPr>
            </w:pPr>
            <w:r>
              <w:rPr>
                <w:b/>
                <w:spacing w:val="0"/>
                <w:sz w:val="18"/>
              </w:rPr>
              <w:t>2,619</w:t>
            </w:r>
          </w:p>
        </w:tc>
        <w:tc>
          <w:tcPr>
            <w:tcW w:w="142" w:type="dxa"/>
            <w:tcBorders/>
            <w:shd w:fill="CCEEFF" w:val="clear"/>
            <w:vAlign w:val="center"/>
          </w:tcPr>
          <w:p>
            <w:pPr>
              <w:pStyle w:val="TableContents"/>
              <w:spacing w:before="0" w:after="0"/>
              <w:rPr>
                <w:spacing w:val="0"/>
              </w:rPr>
            </w:pPr>
            <w:r>
              <w:rPr>
                <w:spacing w:val="0"/>
              </w:rPr>
              <w:t> </w:t>
            </w:r>
          </w:p>
        </w:tc>
      </w:tr>
      <w:tr>
        <w:trPr/>
        <w:tc>
          <w:tcPr>
            <w:tcW w:w="585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652" w:type="dxa"/>
            <w:tcBorders/>
            <w:shd w:fill="auto" w:val="clear"/>
            <w:vAlign w:val="center"/>
          </w:tcPr>
          <w:p>
            <w:pPr>
              <w:pStyle w:val="TableContents"/>
              <w:spacing w:before="0" w:after="0"/>
              <w:rPr>
                <w:bdr w:val="single" w:sz="2" w:space="1" w:color="000000"/>
              </w:rPr>
            </w:pPr>
            <w:r>
              <w:rPr>
                <w:bdr w:val="single" w:sz="2" w:space="1" w:color="000000"/>
              </w:rPr>
              <w:t> </w:t>
            </w:r>
          </w:p>
        </w:tc>
        <w:tc>
          <w:tcPr>
            <w:tcW w:w="31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430" w:type="dxa"/>
            <w:tcBorders/>
            <w:shd w:fill="auto" w:val="clear"/>
            <w:vAlign w:val="center"/>
          </w:tcPr>
          <w:p>
            <w:pPr>
              <w:pStyle w:val="TableContents"/>
              <w:spacing w:before="0" w:after="0"/>
              <w:rPr>
                <w:bdr w:val="single" w:sz="2" w:space="1" w:color="000000"/>
              </w:rPr>
            </w:pPr>
            <w:r>
              <w:rPr>
                <w:bdr w:val="single" w:sz="2" w:space="1" w:color="000000"/>
              </w:rPr>
              <w:t> </w:t>
            </w:r>
          </w:p>
        </w:tc>
        <w:tc>
          <w:tcPr>
            <w:tcW w:w="142" w:type="dxa"/>
            <w:tcBorders/>
            <w:shd w:fill="auto" w:val="clear"/>
            <w:vAlign w:val="center"/>
          </w:tcPr>
          <w:p>
            <w:pPr>
              <w:pStyle w:val="TableContents"/>
              <w:spacing w:before="0" w:after="283"/>
              <w:rPr/>
            </w:pPr>
            <w:r>
              <w:rPr/>
              <w:t> </w:t>
            </w:r>
          </w:p>
        </w:tc>
      </w:tr>
      <w:tr>
        <w:trPr/>
        <w:tc>
          <w:tcPr>
            <w:tcW w:w="5857" w:type="dxa"/>
            <w:tcBorders/>
            <w:shd w:fill="auto"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Investing activities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0"/>
              <w:rPr>
                <w:spacing w:val="0"/>
              </w:rPr>
            </w:pPr>
            <w:r>
              <w:rPr>
                <w:spacing w:val="0"/>
              </w:rPr>
              <w:t> </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0"/>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Payments for internally developed software costs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(2,258</w:t>
            </w:r>
          </w:p>
        </w:tc>
        <w:tc>
          <w:tcPr>
            <w:tcW w:w="310" w:type="dxa"/>
            <w:tcBorders/>
            <w:shd w:fill="CCEEFF" w:val="clear"/>
            <w:vAlign w:val="center"/>
          </w:tcPr>
          <w:p>
            <w:pPr>
              <w:pStyle w:val="TableContents"/>
              <w:spacing w:lineRule="atLeast" w:line="180" w:before="0" w:after="0"/>
              <w:rPr>
                <w:spacing w:val="0"/>
                <w:sz w:val="18"/>
              </w:rPr>
            </w:pPr>
            <w:r>
              <w:rPr>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(3,298</w:t>
            </w:r>
          </w:p>
        </w:tc>
        <w:tc>
          <w:tcPr>
            <w:tcW w:w="142" w:type="dxa"/>
            <w:tcBorders/>
            <w:shd w:fill="CCEEFF"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Purchase of property and equipment</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(228</w:t>
            </w:r>
          </w:p>
        </w:tc>
        <w:tc>
          <w:tcPr>
            <w:tcW w:w="310" w:type="dxa"/>
            <w:tcBorders/>
            <w:shd w:fill="auto" w:val="clear"/>
            <w:vAlign w:val="center"/>
          </w:tcPr>
          <w:p>
            <w:pPr>
              <w:pStyle w:val="TableContents"/>
              <w:spacing w:lineRule="atLeast" w:line="180" w:before="0" w:after="0"/>
              <w:rPr>
                <w:spacing w:val="0"/>
                <w:sz w:val="18"/>
              </w:rPr>
            </w:pPr>
            <w:r>
              <w:rPr>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(5</w:t>
            </w:r>
          </w:p>
        </w:tc>
        <w:tc>
          <w:tcPr>
            <w:tcW w:w="142" w:type="dxa"/>
            <w:tcBorders/>
            <w:shd w:fill="auto"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Purchase of marketable securities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(302,115</w:t>
            </w:r>
          </w:p>
        </w:tc>
        <w:tc>
          <w:tcPr>
            <w:tcW w:w="310" w:type="dxa"/>
            <w:tcBorders/>
            <w:shd w:fill="CCEEFF" w:val="clear"/>
            <w:vAlign w:val="center"/>
          </w:tcPr>
          <w:p>
            <w:pPr>
              <w:pStyle w:val="TableContents"/>
              <w:spacing w:lineRule="atLeast" w:line="180" w:before="0" w:after="0"/>
              <w:rPr>
                <w:spacing w:val="0"/>
                <w:sz w:val="18"/>
              </w:rPr>
            </w:pPr>
            <w:r>
              <w:rPr>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(2</w:t>
            </w:r>
          </w:p>
        </w:tc>
        <w:tc>
          <w:tcPr>
            <w:tcW w:w="142" w:type="dxa"/>
            <w:tcBorders/>
            <w:shd w:fill="CCEEFF"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Sale of marketable securities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32,000</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3,915</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single" w:sz="2" w:space="1" w:color="000000"/>
              </w:rPr>
            </w:pPr>
            <w:r>
              <w:rPr>
                <w:bdr w:val="single" w:sz="2" w:space="1" w:color="000000"/>
              </w:rPr>
              <w:t> </w:t>
            </w:r>
          </w:p>
        </w:tc>
        <w:tc>
          <w:tcPr>
            <w:tcW w:w="1652" w:type="dxa"/>
            <w:tcBorders/>
            <w:shd w:fill="CCEEFF" w:val="clear"/>
            <w:vAlign w:val="center"/>
          </w:tcPr>
          <w:p>
            <w:pPr>
              <w:pStyle w:val="TableContents"/>
              <w:spacing w:before="0" w:after="0"/>
              <w:rPr>
                <w:bdr w:val="single" w:sz="2" w:space="1" w:color="000000"/>
              </w:rPr>
            </w:pPr>
            <w:r>
              <w:rPr>
                <w:bdr w:val="single" w:sz="2" w:space="1" w:color="000000"/>
              </w:rPr>
              <w:t> </w:t>
            </w:r>
          </w:p>
        </w:tc>
        <w:tc>
          <w:tcPr>
            <w:tcW w:w="31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single" w:sz="2" w:space="1" w:color="000000"/>
              </w:rPr>
            </w:pPr>
            <w:r>
              <w:rPr>
                <w:bdr w:val="single" w:sz="2" w:space="1" w:color="000000"/>
              </w:rPr>
              <w:t> </w:t>
            </w:r>
          </w:p>
        </w:tc>
        <w:tc>
          <w:tcPr>
            <w:tcW w:w="1430" w:type="dxa"/>
            <w:tcBorders/>
            <w:shd w:fill="CCEEFF" w:val="clear"/>
            <w:vAlign w:val="center"/>
          </w:tcPr>
          <w:p>
            <w:pPr>
              <w:pStyle w:val="TableContents"/>
              <w:spacing w:before="0" w:after="0"/>
              <w:rPr>
                <w:bdr w:val="single" w:sz="2" w:space="1" w:color="000000"/>
              </w:rPr>
            </w:pPr>
            <w:r>
              <w:rPr>
                <w:bdr w:val="single" w:sz="2" w:space="1" w:color="000000"/>
              </w:rPr>
              <w:t> </w:t>
            </w:r>
          </w:p>
        </w:tc>
        <w:tc>
          <w:tcPr>
            <w:tcW w:w="142" w:type="dxa"/>
            <w:tcBorders/>
            <w:shd w:fill="CCEEFF"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Net cash (used in) provided by investing activities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0"/>
              <w:jc w:val="right"/>
              <w:rPr>
                <w:b/>
                <w:spacing w:val="0"/>
                <w:sz w:val="18"/>
              </w:rPr>
            </w:pPr>
            <w:r>
              <w:rPr>
                <w:b/>
                <w:spacing w:val="0"/>
                <w:sz w:val="18"/>
              </w:rPr>
              <w:t>(272,601</w:t>
            </w:r>
          </w:p>
        </w:tc>
        <w:tc>
          <w:tcPr>
            <w:tcW w:w="310" w:type="dxa"/>
            <w:tcBorders/>
            <w:shd w:fill="CCEEFF" w:val="clear"/>
            <w:vAlign w:val="center"/>
          </w:tcPr>
          <w:p>
            <w:pPr>
              <w:pStyle w:val="TableContents"/>
              <w:spacing w:lineRule="atLeast" w:line="180" w:before="0" w:after="0"/>
              <w:rPr>
                <w:b/>
                <w:spacing w:val="0"/>
                <w:sz w:val="18"/>
              </w:rPr>
            </w:pPr>
            <w:r>
              <w:rPr>
                <w:b/>
                <w:spacing w:val="0"/>
                <w:sz w:val="18"/>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jc w:val="right"/>
              <w:rPr>
                <w:b/>
                <w:spacing w:val="0"/>
                <w:sz w:val="18"/>
              </w:rPr>
            </w:pPr>
            <w:r>
              <w:rPr>
                <w:b/>
                <w:spacing w:val="0"/>
                <w:sz w:val="18"/>
              </w:rPr>
              <w:t>610</w:t>
            </w:r>
          </w:p>
        </w:tc>
        <w:tc>
          <w:tcPr>
            <w:tcW w:w="142" w:type="dxa"/>
            <w:tcBorders/>
            <w:shd w:fill="CCEEFF" w:val="clear"/>
            <w:vAlign w:val="center"/>
          </w:tcPr>
          <w:p>
            <w:pPr>
              <w:pStyle w:val="TableContents"/>
              <w:spacing w:before="0" w:after="0"/>
              <w:rPr>
                <w:spacing w:val="0"/>
              </w:rPr>
            </w:pPr>
            <w:r>
              <w:rPr>
                <w:spacing w:val="0"/>
              </w:rPr>
              <w:t> </w:t>
            </w:r>
          </w:p>
        </w:tc>
      </w:tr>
      <w:tr>
        <w:trPr/>
        <w:tc>
          <w:tcPr>
            <w:tcW w:w="585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652" w:type="dxa"/>
            <w:tcBorders/>
            <w:shd w:fill="auto" w:val="clear"/>
            <w:vAlign w:val="center"/>
          </w:tcPr>
          <w:p>
            <w:pPr>
              <w:pStyle w:val="TableContents"/>
              <w:spacing w:before="0" w:after="0"/>
              <w:rPr>
                <w:bdr w:val="single" w:sz="2" w:space="1" w:color="000000"/>
              </w:rPr>
            </w:pPr>
            <w:r>
              <w:rPr>
                <w:bdr w:val="single" w:sz="2" w:space="1" w:color="000000"/>
              </w:rPr>
              <w:t> </w:t>
            </w:r>
          </w:p>
        </w:tc>
        <w:tc>
          <w:tcPr>
            <w:tcW w:w="31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430" w:type="dxa"/>
            <w:tcBorders/>
            <w:shd w:fill="auto" w:val="clear"/>
            <w:vAlign w:val="center"/>
          </w:tcPr>
          <w:p>
            <w:pPr>
              <w:pStyle w:val="TableContents"/>
              <w:spacing w:before="0" w:after="0"/>
              <w:rPr>
                <w:bdr w:val="single" w:sz="2" w:space="1" w:color="000000"/>
              </w:rPr>
            </w:pPr>
            <w:r>
              <w:rPr>
                <w:bdr w:val="single" w:sz="2" w:space="1" w:color="000000"/>
              </w:rPr>
              <w:t> </w:t>
            </w:r>
          </w:p>
        </w:tc>
        <w:tc>
          <w:tcPr>
            <w:tcW w:w="142" w:type="dxa"/>
            <w:tcBorders/>
            <w:shd w:fill="auto" w:val="clear"/>
            <w:vAlign w:val="center"/>
          </w:tcPr>
          <w:p>
            <w:pPr>
              <w:pStyle w:val="TableContents"/>
              <w:spacing w:before="0" w:after="283"/>
              <w:rPr/>
            </w:pPr>
            <w:r>
              <w:rPr/>
              <w:t> </w:t>
            </w:r>
          </w:p>
        </w:tc>
      </w:tr>
      <w:tr>
        <w:trPr/>
        <w:tc>
          <w:tcPr>
            <w:tcW w:w="5857" w:type="dxa"/>
            <w:tcBorders/>
            <w:shd w:fill="auto"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Financing activities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0"/>
              <w:rPr>
                <w:spacing w:val="0"/>
              </w:rPr>
            </w:pPr>
            <w:r>
              <w:rPr>
                <w:spacing w:val="0"/>
              </w:rPr>
              <w:t> </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0"/>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Repayment on line of credit</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(3,910</w:t>
            </w:r>
          </w:p>
        </w:tc>
        <w:tc>
          <w:tcPr>
            <w:tcW w:w="142" w:type="dxa"/>
            <w:tcBorders/>
            <w:shd w:fill="CCEEFF"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Proceeds from PIPE offering</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195,000</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Proceeds from escrow account, net of redemptions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29,688</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Payment of issuance costs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0"/>
              <w:ind w:left="0" w:right="0" w:hanging="0"/>
              <w:jc w:val="right"/>
              <w:rPr>
                <w:rFonts w:ascii="Times New Roman;serif" w:hAnsi="Times New Roman;serif"/>
                <w:spacing w:val="0"/>
                <w:sz w:val="18"/>
              </w:rPr>
            </w:pPr>
            <w:r>
              <w:rPr>
                <w:rFonts w:ascii="Times New Roman;serif" w:hAnsi="Times New Roman;serif"/>
                <w:spacing w:val="0"/>
                <w:sz w:val="18"/>
              </w:rPr>
              <w:t>(22,944</w:t>
            </w:r>
          </w:p>
        </w:tc>
        <w:tc>
          <w:tcPr>
            <w:tcW w:w="310" w:type="dxa"/>
            <w:tcBorders/>
            <w:shd w:fill="auto" w:val="clear"/>
            <w:vAlign w:val="center"/>
          </w:tcPr>
          <w:p>
            <w:pPr>
              <w:pStyle w:val="TableContents"/>
              <w:spacing w:lineRule="atLeast" w:line="180" w:before="0" w:after="0"/>
              <w:ind w:left="0" w:right="0" w:hanging="0"/>
              <w:rPr>
                <w:rFonts w:ascii="Times New Roman;serif" w:hAnsi="Times New Roman;serif"/>
                <w:spacing w:val="0"/>
                <w:sz w:val="18"/>
              </w:rPr>
            </w:pPr>
            <w:r>
              <w:rPr>
                <w:rFonts w:ascii="Times New Roman;serif" w:hAnsi="Times New Roman;serif"/>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0"/>
              <w:ind w:left="0" w:right="0" w:hanging="0"/>
              <w:jc w:val="right"/>
              <w:rPr>
                <w:rFonts w:ascii="Times New Roman;serif" w:hAnsi="Times New Roman;serif"/>
                <w:spacing w:val="0"/>
                <w:sz w:val="18"/>
              </w:rPr>
            </w:pPr>
            <w:r>
              <w:rPr>
                <w:rFonts w:ascii="Times New Roman;serif" w:hAnsi="Times New Roman;serif"/>
                <w:spacing w:val="0"/>
                <w:sz w:val="18"/>
              </w:rPr>
              <w:t>(120</w:t>
            </w:r>
          </w:p>
        </w:tc>
        <w:tc>
          <w:tcPr>
            <w:tcW w:w="142" w:type="dxa"/>
            <w:tcBorders/>
            <w:shd w:fill="auto" w:val="clear"/>
            <w:vAlign w:val="center"/>
          </w:tcPr>
          <w:p>
            <w:pPr>
              <w:pStyle w:val="TableContents"/>
              <w:spacing w:lineRule="atLeast" w:line="180" w:before="0" w:after="0"/>
              <w:ind w:left="0" w:right="0" w:hanging="0"/>
              <w:rPr>
                <w:rFonts w:ascii="Times New Roman;serif" w:hAnsi="Times New Roman;serif"/>
                <w:spacing w:val="0"/>
                <w:sz w:val="18"/>
              </w:rPr>
            </w:pPr>
            <w:r>
              <w:rPr>
                <w:rFonts w:ascii="Times New Roman;serif" w:hAnsi="Times New Roman;serif"/>
                <w:spacing w:val="0"/>
                <w:sz w:val="18"/>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Proceeds from issuance of common stock for stock option exercises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1,563</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599</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Repurchase of common stock</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(1,583</w:t>
            </w:r>
          </w:p>
        </w:tc>
        <w:tc>
          <w:tcPr>
            <w:tcW w:w="310" w:type="dxa"/>
            <w:tcBorders/>
            <w:shd w:fill="auto" w:val="clear"/>
            <w:vAlign w:val="center"/>
          </w:tcPr>
          <w:p>
            <w:pPr>
              <w:pStyle w:val="TableContents"/>
              <w:spacing w:lineRule="atLeast" w:line="180" w:before="0" w:after="0"/>
              <w:rPr>
                <w:spacing w:val="0"/>
                <w:sz w:val="18"/>
              </w:rPr>
            </w:pPr>
            <w:r>
              <w:rPr>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Proceeds from borrowings on convertible debt</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100,000</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Proceeds from borrowings on debt and credit facilities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19,000</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single" w:sz="2" w:space="1" w:color="000000"/>
              </w:rPr>
            </w:pPr>
            <w:r>
              <w:rPr>
                <w:bdr w:val="single" w:sz="2" w:space="1" w:color="000000"/>
              </w:rPr>
              <w:t> </w:t>
            </w:r>
          </w:p>
        </w:tc>
        <w:tc>
          <w:tcPr>
            <w:tcW w:w="1652" w:type="dxa"/>
            <w:tcBorders/>
            <w:shd w:fill="CCEEFF" w:val="clear"/>
            <w:vAlign w:val="center"/>
          </w:tcPr>
          <w:p>
            <w:pPr>
              <w:pStyle w:val="TableContents"/>
              <w:spacing w:before="0" w:after="0"/>
              <w:rPr>
                <w:bdr w:val="single" w:sz="2" w:space="1" w:color="000000"/>
              </w:rPr>
            </w:pPr>
            <w:r>
              <w:rPr>
                <w:bdr w:val="single" w:sz="2" w:space="1" w:color="000000"/>
              </w:rPr>
              <w:t> </w:t>
            </w:r>
          </w:p>
        </w:tc>
        <w:tc>
          <w:tcPr>
            <w:tcW w:w="31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single" w:sz="2" w:space="1" w:color="000000"/>
              </w:rPr>
            </w:pPr>
            <w:r>
              <w:rPr>
                <w:bdr w:val="single" w:sz="2" w:space="1" w:color="000000"/>
              </w:rPr>
              <w:t> </w:t>
            </w:r>
          </w:p>
        </w:tc>
        <w:tc>
          <w:tcPr>
            <w:tcW w:w="1430" w:type="dxa"/>
            <w:tcBorders/>
            <w:shd w:fill="CCEEFF" w:val="clear"/>
            <w:vAlign w:val="center"/>
          </w:tcPr>
          <w:p>
            <w:pPr>
              <w:pStyle w:val="TableContents"/>
              <w:spacing w:before="0" w:after="0"/>
              <w:rPr>
                <w:bdr w:val="single" w:sz="2" w:space="1" w:color="000000"/>
              </w:rPr>
            </w:pPr>
            <w:r>
              <w:rPr>
                <w:bdr w:val="single" w:sz="2" w:space="1" w:color="000000"/>
              </w:rPr>
              <w:t> </w:t>
            </w:r>
          </w:p>
        </w:tc>
        <w:tc>
          <w:tcPr>
            <w:tcW w:w="142" w:type="dxa"/>
            <w:tcBorders/>
            <w:shd w:fill="CCEEFF"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Net cash provided by financing activities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0"/>
              <w:jc w:val="right"/>
              <w:rPr>
                <w:b/>
                <w:spacing w:val="0"/>
                <w:sz w:val="18"/>
              </w:rPr>
            </w:pPr>
            <w:r>
              <w:rPr>
                <w:b/>
                <w:spacing w:val="0"/>
                <w:sz w:val="18"/>
              </w:rPr>
              <w:t>301,724</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jc w:val="right"/>
              <w:rPr>
                <w:b/>
                <w:spacing w:val="0"/>
                <w:sz w:val="18"/>
              </w:rPr>
            </w:pPr>
            <w:r>
              <w:rPr>
                <w:b/>
                <w:spacing w:val="0"/>
                <w:sz w:val="18"/>
              </w:rPr>
              <w:t>15,569</w:t>
            </w:r>
          </w:p>
        </w:tc>
        <w:tc>
          <w:tcPr>
            <w:tcW w:w="142" w:type="dxa"/>
            <w:tcBorders/>
            <w:shd w:fill="CCEEFF" w:val="clear"/>
            <w:vAlign w:val="center"/>
          </w:tcPr>
          <w:p>
            <w:pPr>
              <w:pStyle w:val="TableContents"/>
              <w:spacing w:before="0" w:after="0"/>
              <w:rPr>
                <w:spacing w:val="0"/>
              </w:rPr>
            </w:pPr>
            <w:r>
              <w:rPr>
                <w:spacing w:val="0"/>
              </w:rPr>
              <w:t> </w:t>
            </w:r>
          </w:p>
        </w:tc>
      </w:tr>
      <w:tr>
        <w:trPr/>
        <w:tc>
          <w:tcPr>
            <w:tcW w:w="585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652" w:type="dxa"/>
            <w:tcBorders/>
            <w:shd w:fill="auto" w:val="clear"/>
            <w:vAlign w:val="center"/>
          </w:tcPr>
          <w:p>
            <w:pPr>
              <w:pStyle w:val="TableContents"/>
              <w:spacing w:before="0" w:after="0"/>
              <w:rPr>
                <w:bdr w:val="single" w:sz="2" w:space="1" w:color="000000"/>
              </w:rPr>
            </w:pPr>
            <w:r>
              <w:rPr>
                <w:bdr w:val="single" w:sz="2" w:space="1" w:color="000000"/>
              </w:rPr>
              <w:t> </w:t>
            </w:r>
          </w:p>
        </w:tc>
        <w:tc>
          <w:tcPr>
            <w:tcW w:w="31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430" w:type="dxa"/>
            <w:tcBorders/>
            <w:shd w:fill="auto" w:val="clear"/>
            <w:vAlign w:val="center"/>
          </w:tcPr>
          <w:p>
            <w:pPr>
              <w:pStyle w:val="TableContents"/>
              <w:spacing w:before="0" w:after="0"/>
              <w:rPr>
                <w:bdr w:val="single" w:sz="2" w:space="1" w:color="000000"/>
              </w:rPr>
            </w:pPr>
            <w:r>
              <w:rPr>
                <w:bdr w:val="single" w:sz="2" w:space="1" w:color="000000"/>
              </w:rPr>
              <w:t> </w:t>
            </w:r>
          </w:p>
        </w:tc>
        <w:tc>
          <w:tcPr>
            <w:tcW w:w="142" w:type="dxa"/>
            <w:tcBorders/>
            <w:shd w:fill="auto" w:val="clear"/>
            <w:vAlign w:val="center"/>
          </w:tcPr>
          <w:p>
            <w:pPr>
              <w:pStyle w:val="TableContents"/>
              <w:spacing w:before="0" w:after="283"/>
              <w:rPr/>
            </w:pPr>
            <w:r>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Net (decrease) increase in cash and cash equivalents and restricted cash</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(8,356</w:t>
            </w:r>
          </w:p>
        </w:tc>
        <w:tc>
          <w:tcPr>
            <w:tcW w:w="310" w:type="dxa"/>
            <w:tcBorders/>
            <w:shd w:fill="auto" w:val="clear"/>
            <w:vAlign w:val="center"/>
          </w:tcPr>
          <w:p>
            <w:pPr>
              <w:pStyle w:val="TableContents"/>
              <w:spacing w:lineRule="atLeast" w:line="180" w:before="0" w:after="0"/>
              <w:rPr>
                <w:spacing w:val="0"/>
                <w:sz w:val="18"/>
              </w:rPr>
            </w:pPr>
            <w:r>
              <w:rPr>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18,798</w:t>
            </w:r>
          </w:p>
        </w:tc>
        <w:tc>
          <w:tcPr>
            <w:tcW w:w="142" w:type="dxa"/>
            <w:tcBorders/>
            <w:shd w:fill="auto"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Cash and cash equivalents and restricted cash, beginning of the period</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283"/>
              <w:jc w:val="right"/>
              <w:rPr>
                <w:sz w:val="18"/>
              </w:rPr>
            </w:pPr>
            <w:r>
              <w:rPr>
                <w:sz w:val="18"/>
              </w:rPr>
              <w:t>32,372</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283"/>
              <w:jc w:val="right"/>
              <w:rPr>
                <w:sz w:val="18"/>
              </w:rPr>
            </w:pPr>
            <w:r>
              <w:rPr>
                <w:sz w:val="18"/>
              </w:rPr>
              <w:t>5,069</w:t>
            </w:r>
          </w:p>
        </w:tc>
        <w:tc>
          <w:tcPr>
            <w:tcW w:w="142" w:type="dxa"/>
            <w:tcBorders/>
            <w:shd w:fill="CCEEFF" w:val="clear"/>
            <w:vAlign w:val="center"/>
          </w:tcPr>
          <w:p>
            <w:pPr>
              <w:pStyle w:val="TableContents"/>
              <w:spacing w:before="0" w:after="283"/>
              <w:rPr/>
            </w:pPr>
            <w:r>
              <w:rPr/>
              <w:t> </w:t>
            </w:r>
          </w:p>
        </w:tc>
      </w:tr>
      <w:tr>
        <w:trPr/>
        <w:tc>
          <w:tcPr>
            <w:tcW w:w="585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652" w:type="dxa"/>
            <w:tcBorders/>
            <w:shd w:fill="auto" w:val="clear"/>
            <w:vAlign w:val="center"/>
          </w:tcPr>
          <w:p>
            <w:pPr>
              <w:pStyle w:val="TableContents"/>
              <w:spacing w:before="0" w:after="0"/>
              <w:rPr>
                <w:bdr w:val="single" w:sz="2" w:space="1" w:color="000000"/>
              </w:rPr>
            </w:pPr>
            <w:r>
              <w:rPr>
                <w:bdr w:val="single" w:sz="2" w:space="1" w:color="000000"/>
              </w:rPr>
              <w:t> </w:t>
            </w:r>
          </w:p>
        </w:tc>
        <w:tc>
          <w:tcPr>
            <w:tcW w:w="31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single" w:sz="2" w:space="1" w:color="000000"/>
              </w:rPr>
            </w:pPr>
            <w:r>
              <w:rPr>
                <w:bdr w:val="single" w:sz="2" w:space="1" w:color="000000"/>
              </w:rPr>
              <w:t> </w:t>
            </w:r>
          </w:p>
        </w:tc>
        <w:tc>
          <w:tcPr>
            <w:tcW w:w="1430" w:type="dxa"/>
            <w:tcBorders/>
            <w:shd w:fill="auto" w:val="clear"/>
            <w:vAlign w:val="center"/>
          </w:tcPr>
          <w:p>
            <w:pPr>
              <w:pStyle w:val="TableContents"/>
              <w:spacing w:before="0" w:after="0"/>
              <w:rPr>
                <w:bdr w:val="single" w:sz="2" w:space="1" w:color="000000"/>
              </w:rPr>
            </w:pPr>
            <w:r>
              <w:rPr>
                <w:bdr w:val="single" w:sz="2" w:space="1" w:color="000000"/>
              </w:rPr>
              <w:t> </w:t>
            </w:r>
          </w:p>
        </w:tc>
        <w:tc>
          <w:tcPr>
            <w:tcW w:w="142" w:type="dxa"/>
            <w:tcBorders/>
            <w:shd w:fill="auto" w:val="clear"/>
            <w:vAlign w:val="center"/>
          </w:tcPr>
          <w:p>
            <w:pPr>
              <w:pStyle w:val="TableContents"/>
              <w:spacing w:before="0" w:after="283"/>
              <w:rPr/>
            </w:pPr>
            <w:r>
              <w:rPr/>
              <w:t> </w:t>
            </w:r>
          </w:p>
        </w:tc>
      </w:tr>
      <w:tr>
        <w:trPr/>
        <w:tc>
          <w:tcPr>
            <w:tcW w:w="5857" w:type="dxa"/>
            <w:tcBorders/>
            <w:shd w:fill="auto"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Cash and cash equivalents and restricted cash, end of the period</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b/>
                <w:spacing w:val="0"/>
                <w:sz w:val="18"/>
              </w:rPr>
            </w:pPr>
            <w:r>
              <w:rPr>
                <w:b/>
                <w:spacing w:val="0"/>
                <w:sz w:val="18"/>
              </w:rPr>
              <w:t>$</w:t>
            </w:r>
          </w:p>
        </w:tc>
        <w:tc>
          <w:tcPr>
            <w:tcW w:w="1652" w:type="dxa"/>
            <w:tcBorders/>
            <w:shd w:fill="auto" w:val="clear"/>
            <w:vAlign w:val="center"/>
          </w:tcPr>
          <w:p>
            <w:pPr>
              <w:pStyle w:val="TableContents"/>
              <w:spacing w:lineRule="atLeast" w:line="180" w:before="0" w:after="0"/>
              <w:jc w:val="right"/>
              <w:rPr>
                <w:b/>
                <w:spacing w:val="0"/>
                <w:sz w:val="18"/>
              </w:rPr>
            </w:pPr>
            <w:r>
              <w:rPr>
                <w:b/>
                <w:spacing w:val="0"/>
                <w:sz w:val="18"/>
              </w:rPr>
              <w:t>24,016</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b/>
                <w:spacing w:val="0"/>
                <w:sz w:val="18"/>
              </w:rPr>
            </w:pPr>
            <w:r>
              <w:rPr>
                <w:b/>
                <w:spacing w:val="0"/>
                <w:sz w:val="18"/>
              </w:rPr>
              <w:t>$</w:t>
            </w:r>
          </w:p>
        </w:tc>
        <w:tc>
          <w:tcPr>
            <w:tcW w:w="1430" w:type="dxa"/>
            <w:tcBorders/>
            <w:shd w:fill="auto" w:val="clear"/>
            <w:vAlign w:val="center"/>
          </w:tcPr>
          <w:p>
            <w:pPr>
              <w:pStyle w:val="TableContents"/>
              <w:spacing w:lineRule="atLeast" w:line="180" w:before="0" w:after="0"/>
              <w:jc w:val="right"/>
              <w:rPr>
                <w:b/>
                <w:spacing w:val="0"/>
                <w:sz w:val="18"/>
              </w:rPr>
            </w:pPr>
            <w:r>
              <w:rPr>
                <w:b/>
                <w:spacing w:val="0"/>
                <w:sz w:val="18"/>
              </w:rPr>
              <w:t>23,867</w:t>
            </w:r>
          </w:p>
        </w:tc>
        <w:tc>
          <w:tcPr>
            <w:tcW w:w="142" w:type="dxa"/>
            <w:tcBorders/>
            <w:shd w:fill="auto" w:val="clear"/>
            <w:vAlign w:val="center"/>
          </w:tcPr>
          <w:p>
            <w:pPr>
              <w:pStyle w:val="TableContents"/>
              <w:spacing w:before="0" w:after="0"/>
              <w:rPr>
                <w:spacing w:val="0"/>
              </w:rPr>
            </w:pPr>
            <w:r>
              <w:rPr>
                <w:spacing w:val="0"/>
              </w:rPr>
              <w:t> </w:t>
            </w:r>
          </w:p>
        </w:tc>
      </w:tr>
      <w:tr>
        <w:trPr/>
        <w:tc>
          <w:tcPr>
            <w:tcW w:w="5857"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double" w:sz="6" w:space="1" w:color="000000"/>
              </w:rPr>
            </w:pPr>
            <w:r>
              <w:rPr>
                <w:bdr w:val="double" w:sz="6" w:space="1" w:color="000000"/>
              </w:rPr>
              <w:t> </w:t>
            </w:r>
          </w:p>
        </w:tc>
        <w:tc>
          <w:tcPr>
            <w:tcW w:w="1652" w:type="dxa"/>
            <w:tcBorders/>
            <w:shd w:fill="CCEEFF" w:val="clear"/>
            <w:vAlign w:val="center"/>
          </w:tcPr>
          <w:p>
            <w:pPr>
              <w:pStyle w:val="TableContents"/>
              <w:spacing w:before="0" w:after="0"/>
              <w:rPr>
                <w:bdr w:val="double" w:sz="6" w:space="1" w:color="000000"/>
              </w:rPr>
            </w:pPr>
            <w:r>
              <w:rPr>
                <w:bdr w:val="double" w:sz="6" w:space="1" w:color="000000"/>
              </w:rPr>
              <w:t> </w:t>
            </w:r>
          </w:p>
        </w:tc>
        <w:tc>
          <w:tcPr>
            <w:tcW w:w="31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double" w:sz="6" w:space="1" w:color="000000"/>
              </w:rPr>
            </w:pPr>
            <w:r>
              <w:rPr>
                <w:bdr w:val="double" w:sz="6" w:space="1" w:color="000000"/>
              </w:rPr>
              <w:t> </w:t>
            </w:r>
          </w:p>
        </w:tc>
        <w:tc>
          <w:tcPr>
            <w:tcW w:w="1430" w:type="dxa"/>
            <w:tcBorders/>
            <w:shd w:fill="CCEEFF" w:val="clear"/>
            <w:vAlign w:val="center"/>
          </w:tcPr>
          <w:p>
            <w:pPr>
              <w:pStyle w:val="TableContents"/>
              <w:spacing w:before="0" w:after="0"/>
              <w:rPr>
                <w:bdr w:val="double" w:sz="6" w:space="1" w:color="000000"/>
              </w:rPr>
            </w:pPr>
            <w:r>
              <w:rPr>
                <w:bdr w:val="double" w:sz="6" w:space="1" w:color="000000"/>
              </w:rPr>
              <w:t> </w:t>
            </w:r>
          </w:p>
        </w:tc>
        <w:tc>
          <w:tcPr>
            <w:tcW w:w="142" w:type="dxa"/>
            <w:tcBorders/>
            <w:shd w:fill="CCEEFF"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 xml:space="preserve">Supplemental disclosure of </w:t>
            </w:r>
          </w:p>
          <w:p>
            <w:pPr>
              <w:pStyle w:val="TableContents"/>
              <w:spacing w:lineRule="atLeast" w:line="180" w:before="0" w:after="0"/>
              <w:rPr>
                <w:rFonts w:ascii="Times New Roman" w:hAnsi="Times New Roman"/>
                <w:b/>
                <w:spacing w:val="0"/>
                <w:sz w:val="18"/>
              </w:rPr>
            </w:pPr>
            <w:r>
              <w:rPr>
                <w:rFonts w:ascii="Times New Roman" w:hAnsi="Times New Roman"/>
                <w:b/>
                <w:spacing w:val="0"/>
                <w:sz w:val="18"/>
              </w:rPr>
              <w:t>non-cash</w:t>
            </w:r>
          </w:p>
          <w:p>
            <w:pPr>
              <w:pStyle w:val="TableContents"/>
              <w:spacing w:lineRule="atLeast" w:line="180" w:before="0" w:after="0"/>
              <w:rPr>
                <w:rFonts w:ascii="Times New Roman" w:hAnsi="Times New Roman"/>
                <w:b/>
                <w:spacing w:val="0"/>
                <w:sz w:val="18"/>
              </w:rPr>
            </w:pPr>
            <w:r>
              <w:rPr>
                <w:rFonts w:ascii="Times New Roman" w:hAnsi="Times New Roman"/>
                <w:b/>
                <w:spacing w:val="0"/>
                <w:sz w:val="18"/>
              </w:rPr>
              <w:t>investing and financing activities: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0"/>
              <w:rPr>
                <w:spacing w:val="0"/>
              </w:rPr>
            </w:pPr>
            <w:r>
              <w:rPr>
                <w:spacing w:val="0"/>
              </w:rPr>
              <w:t> </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Conversion of convertible preferred stock to Class A common stock in connection with the reverse recapitalization</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652" w:type="dxa"/>
            <w:tcBorders/>
            <w:shd w:fill="auto" w:val="clear"/>
            <w:vAlign w:val="center"/>
          </w:tcPr>
          <w:p>
            <w:pPr>
              <w:pStyle w:val="TableContents"/>
              <w:spacing w:lineRule="atLeast" w:line="180" w:before="0" w:after="283"/>
              <w:jc w:val="right"/>
              <w:rPr>
                <w:sz w:val="18"/>
              </w:rPr>
            </w:pPr>
            <w:r>
              <w:rPr>
                <w:sz w:val="18"/>
              </w:rPr>
              <w:t>72,173</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430"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Recapitalization transaction costs liability incurred</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652" w:type="dxa"/>
            <w:tcBorders/>
            <w:shd w:fill="CCEEFF" w:val="clear"/>
            <w:vAlign w:val="center"/>
          </w:tcPr>
          <w:p>
            <w:pPr>
              <w:pStyle w:val="TableContents"/>
              <w:spacing w:lineRule="atLeast" w:line="180" w:before="0" w:after="283"/>
              <w:jc w:val="right"/>
              <w:rPr>
                <w:sz w:val="18"/>
              </w:rPr>
            </w:pPr>
            <w:r>
              <w:rPr>
                <w:sz w:val="18"/>
              </w:rPr>
              <w:t>7,500</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430" w:type="dxa"/>
            <w:tcBorders/>
            <w:shd w:fill="CCEEFF"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Conversion of convertible notes and accrued interest to Class A common stock in connection with the reverse recapitalization</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652" w:type="dxa"/>
            <w:tcBorders/>
            <w:shd w:fill="auto" w:val="clear"/>
            <w:vAlign w:val="center"/>
          </w:tcPr>
          <w:p>
            <w:pPr>
              <w:pStyle w:val="TableContents"/>
              <w:spacing w:lineRule="atLeast" w:line="180" w:before="0" w:after="283"/>
              <w:jc w:val="right"/>
              <w:rPr>
                <w:sz w:val="18"/>
              </w:rPr>
            </w:pPr>
            <w:r>
              <w:rPr>
                <w:sz w:val="18"/>
              </w:rPr>
              <w:t>720</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430"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 xml:space="preserve">Conversion of </w:t>
            </w:r>
          </w:p>
          <w:p>
            <w:pPr>
              <w:pStyle w:val="TableContents"/>
              <w:spacing w:lineRule="atLeast" w:line="180" w:before="0" w:after="0"/>
              <w:rPr>
                <w:rFonts w:ascii="Times New Roman" w:hAnsi="Times New Roman"/>
                <w:spacing w:val="0"/>
                <w:sz w:val="18"/>
              </w:rPr>
            </w:pPr>
            <w:r>
              <w:rPr>
                <w:rFonts w:ascii="Times New Roman" w:hAnsi="Times New Roman"/>
                <w:spacing w:val="0"/>
                <w:sz w:val="18"/>
              </w:rPr>
              <w:t>B-1</w:t>
            </w:r>
          </w:p>
          <w:p>
            <w:pPr>
              <w:pStyle w:val="TableContents"/>
              <w:spacing w:lineRule="atLeast" w:line="180" w:before="0" w:after="0"/>
              <w:rPr>
                <w:rFonts w:ascii="Times New Roman" w:hAnsi="Times New Roman"/>
                <w:spacing w:val="0"/>
                <w:sz w:val="18"/>
              </w:rPr>
            </w:pPr>
            <w:r>
              <w:rPr>
                <w:rFonts w:ascii="Times New Roman" w:hAnsi="Times New Roman"/>
                <w:spacing w:val="0"/>
                <w:sz w:val="18"/>
              </w:rPr>
              <w:t>Warrants to Class A common stock in connection with the reverse recapitalization</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652" w:type="dxa"/>
            <w:tcBorders/>
            <w:shd w:fill="CCEEFF" w:val="clear"/>
            <w:vAlign w:val="center"/>
          </w:tcPr>
          <w:p>
            <w:pPr>
              <w:pStyle w:val="TableContents"/>
              <w:spacing w:lineRule="atLeast" w:line="180" w:before="0" w:after="283"/>
              <w:jc w:val="right"/>
              <w:rPr>
                <w:sz w:val="18"/>
              </w:rPr>
            </w:pPr>
            <w:r>
              <w:rPr>
                <w:sz w:val="18"/>
              </w:rPr>
              <w:t>3,365</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430" w:type="dxa"/>
            <w:tcBorders/>
            <w:shd w:fill="CCEEFF"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Discharge of PIPE promissory note in connection with the reverse recapitalization</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652" w:type="dxa"/>
            <w:tcBorders/>
            <w:shd w:fill="auto" w:val="clear"/>
            <w:vAlign w:val="center"/>
          </w:tcPr>
          <w:p>
            <w:pPr>
              <w:pStyle w:val="TableContents"/>
              <w:spacing w:lineRule="atLeast" w:line="180" w:before="0" w:after="283"/>
              <w:jc w:val="right"/>
              <w:rPr>
                <w:sz w:val="18"/>
              </w:rPr>
            </w:pPr>
            <w:r>
              <w:rPr>
                <w:sz w:val="18"/>
              </w:rPr>
              <w:t>15,000</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430" w:type="dxa"/>
            <w:tcBorders/>
            <w:shd w:fill="auto" w:val="clear"/>
            <w:vAlign w:val="center"/>
          </w:tcPr>
          <w:p>
            <w:pPr>
              <w:pStyle w:val="TableContents"/>
              <w:spacing w:lineRule="atLeast" w:line="180" w:before="0" w:after="0"/>
              <w:jc w:val="right"/>
              <w:rPr/>
            </w:pPr>
            <w:r>
              <w:rPr/>
              <w:t>—</w:t>
            </w:r>
          </w:p>
          <w:p>
            <w:pPr>
              <w:pStyle w:val="TableContents"/>
              <w:spacing w:lineRule="atLeast" w:line="180" w:before="0" w:after="0"/>
              <w:jc w:val="right"/>
              <w:rPr>
                <w:spacing w:val="0"/>
              </w:rPr>
            </w:pPr>
            <w:r>
              <w:rPr>
                <w:spacing w:val="0"/>
              </w:rPr>
              <w:t>  </w:t>
            </w:r>
          </w:p>
        </w:tc>
        <w:tc>
          <w:tcPr>
            <w:tcW w:w="142" w:type="dxa"/>
            <w:tcBorders/>
            <w:shd w:fill="auto" w:val="clear"/>
            <w:vAlign w:val="center"/>
          </w:tcPr>
          <w:p>
            <w:pPr>
              <w:pStyle w:val="TableContents"/>
              <w:spacing w:lineRule="atLeast" w:line="180" w:before="0" w:after="0"/>
              <w:rPr>
                <w:spacing w:val="0"/>
              </w:rPr>
            </w:pPr>
            <w:r>
              <w:rPr>
                <w:spacing w:val="0"/>
              </w:rPr>
              <w:t> </w:t>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Supplemental disclosure of cash (received) paid for:</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652" w:type="dxa"/>
            <w:tcBorders/>
            <w:shd w:fill="CCEEFF" w:val="clear"/>
            <w:vAlign w:val="center"/>
          </w:tcPr>
          <w:p>
            <w:pPr>
              <w:pStyle w:val="TableContents"/>
              <w:spacing w:lineRule="atLeast" w:line="180" w:before="0" w:after="0"/>
              <w:rPr>
                <w:spacing w:val="0"/>
              </w:rPr>
            </w:pPr>
            <w:r>
              <w:rPr>
                <w:spacing w:val="0"/>
              </w:rPr>
              <w:t> </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rPr>
            </w:pPr>
            <w:r>
              <w:rPr>
                <w:spacing w:val="0"/>
              </w:rPr>
              <w:t> </w:t>
            </w:r>
          </w:p>
        </w:tc>
        <w:tc>
          <w:tcPr>
            <w:tcW w:w="1430" w:type="dxa"/>
            <w:tcBorders/>
            <w:shd w:fill="CCEEFF" w:val="clear"/>
            <w:vAlign w:val="center"/>
          </w:tcPr>
          <w:p>
            <w:pPr>
              <w:pStyle w:val="TableContents"/>
              <w:spacing w:lineRule="atLeast" w:line="180" w:before="0" w:after="0"/>
              <w:rPr>
                <w:spacing w:val="0"/>
              </w:rPr>
            </w:pPr>
            <w:r>
              <w:rPr>
                <w:spacing w:val="0"/>
              </w:rPr>
              <w:t> </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Income taxes</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652" w:type="dxa"/>
            <w:tcBorders/>
            <w:shd w:fill="auto" w:val="clear"/>
            <w:vAlign w:val="center"/>
          </w:tcPr>
          <w:p>
            <w:pPr>
              <w:pStyle w:val="TableContents"/>
              <w:spacing w:lineRule="atLeast" w:line="180" w:before="0" w:after="283"/>
              <w:jc w:val="right"/>
              <w:rPr>
                <w:sz w:val="18"/>
              </w:rPr>
            </w:pPr>
            <w:r>
              <w:rPr>
                <w:sz w:val="18"/>
              </w:rPr>
              <w:t>(2</w:t>
            </w:r>
          </w:p>
        </w:tc>
        <w:tc>
          <w:tcPr>
            <w:tcW w:w="310" w:type="dxa"/>
            <w:tcBorders/>
            <w:shd w:fill="auto" w:val="clear"/>
            <w:vAlign w:val="center"/>
          </w:tcPr>
          <w:p>
            <w:pPr>
              <w:pStyle w:val="TableContents"/>
              <w:spacing w:lineRule="atLeast" w:line="180" w:before="0" w:after="0"/>
              <w:rPr>
                <w:spacing w:val="0"/>
                <w:sz w:val="18"/>
              </w:rPr>
            </w:pPr>
            <w:r>
              <w:rPr>
                <w:spacing w:val="0"/>
                <w:sz w:val="18"/>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sz w:val="18"/>
              </w:rPr>
            </w:pPr>
            <w:r>
              <w:rPr>
                <w:spacing w:val="0"/>
                <w:sz w:val="18"/>
              </w:rPr>
              <w:t>$</w:t>
            </w:r>
          </w:p>
        </w:tc>
        <w:tc>
          <w:tcPr>
            <w:tcW w:w="1430" w:type="dxa"/>
            <w:tcBorders/>
            <w:shd w:fill="auto" w:val="clear"/>
            <w:vAlign w:val="center"/>
          </w:tcPr>
          <w:p>
            <w:pPr>
              <w:pStyle w:val="TableContents"/>
              <w:spacing w:lineRule="atLeast" w:line="180" w:before="0" w:after="283"/>
              <w:jc w:val="right"/>
              <w:rPr>
                <w:sz w:val="18"/>
              </w:rPr>
            </w:pPr>
            <w:r>
              <w:rPr>
                <w:sz w:val="18"/>
              </w:rPr>
              <w:t>(776</w:t>
            </w:r>
          </w:p>
        </w:tc>
        <w:tc>
          <w:tcPr>
            <w:tcW w:w="142" w:type="dxa"/>
            <w:tcBorders/>
            <w:shd w:fill="auto" w:val="clear"/>
            <w:vAlign w:val="center"/>
          </w:tcPr>
          <w:p>
            <w:pPr>
              <w:pStyle w:val="TableContents"/>
              <w:spacing w:lineRule="atLeast" w:line="180" w:before="0" w:after="0"/>
              <w:rPr>
                <w:spacing w:val="0"/>
                <w:sz w:val="18"/>
              </w:rPr>
            </w:pPr>
            <w:r>
              <w:rPr>
                <w:spacing w:val="0"/>
                <w:sz w:val="18"/>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Interest</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652" w:type="dxa"/>
            <w:tcBorders/>
            <w:shd w:fill="CCEEFF" w:val="clear"/>
            <w:vAlign w:val="center"/>
          </w:tcPr>
          <w:p>
            <w:pPr>
              <w:pStyle w:val="TableContents"/>
              <w:spacing w:lineRule="atLeast" w:line="180" w:before="0" w:after="283"/>
              <w:jc w:val="right"/>
              <w:rPr>
                <w:sz w:val="18"/>
              </w:rPr>
            </w:pPr>
            <w:r>
              <w:rPr>
                <w:sz w:val="18"/>
              </w:rPr>
              <w:t>1,392</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430" w:type="dxa"/>
            <w:tcBorders/>
            <w:shd w:fill="CCEEFF" w:val="clear"/>
            <w:vAlign w:val="center"/>
          </w:tcPr>
          <w:p>
            <w:pPr>
              <w:pStyle w:val="TableContents"/>
              <w:spacing w:lineRule="atLeast" w:line="180" w:before="0" w:after="283"/>
              <w:jc w:val="right"/>
              <w:rPr>
                <w:sz w:val="18"/>
              </w:rPr>
            </w:pPr>
            <w:r>
              <w:rPr>
                <w:sz w:val="18"/>
              </w:rPr>
              <w:t>269</w:t>
            </w:r>
          </w:p>
        </w:tc>
        <w:tc>
          <w:tcPr>
            <w:tcW w:w="142" w:type="dxa"/>
            <w:tcBorders/>
            <w:shd w:fill="CCEEFF" w:val="clear"/>
            <w:vAlign w:val="center"/>
          </w:tcPr>
          <w:p>
            <w:pPr>
              <w:pStyle w:val="TableContents"/>
              <w:spacing w:lineRule="atLeast" w:line="180" w:before="0" w:after="0"/>
              <w:rPr>
                <w:spacing w:val="0"/>
              </w:rPr>
            </w:pPr>
            <w:r>
              <w:rPr>
                <w:spacing w:val="0"/>
              </w:rPr>
              <w:t> </w:t>
            </w:r>
          </w:p>
        </w:tc>
      </w:tr>
      <w:tr>
        <w:trPr/>
        <w:tc>
          <w:tcPr>
            <w:tcW w:w="5857"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The following table provides a reconciliation of cash and cash equivalents, and restricted cash reported within the condensed consolidated balance sheet with the same as shown in the condensed consolidated statement of cash flows.</w:t>
            </w:r>
          </w:p>
        </w:tc>
        <w:tc>
          <w:tcPr>
            <w:tcW w:w="12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652" w:type="dxa"/>
            <w:tcBorders/>
            <w:shd w:fill="auto" w:val="clear"/>
            <w:vAlign w:val="center"/>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Cash and cash equivalents</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652" w:type="dxa"/>
            <w:tcBorders/>
            <w:shd w:fill="CCEEFF" w:val="clear"/>
            <w:vAlign w:val="center"/>
          </w:tcPr>
          <w:p>
            <w:pPr>
              <w:pStyle w:val="TableContents"/>
              <w:spacing w:lineRule="atLeast" w:line="180" w:before="0" w:after="283"/>
              <w:jc w:val="right"/>
              <w:rPr>
                <w:sz w:val="18"/>
              </w:rPr>
            </w:pPr>
            <w:r>
              <w:rPr>
                <w:sz w:val="18"/>
              </w:rPr>
              <w:t>23,569</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spacing w:val="0"/>
                <w:sz w:val="18"/>
              </w:rPr>
            </w:pPr>
            <w:r>
              <w:rPr>
                <w:spacing w:val="0"/>
                <w:sz w:val="18"/>
              </w:rPr>
              <w:t>$</w:t>
            </w:r>
          </w:p>
        </w:tc>
        <w:tc>
          <w:tcPr>
            <w:tcW w:w="1430" w:type="dxa"/>
            <w:tcBorders/>
            <w:shd w:fill="CCEEFF" w:val="clear"/>
            <w:vAlign w:val="center"/>
          </w:tcPr>
          <w:p>
            <w:pPr>
              <w:pStyle w:val="TableContents"/>
              <w:spacing w:lineRule="atLeast" w:line="180" w:before="0" w:after="283"/>
              <w:jc w:val="right"/>
              <w:rPr>
                <w:sz w:val="18"/>
              </w:rPr>
            </w:pPr>
            <w:r>
              <w:rPr>
                <w:sz w:val="18"/>
              </w:rPr>
              <w:t>23,438</w:t>
            </w:r>
          </w:p>
        </w:tc>
        <w:tc>
          <w:tcPr>
            <w:tcW w:w="142" w:type="dxa"/>
            <w:tcBorders/>
            <w:shd w:fill="CCEEFF" w:val="clear"/>
            <w:vAlign w:val="center"/>
          </w:tcPr>
          <w:p>
            <w:pPr>
              <w:pStyle w:val="TableContents"/>
              <w:spacing w:before="0" w:after="283"/>
              <w:rPr/>
            </w:pPr>
            <w:r>
              <w:rPr/>
              <w:t> </w:t>
            </w:r>
          </w:p>
        </w:tc>
      </w:tr>
      <w:tr>
        <w:trPr/>
        <w:tc>
          <w:tcPr>
            <w:tcW w:w="5857" w:type="dxa"/>
            <w:tcBorders/>
            <w:shd w:fill="auto" w:val="clear"/>
            <w:vAlign w:val="center"/>
          </w:tcPr>
          <w:p>
            <w:pPr>
              <w:pStyle w:val="TableContents"/>
              <w:spacing w:lineRule="atLeast" w:line="180" w:before="0" w:after="0"/>
              <w:rPr>
                <w:rFonts w:ascii="Times New Roman" w:hAnsi="Times New Roman"/>
                <w:spacing w:val="0"/>
                <w:sz w:val="18"/>
              </w:rPr>
            </w:pPr>
            <w:r>
              <w:rPr>
                <w:rFonts w:ascii="Times New Roman" w:hAnsi="Times New Roman"/>
                <w:spacing w:val="0"/>
                <w:sz w:val="18"/>
              </w:rPr>
              <w:t>Restricted cash</w:t>
            </w:r>
          </w:p>
        </w:tc>
        <w:tc>
          <w:tcPr>
            <w:tcW w:w="120"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652" w:type="dxa"/>
            <w:tcBorders/>
            <w:shd w:fill="auto" w:val="clear"/>
            <w:vAlign w:val="center"/>
          </w:tcPr>
          <w:p>
            <w:pPr>
              <w:pStyle w:val="TableContents"/>
              <w:spacing w:lineRule="atLeast" w:line="180" w:before="0" w:after="283"/>
              <w:jc w:val="right"/>
              <w:rPr>
                <w:sz w:val="18"/>
              </w:rPr>
            </w:pPr>
            <w:r>
              <w:rPr>
                <w:sz w:val="18"/>
              </w:rPr>
              <w:t>447</w:t>
            </w:r>
          </w:p>
        </w:tc>
        <w:tc>
          <w:tcPr>
            <w:tcW w:w="310" w:type="dxa"/>
            <w:tcBorders/>
            <w:shd w:fill="auto" w:val="clear"/>
            <w:vAlign w:val="center"/>
          </w:tcPr>
          <w:p>
            <w:pPr>
              <w:pStyle w:val="TableContents"/>
              <w:spacing w:lineRule="atLeast" w:line="180" w:before="0" w:after="0"/>
              <w:rPr>
                <w:spacing w:val="0"/>
              </w:rPr>
            </w:pPr>
            <w:r>
              <w:rPr>
                <w:spacing w:val="0"/>
              </w:rPr>
              <w:t> </w:t>
            </w:r>
          </w:p>
        </w:tc>
        <w:tc>
          <w:tcPr>
            <w:tcW w:w="148" w:type="dxa"/>
            <w:tcBorders/>
            <w:shd w:fill="auto" w:val="clear"/>
            <w:vAlign w:val="center"/>
          </w:tcPr>
          <w:p>
            <w:pPr>
              <w:pStyle w:val="TableContents"/>
              <w:spacing w:lineRule="atLeast" w:line="180" w:before="0" w:after="0"/>
              <w:rPr>
                <w:spacing w:val="0"/>
              </w:rPr>
            </w:pPr>
            <w:r>
              <w:rPr>
                <w:spacing w:val="0"/>
              </w:rPr>
              <w:t> </w:t>
            </w:r>
          </w:p>
        </w:tc>
        <w:tc>
          <w:tcPr>
            <w:tcW w:w="273" w:type="dxa"/>
            <w:tcBorders/>
            <w:shd w:fill="auto" w:val="clear"/>
            <w:vAlign w:val="center"/>
          </w:tcPr>
          <w:p>
            <w:pPr>
              <w:pStyle w:val="TableContents"/>
              <w:spacing w:lineRule="atLeast" w:line="180" w:before="0" w:after="0"/>
              <w:rPr>
                <w:spacing w:val="0"/>
              </w:rPr>
            </w:pPr>
            <w:r>
              <w:rPr>
                <w:spacing w:val="0"/>
              </w:rPr>
              <w:t> </w:t>
            </w:r>
          </w:p>
        </w:tc>
        <w:tc>
          <w:tcPr>
            <w:tcW w:w="1430" w:type="dxa"/>
            <w:tcBorders/>
            <w:shd w:fill="auto" w:val="clear"/>
            <w:vAlign w:val="center"/>
          </w:tcPr>
          <w:p>
            <w:pPr>
              <w:pStyle w:val="TableContents"/>
              <w:spacing w:lineRule="atLeast" w:line="180" w:before="0" w:after="283"/>
              <w:jc w:val="right"/>
              <w:rPr>
                <w:sz w:val="18"/>
              </w:rPr>
            </w:pPr>
            <w:r>
              <w:rPr>
                <w:sz w:val="18"/>
              </w:rPr>
              <w:t>429</w:t>
            </w:r>
          </w:p>
        </w:tc>
        <w:tc>
          <w:tcPr>
            <w:tcW w:w="142" w:type="dxa"/>
            <w:tcBorders/>
            <w:shd w:fill="auto"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single" w:sz="2" w:space="1" w:color="000000"/>
              </w:rPr>
            </w:pPr>
            <w:r>
              <w:rPr>
                <w:bdr w:val="single" w:sz="2" w:space="1" w:color="000000"/>
              </w:rPr>
              <w:t> </w:t>
            </w:r>
          </w:p>
        </w:tc>
        <w:tc>
          <w:tcPr>
            <w:tcW w:w="1652" w:type="dxa"/>
            <w:tcBorders/>
            <w:shd w:fill="CCEEFF" w:val="clear"/>
            <w:vAlign w:val="center"/>
          </w:tcPr>
          <w:p>
            <w:pPr>
              <w:pStyle w:val="TableContents"/>
              <w:spacing w:before="0" w:after="0"/>
              <w:rPr>
                <w:bdr w:val="single" w:sz="2" w:space="1" w:color="000000"/>
              </w:rPr>
            </w:pPr>
            <w:r>
              <w:rPr>
                <w:bdr w:val="single" w:sz="2" w:space="1" w:color="000000"/>
              </w:rPr>
              <w:t> </w:t>
            </w:r>
          </w:p>
        </w:tc>
        <w:tc>
          <w:tcPr>
            <w:tcW w:w="31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273" w:type="dxa"/>
            <w:tcBorders/>
            <w:shd w:fill="CCEEFF" w:val="clear"/>
            <w:vAlign w:val="center"/>
          </w:tcPr>
          <w:p>
            <w:pPr>
              <w:pStyle w:val="TableContents"/>
              <w:spacing w:before="0" w:after="0"/>
              <w:rPr>
                <w:bdr w:val="single" w:sz="2" w:space="1" w:color="000000"/>
              </w:rPr>
            </w:pPr>
            <w:r>
              <w:rPr>
                <w:bdr w:val="single" w:sz="2" w:space="1" w:color="000000"/>
              </w:rPr>
              <w:t> </w:t>
            </w:r>
          </w:p>
        </w:tc>
        <w:tc>
          <w:tcPr>
            <w:tcW w:w="1430" w:type="dxa"/>
            <w:tcBorders/>
            <w:shd w:fill="CCEEFF" w:val="clear"/>
            <w:vAlign w:val="center"/>
          </w:tcPr>
          <w:p>
            <w:pPr>
              <w:pStyle w:val="TableContents"/>
              <w:spacing w:before="0" w:after="0"/>
              <w:rPr>
                <w:bdr w:val="single" w:sz="2" w:space="1" w:color="000000"/>
              </w:rPr>
            </w:pPr>
            <w:r>
              <w:rPr>
                <w:bdr w:val="single" w:sz="2" w:space="1" w:color="000000"/>
              </w:rPr>
              <w:t> </w:t>
            </w:r>
          </w:p>
        </w:tc>
        <w:tc>
          <w:tcPr>
            <w:tcW w:w="142" w:type="dxa"/>
            <w:tcBorders/>
            <w:shd w:fill="CCEEFF" w:val="clear"/>
            <w:vAlign w:val="center"/>
          </w:tcPr>
          <w:p>
            <w:pPr>
              <w:pStyle w:val="TableContents"/>
              <w:spacing w:before="0" w:after="283"/>
              <w:rPr/>
            </w:pPr>
            <w:r>
              <w:rPr/>
              <w:t> </w:t>
            </w:r>
          </w:p>
        </w:tc>
      </w:tr>
      <w:tr>
        <w:trPr/>
        <w:tc>
          <w:tcPr>
            <w:tcW w:w="5857" w:type="dxa"/>
            <w:tcBorders/>
            <w:shd w:fill="CCEEFF" w:val="clear"/>
            <w:vAlign w:val="center"/>
          </w:tcPr>
          <w:p>
            <w:pPr>
              <w:pStyle w:val="TableContents"/>
              <w:spacing w:lineRule="atLeast" w:line="180" w:before="0" w:after="0"/>
              <w:rPr>
                <w:rFonts w:ascii="Times New Roman" w:hAnsi="Times New Roman"/>
                <w:b/>
                <w:spacing w:val="0"/>
                <w:sz w:val="18"/>
              </w:rPr>
            </w:pPr>
            <w:r>
              <w:rPr>
                <w:rFonts w:ascii="Times New Roman" w:hAnsi="Times New Roman"/>
                <w:b/>
                <w:spacing w:val="0"/>
                <w:sz w:val="18"/>
              </w:rPr>
              <w:t>Total cash, cash equivalents, and restricted cash, end of period</w:t>
            </w:r>
          </w:p>
        </w:tc>
        <w:tc>
          <w:tcPr>
            <w:tcW w:w="120"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b/>
                <w:spacing w:val="0"/>
                <w:sz w:val="18"/>
              </w:rPr>
            </w:pPr>
            <w:r>
              <w:rPr>
                <w:b/>
                <w:spacing w:val="0"/>
                <w:sz w:val="18"/>
              </w:rPr>
              <w:t>$</w:t>
            </w:r>
          </w:p>
        </w:tc>
        <w:tc>
          <w:tcPr>
            <w:tcW w:w="1652" w:type="dxa"/>
            <w:tcBorders/>
            <w:shd w:fill="CCEEFF" w:val="clear"/>
            <w:vAlign w:val="center"/>
          </w:tcPr>
          <w:p>
            <w:pPr>
              <w:pStyle w:val="TableContents"/>
              <w:spacing w:lineRule="atLeast" w:line="180" w:before="0" w:after="0"/>
              <w:jc w:val="right"/>
              <w:rPr>
                <w:b/>
                <w:spacing w:val="0"/>
                <w:sz w:val="18"/>
              </w:rPr>
            </w:pPr>
            <w:r>
              <w:rPr>
                <w:b/>
                <w:spacing w:val="0"/>
                <w:sz w:val="18"/>
              </w:rPr>
              <w:t>24,016</w:t>
            </w:r>
          </w:p>
        </w:tc>
        <w:tc>
          <w:tcPr>
            <w:tcW w:w="310" w:type="dxa"/>
            <w:tcBorders/>
            <w:shd w:fill="CCEEFF" w:val="clear"/>
            <w:vAlign w:val="center"/>
          </w:tcPr>
          <w:p>
            <w:pPr>
              <w:pStyle w:val="TableContents"/>
              <w:spacing w:lineRule="atLeast" w:line="180" w:before="0" w:after="0"/>
              <w:rPr>
                <w:spacing w:val="0"/>
              </w:rPr>
            </w:pPr>
            <w:r>
              <w:rPr>
                <w:spacing w:val="0"/>
              </w:rPr>
              <w:t> </w:t>
            </w:r>
          </w:p>
        </w:tc>
        <w:tc>
          <w:tcPr>
            <w:tcW w:w="148" w:type="dxa"/>
            <w:tcBorders/>
            <w:shd w:fill="CCEEFF" w:val="clear"/>
            <w:vAlign w:val="center"/>
          </w:tcPr>
          <w:p>
            <w:pPr>
              <w:pStyle w:val="TableContents"/>
              <w:spacing w:lineRule="atLeast" w:line="180" w:before="0" w:after="0"/>
              <w:rPr>
                <w:spacing w:val="0"/>
              </w:rPr>
            </w:pPr>
            <w:r>
              <w:rPr>
                <w:spacing w:val="0"/>
              </w:rPr>
              <w:t> </w:t>
            </w:r>
          </w:p>
        </w:tc>
        <w:tc>
          <w:tcPr>
            <w:tcW w:w="273" w:type="dxa"/>
            <w:tcBorders/>
            <w:shd w:fill="CCEEFF" w:val="clear"/>
            <w:vAlign w:val="center"/>
          </w:tcPr>
          <w:p>
            <w:pPr>
              <w:pStyle w:val="TableContents"/>
              <w:spacing w:lineRule="atLeast" w:line="180" w:before="0" w:after="0"/>
              <w:rPr>
                <w:b/>
                <w:spacing w:val="0"/>
                <w:sz w:val="18"/>
              </w:rPr>
            </w:pPr>
            <w:r>
              <w:rPr>
                <w:b/>
                <w:spacing w:val="0"/>
                <w:sz w:val="18"/>
              </w:rPr>
              <w:t>$</w:t>
            </w:r>
          </w:p>
        </w:tc>
        <w:tc>
          <w:tcPr>
            <w:tcW w:w="1430" w:type="dxa"/>
            <w:tcBorders/>
            <w:shd w:fill="CCEEFF" w:val="clear"/>
            <w:vAlign w:val="center"/>
          </w:tcPr>
          <w:p>
            <w:pPr>
              <w:pStyle w:val="TableContents"/>
              <w:spacing w:lineRule="atLeast" w:line="180" w:before="0" w:after="0"/>
              <w:jc w:val="right"/>
              <w:rPr>
                <w:b/>
                <w:spacing w:val="0"/>
                <w:sz w:val="18"/>
              </w:rPr>
            </w:pPr>
            <w:r>
              <w:rPr>
                <w:b/>
                <w:spacing w:val="0"/>
                <w:sz w:val="18"/>
              </w:rPr>
              <w:t>23,867</w:t>
            </w:r>
          </w:p>
        </w:tc>
        <w:tc>
          <w:tcPr>
            <w:tcW w:w="142" w:type="dxa"/>
            <w:tcBorders/>
            <w:shd w:fill="CCEEFF" w:val="clear"/>
            <w:vAlign w:val="center"/>
          </w:tcPr>
          <w:p>
            <w:pPr>
              <w:pStyle w:val="TableContents"/>
              <w:spacing w:before="0" w:after="0"/>
              <w:rPr>
                <w:spacing w:val="0"/>
              </w:rPr>
            </w:pPr>
            <w:r>
              <w:rPr>
                <w:spacing w:val="0"/>
              </w:rPr>
              <w:t> </w:t>
            </w:r>
          </w:p>
        </w:tc>
      </w:tr>
      <w:tr>
        <w:trPr/>
        <w:tc>
          <w:tcPr>
            <w:tcW w:w="585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double" w:sz="6" w:space="1" w:color="000000"/>
              </w:rPr>
            </w:pPr>
            <w:r>
              <w:rPr>
                <w:bdr w:val="double" w:sz="6" w:space="1" w:color="000000"/>
              </w:rPr>
              <w:t> </w:t>
            </w:r>
          </w:p>
        </w:tc>
        <w:tc>
          <w:tcPr>
            <w:tcW w:w="1652" w:type="dxa"/>
            <w:tcBorders/>
            <w:shd w:fill="auto" w:val="clear"/>
            <w:vAlign w:val="center"/>
          </w:tcPr>
          <w:p>
            <w:pPr>
              <w:pStyle w:val="TableContents"/>
              <w:spacing w:before="0" w:after="0"/>
              <w:rPr>
                <w:bdr w:val="double" w:sz="6" w:space="1" w:color="000000"/>
              </w:rPr>
            </w:pPr>
            <w:r>
              <w:rPr>
                <w:bdr w:val="double" w:sz="6" w:space="1" w:color="000000"/>
              </w:rPr>
              <w:t> </w:t>
            </w:r>
          </w:p>
        </w:tc>
        <w:tc>
          <w:tcPr>
            <w:tcW w:w="31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0"/>
              <w:rPr>
                <w:bdr w:val="double" w:sz="6" w:space="1" w:color="000000"/>
              </w:rPr>
            </w:pPr>
            <w:r>
              <w:rPr>
                <w:bdr w:val="double" w:sz="6" w:space="1" w:color="000000"/>
              </w:rPr>
              <w:t> </w:t>
            </w:r>
          </w:p>
        </w:tc>
        <w:tc>
          <w:tcPr>
            <w:tcW w:w="1430" w:type="dxa"/>
            <w:tcBorders/>
            <w:shd w:fill="auto" w:val="clear"/>
            <w:vAlign w:val="center"/>
          </w:tcPr>
          <w:p>
            <w:pPr>
              <w:pStyle w:val="TableContents"/>
              <w:spacing w:before="0" w:after="0"/>
              <w:rPr>
                <w:bdr w:val="double" w:sz="6" w:space="1" w:color="000000"/>
              </w:rPr>
            </w:pPr>
            <w:r>
              <w:rPr>
                <w:bdr w:val="double" w:sz="6" w:space="1" w:color="000000"/>
              </w:rPr>
              <w:t> </w:t>
            </w:r>
          </w:p>
        </w:tc>
        <w:tc>
          <w:tcPr>
            <w:tcW w:w="142" w:type="dxa"/>
            <w:tcBorders/>
            <w:shd w:fill="auto" w:val="clear"/>
            <w:vAlign w:val="center"/>
          </w:tcPr>
          <w:p>
            <w:pPr>
              <w:pStyle w:val="TableContents"/>
              <w:spacing w:before="0" w:after="283"/>
              <w:rPr/>
            </w:pPr>
            <w:r>
              <w:rPr/>
              <w:t> </w:t>
            </w:r>
          </w:p>
        </w:tc>
      </w:tr>
    </w:tbl>
    <w:p>
      <w:pPr>
        <w:pStyle w:val="TextBody"/>
        <w:spacing w:before="240" w:after="0"/>
        <w:ind w:left="0" w:right="0" w:hanging="0"/>
        <w:jc w:val="center"/>
        <w:rPr>
          <w:rFonts w:ascii="Times New Roman" w:hAnsi="Times New Roman"/>
          <w:b/>
          <w:sz w:val="20"/>
          <w:highlight w:val="white"/>
        </w:rPr>
      </w:pPr>
      <w:r>
        <w:rPr>
          <w:rFonts w:ascii="Times New Roman" w:hAnsi="Times New Roman"/>
          <w:b/>
          <w:sz w:val="20"/>
          <w:highlight w:val="white"/>
        </w:rPr>
        <w:t xml:space="preserve">See accompanying notes to the condensed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8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Note 1 Organization and Nature of Business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Overview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Dave Inc. (“Dave” or the “Company”), a Delaware corporation, with headquarters located in West Hollywood,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Dave offers a suite of innovative financial products aimed at helping Members improve their financial health. The Company’s budgeting tool helps Members manage their upcoming bills to avoid overspending. To help Members avoid punitive overdraft fees and access short-term liquidity, Dave offers cash advances through its flagship 0% interest ExtraCash product. Dave also helps Members generate extra income for spending or emergencies through Dave’s Side Hustle product, where Dave presents Members with supplemental work opportunities. Through Dave Banking, the Company provides a modern checking account experience with valuable tools for building long-term financial health.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Insights: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spending and earning dynamics have become more complex over time, the Company offers a personal financial management tool to support Members with budgeting, wherever someone banks. These insights help people to manage their income and expenses between paychecks, helping them to spend and save in a smarter way and avoid liquidity jams that may cause them to overdraft.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ExtraCash: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 for access to as little as $5 of overdraft, whereas many others in the financial services sector don’t allow for overdraft at all. Dave invented a free overdraft and short-term credit alternative called ExtraCash, which allows Members to advance funds to their account and avoid a fee altogether. Members may receive an advance of up to $250.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Side Hustle: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Dave seeks to help Members improve their financial health by presenting new job opportunities to them. Through Dave’s partnership with leading employers Members can quickly submit applications and improve their income with flexible employment. Members have generated more than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$157 million of new income through applications submitted using Dave’s Side Hustle product since it was launched in 2018.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Dave Banking: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Dave offers a full-service digital checking account through its partnership with Evolve Bank and Trust. (“Evolve”), an Arkansas-based, nationally chartered bank owned by Evolve Bancorp Inc. The Company does not have overdraft and minimum balance fees, we allow for early paycheck payment and help Members build credit with their rent and utility payments. Dave Banking Members also have access to Insights and higher ExtraCash limits.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Business Combination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January 5, 2022 (the “Closing Date”), the Company consummated the previously announced transaction (pursuant to that certain Agreement and Plan of Merger, dated June 7, 2021 (the “Business Combination Agreement”), by and among Dave Inc. (prior to the Mergers (as defined below), hereinafter referred to as “Legacy Dave”), VPCC, Bear Merger Company I Inc., a Delaware corporation and a direct, wholly owned Subsidiaries of VPCC (“First Merger Sub”), and Bear Merger Company II LLC, a Delaware limited liability company and a direct wholly owned Subsidiaries of VPCC (“Second Merger Sub”).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On January 5, 2022, pursuant to the Business Combination Agreement, First Merger Sub merged with and into Legacy Dave (the “First Merger”), with Legacy Dave surviving the First Merger as a wholly owned subsidiary of VPCC (such company, in its capacity as the surviving corporation of the First Merger, the “Surviving Corporation”), immediately followed by the Surviving Corporation merging with and into Second Merger Sub (the “Second Merger”, the Second Merger together with the First Merger, the “Mergers” and the Mergers together with the other transactions contemplated by the Business Combination Agreement, the “Business Combination” or the “Transactions”), with Second Merger Sub (such entity, following the Second Merger, the “Surviving Entity”) surviving the Second Merger as a wholly owned subsidiary of VPCC. Following the Mergers, “VPC Impact Acquisition Holdings III, Inc.” was renamed “Dave Inc.” and the Surviving Entity was renamed “Dave Operating LLC”.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On January 5, 2022, the holders of (a) Legacy Dave capital stock and (b) Legacy Dave’s options to purchase Legacy Dave capital stock pursuant to Legacy Dave’s stock plan (the “Legacy Dave Options”), received aggregate merger consideration, consisting o</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327,255,618 </w:t>
      </w:r>
    </w:p>
    <w:p>
      <w:pPr>
        <w:pStyle w:val="TextBody"/>
        <w:spacing w:before="240" w:after="0"/>
        <w:jc w:val="left"/>
        <w:rPr>
          <w:rFonts w:ascii="Times New Roman" w:hAnsi="Times New Roman"/>
          <w:spacing w:val="0"/>
          <w:sz w:val="20"/>
        </w:rPr>
      </w:pPr>
      <w:r>
        <w:rPr>
          <w:rFonts w:ascii="Times New Roman" w:hAnsi="Times New Roman"/>
          <w:spacing w:val="0"/>
          <w:sz w:val="20"/>
        </w:rPr>
        <w:t>shares of Class A common stock of the Company, par value</w:t>
      </w:r>
    </w:p>
    <w:p>
      <w:pPr>
        <w:pStyle w:val="TextBody"/>
        <w:spacing w:before="240" w:after="0"/>
        <w:jc w:val="left"/>
        <w:rPr>
          <w:spacing w:val="0"/>
        </w:rPr>
      </w:pPr>
      <w:r>
        <w:rPr>
          <w:spacing w:val="0"/>
        </w:rPr>
        <w:t> </w:t>
      </w:r>
      <w:r>
        <w:rPr>
          <w:rFonts w:ascii="Times New Roman" w:hAnsi="Times New Roman"/>
          <w:spacing w:val="0"/>
          <w:sz w:val="20"/>
        </w:rPr>
        <w:t xml:space="preserve">$0.0001 </w:t>
      </w:r>
    </w:p>
    <w:p>
      <w:pPr>
        <w:pStyle w:val="TextBody"/>
        <w:spacing w:before="240" w:after="0"/>
        <w:jc w:val="left"/>
        <w:rPr>
          <w:rFonts w:ascii="Times New Roman" w:hAnsi="Times New Roman"/>
          <w:spacing w:val="0"/>
          <w:sz w:val="20"/>
        </w:rPr>
      </w:pPr>
      <w:r>
        <w:rPr>
          <w:rFonts w:ascii="Times New Roman" w:hAnsi="Times New Roman"/>
          <w:spacing w:val="0"/>
          <w:sz w:val="20"/>
        </w:rPr>
        <w:t>per share (the “Class A Common Stock”) and 48,450,639 shares of Class V common stock of the Company, par value</w:t>
      </w:r>
    </w:p>
    <w:p>
      <w:pPr>
        <w:pStyle w:val="TextBody"/>
        <w:spacing w:before="240" w:after="0"/>
        <w:jc w:val="left"/>
        <w:rPr>
          <w:spacing w:val="0"/>
        </w:rPr>
      </w:pPr>
      <w:r>
        <w:rPr>
          <w:spacing w:val="0"/>
        </w:rPr>
        <w:t> </w:t>
      </w:r>
      <w:r>
        <w:rPr>
          <w:rFonts w:ascii="Times New Roman" w:hAnsi="Times New Roman"/>
          <w:spacing w:val="0"/>
          <w:sz w:val="20"/>
        </w:rPr>
        <w:t xml:space="preserve">$0.0001 </w:t>
      </w:r>
    </w:p>
    <w:p>
      <w:pPr>
        <w:pStyle w:val="TextBody"/>
        <w:spacing w:before="240" w:after="0"/>
        <w:jc w:val="left"/>
        <w:rPr>
          <w:rFonts w:ascii="Times New Roman" w:hAnsi="Times New Roman"/>
          <w:spacing w:val="0"/>
          <w:sz w:val="20"/>
        </w:rPr>
      </w:pPr>
      <w:r>
        <w:rPr>
          <w:rFonts w:ascii="Times New Roman" w:hAnsi="Times New Roman"/>
          <w:spacing w:val="0"/>
          <w:sz w:val="20"/>
        </w:rPr>
        <w:t>per share (the “Class V Common Stock”, and together with the Class A Common Stock, the “Common Stock”).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The Company’s Class A Common Stock is now listed on the Nasdaq Global Market under the symbol “DAVE”, and warrants to purchase the Class A Common Stock at an exercise price of $11.50 per share are listed on Nasdaq under the symbol “DAVEW”. The audited financial statements included in </w:t>
      </w:r>
    </w:p>
    <w:p>
      <w:pPr>
        <w:pStyle w:val="TextBody"/>
        <w:spacing w:before="240" w:after="0"/>
        <w:jc w:val="left"/>
        <w:rPr>
          <w:rFonts w:ascii="Times New Roman;serif" w:hAnsi="Times New Roman;serif"/>
          <w:spacing w:val="0"/>
          <w:sz w:val="20"/>
        </w:rPr>
      </w:pPr>
      <w:r>
        <w:rPr>
          <w:rFonts w:ascii="Times New Roman;serif" w:hAnsi="Times New Roman;serif"/>
          <w:spacing w:val="0"/>
          <w:sz w:val="20"/>
        </w:rPr>
        <w:t xml:space="preserve">Dave’s Annual Report on </w:t>
      </w:r>
    </w:p>
    <w:p>
      <w:pPr>
        <w:pStyle w:val="TextBody"/>
        <w:spacing w:before="240" w:after="0"/>
        <w:jc w:val="left"/>
        <w:rPr>
          <w:rFonts w:ascii="Times New Roman" w:hAnsi="Times New Roman"/>
          <w:sz w:val="20"/>
        </w:rPr>
      </w:pPr>
      <w:r>
        <w:rPr>
          <w:rFonts w:ascii="Times New Roman" w:hAnsi="Times New Roman"/>
          <w:sz w:val="20"/>
        </w:rPr>
        <w:t xml:space="preserve">Form </w:t>
      </w:r>
    </w:p>
    <w:p>
      <w:pPr>
        <w:pStyle w:val="TextBody"/>
        <w:spacing w:before="240" w:after="0"/>
        <w:jc w:val="left"/>
        <w:rPr>
          <w:rFonts w:ascii="Times New Roman" w:hAnsi="Times New Roman"/>
          <w:spacing w:val="0"/>
          <w:sz w:val="20"/>
        </w:rPr>
      </w:pPr>
      <w:r>
        <w:rPr>
          <w:rFonts w:ascii="Times New Roman" w:hAnsi="Times New Roman"/>
          <w:spacing w:val="0"/>
          <w:sz w:val="20"/>
        </w:rPr>
        <w:t>10-K</w:t>
      </w:r>
    </w:p>
    <w:p>
      <w:pPr>
        <w:pStyle w:val="TextBody"/>
        <w:spacing w:before="240" w:after="0"/>
        <w:jc w:val="left"/>
        <w:rPr>
          <w:rFonts w:ascii="Times New Roman" w:hAnsi="Times New Roman"/>
          <w:sz w:val="20"/>
        </w:rPr>
      </w:pPr>
      <w:r>
        <w:rPr>
          <w:rFonts w:ascii="Times New Roman" w:hAnsi="Times New Roman"/>
          <w:sz w:val="20"/>
        </w:rPr>
        <w:t xml:space="preserve">filed with the SEC on March 25, 2022 are those of VPCC prior to the consummation of the Business Combination and the name change. </w:t>
      </w:r>
    </w:p>
    <w:p>
      <w:pPr>
        <w:pStyle w:val="TextBody"/>
        <w:spacing w:before="240" w:after="0"/>
        <w:jc w:val="left"/>
        <w:rPr>
          <w:rFonts w:ascii="Times New Roman;serif" w:hAnsi="Times New Roman;serif"/>
          <w:spacing w:val="0"/>
          <w:sz w:val="20"/>
        </w:rPr>
      </w:pPr>
      <w:r>
        <w:rPr>
          <w:rFonts w:ascii="Times New Roman;serif" w:hAnsi="Times New Roman;serif"/>
          <w:spacing w:val="0"/>
          <w:sz w:val="20"/>
        </w:rPr>
        <w:t>The audited financial statements of Legacy Dave are included in Form 8-K/A filed with the SEC on March 25, 2022 prior to the consummation of the Business Combination and the name change.</w:t>
      </w:r>
    </w:p>
    <w:p>
      <w:pPr>
        <w:pStyle w:val="TextBody"/>
        <w:spacing w:before="240" w:after="0"/>
        <w:jc w:val="left"/>
        <w:rPr>
          <w:rFonts w:ascii="Times New Roman" w:hAnsi="Times New Roman"/>
          <w:sz w:val="20"/>
        </w:rPr>
      </w:pPr>
      <w:r>
        <w:rPr>
          <w:rFonts w:ascii="Times New Roman" w:hAnsi="Times New Roman"/>
          <w:sz w:val="20"/>
        </w:rPr>
        <w:t xml:space="preserve">Prior to the Business Combination, VPCC neither engaged in any operations nor generated any revenue. Until the Business Combination, based on VPCC’s business activities, VPCC was a “shell company” as defined under the Securities Exchange Act of 1934, as amended (the “Exchange Act”). The audited Consolidated Financial Statements as of and for the years ended December 31, 2021 and 2020 for Legacy Dave were included in Exhibit 99.3 of Amendment No. 1 to the Current Report on Form 8-K (the “Form 8-K/A”) filed with the Securities and Exchange Commission (“SEC”) on March 25, 2022.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COVID-19</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There are many uncertainties regarding the current global pandemic involving a novel strain of coronavirus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and the Company continues to closely monitor the impact of the pandemic on all aspects of the business, including how it has and may in the future impact Members, employees, suppliers, vendors, and business partners. The duration and magnitude of the continuing effects of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on Members remain uncertain and dependent on various factors, including the continued severity and transmission rate of the virus, new variants of the virus, the nature of and duration for which preventive measures remain in place, the extent and effectiveness of containment and mitigation efforts, including vaccination programs, and the type of stimulus measures and other policy responses that the U.S. government may further adopt.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Beginning in March 2020, </w:t>
      </w:r>
    </w:p>
    <w:p>
      <w:pPr>
        <w:pStyle w:val="TextBody"/>
        <w:spacing w:before="240" w:after="0"/>
        <w:jc w:val="left"/>
        <w:rPr>
          <w:rFonts w:ascii="Times New Roman;serif" w:hAnsi="Times New Roman;serif"/>
          <w:spacing w:val="0"/>
          <w:sz w:val="20"/>
        </w:rPr>
      </w:pPr>
      <w:r>
        <w:rPr>
          <w:rFonts w:ascii="Times New Roman;serif" w:hAnsi="Times New Roman;serif"/>
          <w:spacing w:val="0"/>
          <w:sz w:val="20"/>
        </w:rPr>
        <w:t>Dave’s</w:t>
      </w:r>
    </w:p>
    <w:p>
      <w:pPr>
        <w:pStyle w:val="TextBody"/>
        <w:spacing w:before="240" w:after="0"/>
        <w:jc w:val="left"/>
        <w:rPr>
          <w:rFonts w:ascii="Times New Roman" w:hAnsi="Times New Roman"/>
          <w:sz w:val="20"/>
        </w:rPr>
      </w:pPr>
      <w:r>
        <w:rPr>
          <w:rFonts w:ascii="Times New Roman" w:hAnsi="Times New Roman"/>
          <w:sz w:val="20"/>
        </w:rPr>
        <w:t xml:space="preserve">business and operations were disrupted by the conditions caused by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which adversely affected Members’ spending levels and disposable income. Governmental actions such as the Coronavirus Aid, Relief, and Economic Security Act (“CARES Act”) helped mitigate the effects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on Members. In particular, stimulus funds and enhanced unemployment benefits provided under the CARES Act created additional financial support for Members; however, the overall economic conditions and increased levels of unemployment may negatively impact the creditworthiness of Members and could impact the credit risk on the Company’s Advance business. The Company actively monitors the performance of its Advance portfolio and will continue to assess the impact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At the onset of the pandemic, the Company made some underwriting modifications in response and intend to make additional adjustments to </w:t>
      </w:r>
    </w:p>
    <w:p>
      <w:pPr>
        <w:pStyle w:val="TextBody"/>
        <w:spacing w:before="240" w:after="0"/>
        <w:jc w:val="left"/>
        <w:rPr>
          <w:rFonts w:ascii="Times New Roman;serif" w:hAnsi="Times New Roman;serif"/>
          <w:spacing w:val="0"/>
          <w:sz w:val="20"/>
        </w:rPr>
      </w:pPr>
      <w:r>
        <w:rPr>
          <w:rFonts w:ascii="Times New Roman;serif" w:hAnsi="Times New Roman;serif"/>
          <w:spacing w:val="0"/>
          <w:sz w:val="20"/>
        </w:rPr>
        <w:t>the Company’s</w:t>
      </w:r>
    </w:p>
    <w:p>
      <w:pPr>
        <w:pStyle w:val="TextBody"/>
        <w:spacing w:before="240" w:after="0"/>
        <w:jc w:val="left"/>
        <w:rPr>
          <w:rFonts w:ascii="Times New Roman" w:hAnsi="Times New Roman"/>
          <w:sz w:val="20"/>
        </w:rPr>
      </w:pPr>
      <w:r>
        <w:rPr>
          <w:rFonts w:ascii="Times New Roman" w:hAnsi="Times New Roman"/>
          <w:sz w:val="20"/>
        </w:rPr>
        <w:t xml:space="preserve">risk management policies as necessary.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Note 2 Summary of Significant Accounting Policies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Basis of Presentation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These unaudited condensed consolidated financial statements have been prepared in accordance with accounting principles generally accepted in the United States of America (“U.S. GAAP”) for interim financial information and are unaudited.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These unaudited condensed consolidated financial statements do not include all disclosures that are normally included in annual audited financial statements prepared in accordance with U.S. GAAP and should be read in conjunction with the Company’s consolidated financial statements.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accompanying unaudited (a) condensed consolidated balance sheet as of December 31, 2021, which has been derived from audited financial statements, and (b) the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consolidated financial statements and notes included in the Company’s Current Report on Forms 10-K and 8-K/A, both dated March 24, 2022, that were filed with the Securities and Exchange Commission.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the opinion of the Company, in addition to the adjustments to record the business combination (the “Business Combination”) between VPCC and Legacy Dave,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2022 or any future period.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Subsequent events are events or transactions that occur after the condensed consolidated balance sheet date, but before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Retroactive Application of Reverse Recapitalization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As discussed further in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Note 3, The Reverse Recapitalization and Related Transactions</w:t>
      </w:r>
    </w:p>
    <w:p>
      <w:pPr>
        <w:pStyle w:val="TextBody"/>
        <w:spacing w:before="120" w:after="0"/>
        <w:jc w:val="left"/>
        <w:rPr>
          <w:rFonts w:ascii="Times New Roman" w:hAnsi="Times New Roman"/>
          <w:sz w:val="20"/>
        </w:rPr>
      </w:pPr>
      <w:r>
        <w:rPr>
          <w:rFonts w:ascii="Times New Roman" w:hAnsi="Times New Roman"/>
          <w:sz w:val="20"/>
        </w:rPr>
        <w:t xml:space="preserve">, the Business Combination is accounted for as a reverse recapitalization of equity structure. Pursuant to U.S. GAAP, the Company recasts its Consolidated Statements of Convertible Preferred Stock and Stockholders’ Equity from December 31, 2020 to the Closing Date, the total stockholder’s equity (deficit) within the Company’s Consolidated Balance Sheet as of December 31, 2021 and the weighted average outstanding shares basic and diluted for the year ended December 31, 2021 by applying the recapitalization retroactively.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addition, the Company recasts the stock class and issued and outstanding number of shares, exercise prices of options and warrants for each balance sheet period presented in these Condensed Consolidated Financial Statements and the accompanying notes.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Retroactive Application of Reverse Recapitalization to the Condensed Consolidated Statements of Stockholders’ Equity (Deficit)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Pursuant to the terms of the Business Combination Agreement, as part of the Closing, all of the issued and outstanding Series A preferred stock Legacy Dave were automatically converted into Legacy Dave common stoc</w:t>
      </w:r>
    </w:p>
    <w:p>
      <w:pPr>
        <w:pStyle w:val="TextBody"/>
        <w:spacing w:before="120" w:after="0"/>
        <w:jc w:val="left"/>
        <w:rPr>
          <w:rFonts w:ascii="Times New Roman" w:hAnsi="Times New Roman"/>
          <w:sz w:val="20"/>
        </w:rPr>
      </w:pPr>
      <w:r>
        <w:rPr>
          <w:rFonts w:ascii="Times New Roman" w:hAnsi="Times New Roman"/>
          <w:sz w:val="20"/>
        </w:rPr>
        <w:t xml:space="preserve">k at a 1:1 ratio and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and Series </w:t>
      </w:r>
    </w:p>
    <w:p>
      <w:pPr>
        <w:pStyle w:val="TextBody"/>
        <w:spacing w:before="120" w:after="0"/>
        <w:jc w:val="left"/>
        <w:rPr>
          <w:rFonts w:ascii="Times New Roman" w:hAnsi="Times New Roman"/>
          <w:spacing w:val="0"/>
          <w:sz w:val="20"/>
        </w:rPr>
      </w:pPr>
      <w:r>
        <w:rPr>
          <w:rFonts w:ascii="Times New Roman" w:hAnsi="Times New Roman"/>
          <w:spacing w:val="0"/>
          <w:sz w:val="20"/>
        </w:rPr>
        <w:t>B-2</w:t>
      </w:r>
    </w:p>
    <w:p>
      <w:pPr>
        <w:pStyle w:val="TextBody"/>
        <w:spacing w:before="120" w:after="0"/>
        <w:jc w:val="left"/>
        <w:rPr>
          <w:rFonts w:ascii="Times New Roman" w:hAnsi="Times New Roman"/>
          <w:sz w:val="20"/>
        </w:rPr>
      </w:pPr>
      <w:r>
        <w:rPr>
          <w:rFonts w:ascii="Times New Roman" w:hAnsi="Times New Roman"/>
          <w:sz w:val="20"/>
        </w:rPr>
        <w:t xml:space="preserve">convertible preferred stock of Legacy Dave were automatically converted into Legacy Dave common stock at a 1:1.033076 ratio, which were all converted again, along with all other issued and outstanding common stock of Legacy Dave, into 342,649,141 shares of Class A Common Stock and Class V Common Stock at an exchange ratio of 1.354387513 (the “Exchange Ratio”). Additionally, each of the Company’s options that were outstanding immediately prior to the closing of the Business Combination remained outstanding and converted into options for Class A Common Stock and Class V Common Stock equal to the number of the Company’s Common Stock, subject to such options multiplied by the Exchange Ratio at an exercise price per share equal to the current exercise price per share for such options divided by the Exchange Ratio, with the aggregate amount of shares of Class A Common Stock and Class V Common Stock issuable upon exercise of such options to be 32,078,481.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Retroactive Application of Reverse Recapitalization to the Condensed Consolidated Statements of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Furthermore, based on the retroactive application of the reverse recapitalization to the Company’s Condensed Consolidated Statements of Convertible Preferred Stock and Stockholders’ Equity, the Company recalculated the weighted average shares for the year ended December 31, 2021. The basic and diluted weighted-average Legacy Dave Common Stock were retroactively converted to Class A Common Stock and Class V Common Stock using the Exchange Ratio to conform to the recast period (see Note 2, Net (Loss) Income Per Share Attributable to Stockholders, for additional information).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Retroactive Application of Reverse Recapitalization to the Condensed Consolidated Balance Sheets </w:t>
      </w:r>
    </w:p>
    <w:p>
      <w:pPr>
        <w:pStyle w:val="TextBody"/>
        <w:spacing w:before="120" w:after="0"/>
        <w:jc w:val="left"/>
        <w:rPr>
          <w:rFonts w:ascii="Times New Roman" w:hAnsi="Times New Roman"/>
          <w:sz w:val="20"/>
        </w:rPr>
      </w:pPr>
      <w:r>
        <w:rPr>
          <w:rFonts w:ascii="Times New Roman" w:hAnsi="Times New Roman"/>
          <w:sz w:val="20"/>
        </w:rPr>
        <w:t xml:space="preserve">Finally, to conform to the retroactive application of recapitalization to the Company’s Condensed Consolidated Statements of Stockholders’ Equity, the Company reclassified the $9,881 of Legacy Dave Series A convertible preferred stock, $49,675 of Legacy Dave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convertible preferred stock, and the $12,617 of Legacy Dave Series </w:t>
      </w:r>
    </w:p>
    <w:p>
      <w:pPr>
        <w:pStyle w:val="TextBody"/>
        <w:spacing w:before="120" w:after="0"/>
        <w:jc w:val="left"/>
        <w:rPr>
          <w:rFonts w:ascii="Times New Roman" w:hAnsi="Times New Roman"/>
          <w:spacing w:val="0"/>
          <w:sz w:val="20"/>
        </w:rPr>
      </w:pPr>
      <w:r>
        <w:rPr>
          <w:rFonts w:ascii="Times New Roman" w:hAnsi="Times New Roman"/>
          <w:spacing w:val="0"/>
          <w:sz w:val="20"/>
        </w:rPr>
        <w:t>B-2</w:t>
      </w:r>
    </w:p>
    <w:p>
      <w:pPr>
        <w:pStyle w:val="TextBody"/>
        <w:spacing w:before="120" w:after="0"/>
        <w:jc w:val="left"/>
        <w:rPr>
          <w:rFonts w:ascii="Times New Roman" w:hAnsi="Times New Roman"/>
          <w:sz w:val="20"/>
        </w:rPr>
      </w:pPr>
      <w:r>
        <w:rPr>
          <w:rFonts w:ascii="Times New Roman" w:hAnsi="Times New Roman"/>
          <w:sz w:val="20"/>
        </w:rPr>
        <w:t xml:space="preserve">convertible preferred stock to the additional </w:t>
      </w:r>
    </w:p>
    <w:p>
      <w:pPr>
        <w:pStyle w:val="TextBody"/>
        <w:spacing w:before="120" w:after="0"/>
        <w:jc w:val="left"/>
        <w:rPr>
          <w:rFonts w:ascii="Times New Roman" w:hAnsi="Times New Roman"/>
          <w:spacing w:val="0"/>
          <w:sz w:val="20"/>
        </w:rPr>
      </w:pPr>
      <w:r>
        <w:rPr>
          <w:rFonts w:ascii="Times New Roman" w:hAnsi="Times New Roman"/>
          <w:spacing w:val="0"/>
          <w:sz w:val="20"/>
        </w:rPr>
        <w:t>paid-in</w:t>
      </w:r>
    </w:p>
    <w:p>
      <w:pPr>
        <w:pStyle w:val="TextBody"/>
        <w:spacing w:before="120" w:after="0"/>
        <w:jc w:val="left"/>
        <w:rPr>
          <w:rFonts w:ascii="Times New Roman" w:hAnsi="Times New Roman"/>
          <w:sz w:val="20"/>
        </w:rPr>
      </w:pPr>
      <w:r>
        <w:rPr>
          <w:rFonts w:ascii="Times New Roman" w:hAnsi="Times New Roman"/>
          <w:sz w:val="20"/>
        </w:rPr>
        <w:t xml:space="preserve">capital (“APIC”), less amounts attributable to the par value of the common stock as recast, as of December 31, 2021.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Principles of Consolidation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consolidates financial statements of all entities in which the Company has a controlling financial interest, including the accounts of any Variable Interest Entity in which the Company has a controlling financial interest and for which it is the primary beneficiary. All intercompany transactions and balances have been eliminated upon consolidation.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Variable Interest Entities </w:t>
      </w:r>
    </w:p>
    <w:p>
      <w:pPr>
        <w:pStyle w:val="TextBody"/>
        <w:spacing w:before="120" w:after="0"/>
        <w:jc w:val="left"/>
        <w:rPr>
          <w:rFonts w:ascii="Times New Roman" w:hAnsi="Times New Roman"/>
          <w:spacing w:val="0"/>
          <w:sz w:val="20"/>
        </w:rPr>
      </w:pPr>
      <w:r>
        <w:rPr>
          <w:rFonts w:ascii="Times New Roman" w:hAnsi="Times New Roman"/>
          <w:spacing w:val="0"/>
          <w:sz w:val="20"/>
        </w:rPr>
        <w:t>The Company is considered the primary beneficiary of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carrying value of Dave OD’s assets and liabilities, after elimination of any intercompany transactions and balances, in the unaudited condensed consolidated balance sheet as of March 31, 2022, are as follows: </w:t>
      </w:r>
    </w:p>
    <w:p>
      <w:pPr>
        <w:pStyle w:val="TextBody"/>
        <w:spacing w:before="0" w:after="0"/>
        <w:jc w:val="left"/>
        <w:rPr>
          <w:spacing w:val="0"/>
        </w:rPr>
      </w:pPr>
      <w:r>
        <w:rPr>
          <w:spacing w:val="0"/>
        </w:rPr>
        <w:t> </w:t>
      </w:r>
    </w:p>
    <w:tbl>
      <w:tblPr>
        <w:tblW w:w="8790" w:type="dxa"/>
        <w:jc w:val="left"/>
        <w:tblInd w:w="0" w:type="dxa"/>
        <w:tblCellMar>
          <w:top w:w="0" w:type="dxa"/>
          <w:left w:w="0" w:type="dxa"/>
          <w:bottom w:w="0" w:type="dxa"/>
          <w:right w:w="0" w:type="dxa"/>
        </w:tblCellMar>
      </w:tblPr>
      <w:tblGrid>
        <w:gridCol w:w="7775"/>
        <w:gridCol w:w="120"/>
        <w:gridCol w:w="140"/>
        <w:gridCol w:w="680"/>
        <w:gridCol w:w="75"/>
      </w:tblGrid>
      <w:tr>
        <w:trPr/>
        <w:tc>
          <w:tcPr>
            <w:tcW w:w="7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715" w:type="dxa"/>
            <w:gridSpan w:val="4"/>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75" w:type="dxa"/>
            <w:tcBorders/>
            <w:shd w:fill="CCEEFF" w:val="clear"/>
            <w:vAlign w:val="center"/>
          </w:tcPr>
          <w:p>
            <w:pPr>
              <w:pStyle w:val="TableContents"/>
              <w:spacing w:before="0" w:after="0"/>
              <w:rPr>
                <w:spacing w:val="0"/>
              </w:rPr>
            </w:pPr>
            <w:r>
              <w:rPr>
                <w:spacing w:val="0"/>
              </w:rPr>
              <w:t> </w:t>
            </w:r>
          </w:p>
        </w:tc>
      </w:tr>
      <w:tr>
        <w:trPr/>
        <w:tc>
          <w:tcPr>
            <w:tcW w:w="8715" w:type="dxa"/>
            <w:gridSpan w:val="4"/>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7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15,484</w:t>
            </w:r>
          </w:p>
        </w:tc>
        <w:tc>
          <w:tcPr>
            <w:tcW w:w="75" w:type="dxa"/>
            <w:tcBorders/>
            <w:shd w:fill="CCEEFF" w:val="clear"/>
            <w:vAlign w:val="center"/>
          </w:tcPr>
          <w:p>
            <w:pPr>
              <w:pStyle w:val="TableContents"/>
              <w:spacing w:before="0" w:after="283"/>
              <w:rPr/>
            </w:pPr>
            <w:r>
              <w:rPr/>
              <w:t> </w:t>
            </w:r>
          </w:p>
        </w:tc>
      </w:tr>
      <w:tr>
        <w:trPr/>
        <w:tc>
          <w:tcPr>
            <w:tcW w:w="77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Member advances, net of allowance for unrecoverable advances of $1,827 as of March 31, 2022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46,977</w:t>
            </w:r>
          </w:p>
        </w:tc>
        <w:tc>
          <w:tcPr>
            <w:tcW w:w="75" w:type="dxa"/>
            <w:tcBorders/>
            <w:shd w:fill="auto" w:val="clear"/>
            <w:vAlign w:val="center"/>
          </w:tcPr>
          <w:p>
            <w:pPr>
              <w:pStyle w:val="TableContents"/>
              <w:spacing w:before="0" w:after="283"/>
              <w:rPr/>
            </w:pPr>
            <w:r>
              <w:rPr/>
              <w:t> </w:t>
            </w:r>
          </w:p>
        </w:tc>
      </w:tr>
      <w:tr>
        <w:trPr/>
        <w:tc>
          <w:tcPr>
            <w:tcW w:w="77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Debt and credit facility commitment fee, current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358</w:t>
            </w:r>
          </w:p>
        </w:tc>
        <w:tc>
          <w:tcPr>
            <w:tcW w:w="75" w:type="dxa"/>
            <w:tcBorders/>
            <w:shd w:fill="CCEEFF" w:val="clear"/>
            <w:vAlign w:val="center"/>
          </w:tcPr>
          <w:p>
            <w:pPr>
              <w:pStyle w:val="TableContents"/>
              <w:spacing w:before="0" w:after="283"/>
              <w:rPr/>
            </w:pPr>
            <w:r>
              <w:rPr/>
              <w:t> </w:t>
            </w:r>
          </w:p>
        </w:tc>
      </w:tr>
      <w:tr>
        <w:trPr/>
        <w:tc>
          <w:tcPr>
            <w:tcW w:w="77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Debt facility commitment fee, long-term</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117</w:t>
            </w:r>
          </w:p>
        </w:tc>
        <w:tc>
          <w:tcPr>
            <w:tcW w:w="75" w:type="dxa"/>
            <w:tcBorders/>
            <w:shd w:fill="auto" w:val="clear"/>
            <w:vAlign w:val="center"/>
          </w:tcPr>
          <w:p>
            <w:pPr>
              <w:pStyle w:val="TableContents"/>
              <w:spacing w:before="0" w:after="283"/>
              <w:rPr/>
            </w:pPr>
            <w:r>
              <w:rPr/>
              <w:t> </w:t>
            </w:r>
          </w:p>
        </w:tc>
      </w:tr>
      <w:tr>
        <w:trPr/>
        <w:tc>
          <w:tcPr>
            <w:tcW w:w="7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7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80" w:type="dxa"/>
            <w:tcBorders/>
            <w:shd w:fill="CCEEFF" w:val="clear"/>
            <w:vAlign w:val="center"/>
          </w:tcPr>
          <w:p>
            <w:pPr>
              <w:pStyle w:val="TableContents"/>
              <w:spacing w:before="0" w:after="0"/>
              <w:jc w:val="right"/>
              <w:rPr>
                <w:b/>
                <w:spacing w:val="0"/>
              </w:rPr>
            </w:pPr>
            <w:r>
              <w:rPr>
                <w:b/>
                <w:spacing w:val="0"/>
              </w:rPr>
              <w:t>62,936</w:t>
            </w:r>
          </w:p>
        </w:tc>
        <w:tc>
          <w:tcPr>
            <w:tcW w:w="75" w:type="dxa"/>
            <w:tcBorders/>
            <w:shd w:fill="CCEEFF" w:val="clear"/>
            <w:vAlign w:val="center"/>
          </w:tcPr>
          <w:p>
            <w:pPr>
              <w:pStyle w:val="TableContents"/>
              <w:spacing w:before="0" w:after="0"/>
              <w:rPr>
                <w:spacing w:val="0"/>
              </w:rPr>
            </w:pPr>
            <w:r>
              <w:rPr>
                <w:spacing w:val="0"/>
              </w:rPr>
              <w:t> </w:t>
            </w:r>
          </w:p>
        </w:tc>
      </w:tr>
      <w:tr>
        <w:trPr/>
        <w:tc>
          <w:tcPr>
            <w:tcW w:w="7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8715" w:type="dxa"/>
            <w:gridSpan w:val="4"/>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Liabilities</w:t>
            </w:r>
          </w:p>
        </w:tc>
        <w:tc>
          <w:tcPr>
            <w:tcW w:w="75" w:type="dxa"/>
            <w:tcBorders/>
            <w:shd w:fill="auto" w:val="clear"/>
            <w:vAlign w:val="center"/>
          </w:tcPr>
          <w:p>
            <w:pPr>
              <w:pStyle w:val="TableContents"/>
              <w:spacing w:before="0" w:after="0"/>
              <w:rPr>
                <w:spacing w:val="0"/>
              </w:rPr>
            </w:pPr>
            <w:r>
              <w:rPr>
                <w:spacing w:val="0"/>
              </w:rPr>
              <w:t> </w:t>
            </w:r>
          </w:p>
        </w:tc>
      </w:tr>
      <w:tr>
        <w:trPr/>
        <w:tc>
          <w:tcPr>
            <w:tcW w:w="77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Credit facility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20,000</w:t>
            </w:r>
          </w:p>
        </w:tc>
        <w:tc>
          <w:tcPr>
            <w:tcW w:w="75" w:type="dxa"/>
            <w:tcBorders/>
            <w:shd w:fill="CCEEFF" w:val="clear"/>
            <w:vAlign w:val="center"/>
          </w:tcPr>
          <w:p>
            <w:pPr>
              <w:pStyle w:val="TableContents"/>
              <w:spacing w:before="0" w:after="283"/>
              <w:rPr/>
            </w:pPr>
            <w:r>
              <w:rPr/>
              <w:t> </w:t>
            </w:r>
          </w:p>
        </w:tc>
      </w:tr>
      <w:tr>
        <w:trPr/>
        <w:tc>
          <w:tcPr>
            <w:tcW w:w="77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Debt facility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35,000</w:t>
            </w:r>
          </w:p>
        </w:tc>
        <w:tc>
          <w:tcPr>
            <w:tcW w:w="75" w:type="dxa"/>
            <w:tcBorders/>
            <w:shd w:fill="auto" w:val="clear"/>
            <w:vAlign w:val="center"/>
          </w:tcPr>
          <w:p>
            <w:pPr>
              <w:pStyle w:val="TableContents"/>
              <w:spacing w:before="0" w:after="283"/>
              <w:rPr/>
            </w:pPr>
            <w:r>
              <w:rPr/>
              <w:t> </w:t>
            </w:r>
          </w:p>
        </w:tc>
      </w:tr>
      <w:tr>
        <w:trPr/>
        <w:tc>
          <w:tcPr>
            <w:tcW w:w="7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7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80" w:type="dxa"/>
            <w:tcBorders/>
            <w:shd w:fill="CCEEFF" w:val="clear"/>
            <w:vAlign w:val="center"/>
          </w:tcPr>
          <w:p>
            <w:pPr>
              <w:pStyle w:val="TableContents"/>
              <w:spacing w:before="0" w:after="0"/>
              <w:jc w:val="right"/>
              <w:rPr>
                <w:b/>
                <w:spacing w:val="0"/>
              </w:rPr>
            </w:pPr>
            <w:r>
              <w:rPr>
                <w:b/>
                <w:spacing w:val="0"/>
              </w:rPr>
              <w:t>55,000</w:t>
            </w:r>
          </w:p>
        </w:tc>
        <w:tc>
          <w:tcPr>
            <w:tcW w:w="75" w:type="dxa"/>
            <w:tcBorders/>
            <w:shd w:fill="CCEEFF" w:val="clear"/>
            <w:vAlign w:val="center"/>
          </w:tcPr>
          <w:p>
            <w:pPr>
              <w:pStyle w:val="TableContents"/>
              <w:spacing w:before="0" w:after="0"/>
              <w:rPr>
                <w:spacing w:val="0"/>
              </w:rPr>
            </w:pPr>
            <w:r>
              <w:rPr>
                <w:spacing w:val="0"/>
              </w:rPr>
              <w:t> </w:t>
            </w:r>
          </w:p>
        </w:tc>
      </w:tr>
      <w:tr>
        <w:trPr/>
        <w:tc>
          <w:tcPr>
            <w:tcW w:w="7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Use of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on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(i) allowance for unrecoverable advances; (ii) realization of tax assets and estimates of tax liabilities; (iii) valuation of equity securities; (iv) fair value of derivatives; (v) valuation of note payable and (vi) fair value of warrant liabilities. Actual results may differ from these estimates under different assumptions or conditions.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Revenue Recognition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Service Based Revenue,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Service based revenue, net primarily consists of tips, express processing fees, and subscriptions charged to Members, net of processor costs associated with advance disbursements. Member advances are treated as financial receivables under Accounting Standards Codification (“ASC”) 310 Receivables (“ASC 310”).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encourages but does not contractually require its Members who receive a cash advance to leave a discretionary tip. The Company treats tips as an adjustment of yield to the advances and are recognized over the average term of advances.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Express processing fees apply when a Member requests an expedited cash advance. At the Member’s election, the Company expedites the funding of advance funds within eight hours, as opposed to the customary three business days, of the advance request. Express fees are nonrefundable loan origination fees and are recognized as revenues over the expected contractual term of the advance.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Costs incurred by the Company to fund cash advances are treated as direct loan origination costs. These direct loan origination costs are netted against advance-related income over the expected contractual term of the advance. Direct origination costs recognized as a reduction of advance-related income during the periods ended March 31, 2022 and 2021, was $0.9 million and $0.9 million, respectively. </w:t>
      </w:r>
    </w:p>
    <w:p>
      <w:pPr>
        <w:pStyle w:val="TextBody"/>
        <w:spacing w:before="240" w:after="0"/>
        <w:jc w:val="left"/>
        <w:rPr>
          <w:rFonts w:ascii="Times New Roman" w:hAnsi="Times New Roman"/>
          <w:sz w:val="20"/>
        </w:rPr>
      </w:pPr>
      <w:r>
        <w:rPr>
          <w:rFonts w:ascii="Times New Roman" w:hAnsi="Times New Roman"/>
          <w:sz w:val="20"/>
        </w:rPr>
        <w:t xml:space="preserve">The Company accounts for subscriptions in accordance with ASC 606,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spacing w:before="240" w:after="0"/>
        <w:jc w:val="left"/>
        <w:rPr>
          <w:rFonts w:ascii="Times New Roman" w:hAnsi="Times New Roman"/>
          <w:sz w:val="20"/>
        </w:rPr>
      </w:pPr>
      <w:r>
        <w:rPr>
          <w:rFonts w:ascii="Times New Roman" w:hAnsi="Times New Roman"/>
          <w:sz w:val="20"/>
        </w:rPr>
        <w:t xml:space="preserve">(“ASC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The Company’s primary sources of revenue are derived from fees earned on advances, and other financial instruments that are not within the scope of ASC 606. The Company has evaluated the nature of its contracts with Members and determined that further disaggregation of revenue from contracts with Members into categories beyond what is presented in the condensed consolidated statements of operations was not necessary.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 ASC 606 include subscription fees, lead generation fees, and reward program fees.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Subscription fees of $1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contract period.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Price concessions granted to Members who have insufficient funds when subscription fees are due are forms of variable consideration under the Company’s contracts with Members. For price concessions, the Company has elected, as an accounting policy, to account for price concessions for the month at the end of the reporting month based on the actual amounts of concessions granted as the impact.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Service based revenue also consists of lead generation fees from the Company’s Side Hustle advertising partners. The Company is entitled to receive these lead generation fees when Members use the application to sign up for jobs with the Company’s various partners. Lead generation contracts contain a single performance obligation. Lead generation revenue is recognized at a point in time upon satisfaction and completion of the single performance obligation. The Company also receives cash monthly as part of a rewards program for those Dave debit card Members who choose to spend funds with selected vendors.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cash received by the Company is recorded as unearned revenue and recognized as revenue as the subscription credits are earned by the Members.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Transaction Based Revenue, Net: </w:t>
      </w:r>
    </w:p>
    <w:p>
      <w:pPr>
        <w:pStyle w:val="TextBody"/>
        <w:spacing w:before="120" w:after="0"/>
        <w:jc w:val="left"/>
        <w:rPr>
          <w:rFonts w:ascii="Times New Roman" w:hAnsi="Times New Roman"/>
          <w:sz w:val="20"/>
        </w:rPr>
      </w:pPr>
      <w:r>
        <w:rPr>
          <w:rFonts w:ascii="Times New Roman" w:hAnsi="Times New Roman"/>
          <w:sz w:val="20"/>
        </w:rPr>
        <w:t xml:space="preserve">Transaction based revenue, net primarily consists of interchange and ATM revenues from Dave’s Checking Product, net of </w:t>
      </w:r>
    </w:p>
    <w:p>
      <w:pPr>
        <w:pStyle w:val="TextBody"/>
        <w:spacing w:before="120" w:after="0"/>
        <w:jc w:val="left"/>
        <w:rPr>
          <w:rFonts w:ascii="Times New Roman" w:hAnsi="Times New Roman"/>
          <w:spacing w:val="0"/>
          <w:sz w:val="20"/>
        </w:rPr>
      </w:pPr>
      <w:r>
        <w:rPr>
          <w:rFonts w:ascii="Times New Roman" w:hAnsi="Times New Roman"/>
          <w:spacing w:val="0"/>
          <w:sz w:val="20"/>
        </w:rPr>
        <w:t>ATM-related</w:t>
      </w:r>
    </w:p>
    <w:p>
      <w:pPr>
        <w:pStyle w:val="TextBody"/>
        <w:spacing w:before="120" w:after="0"/>
        <w:jc w:val="left"/>
        <w:rPr>
          <w:rFonts w:ascii="Times New Roman" w:hAnsi="Times New Roman"/>
          <w:sz w:val="20"/>
        </w:rPr>
      </w:pPr>
      <w:r>
        <w:rPr>
          <w:rFonts w:ascii="Times New Roman" w:hAnsi="Times New Roman"/>
          <w:sz w:val="20"/>
        </w:rPr>
        <w:t xml:space="preserve">fees, and are recognized at the point in time the transactions occur, as the performance obligation is satisfied. </w:t>
      </w:r>
    </w:p>
    <w:p>
      <w:pPr>
        <w:pStyle w:val="TextBody"/>
        <w:spacing w:before="120" w:after="0"/>
        <w:jc w:val="left"/>
        <w:rPr>
          <w:rFonts w:ascii="Times New Roman" w:hAnsi="Times New Roman"/>
          <w:spacing w:val="0"/>
          <w:sz w:val="20"/>
        </w:rPr>
      </w:pPr>
      <w:r>
        <w:rPr>
          <w:rFonts w:ascii="Times New Roman" w:hAnsi="Times New Roman"/>
          <w:spacing w:val="0"/>
          <w:sz w:val="20"/>
        </w:rPr>
        <w:t>ATM-related</w:t>
      </w:r>
    </w:p>
    <w:p>
      <w:pPr>
        <w:pStyle w:val="TextBody"/>
        <w:spacing w:before="120" w:after="0"/>
        <w:jc w:val="left"/>
        <w:rPr>
          <w:rFonts w:ascii="Times New Roman" w:hAnsi="Times New Roman"/>
          <w:sz w:val="20"/>
        </w:rPr>
      </w:pPr>
      <w:r>
        <w:rPr>
          <w:rFonts w:ascii="Times New Roman" w:hAnsi="Times New Roman"/>
          <w:sz w:val="20"/>
        </w:rPr>
        <w:t>fees recognized as a reduction of transaction based revenue during the periods ended March 31, 2022 and 2021, w</w:t>
      </w:r>
    </w:p>
    <w:p>
      <w:pPr>
        <w:pStyle w:val="TextBody"/>
        <w:spacing w:before="120" w:after="0"/>
        <w:jc w:val="left"/>
        <w:rPr>
          <w:rFonts w:ascii="Times New Roman" w:hAnsi="Times New Roman"/>
          <w:spacing w:val="0"/>
          <w:sz w:val="20"/>
        </w:rPr>
      </w:pPr>
      <w:r>
        <w:rPr>
          <w:rFonts w:ascii="Times New Roman" w:hAnsi="Times New Roman"/>
          <w:spacing w:val="0"/>
          <w:sz w:val="20"/>
        </w:rPr>
        <w:t>ere</w:t>
      </w:r>
    </w:p>
    <w:p>
      <w:pPr>
        <w:pStyle w:val="TextBody"/>
        <w:spacing w:before="120" w:after="0"/>
        <w:jc w:val="left"/>
        <w:rPr>
          <w:rFonts w:ascii="Times New Roman" w:hAnsi="Times New Roman"/>
          <w:sz w:val="20"/>
        </w:rPr>
      </w:pPr>
      <w:r>
        <w:rPr>
          <w:rFonts w:ascii="Times New Roman" w:hAnsi="Times New Roman"/>
          <w:sz w:val="20"/>
        </w:rPr>
        <w:t xml:space="preserve">$0.1 million and $0.2 million, respectively.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Processing and Servicing Fees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Processor fees consist of fees paid to the Company’s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Cash and Cash Equivalents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classifies all highly liquid instruments with an original maturity of three months or less as cash equivalents.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Restricted Cash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Restricted cash primarily represents cash held at financial institutions that is pledged as collateral for specific accounts that may become overdrawn.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Marketable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Marketable securities consist of a money market mutual fund. The fair value of marketable securities is determined by quoted prices in active markets and changes in fair value are recorded in other (income) expense in the consolidated statements of operations.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Member Advances </w:t>
      </w:r>
    </w:p>
    <w:p>
      <w:pPr>
        <w:pStyle w:val="TextBody"/>
        <w:spacing w:before="120" w:after="0"/>
        <w:jc w:val="left"/>
        <w:rPr>
          <w:rFonts w:ascii="Times New Roman" w:hAnsi="Times New Roman"/>
          <w:sz w:val="20"/>
        </w:rPr>
      </w:pPr>
      <w:r>
        <w:rPr>
          <w:rFonts w:ascii="Times New Roman" w:hAnsi="Times New Roman"/>
          <w:sz w:val="20"/>
        </w:rPr>
        <w:t xml:space="preserve">Member advances include </w:t>
      </w:r>
    </w:p>
    <w:p>
      <w:pPr>
        <w:pStyle w:val="TextBody"/>
        <w:spacing w:before="120" w:after="0"/>
        <w:jc w:val="left"/>
        <w:rPr>
          <w:rFonts w:ascii="Times New Roman" w:hAnsi="Times New Roman"/>
          <w:spacing w:val="0"/>
          <w:sz w:val="20"/>
        </w:rPr>
      </w:pPr>
      <w:r>
        <w:rPr>
          <w:rFonts w:ascii="Times New Roman" w:hAnsi="Times New Roman"/>
          <w:spacing w:val="0"/>
          <w:sz w:val="20"/>
        </w:rPr>
        <w:t>non-recourse</w:t>
      </w:r>
    </w:p>
    <w:p>
      <w:pPr>
        <w:pStyle w:val="TextBody"/>
        <w:spacing w:before="120" w:after="0"/>
        <w:jc w:val="left"/>
        <w:rPr>
          <w:rFonts w:ascii="Times New Roman" w:hAnsi="Times New Roman"/>
          <w:sz w:val="20"/>
        </w:rPr>
      </w:pPr>
      <w:r>
        <w:rPr>
          <w:rFonts w:ascii="Times New Roman" w:hAnsi="Times New Roman"/>
          <w:sz w:val="20"/>
        </w:rPr>
        <w:t xml:space="preserve">cash advances, fees, and tips, net of certain direct origination costs and allowance for unrecoverable advances. Management’s intent is to hold advances until maturity or payoff. Members’ cash advances are treated as financial receivables under ASC 310.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Advances to Members are not interest-bearing. The Company recognizes these advances at the advanced amount and does not use discounting techniques to determine present value of advances due to their short-term average maturity. The consequent discount impact under the imputed interest rate method does not result in a significant impact to the consolidated financial statements.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does not provide modifications to advances.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Allowance for Unrecoverable Advances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maintains an allowance for unrecoverable advances at a level estimated to be adequate to absorb credit losses inherent in outstanding Member advances. Management currently estimates the allowance balance required using historical loss and collections experience, and, if relevant, the nature and volume of the portfolio, economic conditions, and other factors. Interpretations of past cash recovery patterns and projections of future economic conditions involve a high degree of subjectivity. Changes to the allowance have a direct impact on the provision for unrecoverable advances in the condensed consolidated statements of operations. </w:t>
      </w:r>
    </w:p>
    <w:p>
      <w:pPr>
        <w:pStyle w:val="TextBody"/>
        <w:spacing w:before="240" w:after="0"/>
        <w:jc w:val="left"/>
        <w:rPr>
          <w:rFonts w:ascii="Times New Roman" w:hAnsi="Times New Roman"/>
          <w:sz w:val="20"/>
        </w:rPr>
      </w:pPr>
      <w:r>
        <w:rPr>
          <w:rFonts w:ascii="Times New Roman" w:hAnsi="Times New Roman"/>
          <w:sz w:val="20"/>
        </w:rPr>
        <w:t xml:space="preserve">The Company considers advances over 120 days past due or which become uncollectible based on information available to the Company as impaired. All impaired advances are deemed uncollectible and subsequently </w:t>
      </w:r>
    </w:p>
    <w:p>
      <w:pPr>
        <w:pStyle w:val="TextBody"/>
        <w:spacing w:before="240" w:after="0"/>
        <w:jc w:val="left"/>
        <w:rPr>
          <w:rFonts w:ascii="Times New Roman" w:hAnsi="Times New Roman"/>
          <w:spacing w:val="0"/>
          <w:sz w:val="20"/>
        </w:rPr>
      </w:pPr>
      <w:r>
        <w:rPr>
          <w:rFonts w:ascii="Times New Roman" w:hAnsi="Times New Roman"/>
          <w:spacing w:val="0"/>
          <w:sz w:val="20"/>
        </w:rPr>
        <w:t>written-off</w:t>
      </w:r>
    </w:p>
    <w:p>
      <w:pPr>
        <w:pStyle w:val="TextBody"/>
        <w:spacing w:before="240" w:after="0"/>
        <w:jc w:val="left"/>
        <w:rPr>
          <w:rFonts w:ascii="Times New Roman" w:hAnsi="Times New Roman"/>
          <w:sz w:val="20"/>
        </w:rPr>
      </w:pPr>
      <w:r>
        <w:rPr>
          <w:rFonts w:ascii="Times New Roman" w:hAnsi="Times New Roman"/>
          <w:sz w:val="20"/>
        </w:rPr>
        <w:t xml:space="preserve">and are a direct reduction to the allowance for unrecoverable advances. Subsequent recoveries of Member advances </w:t>
      </w:r>
    </w:p>
    <w:p>
      <w:pPr>
        <w:pStyle w:val="TextBody"/>
        <w:spacing w:before="240" w:after="0"/>
        <w:jc w:val="left"/>
        <w:rPr>
          <w:rFonts w:ascii="Times New Roman" w:hAnsi="Times New Roman"/>
          <w:spacing w:val="0"/>
          <w:sz w:val="20"/>
        </w:rPr>
      </w:pPr>
      <w:r>
        <w:rPr>
          <w:rFonts w:ascii="Times New Roman" w:hAnsi="Times New Roman"/>
          <w:spacing w:val="0"/>
          <w:sz w:val="20"/>
        </w:rPr>
        <w:t>written-off,</w:t>
      </w:r>
    </w:p>
    <w:p>
      <w:pPr>
        <w:pStyle w:val="TextBody"/>
        <w:spacing w:before="240" w:after="0"/>
        <w:jc w:val="left"/>
        <w:rPr>
          <w:rFonts w:ascii="Times New Roman" w:hAnsi="Times New Roman"/>
          <w:sz w:val="20"/>
        </w:rPr>
      </w:pPr>
      <w:r>
        <w:rPr>
          <w:rFonts w:ascii="Times New Roman" w:hAnsi="Times New Roman"/>
          <w:sz w:val="20"/>
        </w:rPr>
        <w:t xml:space="preserve">if any, are recorded as a reduction to Member advances when collected, resulting in a reduction to the allowance for unrecoverable advances and a corresponding reduction to the provision for unrecoverable advances expense in the condensed consolidated statements of operations.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Internally Developed Software </w:t>
      </w:r>
    </w:p>
    <w:p>
      <w:pPr>
        <w:pStyle w:val="TextBody"/>
        <w:spacing w:before="120" w:after="0"/>
        <w:jc w:val="left"/>
        <w:rPr>
          <w:rFonts w:ascii="Times New Roman" w:hAnsi="Times New Roman"/>
          <w:spacing w:val="0"/>
          <w:sz w:val="20"/>
        </w:rPr>
      </w:pPr>
      <w:r>
        <w:rPr>
          <w:rFonts w:ascii="Times New Roman" w:hAnsi="Times New Roman"/>
          <w:spacing w:val="0"/>
          <w:sz w:val="20"/>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general and administrative expenses in the condensed consolidated statements of operations. Capitalized costs for the three month periods ended March 31, 2022 and 2021, w</w:t>
      </w:r>
    </w:p>
    <w:p>
      <w:pPr>
        <w:pStyle w:val="TextBody"/>
        <w:spacing w:before="120" w:after="0"/>
        <w:jc w:val="left"/>
        <w:rPr>
          <w:rFonts w:ascii="Times New Roman" w:hAnsi="Times New Roman"/>
          <w:spacing w:val="0"/>
          <w:sz w:val="20"/>
        </w:rPr>
      </w:pPr>
      <w:r>
        <w:rPr>
          <w:rFonts w:ascii="Times New Roman" w:hAnsi="Times New Roman"/>
          <w:spacing w:val="0"/>
          <w:sz w:val="20"/>
        </w:rPr>
        <w:t>ere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approximately $2.3 million and $1.1 million, respectively.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Amortization of internally developed software commences when the software is ready for its intended use (i.e., after all substantial testing is complete). Internally developed software is amortized over its estimated useful life of 3 years. Amortization expense for the three month periods ended March 31, 2022 and 2021, was approximately $1.0 and $0.6 million, respectively.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Property and Equipment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consolidated statements of operations.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Impairment of Long-Lived Assets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Warrants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reviewed the terms of warrants to purchase its Common Stock to determine whether warrants should be classified as liabilities or stockholders’ equity in its condensed consolidated balance sheet. In order for a warrant to be classified in stockholders’ equity, the warrant must be (a) indexed to the Company’s equity and (b) meet the conditions for equity classification in Accounting Standards Codification (“ASC”) Subtopic 815-40, Derivatives and Hedging – Contracts in an Entity’s Own Equity. As the warrants do not meet the conditions for equity classification, they are carried on the consolidated balance sheet as warrant liabilities measured at fair value, with subsequent changes in the fair value of the warrant recorded in the statement of operations as change in fair value of warrants in other income (expense).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Fair Value of Financial Instruments </w:t>
      </w:r>
    </w:p>
    <w:p>
      <w:pPr>
        <w:pStyle w:val="TextBody"/>
        <w:spacing w:before="120" w:after="0"/>
        <w:jc w:val="left"/>
        <w:rPr>
          <w:rFonts w:ascii="Times New Roman" w:hAnsi="Times New Roman"/>
          <w:sz w:val="20"/>
        </w:rPr>
      </w:pPr>
      <w:r>
        <w:rPr>
          <w:rFonts w:ascii="Times New Roman" w:hAnsi="Times New Roman"/>
          <w:sz w:val="20"/>
        </w:rPr>
        <w:t xml:space="preserve">ASC 820,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Fair Value Measurement</w:t>
      </w:r>
    </w:p>
    <w:p>
      <w:pPr>
        <w:pStyle w:val="TextBody"/>
        <w:spacing w:before="120" w:after="0"/>
        <w:jc w:val="left"/>
        <w:rPr>
          <w:rFonts w:ascii="Times New Roman" w:hAnsi="Times New Roman"/>
          <w:sz w:val="20"/>
        </w:rPr>
      </w:pPr>
      <w:r>
        <w:rPr>
          <w:rFonts w:ascii="Times New Roman" w:hAnsi="Times New Roman"/>
          <w:sz w:val="20"/>
        </w:rPr>
        <w:t xml:space="preserve">(“ASC 820”), provides a single definition of fair value and a common framework for measuring fair value as well as disclosure requirements for fair value measurements used in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Level 1—Quoted prices in active markets for identical assets or liabilities.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Following are the major categories of assets and liabilities measured at fair value on a recurring basis as of March 31, 2022 and December 31, 2021, using quoted prices in active markets for identical assets (Level 1), significant other observable inputs (Level 2), and significant unobservable inputs (Level 3) (in thousands): </w:t>
      </w:r>
    </w:p>
    <w:p>
      <w:pPr>
        <w:pStyle w:val="TextBody"/>
        <w:spacing w:before="0" w:after="0"/>
        <w:jc w:val="left"/>
        <w:rPr>
          <w:spacing w:val="0"/>
        </w:rPr>
      </w:pPr>
      <w:r>
        <w:rPr>
          <w:spacing w:val="0"/>
        </w:rPr>
        <w:t> </w:t>
      </w:r>
    </w:p>
    <w:tbl>
      <w:tblPr>
        <w:tblW w:w="8065" w:type="dxa"/>
        <w:jc w:val="left"/>
        <w:tblInd w:w="0" w:type="dxa"/>
        <w:tblCellMar>
          <w:top w:w="0" w:type="dxa"/>
          <w:left w:w="0" w:type="dxa"/>
          <w:bottom w:w="0" w:type="dxa"/>
          <w:right w:w="0" w:type="dxa"/>
        </w:tblCellMar>
      </w:tblPr>
      <w:tblGrid>
        <w:gridCol w:w="3875"/>
        <w:gridCol w:w="120"/>
        <w:gridCol w:w="140"/>
        <w:gridCol w:w="800"/>
        <w:gridCol w:w="60"/>
        <w:gridCol w:w="120"/>
        <w:gridCol w:w="203"/>
        <w:gridCol w:w="552"/>
        <w:gridCol w:w="60"/>
        <w:gridCol w:w="120"/>
        <w:gridCol w:w="140"/>
        <w:gridCol w:w="680"/>
        <w:gridCol w:w="60"/>
        <w:gridCol w:w="120"/>
        <w:gridCol w:w="140"/>
        <w:gridCol w:w="800"/>
        <w:gridCol w:w="75"/>
      </w:tblGrid>
      <w:tr>
        <w:trPr/>
        <w:tc>
          <w:tcPr>
            <w:tcW w:w="3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March 31, 2022</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278,265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278,265</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800" w:type="dxa"/>
            <w:tcBorders/>
            <w:shd w:fill="CCEEFF" w:val="clear"/>
            <w:vAlign w:val="center"/>
          </w:tcPr>
          <w:p>
            <w:pPr>
              <w:pStyle w:val="TableContents"/>
              <w:spacing w:before="0" w:after="0"/>
              <w:jc w:val="right"/>
              <w:rPr>
                <w:b/>
                <w:spacing w:val="0"/>
              </w:rPr>
            </w:pPr>
            <w:r>
              <w:rPr>
                <w:b/>
                <w:spacing w:val="0"/>
              </w:rPr>
              <w:t>278,265</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0"/>
              <w:rPr>
                <w:b/>
                <w:spacing w:val="0"/>
              </w:rPr>
            </w:pPr>
            <w:r>
              <w:rPr>
                <w:b/>
                <w:spacing w:val="0"/>
              </w:rPr>
              <w:t>$</w:t>
            </w:r>
          </w:p>
        </w:tc>
        <w:tc>
          <w:tcPr>
            <w:tcW w:w="552"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80"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800" w:type="dxa"/>
            <w:tcBorders/>
            <w:shd w:fill="CCEEFF" w:val="clear"/>
            <w:vAlign w:val="center"/>
          </w:tcPr>
          <w:p>
            <w:pPr>
              <w:pStyle w:val="TableContents"/>
              <w:spacing w:before="0" w:after="0"/>
              <w:jc w:val="right"/>
              <w:rPr>
                <w:b/>
                <w:spacing w:val="0"/>
              </w:rPr>
            </w:pPr>
            <w:r>
              <w:rPr>
                <w:b/>
                <w:spacing w:val="0"/>
              </w:rPr>
              <w:t>278,265</w:t>
            </w:r>
          </w:p>
        </w:tc>
        <w:tc>
          <w:tcPr>
            <w:tcW w:w="75" w:type="dxa"/>
            <w:tcBorders/>
            <w:shd w:fill="CCEEFF"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Warrant liabilities—public warrants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9,294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w:t>
            </w:r>
          </w:p>
        </w:tc>
        <w:tc>
          <w:tcPr>
            <w:tcW w:w="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9,294</w:t>
            </w:r>
          </w:p>
        </w:tc>
        <w:tc>
          <w:tcPr>
            <w:tcW w:w="75"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Warrant liabilities—private placement warrants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9,426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9,426</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800" w:type="dxa"/>
            <w:tcBorders/>
            <w:shd w:fill="CCEEFF" w:val="clear"/>
            <w:vAlign w:val="center"/>
          </w:tcPr>
          <w:p>
            <w:pPr>
              <w:pStyle w:val="TableContents"/>
              <w:spacing w:before="0" w:after="0"/>
              <w:jc w:val="right"/>
              <w:rPr>
                <w:b/>
                <w:spacing w:val="0"/>
              </w:rPr>
            </w:pPr>
            <w:r>
              <w:rPr>
                <w:b/>
                <w:spacing w:val="0"/>
              </w:rPr>
              <w:t>9,294</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0"/>
              <w:rPr>
                <w:b/>
                <w:spacing w:val="0"/>
              </w:rPr>
            </w:pPr>
            <w:r>
              <w:rPr>
                <w:b/>
                <w:spacing w:val="0"/>
              </w:rPr>
              <w:t>$</w:t>
            </w:r>
          </w:p>
        </w:tc>
        <w:tc>
          <w:tcPr>
            <w:tcW w:w="552"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80" w:type="dxa"/>
            <w:tcBorders/>
            <w:shd w:fill="CCEEFF" w:val="clear"/>
            <w:vAlign w:val="center"/>
          </w:tcPr>
          <w:p>
            <w:pPr>
              <w:pStyle w:val="TableContents"/>
              <w:spacing w:before="0" w:after="0"/>
              <w:jc w:val="right"/>
              <w:rPr>
                <w:b/>
                <w:spacing w:val="0"/>
              </w:rPr>
            </w:pPr>
            <w:r>
              <w:rPr>
                <w:b/>
                <w:spacing w:val="0"/>
              </w:rPr>
              <w:t>9,426</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800" w:type="dxa"/>
            <w:tcBorders/>
            <w:shd w:fill="CCEEFF" w:val="clear"/>
            <w:vAlign w:val="center"/>
          </w:tcPr>
          <w:p>
            <w:pPr>
              <w:pStyle w:val="TableContents"/>
              <w:spacing w:before="0" w:after="0"/>
              <w:jc w:val="right"/>
              <w:rPr>
                <w:b/>
                <w:spacing w:val="0"/>
              </w:rPr>
            </w:pPr>
            <w:r>
              <w:rPr>
                <w:b/>
                <w:spacing w:val="0"/>
              </w:rPr>
              <w:t>18,720</w:t>
            </w:r>
          </w:p>
        </w:tc>
        <w:tc>
          <w:tcPr>
            <w:tcW w:w="75" w:type="dxa"/>
            <w:tcBorders/>
            <w:shd w:fill="CCEEFF"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120" w:type="dxa"/>
            <w:gridSpan w:val="4"/>
            <w:tcBorders/>
            <w:shd w:fill="auto" w:val="clear"/>
            <w:vAlign w:val="center"/>
          </w:tcPr>
          <w:p>
            <w:pPr>
              <w:pStyle w:val="TableContents"/>
              <w:spacing w:before="0" w:after="283"/>
              <w:rPr/>
            </w:pPr>
            <w:r>
              <w:rPr/>
              <w:t> </w:t>
            </w:r>
          </w:p>
        </w:tc>
        <w:tc>
          <w:tcPr>
            <w:tcW w:w="935" w:type="dxa"/>
            <w:gridSpan w:val="4"/>
            <w:tcBorders/>
            <w:shd w:fill="auto" w:val="clear"/>
            <w:vAlign w:val="center"/>
          </w:tcPr>
          <w:p>
            <w:pPr>
              <w:pStyle w:val="TableContents"/>
              <w:spacing w:before="0" w:after="283"/>
              <w:rPr/>
            </w:pPr>
            <w:r>
              <w:rPr/>
              <w:t> </w:t>
            </w:r>
          </w:p>
        </w:tc>
        <w:tc>
          <w:tcPr>
            <w:tcW w:w="1000" w:type="dxa"/>
            <w:gridSpan w:val="4"/>
            <w:tcBorders/>
            <w:shd w:fill="auto" w:val="clear"/>
            <w:vAlign w:val="center"/>
          </w:tcPr>
          <w:p>
            <w:pPr>
              <w:pStyle w:val="TableContents"/>
              <w:spacing w:before="0" w:after="283"/>
              <w:rPr/>
            </w:pPr>
            <w:r>
              <w:rPr/>
              <w:t> </w:t>
            </w:r>
          </w:p>
        </w:tc>
        <w:tc>
          <w:tcPr>
            <w:tcW w:w="1135" w:type="dxa"/>
            <w:gridSpan w:val="4"/>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December 31, 2021</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8,226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8,226</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Derivative asset on loans to stockholders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35,253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35,253</w:t>
            </w:r>
          </w:p>
        </w:tc>
        <w:tc>
          <w:tcPr>
            <w:tcW w:w="75"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800" w:type="dxa"/>
            <w:tcBorders/>
            <w:shd w:fill="auto" w:val="clear"/>
            <w:vAlign w:val="center"/>
          </w:tcPr>
          <w:p>
            <w:pPr>
              <w:pStyle w:val="TableContents"/>
              <w:spacing w:before="0" w:after="0"/>
              <w:jc w:val="right"/>
              <w:rPr>
                <w:b/>
                <w:spacing w:val="0"/>
              </w:rPr>
            </w:pPr>
            <w:r>
              <w:rPr>
                <w:b/>
                <w:spacing w:val="0"/>
              </w:rPr>
              <w:t>8,226</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b/>
                <w:spacing w:val="0"/>
              </w:rPr>
            </w:pPr>
            <w:r>
              <w:rPr>
                <w:b/>
                <w:spacing w:val="0"/>
              </w:rPr>
              <w:t>$</w:t>
            </w:r>
          </w:p>
        </w:tc>
        <w:tc>
          <w:tcPr>
            <w:tcW w:w="552"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680" w:type="dxa"/>
            <w:tcBorders/>
            <w:shd w:fill="auto" w:val="clear"/>
            <w:vAlign w:val="center"/>
          </w:tcPr>
          <w:p>
            <w:pPr>
              <w:pStyle w:val="TableContents"/>
              <w:spacing w:before="0" w:after="0"/>
              <w:jc w:val="right"/>
              <w:rPr>
                <w:b/>
                <w:spacing w:val="0"/>
              </w:rPr>
            </w:pPr>
            <w:r>
              <w:rPr>
                <w:b/>
                <w:spacing w:val="0"/>
              </w:rPr>
              <w:t>35,253</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800" w:type="dxa"/>
            <w:tcBorders/>
            <w:shd w:fill="auto" w:val="clear"/>
            <w:vAlign w:val="center"/>
          </w:tcPr>
          <w:p>
            <w:pPr>
              <w:pStyle w:val="TableContents"/>
              <w:spacing w:before="0" w:after="0"/>
              <w:jc w:val="right"/>
              <w:rPr>
                <w:b/>
                <w:spacing w:val="0"/>
              </w:rPr>
            </w:pPr>
            <w:r>
              <w:rPr>
                <w:b/>
                <w:spacing w:val="0"/>
              </w:rPr>
              <w:t>43,479</w:t>
            </w:r>
          </w:p>
        </w:tc>
        <w:tc>
          <w:tcPr>
            <w:tcW w:w="75" w:type="dxa"/>
            <w:tcBorders/>
            <w:shd w:fill="auto"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Warrant liability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3,726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3,726</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Note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15,051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15,051</w:t>
            </w:r>
          </w:p>
        </w:tc>
        <w:tc>
          <w:tcPr>
            <w:tcW w:w="75"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80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b/>
                <w:spacing w:val="0"/>
              </w:rPr>
            </w:pPr>
            <w:r>
              <w:rPr>
                <w:b/>
                <w:spacing w:val="0"/>
              </w:rPr>
              <w:t>$</w:t>
            </w:r>
          </w:p>
        </w:tc>
        <w:tc>
          <w:tcPr>
            <w:tcW w:w="552"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680" w:type="dxa"/>
            <w:tcBorders/>
            <w:shd w:fill="auto" w:val="clear"/>
            <w:vAlign w:val="center"/>
          </w:tcPr>
          <w:p>
            <w:pPr>
              <w:pStyle w:val="TableContents"/>
              <w:spacing w:before="0" w:after="0"/>
              <w:jc w:val="right"/>
              <w:rPr>
                <w:b/>
                <w:spacing w:val="0"/>
              </w:rPr>
            </w:pPr>
            <w:r>
              <w:rPr>
                <w:b/>
                <w:spacing w:val="0"/>
              </w:rPr>
              <w:t>18,777</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800" w:type="dxa"/>
            <w:tcBorders/>
            <w:shd w:fill="auto" w:val="clear"/>
            <w:vAlign w:val="center"/>
          </w:tcPr>
          <w:p>
            <w:pPr>
              <w:pStyle w:val="TableContents"/>
              <w:spacing w:before="0" w:after="0"/>
              <w:jc w:val="right"/>
              <w:rPr>
                <w:b/>
                <w:spacing w:val="0"/>
              </w:rPr>
            </w:pPr>
            <w:r>
              <w:rPr>
                <w:b/>
                <w:spacing w:val="0"/>
              </w:rPr>
              <w:t>18,777</w:t>
            </w:r>
          </w:p>
        </w:tc>
        <w:tc>
          <w:tcPr>
            <w:tcW w:w="75" w:type="dxa"/>
            <w:tcBorders/>
            <w:shd w:fill="auto" w:val="clear"/>
            <w:vAlign w:val="center"/>
          </w:tcPr>
          <w:p>
            <w:pPr>
              <w:pStyle w:val="TableContents"/>
              <w:spacing w:before="0" w:after="0"/>
              <w:rPr>
                <w:spacing w:val="0"/>
              </w:rPr>
            </w:pPr>
            <w:r>
              <w:rPr>
                <w:spacing w:val="0"/>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Company had no assets and liabilities measured at fair value on a </w:t>
      </w:r>
    </w:p>
    <w:p>
      <w:pPr>
        <w:pStyle w:val="TextBody"/>
        <w:spacing w:before="240" w:after="0"/>
        <w:jc w:val="left"/>
        <w:rPr>
          <w:rFonts w:ascii="Times New Roman" w:hAnsi="Times New Roman"/>
          <w:spacing w:val="0"/>
          <w:sz w:val="20"/>
        </w:rPr>
      </w:pPr>
      <w:r>
        <w:rPr>
          <w:rFonts w:ascii="Times New Roman" w:hAnsi="Times New Roman"/>
          <w:spacing w:val="0"/>
          <w:sz w:val="20"/>
        </w:rPr>
        <w:t>non-recurring</w:t>
      </w:r>
    </w:p>
    <w:p>
      <w:pPr>
        <w:pStyle w:val="TextBody"/>
        <w:spacing w:before="240" w:after="0"/>
        <w:jc w:val="left"/>
        <w:rPr>
          <w:rFonts w:ascii="Times New Roman" w:hAnsi="Times New Roman"/>
          <w:sz w:val="20"/>
        </w:rPr>
      </w:pPr>
      <w:r>
        <w:rPr>
          <w:rFonts w:ascii="Times New Roman" w:hAnsi="Times New Roman"/>
          <w:sz w:val="20"/>
        </w:rPr>
        <w:t xml:space="preserve">basis as of March 31, 2022 and December 31,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also has financial instruments not measured at fair value. The Company has evaluated cash and cash equivalents, Member advances, net, restricted cash, accounts payable, and accrued expenses, and believes the carrying value approximates the fair value due to the short-term nature of these balances. The fair value of the debt facility, convertible debt, and line of credit approximate their carrying values.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Marketable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Derivative Asset Related to Loans to Stockholders: </w:t>
      </w:r>
    </w:p>
    <w:p>
      <w:pPr>
        <w:pStyle w:val="TextBody"/>
        <w:spacing w:before="120" w:after="0"/>
        <w:jc w:val="left"/>
        <w:rPr>
          <w:rFonts w:ascii="Times New Roman" w:hAnsi="Times New Roman"/>
          <w:sz w:val="20"/>
        </w:rPr>
      </w:pPr>
      <w:r>
        <w:rPr>
          <w:rFonts w:ascii="Times New Roman" w:hAnsi="Times New Roman"/>
          <w:sz w:val="20"/>
        </w:rPr>
        <w:t xml:space="preserve">In relation to certain loans to stockholders, the Company purchased call options which grant the Company the right to acquire a fixed number of the Company’s Common Stock, held by such stockholders over the exercise period (four years). However, the exercise price per share is not fixed. The approximate $3.273 exercise price per share increases by a nominal amount of approximately $0.005 for each month that lapses from the call option issuance date. As of the date of the Business Combination, the exercise price per share was approximately $3.42. The Company understands that this variability in the exercise price of the call option is tied to the passage of time, which is not an input to the fair value of the Company’s shares per ASC 815,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Derivatives and Hedging</w:t>
      </w:r>
    </w:p>
    <w:p>
      <w:pPr>
        <w:pStyle w:val="TextBody"/>
        <w:spacing w:before="120" w:after="0"/>
        <w:jc w:val="left"/>
        <w:rPr>
          <w:rFonts w:ascii="Times New Roman" w:hAnsi="Times New Roman"/>
          <w:sz w:val="20"/>
        </w:rPr>
      </w:pPr>
      <w:r>
        <w:rPr>
          <w:rFonts w:ascii="Times New Roman" w:hAnsi="Times New Roman"/>
          <w:sz w:val="20"/>
        </w:rPr>
        <w:t xml:space="preserve">(“ASC 815”). Therefore, the Company does not believe the call option meets the scope exception under ASC 815. As the scope exception is not met, the call option is accounted for as a derivative instrument. Accordingly, the call option was measured at fair value and presented as a derivative asset on loans to stockholders on the Company’s condensed consolidated balance sheets. Interest earned on the </w:t>
      </w:r>
    </w:p>
    <w:p>
      <w:pPr>
        <w:pStyle w:val="TextBody"/>
        <w:spacing w:before="120" w:after="0"/>
        <w:jc w:val="left"/>
        <w:rPr>
          <w:rFonts w:ascii="Times New Roman" w:hAnsi="Times New Roman"/>
          <w:spacing w:val="0"/>
          <w:sz w:val="20"/>
        </w:rPr>
      </w:pPr>
      <w:r>
        <w:rPr>
          <w:rFonts w:ascii="Times New Roman" w:hAnsi="Times New Roman"/>
          <w:spacing w:val="0"/>
          <w:sz w:val="20"/>
        </w:rPr>
        <w:t>non-recourse</w:t>
      </w:r>
    </w:p>
    <w:p>
      <w:pPr>
        <w:pStyle w:val="TextBody"/>
        <w:spacing w:before="120" w:after="0"/>
        <w:jc w:val="left"/>
        <w:rPr>
          <w:rFonts w:ascii="Times New Roman" w:hAnsi="Times New Roman"/>
          <w:sz w:val="20"/>
        </w:rPr>
      </w:pPr>
      <w:r>
        <w:rPr>
          <w:rFonts w:ascii="Times New Roman" w:hAnsi="Times New Roman"/>
          <w:sz w:val="20"/>
        </w:rPr>
        <w:t xml:space="preserve">promissory notes was reported as interest income and changes in the fair value of the call option were reported as other income or expense in the period incurred. The call option was measured at fair value at the end of each reporting period with change in fair value recorded in earnings. The fair value of the call option as of March 31, 2022 and December 31, 2021, was approximately $0 and $35.3 million, respectively. Upon consummation of the business combination in January 2022, all of the call options related to the Loans to Stockholders were exercised, settling the derivative asset on Loans to Stockholders of $29.7 million and the contra-equity Loans to Stockholders of $15.2 million with APIC being the offsetting entry.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 roll-forward of the Level 3 derivative asset on loans to stockholders is as follows (dollars in thousands): </w:t>
      </w:r>
    </w:p>
    <w:p>
      <w:pPr>
        <w:pStyle w:val="TextBody"/>
        <w:spacing w:before="0" w:after="0"/>
        <w:jc w:val="left"/>
        <w:rPr>
          <w:spacing w:val="0"/>
        </w:rPr>
      </w:pPr>
      <w:r>
        <w:rPr>
          <w:spacing w:val="0"/>
        </w:rPr>
        <w:t> </w:t>
      </w:r>
    </w:p>
    <w:tbl>
      <w:tblPr>
        <w:tblW w:w="4325" w:type="dxa"/>
        <w:jc w:val="left"/>
        <w:tblInd w:w="0" w:type="dxa"/>
        <w:tblCellMar>
          <w:top w:w="0" w:type="dxa"/>
          <w:left w:w="0" w:type="dxa"/>
          <w:bottom w:w="0" w:type="dxa"/>
          <w:right w:w="0" w:type="dxa"/>
        </w:tblCellMar>
      </w:tblPr>
      <w:tblGrid>
        <w:gridCol w:w="3140"/>
        <w:gridCol w:w="120"/>
        <w:gridCol w:w="140"/>
        <w:gridCol w:w="755"/>
        <w:gridCol w:w="170"/>
      </w:tblGrid>
      <w:tr>
        <w:trPr/>
        <w:tc>
          <w:tcPr>
            <w:tcW w:w="3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Opening value at January 1, 2021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755" w:type="dxa"/>
            <w:tcBorders/>
            <w:shd w:fill="CCEEFF" w:val="clear"/>
            <w:vAlign w:val="center"/>
          </w:tcPr>
          <w:p>
            <w:pPr>
              <w:pStyle w:val="TableContents"/>
              <w:spacing w:before="0" w:after="0"/>
              <w:jc w:val="right"/>
              <w:rPr>
                <w:b/>
                <w:spacing w:val="0"/>
              </w:rPr>
            </w:pPr>
            <w:r>
              <w:rPr>
                <w:b/>
                <w:spacing w:val="0"/>
              </w:rPr>
              <w:t>457</w:t>
            </w:r>
          </w:p>
        </w:tc>
        <w:tc>
          <w:tcPr>
            <w:tcW w:w="170" w:type="dxa"/>
            <w:tcBorders/>
            <w:shd w:fill="CCEEFF" w:val="clear"/>
            <w:vAlign w:val="center"/>
          </w:tcPr>
          <w:p>
            <w:pPr>
              <w:pStyle w:val="TableContents"/>
              <w:spacing w:before="0" w:after="0"/>
              <w:rPr>
                <w:spacing w:val="0"/>
              </w:rPr>
            </w:pPr>
            <w:r>
              <w:rPr>
                <w:spacing w:val="0"/>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Amendment to loan to stockholder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w:t>
            </w:r>
          </w:p>
        </w:tc>
        <w:tc>
          <w:tcPr>
            <w:tcW w:w="17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during the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34,791</w:t>
            </w:r>
          </w:p>
        </w:tc>
        <w:tc>
          <w:tcPr>
            <w:tcW w:w="170"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value at December 31,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35,253</w:t>
            </w:r>
          </w:p>
        </w:tc>
        <w:tc>
          <w:tcPr>
            <w:tcW w:w="170" w:type="dxa"/>
            <w:tcBorders/>
            <w:shd w:fill="auto" w:val="clear"/>
            <w:vAlign w:val="center"/>
          </w:tcPr>
          <w:p>
            <w:pPr>
              <w:pStyle w:val="TableContents"/>
              <w:spacing w:before="0" w:after="0"/>
              <w:rPr>
                <w:spacing w:val="0"/>
              </w:rPr>
            </w:pPr>
            <w:r>
              <w:rPr>
                <w:spacing w:val="0"/>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during the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(5,572</w:t>
            </w:r>
          </w:p>
        </w:tc>
        <w:tc>
          <w:tcPr>
            <w:tcW w:w="170"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 of call option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(29,681</w:t>
            </w:r>
          </w:p>
        </w:tc>
        <w:tc>
          <w:tcPr>
            <w:tcW w:w="170"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value at March 31, 2022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755"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used a probability-weighted expected return method (“PWERM”) to weight the indicated call options value determined under the binomial option pricing model to determine the fair value of the call options. The following table presents the assumptions used to value the call options for the year ended December 31, 2021: </w:t>
      </w:r>
    </w:p>
    <w:p>
      <w:pPr>
        <w:pStyle w:val="TextBody"/>
        <w:spacing w:before="0" w:after="0"/>
        <w:ind w:left="0" w:right="0" w:hanging="0"/>
        <w:jc w:val="left"/>
        <w:rPr>
          <w:sz w:val="24"/>
        </w:rPr>
      </w:pPr>
      <w:r>
        <w:rPr>
          <w:sz w:val="24"/>
        </w:rPr>
      </w:r>
    </w:p>
    <w:tbl>
      <w:tblPr>
        <w:tblW w:w="3165" w:type="dxa"/>
        <w:jc w:val="left"/>
        <w:tblInd w:w="0" w:type="dxa"/>
        <w:tblCellMar>
          <w:top w:w="0" w:type="dxa"/>
          <w:left w:w="0" w:type="dxa"/>
          <w:bottom w:w="0" w:type="dxa"/>
          <w:right w:w="0" w:type="dxa"/>
        </w:tblCellMar>
      </w:tblPr>
      <w:tblGrid>
        <w:gridCol w:w="1760"/>
        <w:gridCol w:w="120"/>
        <w:gridCol w:w="60"/>
        <w:gridCol w:w="935"/>
        <w:gridCol w:w="290"/>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61.5</w:t>
            </w:r>
          </w:p>
        </w:tc>
        <w:tc>
          <w:tcPr>
            <w:tcW w:w="290"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0.2</w:t>
            </w:r>
          </w:p>
        </w:tc>
        <w:tc>
          <w:tcPr>
            <w:tcW w:w="290"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Remaining term</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3.0 Years</w:t>
            </w:r>
          </w:p>
        </w:tc>
        <w:tc>
          <w:tcPr>
            <w:tcW w:w="29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Warrant Liability Related to Debt Facility: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discussed further in Note 12,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Debit and Credit</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Facility</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in January 2021, the Company </w:t>
      </w:r>
    </w:p>
    <w:p>
      <w:pPr>
        <w:pStyle w:val="TextBody"/>
        <w:spacing w:before="120" w:after="0"/>
        <w:jc w:val="left"/>
        <w:rPr>
          <w:rFonts w:ascii="Times New Roman" w:hAnsi="Times New Roman"/>
          <w:sz w:val="20"/>
        </w:rPr>
      </w:pPr>
      <w:r>
        <w:rPr>
          <w:rFonts w:ascii="Times New Roman" w:hAnsi="Times New Roman"/>
          <w:sz w:val="20"/>
        </w:rPr>
        <w:t>issued warrants contemporaneously with a debt facility that met the definition of a derivative under ASC 815. This warrant liability was initially recorded as a liability at fair value, with the offsetting entry recorded as a loan commitment fees asset. The derivative liability was subsequently recorded at fair value at each reporting period, with changes in fair value reflected in earnings. The gain related to the change in fair value of the warrant liability in the three months ended March 31, 2022, was $0.4 million, which is presented within changes in fair value of warrant liability in the condensed consolidated statements of operations. Immediately prior to the close of the Business Combination,</w:t>
      </w:r>
    </w:p>
    <w:p>
      <w:pPr>
        <w:pStyle w:val="TextBody"/>
        <w:spacing w:before="120" w:after="0"/>
        <w:jc w:val="left"/>
        <w:rPr>
          <w:spacing w:val="0"/>
        </w:rPr>
      </w:pPr>
      <w:r>
        <w:rPr>
          <w:spacing w:val="0"/>
        </w:rPr>
        <w:t> </w:t>
      </w:r>
      <w:r>
        <w:rPr>
          <w:rFonts w:ascii="Times New Roman" w:hAnsi="Times New Roman"/>
          <w:spacing w:val="0"/>
          <w:sz w:val="20"/>
        </w:rPr>
        <w:t>all</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pacing w:val="0"/>
          <w:sz w:val="20"/>
        </w:rPr>
      </w:pPr>
      <w:r>
        <w:rPr>
          <w:rFonts w:ascii="Times New Roman" w:hAnsi="Times New Roman"/>
          <w:spacing w:val="0"/>
          <w:sz w:val="20"/>
        </w:rPr>
        <w:t>or</w:t>
      </w:r>
    </w:p>
    <w:p>
      <w:pPr>
        <w:pStyle w:val="TextBody"/>
        <w:spacing w:before="120" w:after="0"/>
        <w:jc w:val="left"/>
        <w:rPr>
          <w:rFonts w:ascii="Times New Roman" w:hAnsi="Times New Roman"/>
          <w:sz w:val="20"/>
        </w:rPr>
      </w:pPr>
      <w:r>
        <w:rPr>
          <w:rFonts w:ascii="Times New Roman" w:hAnsi="Times New Roman"/>
          <w:sz w:val="20"/>
        </w:rPr>
        <w:t xml:space="preserve">1,664,394 of the vested warrants were exercised and net settled for 450,841 shares of Legacy Dave’s Class A Common Stock pursuant to the terms of the Business Combination.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A roll-forward of the Level 3 warrant liability is as follows (dollars in thousands): </w:t>
      </w:r>
    </w:p>
    <w:p>
      <w:pPr>
        <w:pStyle w:val="TextBody"/>
        <w:spacing w:before="0" w:after="0"/>
        <w:jc w:val="left"/>
        <w:rPr>
          <w:spacing w:val="0"/>
        </w:rPr>
      </w:pPr>
      <w:r>
        <w:rPr>
          <w:spacing w:val="0"/>
        </w:rPr>
        <w:t> </w:t>
      </w:r>
    </w:p>
    <w:tbl>
      <w:tblPr>
        <w:tblW w:w="4715" w:type="dxa"/>
        <w:jc w:val="left"/>
        <w:tblInd w:w="0" w:type="dxa"/>
        <w:tblCellMar>
          <w:top w:w="0" w:type="dxa"/>
          <w:left w:w="0" w:type="dxa"/>
          <w:bottom w:w="0" w:type="dxa"/>
          <w:right w:w="0" w:type="dxa"/>
        </w:tblCellMar>
      </w:tblPr>
      <w:tblGrid>
        <w:gridCol w:w="3650"/>
        <w:gridCol w:w="120"/>
        <w:gridCol w:w="140"/>
        <w:gridCol w:w="635"/>
        <w:gridCol w:w="170"/>
      </w:tblGrid>
      <w:tr>
        <w:trPr/>
        <w:tc>
          <w:tcPr>
            <w:tcW w:w="3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6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Opening value at January 1, 2021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35"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36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Initial fair value at the original issuance date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106</w:t>
            </w:r>
          </w:p>
        </w:tc>
        <w:tc>
          <w:tcPr>
            <w:tcW w:w="170" w:type="dxa"/>
            <w:tcBorders/>
            <w:shd w:fill="auto"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during the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3,620</w:t>
            </w:r>
          </w:p>
        </w:tc>
        <w:tc>
          <w:tcPr>
            <w:tcW w:w="170" w:type="dxa"/>
            <w:tcBorders/>
            <w:shd w:fill="CCEEFF"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value at December 31,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635" w:type="dxa"/>
            <w:tcBorders/>
            <w:shd w:fill="auto" w:val="clear"/>
            <w:vAlign w:val="center"/>
          </w:tcPr>
          <w:p>
            <w:pPr>
              <w:pStyle w:val="TableContents"/>
              <w:spacing w:before="0" w:after="0"/>
              <w:jc w:val="right"/>
              <w:rPr>
                <w:b/>
                <w:spacing w:val="0"/>
              </w:rPr>
            </w:pPr>
            <w:r>
              <w:rPr>
                <w:b/>
                <w:spacing w:val="0"/>
              </w:rPr>
              <w:t>3,726</w:t>
            </w:r>
          </w:p>
        </w:tc>
        <w:tc>
          <w:tcPr>
            <w:tcW w:w="170" w:type="dxa"/>
            <w:tcBorders/>
            <w:shd w:fill="auto" w:val="clear"/>
            <w:vAlign w:val="center"/>
          </w:tcPr>
          <w:p>
            <w:pPr>
              <w:pStyle w:val="TableContents"/>
              <w:spacing w:before="0" w:after="0"/>
              <w:rPr>
                <w:spacing w:val="0"/>
              </w:rPr>
            </w:pPr>
            <w:r>
              <w:rPr>
                <w:spacing w:val="0"/>
              </w:rPr>
              <w:t> </w:t>
            </w:r>
          </w:p>
        </w:tc>
      </w:tr>
      <w:tr>
        <w:trPr/>
        <w:tc>
          <w:tcPr>
            <w:tcW w:w="36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during the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(361</w:t>
            </w:r>
          </w:p>
        </w:tc>
        <w:tc>
          <w:tcPr>
            <w:tcW w:w="170" w:type="dxa"/>
            <w:tcBorders/>
            <w:shd w:fill="CCEEFF"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 of warrant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(3,365</w:t>
            </w:r>
          </w:p>
        </w:tc>
        <w:tc>
          <w:tcPr>
            <w:tcW w:w="170" w:type="dxa"/>
            <w:tcBorders/>
            <w:shd w:fill="auto"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value at March 31, 2022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35"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36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Company used a PWERM to weight the indicated warrant liability value determined under the binomial option pricing model to determine the fair value of the warrant liability. The following table presents the assumptions used to value the warrant liability for the year ended December 31, 2021: </w:t>
      </w:r>
    </w:p>
    <w:p>
      <w:pPr>
        <w:pStyle w:val="TextBody"/>
        <w:spacing w:before="0" w:after="0"/>
        <w:ind w:left="0" w:right="0" w:hanging="0"/>
        <w:jc w:val="left"/>
        <w:rPr>
          <w:sz w:val="24"/>
        </w:rPr>
      </w:pPr>
      <w:r>
        <w:rPr>
          <w:sz w:val="24"/>
        </w:rPr>
      </w:r>
    </w:p>
    <w:tbl>
      <w:tblPr>
        <w:tblW w:w="3660" w:type="dxa"/>
        <w:jc w:val="left"/>
        <w:tblInd w:w="0" w:type="dxa"/>
        <w:tblCellMar>
          <w:top w:w="0" w:type="dxa"/>
          <w:left w:w="0" w:type="dxa"/>
          <w:bottom w:w="0" w:type="dxa"/>
          <w:right w:w="0" w:type="dxa"/>
        </w:tblCellMar>
      </w:tblPr>
      <w:tblGrid>
        <w:gridCol w:w="1760"/>
        <w:gridCol w:w="120"/>
        <w:gridCol w:w="60"/>
        <w:gridCol w:w="1430"/>
        <w:gridCol w:w="290"/>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0" w:type="dxa"/>
            <w:tcBorders/>
            <w:shd w:fill="CCEEFF" w:val="clear"/>
            <w:vAlign w:val="center"/>
          </w:tcPr>
          <w:p>
            <w:pPr>
              <w:pStyle w:val="TableContents"/>
              <w:spacing w:before="0" w:after="283"/>
              <w:jc w:val="right"/>
              <w:rPr/>
            </w:pPr>
            <w:r>
              <w:rPr/>
              <w:t>57.0</w:t>
            </w:r>
          </w:p>
        </w:tc>
        <w:tc>
          <w:tcPr>
            <w:tcW w:w="290"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0"/>
              <w:jc w:val="right"/>
              <w:rPr>
                <w:spacing w:val="0"/>
              </w:rPr>
            </w:pPr>
            <w:r>
              <w:rPr>
                <w:spacing w:val="0"/>
              </w:rPr>
              <w:t>0.1-0.6</w:t>
            </w:r>
          </w:p>
        </w:tc>
        <w:tc>
          <w:tcPr>
            <w:tcW w:w="290"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Remaining term</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0" w:type="dxa"/>
            <w:tcBorders/>
            <w:shd w:fill="CCEEFF" w:val="clear"/>
            <w:vAlign w:val="center"/>
          </w:tcPr>
          <w:p>
            <w:pPr>
              <w:pStyle w:val="TableContents"/>
              <w:spacing w:before="0" w:after="0"/>
              <w:jc w:val="right"/>
              <w:rPr>
                <w:spacing w:val="0"/>
              </w:rPr>
            </w:pPr>
            <w:r>
              <w:rPr>
                <w:spacing w:val="0"/>
              </w:rPr>
              <w:t>0.0 - 1.5 Years</w:t>
            </w:r>
          </w:p>
        </w:tc>
        <w:tc>
          <w:tcPr>
            <w:tcW w:w="290" w:type="dxa"/>
            <w:tcBorders/>
            <w:shd w:fill="CCEEFF"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Note Payable: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As discussed in Note </w:t>
      </w:r>
    </w:p>
    <w:p>
      <w:pPr>
        <w:pStyle w:val="TextBody"/>
        <w:spacing w:before="120" w:after="0"/>
        <w:jc w:val="left"/>
        <w:rPr>
          <w:rFonts w:ascii="Times New Roman" w:hAnsi="Times New Roman"/>
          <w:spacing w:val="0"/>
          <w:sz w:val="20"/>
        </w:rPr>
      </w:pPr>
      <w:r>
        <w:rPr>
          <w:rFonts w:ascii="Times New Roman" w:hAnsi="Times New Roman"/>
          <w:spacing w:val="0"/>
          <w:sz w:val="20"/>
        </w:rPr>
        <w:t>10</w:t>
      </w:r>
    </w:p>
    <w:p>
      <w:pPr>
        <w:pStyle w:val="TextBody"/>
        <w:spacing w:before="120" w:after="0"/>
        <w:jc w:val="left"/>
        <w:rPr>
          <w:rFonts w:ascii="Times New Roman" w:hAnsi="Times New Roman"/>
          <w:sz w:val="20"/>
        </w:rPr>
      </w:pPr>
      <w:r>
        <w:rPr>
          <w:rFonts w:ascii="Times New Roman" w:hAnsi="Times New Roman"/>
          <w:sz w:val="20"/>
        </w:rPr>
        <w:t xml:space="preserve">,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Notes Payable</w:t>
      </w:r>
    </w:p>
    <w:p>
      <w:pPr>
        <w:pStyle w:val="TextBody"/>
        <w:spacing w:before="120" w:after="0"/>
        <w:jc w:val="left"/>
        <w:rPr>
          <w:rFonts w:ascii="Times New Roman" w:hAnsi="Times New Roman"/>
          <w:sz w:val="20"/>
        </w:rPr>
      </w:pPr>
      <w:r>
        <w:rPr>
          <w:rFonts w:ascii="Times New Roman" w:hAnsi="Times New Roman"/>
          <w:sz w:val="20"/>
        </w:rPr>
        <w:t xml:space="preserve">, the Company has elected to measure the note payable at fair value using the fair value option of ASC </w:t>
      </w:r>
    </w:p>
    <w:p>
      <w:pPr>
        <w:pStyle w:val="TextBody"/>
        <w:spacing w:before="120" w:after="0"/>
        <w:jc w:val="left"/>
        <w:rPr>
          <w:rFonts w:ascii="Times New Roman" w:hAnsi="Times New Roman"/>
          <w:spacing w:val="0"/>
          <w:sz w:val="20"/>
        </w:rPr>
      </w:pPr>
      <w:r>
        <w:rPr>
          <w:rFonts w:ascii="Times New Roman" w:hAnsi="Times New Roman"/>
          <w:spacing w:val="0"/>
          <w:sz w:val="20"/>
        </w:rPr>
        <w:t>825-10.</w:t>
      </w:r>
    </w:p>
    <w:p>
      <w:pPr>
        <w:pStyle w:val="TextBody"/>
        <w:spacing w:before="120" w:after="0"/>
        <w:jc w:val="left"/>
        <w:rPr>
          <w:rFonts w:ascii="Times New Roman" w:hAnsi="Times New Roman"/>
          <w:sz w:val="20"/>
        </w:rPr>
      </w:pPr>
      <w:r>
        <w:rPr>
          <w:rFonts w:ascii="Times New Roman" w:hAnsi="Times New Roman"/>
          <w:sz w:val="20"/>
        </w:rPr>
        <w:t xml:space="preserve">The Company identified an embedded derivative related to a convertible feature in its promissory note and in accordance with ASC </w:t>
      </w:r>
    </w:p>
    <w:p>
      <w:pPr>
        <w:pStyle w:val="TextBody"/>
        <w:spacing w:before="120" w:after="0"/>
        <w:jc w:val="left"/>
        <w:rPr>
          <w:rFonts w:ascii="Times New Roman" w:hAnsi="Times New Roman"/>
          <w:spacing w:val="0"/>
          <w:sz w:val="20"/>
        </w:rPr>
      </w:pPr>
      <w:r>
        <w:rPr>
          <w:rFonts w:ascii="Times New Roman" w:hAnsi="Times New Roman"/>
          <w:spacing w:val="0"/>
          <w:sz w:val="20"/>
        </w:rPr>
        <w:t>815-15-25-1</w:t>
      </w:r>
    </w:p>
    <w:p>
      <w:pPr>
        <w:pStyle w:val="TextBody"/>
        <w:spacing w:before="120" w:after="0"/>
        <w:jc w:val="left"/>
        <w:rPr>
          <w:rFonts w:ascii="Times New Roman" w:hAnsi="Times New Roman"/>
          <w:sz w:val="20"/>
        </w:rPr>
      </w:pPr>
      <w:r>
        <w:rPr>
          <w:rFonts w:ascii="Times New Roman" w:hAnsi="Times New Roman"/>
          <w:sz w:val="20"/>
        </w:rPr>
        <w:t xml:space="preserve">criterion (b), since the Company has elected to apply the fair value option to the debt embedded features will not be separated from the debt host. The note payable is carried on the Company’s unaudited condensed consolidated balance sheet as a current liability estimated at fair value with changes in fair value reflected in earnings. The Company recorded an unrealized gain of approximately $0.1 million related to the change in fair value of the promissory note for the three months ended March 31, 2022. Upon the Closing of the Business Combination, the </w:t>
      </w:r>
    </w:p>
    <w:p>
      <w:pPr>
        <w:pStyle w:val="TextBody"/>
        <w:spacing w:before="120" w:after="0"/>
        <w:jc w:val="left"/>
        <w:rPr>
          <w:rFonts w:ascii="Times New Roman" w:hAnsi="Times New Roman"/>
          <w:spacing w:val="0"/>
          <w:sz w:val="20"/>
        </w:rPr>
      </w:pPr>
      <w:r>
        <w:rPr>
          <w:rFonts w:ascii="Times New Roman" w:hAnsi="Times New Roman"/>
          <w:spacing w:val="0"/>
          <w:sz w:val="20"/>
        </w:rPr>
        <w:t>p</w:t>
      </w:r>
    </w:p>
    <w:p>
      <w:pPr>
        <w:pStyle w:val="TextBody"/>
        <w:spacing w:before="120" w:after="0"/>
        <w:jc w:val="left"/>
        <w:rPr>
          <w:rFonts w:ascii="Times New Roman" w:hAnsi="Times New Roman"/>
          <w:sz w:val="20"/>
        </w:rPr>
      </w:pPr>
      <w:r>
        <w:rPr>
          <w:rFonts w:ascii="Times New Roman" w:hAnsi="Times New Roman"/>
          <w:sz w:val="20"/>
        </w:rPr>
        <w:t xml:space="preserve">romissory </w:t>
      </w:r>
    </w:p>
    <w:p>
      <w:pPr>
        <w:pStyle w:val="TextBody"/>
        <w:spacing w:before="120" w:after="0"/>
        <w:jc w:val="left"/>
        <w:rPr>
          <w:rFonts w:ascii="Times New Roman" w:hAnsi="Times New Roman"/>
          <w:spacing w:val="0"/>
          <w:sz w:val="20"/>
        </w:rPr>
      </w:pPr>
      <w:r>
        <w:rPr>
          <w:rFonts w:ascii="Times New Roman" w:hAnsi="Times New Roman"/>
          <w:spacing w:val="0"/>
          <w:sz w:val="20"/>
        </w:rPr>
        <w:t>n</w:t>
      </w:r>
    </w:p>
    <w:p>
      <w:pPr>
        <w:pStyle w:val="TextBody"/>
        <w:spacing w:before="120" w:after="0"/>
        <w:jc w:val="left"/>
        <w:rPr>
          <w:rFonts w:ascii="Times New Roman" w:hAnsi="Times New Roman"/>
          <w:sz w:val="20"/>
        </w:rPr>
      </w:pPr>
      <w:r>
        <w:rPr>
          <w:rFonts w:ascii="Times New Roman" w:hAnsi="Times New Roman"/>
          <w:sz w:val="20"/>
        </w:rPr>
        <w:t xml:space="preserve">ote was automatically discharged upon the Company’s issuance of 1,500,000 shares of Class A Common Stock to Alameda Research. The closing of the note payable occurred immediately prior to the closing date of the Business Combination. Refer to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Note 3</w:t>
      </w:r>
    </w:p>
    <w:p>
      <w:pPr>
        <w:pStyle w:val="TextBody"/>
        <w:spacing w:before="120" w:after="0"/>
        <w:jc w:val="left"/>
        <w:rPr>
          <w:rFonts w:ascii="Times New Roman" w:hAnsi="Times New Roman"/>
          <w:sz w:val="20"/>
        </w:rPr>
      </w:pPr>
      <w:r>
        <w:rPr>
          <w:rFonts w:ascii="Times New Roman" w:hAnsi="Times New Roman"/>
          <w:sz w:val="20"/>
        </w:rPr>
        <w:t xml:space="preserve">,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Reverse Recapitalization and Related Transactions </w:t>
      </w:r>
    </w:p>
    <w:p>
      <w:pPr>
        <w:pStyle w:val="TextBody"/>
        <w:spacing w:before="120" w:after="0"/>
        <w:jc w:val="left"/>
        <w:rPr>
          <w:rFonts w:ascii="Times New Roman" w:hAnsi="Times New Roman"/>
          <w:sz w:val="20"/>
        </w:rPr>
      </w:pPr>
      <w:r>
        <w:rPr>
          <w:rFonts w:ascii="Times New Roman" w:hAnsi="Times New Roman"/>
          <w:sz w:val="20"/>
        </w:rPr>
        <w:t>for further details on the closing of the note payable</w:t>
      </w:r>
    </w:p>
    <w:p>
      <w:pPr>
        <w:pStyle w:val="TextBody"/>
        <w:spacing w:before="120" w:after="0"/>
        <w:jc w:val="left"/>
        <w:rPr>
          <w:rFonts w:ascii="Times New Roman" w:hAnsi="Times New Roman"/>
          <w:b/>
          <w:spacing w:val="0"/>
          <w:sz w:val="20"/>
        </w:rPr>
      </w:pPr>
      <w:r>
        <w:rPr>
          <w:rFonts w:ascii="Times New Roman" w:hAnsi="Times New Roman"/>
          <w:b/>
          <w:spacing w:val="0"/>
          <w:sz w:val="20"/>
        </w:rPr>
        <w:t>.</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A roll-forward of the Level 3 promissory note is as follows (dollars in thousands): </w:t>
      </w:r>
    </w:p>
    <w:p>
      <w:pPr>
        <w:pStyle w:val="TextBody"/>
        <w:spacing w:before="0" w:after="0"/>
        <w:jc w:val="left"/>
        <w:rPr>
          <w:spacing w:val="0"/>
        </w:rPr>
      </w:pPr>
      <w:r>
        <w:rPr>
          <w:spacing w:val="0"/>
        </w:rPr>
        <w:t> </w:t>
      </w:r>
    </w:p>
    <w:tbl>
      <w:tblPr>
        <w:tblW w:w="6380" w:type="dxa"/>
        <w:jc w:val="left"/>
        <w:tblInd w:w="0" w:type="dxa"/>
        <w:tblCellMar>
          <w:top w:w="0" w:type="dxa"/>
          <w:left w:w="0" w:type="dxa"/>
          <w:bottom w:w="0" w:type="dxa"/>
          <w:right w:w="0" w:type="dxa"/>
        </w:tblCellMar>
      </w:tblPr>
      <w:tblGrid>
        <w:gridCol w:w="5195"/>
        <w:gridCol w:w="120"/>
        <w:gridCol w:w="140"/>
        <w:gridCol w:w="755"/>
        <w:gridCol w:w="170"/>
      </w:tblGrid>
      <w:tr>
        <w:trPr/>
        <w:tc>
          <w:tcPr>
            <w:tcW w:w="51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19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Opening value at January 1, 2021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755"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51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Fair value at issuance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14,608</w:t>
            </w:r>
          </w:p>
        </w:tc>
        <w:tc>
          <w:tcPr>
            <w:tcW w:w="170" w:type="dxa"/>
            <w:tcBorders/>
            <w:shd w:fill="auto" w:val="clear"/>
            <w:vAlign w:val="center"/>
          </w:tcPr>
          <w:p>
            <w:pPr>
              <w:pStyle w:val="TableContents"/>
              <w:spacing w:before="0" w:after="283"/>
              <w:rPr/>
            </w:pPr>
            <w:r>
              <w:rPr/>
              <w:t> </w:t>
            </w:r>
          </w:p>
        </w:tc>
      </w:tr>
      <w:tr>
        <w:trPr/>
        <w:tc>
          <w:tcPr>
            <w:tcW w:w="51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during the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443</w:t>
            </w:r>
          </w:p>
        </w:tc>
        <w:tc>
          <w:tcPr>
            <w:tcW w:w="170" w:type="dxa"/>
            <w:tcBorders/>
            <w:shd w:fill="CCEEFF" w:val="clear"/>
            <w:vAlign w:val="center"/>
          </w:tcPr>
          <w:p>
            <w:pPr>
              <w:pStyle w:val="TableContents"/>
              <w:spacing w:before="0" w:after="283"/>
              <w:rPr/>
            </w:pPr>
            <w:r>
              <w:rPr/>
              <w:t> </w:t>
            </w:r>
          </w:p>
        </w:tc>
      </w:tr>
      <w:tr>
        <w:trPr/>
        <w:tc>
          <w:tcPr>
            <w:tcW w:w="51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9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 xml:space="preserve">Ending value at December 31, 2021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755" w:type="dxa"/>
            <w:tcBorders/>
            <w:shd w:fill="auto" w:val="clear"/>
            <w:vAlign w:val="center"/>
          </w:tcPr>
          <w:p>
            <w:pPr>
              <w:pStyle w:val="TableContents"/>
              <w:spacing w:before="0" w:after="0"/>
              <w:jc w:val="right"/>
              <w:rPr>
                <w:b/>
                <w:spacing w:val="0"/>
              </w:rPr>
            </w:pPr>
            <w:r>
              <w:rPr>
                <w:b/>
                <w:spacing w:val="0"/>
              </w:rPr>
              <w:t>15,051</w:t>
            </w:r>
          </w:p>
        </w:tc>
        <w:tc>
          <w:tcPr>
            <w:tcW w:w="170" w:type="dxa"/>
            <w:tcBorders/>
            <w:shd w:fill="auto" w:val="clear"/>
            <w:vAlign w:val="center"/>
          </w:tcPr>
          <w:p>
            <w:pPr>
              <w:pStyle w:val="TableContents"/>
              <w:spacing w:before="0" w:after="0"/>
              <w:rPr>
                <w:spacing w:val="0"/>
              </w:rPr>
            </w:pPr>
            <w:r>
              <w:rPr>
                <w:spacing w:val="0"/>
              </w:rPr>
              <w:t> </w:t>
            </w:r>
          </w:p>
        </w:tc>
      </w:tr>
      <w:tr>
        <w:trPr/>
        <w:tc>
          <w:tcPr>
            <w:tcW w:w="51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during the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(51</w:t>
            </w:r>
          </w:p>
        </w:tc>
        <w:tc>
          <w:tcPr>
            <w:tcW w:w="170" w:type="dxa"/>
            <w:tcBorders/>
            <w:shd w:fill="CCEEFF" w:val="clear"/>
            <w:vAlign w:val="center"/>
          </w:tcPr>
          <w:p>
            <w:pPr>
              <w:pStyle w:val="TableContents"/>
              <w:spacing w:before="0" w:after="283"/>
              <w:rPr/>
            </w:pPr>
            <w:r>
              <w:rPr/>
              <w:t>) </w:t>
            </w:r>
          </w:p>
        </w:tc>
      </w:tr>
      <w:tr>
        <w:trPr/>
        <w:tc>
          <w:tcPr>
            <w:tcW w:w="51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Discharge of obligation through the issuance of Common Stock</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(15,000</w:t>
            </w:r>
          </w:p>
        </w:tc>
        <w:tc>
          <w:tcPr>
            <w:tcW w:w="170" w:type="dxa"/>
            <w:tcBorders/>
            <w:shd w:fill="auto" w:val="clear"/>
            <w:vAlign w:val="center"/>
          </w:tcPr>
          <w:p>
            <w:pPr>
              <w:pStyle w:val="TableContents"/>
              <w:spacing w:before="0" w:after="283"/>
              <w:rPr/>
            </w:pPr>
            <w:r>
              <w:rPr/>
              <w:t>)</w:t>
            </w:r>
          </w:p>
        </w:tc>
      </w:tr>
      <w:tr>
        <w:trPr/>
        <w:tc>
          <w:tcPr>
            <w:tcW w:w="51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9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 xml:space="preserve">Ending value at March 31, 2022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755"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51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Public Warrants: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As discussed further in Note </w:t>
      </w:r>
    </w:p>
    <w:p>
      <w:pPr>
        <w:pStyle w:val="TextBody"/>
        <w:spacing w:before="240" w:after="0"/>
        <w:jc w:val="left"/>
        <w:rPr>
          <w:rFonts w:ascii="Times New Roman" w:hAnsi="Times New Roman"/>
          <w:spacing w:val="0"/>
          <w:sz w:val="20"/>
        </w:rPr>
      </w:pPr>
      <w:r>
        <w:rPr>
          <w:rFonts w:ascii="Times New Roman" w:hAnsi="Times New Roman"/>
          <w:spacing w:val="0"/>
          <w:sz w:val="20"/>
        </w:rPr>
        <w:t>11</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w:t>
      </w:r>
    </w:p>
    <w:p>
      <w:pPr>
        <w:pStyle w:val="TextBody"/>
        <w:spacing w:before="240" w:after="0"/>
        <w:jc w:val="left"/>
        <w:rPr>
          <w:rFonts w:ascii="Times New Roman" w:hAnsi="Times New Roman"/>
          <w:spacing w:val="0"/>
          <w:sz w:val="20"/>
        </w:rPr>
      </w:pPr>
      <w:r>
        <w:rPr>
          <w:rFonts w:ascii="Times New Roman" w:hAnsi="Times New Roman"/>
          <w:spacing w:val="0"/>
          <w:sz w:val="20"/>
        </w:rPr>
        <w:t>non-cash</w:t>
      </w:r>
    </w:p>
    <w:p>
      <w:pPr>
        <w:pStyle w:val="TextBody"/>
        <w:spacing w:before="240" w:after="0"/>
        <w:jc w:val="left"/>
        <w:rPr>
          <w:rFonts w:ascii="Times New Roman" w:hAnsi="Times New Roman"/>
          <w:spacing w:val="0"/>
          <w:sz w:val="20"/>
        </w:rPr>
      </w:pPr>
      <w:r>
        <w:rPr>
          <w:rFonts w:ascii="Times New Roman" w:hAnsi="Times New Roman"/>
          <w:spacing w:val="0"/>
          <w:sz w:val="20"/>
        </w:rPr>
        <w:t>expense within the statement of operations. The derivative liability was subsequently recorded at fair value at each reporting period, with changes in fair value reflected in earnin</w:t>
      </w:r>
    </w:p>
    <w:p>
      <w:pPr>
        <w:pStyle w:val="TextBody"/>
        <w:spacing w:before="240" w:after="0"/>
        <w:jc w:val="left"/>
        <w:rPr>
          <w:rFonts w:ascii="Times New Roman" w:hAnsi="Times New Roman"/>
          <w:sz w:val="20"/>
        </w:rPr>
      </w:pPr>
      <w:r>
        <w:rPr>
          <w:rFonts w:ascii="Times New Roman" w:hAnsi="Times New Roman"/>
          <w:sz w:val="20"/>
        </w:rPr>
        <w:t>gs. The loss related to the change in fair value of the public warrant liability in the three months ended March 31, 2022, was approximately $1.7 million, which is presented within changes in fair value of public warrant liability in the condensed consolidated statements of operations.</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A rollfoward table is not necessary here as these Level 1 public warrants have quoted prices in active markets for identical assets or liabilities.</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Private Warrants:</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discussed further in Note </w:t>
      </w:r>
    </w:p>
    <w:p>
      <w:pPr>
        <w:pStyle w:val="TextBody"/>
        <w:spacing w:before="120" w:after="0"/>
        <w:jc w:val="left"/>
        <w:rPr>
          <w:rFonts w:ascii="Times New Roman" w:hAnsi="Times New Roman"/>
          <w:spacing w:val="0"/>
          <w:sz w:val="20"/>
        </w:rPr>
      </w:pPr>
      <w:r>
        <w:rPr>
          <w:rFonts w:ascii="Times New Roman" w:hAnsi="Times New Roman"/>
          <w:spacing w:val="0"/>
          <w:sz w:val="20"/>
        </w:rPr>
        <w:t>11</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Warrant Liabilities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w:t>
      </w:r>
    </w:p>
    <w:p>
      <w:pPr>
        <w:pStyle w:val="TextBody"/>
        <w:spacing w:before="120" w:after="0"/>
        <w:jc w:val="left"/>
        <w:rPr>
          <w:rFonts w:ascii="Times New Roman" w:hAnsi="Times New Roman"/>
          <w:spacing w:val="0"/>
          <w:sz w:val="20"/>
        </w:rPr>
      </w:pPr>
      <w:r>
        <w:rPr>
          <w:rFonts w:ascii="Times New Roman" w:hAnsi="Times New Roman"/>
          <w:spacing w:val="0"/>
          <w:sz w:val="20"/>
        </w:rPr>
        <w:t>non-cash</w:t>
      </w:r>
    </w:p>
    <w:p>
      <w:pPr>
        <w:pStyle w:val="TextBody"/>
        <w:spacing w:before="120" w:after="0"/>
        <w:jc w:val="left"/>
        <w:rPr>
          <w:rFonts w:ascii="Times New Roman" w:hAnsi="Times New Roman"/>
          <w:spacing w:val="0"/>
          <w:sz w:val="20"/>
        </w:rPr>
      </w:pPr>
      <w:r>
        <w:rPr>
          <w:rFonts w:ascii="Times New Roman" w:hAnsi="Times New Roman"/>
          <w:spacing w:val="0"/>
          <w:sz w:val="20"/>
        </w:rPr>
        <w:t>expense within the statement of operations. The derivative liability was subsequently recorded at fair value at each reporting period, with changes in fair value reflected in earnings. The loss related to the change in fair value of the private warrant liability in the three months ended March 31, 2022, was approxima</w:t>
      </w:r>
    </w:p>
    <w:p>
      <w:pPr>
        <w:pStyle w:val="TextBody"/>
        <w:spacing w:before="120" w:after="0"/>
        <w:jc w:val="left"/>
        <w:rPr>
          <w:rFonts w:ascii="Times New Roman" w:hAnsi="Times New Roman"/>
          <w:sz w:val="20"/>
        </w:rPr>
      </w:pPr>
      <w:r>
        <w:rPr>
          <w:rFonts w:ascii="Times New Roman" w:hAnsi="Times New Roman"/>
          <w:sz w:val="20"/>
        </w:rPr>
        <w:t xml:space="preserve">tely $2.8 million, which is presented within changes in fair value of private warrant liability in the condensed consolidated statements of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roll-forward of the Level 3 private warrant liability is as follows (dollars in thousands): </w:t>
      </w:r>
    </w:p>
    <w:p>
      <w:pPr>
        <w:pStyle w:val="TextBody"/>
        <w:spacing w:before="0" w:after="0"/>
        <w:jc w:val="left"/>
        <w:rPr>
          <w:spacing w:val="0"/>
        </w:rPr>
      </w:pPr>
      <w:r>
        <w:rPr>
          <w:spacing w:val="0"/>
        </w:rPr>
        <w:t> </w:t>
      </w:r>
    </w:p>
    <w:tbl>
      <w:tblPr>
        <w:tblW w:w="4945" w:type="dxa"/>
        <w:jc w:val="left"/>
        <w:tblInd w:w="0" w:type="dxa"/>
        <w:tblCellMar>
          <w:top w:w="0" w:type="dxa"/>
          <w:left w:w="0" w:type="dxa"/>
          <w:bottom w:w="0" w:type="dxa"/>
          <w:right w:w="0" w:type="dxa"/>
        </w:tblCellMar>
      </w:tblPr>
      <w:tblGrid>
        <w:gridCol w:w="3140"/>
        <w:gridCol w:w="120"/>
        <w:gridCol w:w="198"/>
        <w:gridCol w:w="1412"/>
        <w:gridCol w:w="75"/>
      </w:tblGrid>
      <w:tr>
        <w:trPr/>
        <w:tc>
          <w:tcPr>
            <w:tcW w:w="3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Opening value at January 1, 2022</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0"/>
              <w:rPr>
                <w:b/>
                <w:spacing w:val="0"/>
              </w:rPr>
            </w:pPr>
            <w:r>
              <w:rPr>
                <w:b/>
                <w:spacing w:val="0"/>
              </w:rPr>
              <w:t>$</w:t>
            </w:r>
          </w:p>
        </w:tc>
        <w:tc>
          <w:tcPr>
            <w:tcW w:w="1412" w:type="dxa"/>
            <w:tcBorders/>
            <w:shd w:fill="CCEEFF" w:val="clear"/>
            <w:vAlign w:val="center"/>
          </w:tcPr>
          <w:p>
            <w:pPr>
              <w:pStyle w:val="TableContents"/>
              <w:spacing w:before="0" w:after="0"/>
              <w:jc w:val="right"/>
              <w:rPr>
                <w:spacing w:val="0"/>
              </w:rPr>
            </w:pPr>
            <w:r>
              <w:rPr>
                <w:spacing w:val="0"/>
              </w:rPr>
              <w:t>—</w:t>
            </w:r>
          </w:p>
          <w:p>
            <w:pPr>
              <w:pStyle w:val="TableContents"/>
              <w:spacing w:before="0" w:after="0"/>
              <w:jc w:val="right"/>
              <w:rPr/>
            </w:pPr>
            <w:r>
              <w:rPr/>
              <w:t>  </w:t>
            </w:r>
          </w:p>
        </w:tc>
        <w:tc>
          <w:tcPr>
            <w:tcW w:w="75"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Initial fair value at the merger date</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jc w:val="right"/>
              <w:rPr/>
            </w:pPr>
            <w:r>
              <w:rPr/>
              <w:t>6,681</w:t>
            </w:r>
          </w:p>
        </w:tc>
        <w:tc>
          <w:tcPr>
            <w:tcW w:w="75"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during the period</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1412" w:type="dxa"/>
            <w:tcBorders/>
            <w:shd w:fill="CCEEFF" w:val="clear"/>
            <w:vAlign w:val="center"/>
          </w:tcPr>
          <w:p>
            <w:pPr>
              <w:pStyle w:val="TableContents"/>
              <w:spacing w:before="0" w:after="283"/>
              <w:jc w:val="right"/>
              <w:rPr/>
            </w:pPr>
            <w:r>
              <w:rPr/>
              <w:t>2,745</w:t>
            </w:r>
          </w:p>
        </w:tc>
        <w:tc>
          <w:tcPr>
            <w:tcW w:w="75" w:type="dxa"/>
            <w:tcBorders/>
            <w:shd w:fill="CCEEFF" w:val="clear"/>
          </w:tcPr>
          <w:p>
            <w:pPr>
              <w:pStyle w:val="TableContents"/>
              <w:spacing w:before="0" w:after="283"/>
              <w:rPr>
                <w:sz w:val="4"/>
                <w:szCs w:val="4"/>
              </w:rPr>
            </w:pPr>
            <w:r>
              <w:rPr>
                <w:sz w:val="4"/>
                <w:szCs w:val="4"/>
              </w:rPr>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value at March 31, 2022</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rPr>
                <w:b/>
                <w:spacing w:val="0"/>
              </w:rPr>
            </w:pPr>
            <w:r>
              <w:rPr>
                <w:b/>
                <w:spacing w:val="0"/>
              </w:rPr>
              <w:t>$</w:t>
            </w:r>
          </w:p>
        </w:tc>
        <w:tc>
          <w:tcPr>
            <w:tcW w:w="1412" w:type="dxa"/>
            <w:tcBorders/>
            <w:shd w:fill="auto" w:val="clear"/>
            <w:vAlign w:val="center"/>
          </w:tcPr>
          <w:p>
            <w:pPr>
              <w:pStyle w:val="TableContents"/>
              <w:spacing w:before="0" w:after="0"/>
              <w:jc w:val="right"/>
              <w:rPr>
                <w:b/>
                <w:spacing w:val="0"/>
              </w:rPr>
            </w:pPr>
            <w:r>
              <w:rPr>
                <w:b/>
                <w:spacing w:val="0"/>
              </w:rPr>
              <w:t>9,426</w:t>
            </w:r>
          </w:p>
        </w:tc>
        <w:tc>
          <w:tcPr>
            <w:tcW w:w="75"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805" w:type="dxa"/>
            <w:gridSpan w:val="4"/>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0"/>
              <w:jc w:val="center"/>
              <w:rPr>
                <w:b/>
                <w:spacing w:val="0"/>
              </w:rPr>
            </w:pPr>
            <w:r>
              <w:rPr>
                <w:b/>
                <w:spacing w:val="0"/>
              </w:rPr>
              <w:t>March 31, 2022</w:t>
            </w:r>
          </w:p>
        </w:tc>
        <w:tc>
          <w:tcPr>
            <w:tcW w:w="75"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 Price</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w:t>
            </w:r>
          </w:p>
        </w:tc>
        <w:tc>
          <w:tcPr>
            <w:tcW w:w="1412" w:type="dxa"/>
            <w:tcBorders/>
            <w:shd w:fill="CCEEFF" w:val="clear"/>
            <w:vAlign w:val="center"/>
          </w:tcPr>
          <w:p>
            <w:pPr>
              <w:pStyle w:val="TableContents"/>
              <w:spacing w:before="0" w:after="283"/>
              <w:jc w:val="right"/>
              <w:rPr/>
            </w:pPr>
            <w:r>
              <w:rPr/>
              <w:t>11.50</w:t>
            </w:r>
          </w:p>
        </w:tc>
        <w:tc>
          <w:tcPr>
            <w:tcW w:w="75"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Volatility</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jc w:val="right"/>
              <w:rPr/>
            </w:pPr>
            <w:r>
              <w:rPr/>
              <w:t>43.8%</w:t>
            </w:r>
          </w:p>
        </w:tc>
        <w:tc>
          <w:tcPr>
            <w:tcW w:w="75"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1412" w:type="dxa"/>
            <w:tcBorders/>
            <w:shd w:fill="CCEEFF" w:val="clear"/>
            <w:vAlign w:val="center"/>
          </w:tcPr>
          <w:p>
            <w:pPr>
              <w:pStyle w:val="TableContents"/>
              <w:spacing w:before="0" w:after="283"/>
              <w:jc w:val="right"/>
              <w:rPr/>
            </w:pPr>
            <w:r>
              <w:rPr/>
              <w:t>2.4%</w:t>
            </w:r>
          </w:p>
        </w:tc>
        <w:tc>
          <w:tcPr>
            <w:tcW w:w="75"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Remaining term</w:t>
            </w:r>
          </w:p>
        </w:tc>
        <w:tc>
          <w:tcPr>
            <w:tcW w:w="12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jc w:val="right"/>
              <w:rPr/>
            </w:pPr>
            <w:r>
              <w:rPr/>
              <w:t>4.76 years</w:t>
            </w:r>
          </w:p>
        </w:tc>
        <w:tc>
          <w:tcPr>
            <w:tcW w:w="75"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Dividend yield</w:t>
            </w:r>
          </w:p>
        </w:tc>
        <w:tc>
          <w:tcPr>
            <w:tcW w:w="12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1412"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There were no other assets or liabilities that were required to be measured at fair value on a recurring basis as of March 31, 2022 and December 31, 2021.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Fair Value of Common Stock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Up until the Closing of the Business Combination in which the Company became publicly traded on Nasdaq, the Company was required to estimate the fair value of the Common Stock underlying the Company’s share-based awards. The fair value of the Common Stock underlying the Company’s stock-based awards was determined, in each case, based on a valuation model as discussed further below, and was approved by the Company’s Board of Directors. The Company’s Board of Directors intends all stock options granted to be exercisable at a price per share not less than the fair value per share of the ordinary share underlying those stock options on the date of grant.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the absence of a public market for the Common Stock prior to the date of the Business Combination, the valuation of the Common Stock was determined using a market approach, income approach, and subject company transaction method. The allocation of equity value was determined using the option pricing method. The valuation was performed in accordance with the guidelines outlined in the American Institute of Certified Public Accountants Practice Guide, Valuation of Privately Held Company Equity Securities Issued as Compensation.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considered various objective and subjective factors to determine the fair value of its Common Stock as of each grant date, including: </w:t>
      </w:r>
    </w:p>
    <w:p>
      <w:pPr>
        <w:pStyle w:val="TextBody"/>
        <w:spacing w:before="0" w:after="0"/>
        <w:jc w:val="left"/>
        <w:rPr>
          <w:spacing w:val="0"/>
        </w:rPr>
      </w:pPr>
      <w:r>
        <w:rPr>
          <w:spacing w:val="0"/>
        </w:rPr>
        <w:t> </w:t>
      </w:r>
    </w:p>
    <w:tbl>
      <w:tblPr>
        <w:tblW w:w="2995" w:type="dxa"/>
        <w:jc w:val="left"/>
        <w:tblInd w:w="0" w:type="dxa"/>
        <w:tblCellMar>
          <w:top w:w="0" w:type="dxa"/>
          <w:left w:w="0" w:type="dxa"/>
          <w:bottom w:w="0" w:type="dxa"/>
          <w:right w:w="0" w:type="dxa"/>
        </w:tblCellMar>
      </w:tblPr>
      <w:tblGrid>
        <w:gridCol w:w="75"/>
        <w:gridCol w:w="110"/>
        <w:gridCol w:w="60"/>
        <w:gridCol w:w="2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Historical financial performance; </w:t>
            </w:r>
          </w:p>
        </w:tc>
      </w:tr>
    </w:tbl>
    <w:p>
      <w:pPr>
        <w:pStyle w:val="TextBody"/>
        <w:spacing w:before="0" w:after="0"/>
        <w:jc w:val="left"/>
        <w:rPr>
          <w:spacing w:val="0"/>
        </w:rPr>
      </w:pPr>
      <w:r>
        <w:rPr>
          <w:spacing w:val="0"/>
        </w:rPr>
        <w:t> </w:t>
      </w:r>
    </w:p>
    <w:tbl>
      <w:tblPr>
        <w:tblW w:w="3100" w:type="dxa"/>
        <w:jc w:val="left"/>
        <w:tblInd w:w="0" w:type="dxa"/>
        <w:tblCellMar>
          <w:top w:w="0" w:type="dxa"/>
          <w:left w:w="0" w:type="dxa"/>
          <w:bottom w:w="0" w:type="dxa"/>
          <w:right w:w="0" w:type="dxa"/>
        </w:tblCellMar>
      </w:tblPr>
      <w:tblGrid>
        <w:gridCol w:w="75"/>
        <w:gridCol w:w="110"/>
        <w:gridCol w:w="60"/>
        <w:gridCol w:w="2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Company’s business strategy; </w:t>
            </w:r>
          </w:p>
        </w:tc>
      </w:tr>
    </w:tbl>
    <w:p>
      <w:pPr>
        <w:pStyle w:val="TextBody"/>
        <w:spacing w:before="0" w:after="0"/>
        <w:jc w:val="left"/>
        <w:rPr>
          <w:spacing w:val="0"/>
        </w:rPr>
      </w:pPr>
      <w:r>
        <w:rPr>
          <w:spacing w:val="0"/>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Industry information, such as external market conditions and trends; </w:t>
            </w:r>
          </w:p>
        </w:tc>
      </w:tr>
    </w:tbl>
    <w:p>
      <w:pPr>
        <w:pStyle w:val="TextBody"/>
        <w:spacing w:before="0" w:after="0"/>
        <w:jc w:val="left"/>
        <w:rPr>
          <w:spacing w:val="0"/>
        </w:rPr>
      </w:pPr>
      <w:r>
        <w:rPr>
          <w:spacing w:val="0"/>
        </w:rPr>
        <w:t> </w:t>
      </w:r>
    </w:p>
    <w:tbl>
      <w:tblPr>
        <w:tblW w:w="3955" w:type="dxa"/>
        <w:jc w:val="left"/>
        <w:tblInd w:w="0" w:type="dxa"/>
        <w:tblCellMar>
          <w:top w:w="0" w:type="dxa"/>
          <w:left w:w="0" w:type="dxa"/>
          <w:bottom w:w="0" w:type="dxa"/>
          <w:right w:w="0" w:type="dxa"/>
        </w:tblCellMar>
      </w:tblPr>
      <w:tblGrid>
        <w:gridCol w:w="75"/>
        <w:gridCol w:w="110"/>
        <w:gridCol w:w="60"/>
        <w:gridCol w:w="3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Lack of marketability of the Common Stock;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Likelihood of achieving a liquidity event, such as an initial public offering, special-purpose acquisition company (“SPAC”) merger, or strategic sale given prevailing market conditions and the nature and history of the Company’s business;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Prices, privileges, powers, preferences, and rights of the convertible preferred stock relative to those of the Common Stock; </w:t>
            </w:r>
          </w:p>
        </w:tc>
      </w:tr>
    </w:tbl>
    <w:p>
      <w:pPr>
        <w:pStyle w:val="TextBody"/>
        <w:spacing w:before="0" w:after="0"/>
        <w:ind w:left="0" w:right="0" w:hanging="0"/>
        <w:jc w:val="left"/>
        <w:rPr>
          <w:spacing w:val="0"/>
        </w:rPr>
      </w:pPr>
      <w:r>
        <w:rPr>
          <w:spacing w:val="0"/>
        </w:rPr>
        <w:t> </w:t>
      </w:r>
    </w:p>
    <w:tbl>
      <w:tblPr>
        <w:tblW w:w="4435" w:type="dxa"/>
        <w:jc w:val="left"/>
        <w:tblInd w:w="0" w:type="dxa"/>
        <w:tblCellMar>
          <w:top w:w="0" w:type="dxa"/>
          <w:left w:w="0" w:type="dxa"/>
          <w:bottom w:w="0" w:type="dxa"/>
          <w:right w:w="0" w:type="dxa"/>
        </w:tblCellMar>
      </w:tblPr>
      <w:tblGrid>
        <w:gridCol w:w="75"/>
        <w:gridCol w:w="110"/>
        <w:gridCol w:w="60"/>
        <w:gridCol w:w="419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41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Forecasted cash flow projections for the Company; </w:t>
            </w:r>
          </w:p>
        </w:tc>
      </w:tr>
    </w:tbl>
    <w:p>
      <w:pPr>
        <w:pStyle w:val="TextBody"/>
        <w:spacing w:before="0" w:after="0"/>
        <w:ind w:left="0" w:right="0" w:hanging="0"/>
        <w:jc w:val="left"/>
        <w:rPr>
          <w:spacing w:val="0"/>
        </w:rPr>
      </w:pPr>
      <w:r>
        <w:rPr>
          <w:spacing w:val="0"/>
        </w:rPr>
        <w:t> </w:t>
      </w:r>
    </w:p>
    <w:tbl>
      <w:tblPr>
        <w:tblW w:w="3115" w:type="dxa"/>
        <w:jc w:val="left"/>
        <w:tblInd w:w="0" w:type="dxa"/>
        <w:tblCellMar>
          <w:top w:w="0" w:type="dxa"/>
          <w:left w:w="0" w:type="dxa"/>
          <w:bottom w:w="0" w:type="dxa"/>
          <w:right w:w="0" w:type="dxa"/>
        </w:tblCellMar>
      </w:tblPr>
      <w:tblGrid>
        <w:gridCol w:w="75"/>
        <w:gridCol w:w="110"/>
        <w:gridCol w:w="60"/>
        <w:gridCol w:w="287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28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Publicly traded price of the SPAC; </w:t>
            </w:r>
          </w:p>
        </w:tc>
      </w:tr>
    </w:tbl>
    <w:p>
      <w:pPr>
        <w:pStyle w:val="TextBody"/>
        <w:spacing w:before="0" w:after="0"/>
        <w:ind w:left="0" w:right="0" w:hanging="0"/>
        <w:jc w:val="left"/>
        <w:rPr>
          <w:spacing w:val="0"/>
        </w:rPr>
      </w:pPr>
      <w:r>
        <w:rPr>
          <w:spacing w:val="0"/>
        </w:rPr>
        <w:t> </w:t>
      </w:r>
    </w:p>
    <w:tbl>
      <w:tblPr>
        <w:tblW w:w="9490" w:type="dxa"/>
        <w:jc w:val="left"/>
        <w:tblInd w:w="0" w:type="dxa"/>
        <w:tblCellMar>
          <w:top w:w="0" w:type="dxa"/>
          <w:left w:w="0" w:type="dxa"/>
          <w:bottom w:w="0" w:type="dxa"/>
          <w:right w:w="0" w:type="dxa"/>
        </w:tblCellMar>
      </w:tblPr>
      <w:tblGrid>
        <w:gridCol w:w="75"/>
        <w:gridCol w:w="110"/>
        <w:gridCol w:w="60"/>
        <w:gridCol w:w="9245"/>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2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Primary preferred stock financings and secondary common stock transactions of the Company’s equity securities;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Lack of marketability/illiquidity of the common stock underlying the Company’s stock-based awards involving securities in a private company; and </w:t>
            </w:r>
          </w:p>
        </w:tc>
      </w:tr>
    </w:tbl>
    <w:p>
      <w:pPr>
        <w:pStyle w:val="TextBody"/>
        <w:spacing w:before="0" w:after="0"/>
        <w:ind w:left="0" w:right="0" w:hanging="0"/>
        <w:jc w:val="left"/>
        <w:rPr>
          <w:spacing w:val="0"/>
        </w:rPr>
      </w:pPr>
      <w:r>
        <w:rPr>
          <w:spacing w:val="0"/>
        </w:rPr>
        <w:t> </w:t>
      </w:r>
    </w:p>
    <w:tbl>
      <w:tblPr>
        <w:tblW w:w="2605" w:type="dxa"/>
        <w:jc w:val="left"/>
        <w:tblInd w:w="0" w:type="dxa"/>
        <w:tblCellMar>
          <w:top w:w="0" w:type="dxa"/>
          <w:left w:w="0" w:type="dxa"/>
          <w:bottom w:w="0" w:type="dxa"/>
          <w:right w:w="0" w:type="dxa"/>
        </w:tblCellMar>
      </w:tblPr>
      <w:tblGrid>
        <w:gridCol w:w="75"/>
        <w:gridCol w:w="110"/>
        <w:gridCol w:w="60"/>
        <w:gridCol w:w="23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23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Macroeconomic conditions.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assumptions underlying these valuations represented management’s best estimate, which involved inherent uncertainties and the application of management’s judgment. The probability of a liquidity event and the derived discount rate are significant assumptions used to estimate the fair value of the Common Stock. If the Company had used different assumptions or estimates, the fair value of the Common Stock and the Company’s stock-based compensation expense could have been materially different.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2019 and 2020, the Company’s estimated fair value of its Common Stock remained relatively consistent, fluctuating between $0.935 per share as of August 5, 2019 (“August 2019 Valuation”), and $0.981 per share as of August 30, 2020 (“August 2020 Valuation”). The August 2019 Valuation and August 2020 Valuation utilized the income and market approaches in estimating the fair value.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fair value of the Company’s common stock was estimated to be $0.935 per share as of August 5, 2019 (“August 2019 Valuation”) and $0.981 per share as of August 30, 2020 (“August 2020 Valuation”). In 2021, the Company’s management team first contemplated a SPAC Transaction, which was </w:t>
      </w:r>
    </w:p>
    <w:p>
      <w:pPr>
        <w:pStyle w:val="TextBody"/>
        <w:spacing w:before="240" w:after="0"/>
        <w:jc w:val="left"/>
        <w:rPr>
          <w:rFonts w:ascii="Times New Roman" w:hAnsi="Times New Roman"/>
          <w:spacing w:val="0"/>
          <w:sz w:val="20"/>
        </w:rPr>
      </w:pPr>
      <w:r>
        <w:rPr>
          <w:rFonts w:ascii="Times New Roman" w:hAnsi="Times New Roman"/>
          <w:spacing w:val="0"/>
          <w:sz w:val="20"/>
        </w:rPr>
        <w:t>incorporated in the June 7, 2021 valuation that resulted in a fair value for Dave’s common stock o</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 $8.67 per share (“June 2021 Valuation”). The SPAC Transaction was considered in the subsequent valuation performed as of October 6, 2021 that resulted in a fair value for Dave’s common stock of $10.80 per share (“October 2021 Valuation”).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August 2019 Valuation and August 2020 Valuations were completed prior to the contemplation of the Business Combination, and at the time of these valuations management did not expect a near-term exit. The August 2019 Valuation was performed at the time of the close of Dave’s </w:t>
      </w:r>
    </w:p>
    <w:p>
      <w:pPr>
        <w:pStyle w:val="TextBody"/>
        <w:spacing w:before="240" w:after="0"/>
        <w:jc w:val="left"/>
        <w:rPr>
          <w:rFonts w:ascii="Times New Roman" w:hAnsi="Times New Roman"/>
          <w:spacing w:val="0"/>
          <w:sz w:val="20"/>
        </w:rPr>
      </w:pPr>
      <w:r>
        <w:rPr>
          <w:rFonts w:ascii="Times New Roman" w:hAnsi="Times New Roman"/>
          <w:spacing w:val="0"/>
          <w:sz w:val="20"/>
        </w:rPr>
        <w:t>Series B-1</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spacing w:before="240" w:after="0"/>
        <w:jc w:val="left"/>
        <w:rPr>
          <w:rFonts w:ascii="Times New Roman" w:hAnsi="Times New Roman"/>
          <w:spacing w:val="0"/>
          <w:sz w:val="20"/>
        </w:rPr>
      </w:pPr>
      <w:r>
        <w:rPr>
          <w:rFonts w:ascii="Times New Roman" w:hAnsi="Times New Roman"/>
          <w:spacing w:val="0"/>
          <w:sz w:val="20"/>
        </w:rPr>
        <w:t>B-2</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the Company’s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the Company’s comparative operational performance between the periods.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June 2021 Valuation and October 2021 Valuation both used the hybrid method, wherein a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w:t>
      </w:r>
    </w:p>
    <w:p>
      <w:pPr>
        <w:pStyle w:val="TextBody"/>
        <w:spacing w:before="240" w:after="0"/>
        <w:jc w:val="left"/>
        <w:rPr>
          <w:rFonts w:ascii="Times New Roman" w:hAnsi="Times New Roman"/>
          <w:spacing w:val="0"/>
          <w:sz w:val="20"/>
        </w:rPr>
      </w:pPr>
      <w:r>
        <w:rPr>
          <w:rFonts w:ascii="Times New Roman" w:hAnsi="Times New Roman"/>
          <w:spacing w:val="0"/>
          <w:sz w:val="20"/>
        </w:rPr>
        <w:t>pre-money</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valuation. The common stock price per share in the SPAC Transaction scenario included in the October 2021 Valuation was determined based on the publicly traded price of the SPAC as of the valuation date. Management’s estimated probability for each scenario occurring at each valuation date was applied to the respective scenario’s indicated common stock value to arrive at the estimated fair value of common stock.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increase in the fair value of the Company’s common stock between the August 2019 and August 2020 Valuations, and the June 2021 Valuation and the October 2021 Valuation was predominantly due to the Company’s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w:t>
        <w:br/>
        <w:t xml:space="preserve">at the time of the Series B Financing, with appropriate adjustments to the multiples to account for changes in the Company’s financial and operational performance as well as to reflect changes in the guideline public companies’ multiples and comparative performance, from the close of the Series B financing to the August 2020 valuation date. In early 2021, the Company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w:t>
        <w:br/>
        <w:t>value t</w:t>
      </w:r>
    </w:p>
    <w:p>
      <w:pPr>
        <w:pStyle w:val="TextBody"/>
        <w:spacing w:before="0" w:after="0"/>
        <w:jc w:val="left"/>
        <w:rPr>
          <w:rFonts w:ascii="Times New Roman" w:hAnsi="Times New Roman"/>
          <w:sz w:val="20"/>
        </w:rPr>
      </w:pPr>
      <w:r>
        <w:rPr>
          <w:rFonts w:ascii="Times New Roman" w:hAnsi="Times New Roman"/>
          <w:sz w:val="20"/>
        </w:rPr>
        <w:t xml:space="preserve">o $10.80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per share in the October 2021 Valuation resulted primarily from an increase in the probability of the near-term SPAC Transaction </w:t>
        <w:br/>
        <w:t xml:space="preserve">closing and an increase in the value of common stock in that scenario due to the passage of time and an increase in the SPAC’s publicly traded price as </w:t>
        <w:br/>
        <w:t xml:space="preserve">compared to the SPAC Transaction’s negotiated </w:t>
      </w:r>
    </w:p>
    <w:p>
      <w:pPr>
        <w:pStyle w:val="TextBody"/>
        <w:spacing w:before="0" w:after="0"/>
        <w:jc w:val="left"/>
        <w:rPr>
          <w:rFonts w:ascii="Times New Roman" w:hAnsi="Times New Roman"/>
          <w:spacing w:val="0"/>
          <w:sz w:val="20"/>
        </w:rPr>
      </w:pPr>
      <w:r>
        <w:rPr>
          <w:rFonts w:ascii="Times New Roman" w:hAnsi="Times New Roman"/>
          <w:spacing w:val="0"/>
          <w:sz w:val="20"/>
        </w:rPr>
        <w:t>pre-money</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valuation. As a result, the increase in Dave’s common stock fair value between the valuation </w:t>
        <w:br/>
        <w:t xml:space="preserve">dates resulted directly from both the increase in the </w:t>
      </w:r>
    </w:p>
    <w:p>
      <w:pPr>
        <w:pStyle w:val="TextBody"/>
        <w:spacing w:before="0" w:after="0"/>
        <w:jc w:val="left"/>
        <w:rPr>
          <w:rFonts w:ascii="Times New Roman" w:hAnsi="Times New Roman"/>
          <w:spacing w:val="0"/>
          <w:sz w:val="20"/>
        </w:rPr>
      </w:pPr>
      <w:r>
        <w:rPr>
          <w:rFonts w:ascii="Times New Roman" w:hAnsi="Times New Roman"/>
          <w:spacing w:val="0"/>
          <w:sz w:val="20"/>
        </w:rPr>
        <w:t>pre-money</w:t>
      </w:r>
    </w:p>
    <w:p>
      <w:pPr>
        <w:pStyle w:val="TextBody"/>
        <w:spacing w:before="0" w:after="0"/>
        <w:jc w:val="left"/>
        <w:rPr>
          <w:rFonts w:ascii="Times New Roman" w:hAnsi="Times New Roman"/>
          <w:spacing w:val="0"/>
          <w:sz w:val="20"/>
        </w:rPr>
      </w:pPr>
      <w:r>
        <w:rPr>
          <w:rFonts w:ascii="Times New Roman" w:hAnsi="Times New Roman"/>
          <w:spacing w:val="0"/>
          <w:sz w:val="20"/>
        </w:rPr>
        <w:t>valuation and acceleration of the timing of an exit, from the Series B Financing to the Business</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Combination.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Concentration of Risk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Financial instruments, which potentially subject the Company to concentrations of credit risk, principally consist of cash and cash equivalents, restricted cash, Member cash advances, and accounts receivable. The Company’s cash and cash equivalents and restricted cash in excess of the Federal Deposit Insurance Corporation (“FDIC”) insured limits were approximately $</w:t>
      </w:r>
    </w:p>
    <w:p>
      <w:pPr>
        <w:pStyle w:val="TextBody"/>
        <w:spacing w:before="120" w:after="0"/>
        <w:jc w:val="left"/>
        <w:rPr>
          <w:rFonts w:ascii="Times New Roman" w:hAnsi="Times New Roman"/>
          <w:spacing w:val="0"/>
          <w:sz w:val="20"/>
        </w:rPr>
      </w:pPr>
      <w:r>
        <w:rPr>
          <w:rFonts w:ascii="Times New Roman" w:hAnsi="Times New Roman"/>
          <w:spacing w:val="0"/>
          <w:sz w:val="20"/>
        </w:rPr>
        <w:t>23.5</w:t>
      </w:r>
    </w:p>
    <w:p>
      <w:pPr>
        <w:pStyle w:val="TextBody"/>
        <w:spacing w:before="120" w:after="0"/>
        <w:jc w:val="left"/>
        <w:rPr>
          <w:spacing w:val="0"/>
        </w:rPr>
      </w:pPr>
      <w:r>
        <w:rPr>
          <w:spacing w:val="0"/>
        </w:rPr>
        <w:t> </w:t>
      </w:r>
      <w:r>
        <w:rPr>
          <w:rFonts w:ascii="Times New Roman" w:hAnsi="Times New Roman"/>
          <w:spacing w:val="0"/>
          <w:sz w:val="20"/>
        </w:rPr>
        <w:t xml:space="preserve">million at March 31, 2022 and $31.9 million at December 31, 2021,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 Pursuant to the Company’s internal investment policy, investments must be rated A-1/P-1 or better by Standard and Poor’s Rating Service and Moody’s Investors Service at the time of purchase.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No Member individually exceeded 10% or more of the Company’s Member cash advances balances as of December 31, 2021 and 2020.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Leases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ASC 842, Leases (“ASC 842”) requires lessees to recognize most leases on the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leases office space under three separate leases, all of which are considered operating leases. One lease includes the option to renew and the exercise of the renewal option is at the Company’s sole discretion.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Loans to Stockholders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2019, the Company entered into loan, pledge, and option agreements with various employees, who are also stockholders, to provide those employees cash in exchange for </w:t>
      </w:r>
    </w:p>
    <w:p>
      <w:pPr>
        <w:pStyle w:val="TextBody"/>
        <w:spacing w:before="120" w:after="0"/>
        <w:jc w:val="left"/>
        <w:rPr>
          <w:rFonts w:ascii="Times New Roman" w:hAnsi="Times New Roman"/>
          <w:spacing w:val="0"/>
          <w:sz w:val="20"/>
        </w:rPr>
      </w:pPr>
      <w:r>
        <w:rPr>
          <w:rFonts w:ascii="Times New Roman" w:hAnsi="Times New Roman"/>
          <w:spacing w:val="0"/>
          <w:sz w:val="20"/>
        </w:rPr>
        <w:t>non-recourse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promissory notes and call options, which allow the Company to acquire shares held by these stockholders. Following ASC 310, the Company recorded the note as a reduction to shareholders’ equity and will do so until it is repaid, or the associated call option is exercised and the Company reacquires the collateralized shares. Interest earned and accrued on the notes also increases this contra-equity account balance. Upon consummation of the Business Combination in January 2022, all of the call options related to the Loans to Stockholders were exercised and the related loans were settled.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Stock-Based Compensation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Stock Option Awards: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Restricted Stock Awards: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Restricted stock awards (“RSAs”) are valued on the grant date and the fair value of the RSAs is equal to the estimated fair value of the Company’s Common Stock on the grant date. This compensation cost is recognized over the requisite service period. When the requisite service period begins prior to the grant date (because the service inception date occurs prior to the grant date), the Company is required to begin recognizing compensation cost before there is a measurement date (i.e., the grant date). The service inception date is the beginning of the requisite service period. If the service inception date precedes the grant date, accrual of compensation cost for periods before the grant date shall be based on the fair value of the award at the reporting date. In the period in which the grant is approved, cumulative compensation cost is adjusted to reflect the cumulative effect of the compensation cost based on fair value at the grant date rather than the service inception date. The Company recognizes forfeitures as they occur.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RSAs Issued to Non-Employees: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issues shares of restricted stock to consultants for various advisory and consulting-related services. The Company recognized this expense, measured as the estimated value of the shares issued, as a component of stock-based compensation expense, presented within compensation and benefits in the consolidated statements of operations.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Advertising Costs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Advertising costs are expensed as incurred. Advertising expense for the three months ended March 31, 2022 and 2021, was approximately $12.2 million and $14.0 million, respectively, and is presented within advertising and marketing in the condensed consolidated statements of operations.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follows ASC 740,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spacing w:before="120" w:after="0"/>
        <w:jc w:val="left"/>
        <w:rPr>
          <w:rFonts w:ascii="Times New Roman" w:hAnsi="Times New Roman"/>
          <w:sz w:val="20"/>
        </w:rPr>
      </w:pPr>
      <w:r>
        <w:rPr>
          <w:rFonts w:ascii="Times New Roman" w:hAnsi="Times New Roman"/>
          <w:sz w:val="20"/>
        </w:rPr>
        <w:t xml:space="preserve">(“ASC 740”), which requires recognition of deferred tax assets and liabilities for the expected future tax consequences of events that have been included in the financial statements or tax returns. Under this method, deferred tax assets and liabilities are based on the differences between the financial statement and tax basis of assets and liabilities using enacted tax rates in effect for the year in which the differences are expected to reverse. Deferred tax assets are reduced by a valuation allowance to the extent management concludes it is </w:t>
      </w:r>
    </w:p>
    <w:p>
      <w:pPr>
        <w:pStyle w:val="TextBody"/>
        <w:spacing w:before="12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120" w:after="0"/>
        <w:jc w:val="left"/>
        <w:rPr>
          <w:rFonts w:ascii="Times New Roman" w:hAnsi="Times New Roman"/>
          <w:sz w:val="20"/>
        </w:rPr>
      </w:pPr>
      <w:r>
        <w:rPr>
          <w:rFonts w:ascii="Times New Roman" w:hAnsi="Times New Roman"/>
          <w:sz w:val="20"/>
        </w:rPr>
        <w:t xml:space="preserve">that the asset will not be realized. </w:t>
      </w:r>
    </w:p>
    <w:p>
      <w:pPr>
        <w:pStyle w:val="TextBody"/>
        <w:spacing w:before="240" w:after="0"/>
        <w:jc w:val="left"/>
        <w:rPr>
          <w:rFonts w:ascii="Times New Roman" w:hAnsi="Times New Roman"/>
          <w:sz w:val="20"/>
        </w:rPr>
      </w:pPr>
      <w:r>
        <w:rPr>
          <w:rFonts w:ascii="Times New Roman" w:hAnsi="Times New Roman"/>
          <w:sz w:val="20"/>
        </w:rPr>
        <w:t xml:space="preserve">ASC 740 provides that a tax benefit from an uncertain tax position may be recognized when it is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that the position will be sustained in a court of last resort, based on the technical merits. If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the amount recognized is the largest amount of tax benefit that is greater than 50% likely of being realized on examination, including compromise settlements. For tax positions not meeting the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threshold, no tax benefit is recorded. The Company has estimated approximately $0.5 million of uncertain tax positions as of both March 31, 2022 and December 31, 2021, related to state income taxes and research tax credits.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Company’s policy is to recognize interest expense and penalties accrued on any unrecognized tax benefits as a component of income tax expense within the statement of operations. The Company recognized approximately $0.001 million and $0.002 million of interest expense and penalties as a component of income tax expense during the three months ended March 31, 2022 and 2021, respectively. There was approximately $0.008 million and $0.007 million of accrued interest expense and penalties as of March 31, 2022 and December 31, 2021, respectively.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Segment Information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one reportable segment.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Net (Loss) Income Per Share Attributable to Stockholders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has two classes of participating securities (Class A Common Stock and Class V Common Stock) issued and outstanding as of March 31, 2022. </w:t>
      </w:r>
    </w:p>
    <w:p>
      <w:pPr>
        <w:pStyle w:val="TextBody"/>
        <w:spacing w:before="240" w:after="0"/>
        <w:jc w:val="left"/>
        <w:rPr>
          <w:rFonts w:ascii="Times New Roman" w:hAnsi="Times New Roman"/>
          <w:sz w:val="20"/>
        </w:rPr>
      </w:pPr>
      <w:r>
        <w:rPr>
          <w:rFonts w:ascii="Times New Roman" w:hAnsi="Times New Roman"/>
          <w:sz w:val="20"/>
        </w:rPr>
        <w:t xml:space="preserve">Prior to the consummation of the Business Combination, the Company had five classes of participating securities (Series A preferred stock, par value $0.000001 per share (“Series A Preferred Shares”),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preferred stock, par value $0.000001 per share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Preferred Shares”), and Series </w:t>
      </w:r>
    </w:p>
    <w:p>
      <w:pPr>
        <w:pStyle w:val="TextBody"/>
        <w:spacing w:before="240" w:after="0"/>
        <w:jc w:val="left"/>
        <w:rPr>
          <w:rFonts w:ascii="Times New Roman" w:hAnsi="Times New Roman"/>
          <w:spacing w:val="0"/>
          <w:sz w:val="20"/>
        </w:rPr>
      </w:pPr>
      <w:r>
        <w:rPr>
          <w:rFonts w:ascii="Times New Roman" w:hAnsi="Times New Roman"/>
          <w:spacing w:val="0"/>
          <w:sz w:val="20"/>
        </w:rPr>
        <w:t>B-2</w:t>
      </w:r>
    </w:p>
    <w:p>
      <w:pPr>
        <w:pStyle w:val="TextBody"/>
        <w:spacing w:before="240" w:after="0"/>
        <w:jc w:val="left"/>
        <w:rPr>
          <w:rFonts w:ascii="Times New Roman" w:hAnsi="Times New Roman"/>
          <w:sz w:val="20"/>
        </w:rPr>
      </w:pPr>
      <w:r>
        <w:rPr>
          <w:rFonts w:ascii="Times New Roman" w:hAnsi="Times New Roman"/>
          <w:sz w:val="20"/>
        </w:rPr>
        <w:t xml:space="preserve">preferred stock, par value $0.000001 per share (“Series </w:t>
      </w:r>
    </w:p>
    <w:p>
      <w:pPr>
        <w:pStyle w:val="TextBody"/>
        <w:spacing w:before="240" w:after="0"/>
        <w:jc w:val="left"/>
        <w:rPr>
          <w:rFonts w:ascii="Times New Roman" w:hAnsi="Times New Roman"/>
          <w:spacing w:val="0"/>
          <w:sz w:val="20"/>
        </w:rPr>
      </w:pPr>
      <w:r>
        <w:rPr>
          <w:rFonts w:ascii="Times New Roman" w:hAnsi="Times New Roman"/>
          <w:spacing w:val="0"/>
          <w:sz w:val="20"/>
        </w:rPr>
        <w:t>B-2</w:t>
      </w:r>
    </w:p>
    <w:p>
      <w:pPr>
        <w:pStyle w:val="TextBody"/>
        <w:spacing w:before="240" w:after="0"/>
        <w:jc w:val="left"/>
        <w:rPr>
          <w:rFonts w:ascii="Times New Roman" w:hAnsi="Times New Roman"/>
          <w:sz w:val="20"/>
        </w:rPr>
      </w:pPr>
      <w:r>
        <w:rPr>
          <w:rFonts w:ascii="Times New Roman" w:hAnsi="Times New Roman"/>
          <w:sz w:val="20"/>
        </w:rPr>
        <w:t xml:space="preserve">Preferred Shares”) and, together with the Series A Preferred Shares and the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Preferred Shares, the “Preferred Stock”), unvested Restricted Stock Awards (“RSA”) and early exercised stock options) issued and outstanding as of March 31, 2022 and 2021. The Company used the </w:t>
      </w:r>
    </w:p>
    <w:p>
      <w:pPr>
        <w:pStyle w:val="TextBody"/>
        <w:spacing w:before="240" w:after="0"/>
        <w:jc w:val="left"/>
        <w:rPr>
          <w:rFonts w:ascii="Times New Roman" w:hAnsi="Times New Roman"/>
          <w:spacing w:val="0"/>
          <w:sz w:val="20"/>
        </w:rPr>
      </w:pPr>
      <w:r>
        <w:rPr>
          <w:rFonts w:ascii="Times New Roman" w:hAnsi="Times New Roman"/>
          <w:spacing w:val="0"/>
          <w:sz w:val="20"/>
        </w:rPr>
        <w:t>two-class</w:t>
      </w:r>
    </w:p>
    <w:p>
      <w:pPr>
        <w:pStyle w:val="TextBody"/>
        <w:spacing w:before="240" w:after="0"/>
        <w:jc w:val="left"/>
        <w:rPr>
          <w:rFonts w:ascii="Times New Roman" w:hAnsi="Times New Roman"/>
          <w:sz w:val="20"/>
        </w:rPr>
      </w:pPr>
      <w:r>
        <w:rPr>
          <w:rFonts w:ascii="Times New Roman" w:hAnsi="Times New Roman"/>
          <w:sz w:val="20"/>
        </w:rPr>
        <w:t xml:space="preserve">method to compute net (loss) income per common share, because it had issued multiple classes of participating securities. The </w:t>
      </w:r>
    </w:p>
    <w:p>
      <w:pPr>
        <w:pStyle w:val="TextBody"/>
        <w:spacing w:before="240" w:after="0"/>
        <w:jc w:val="left"/>
        <w:rPr>
          <w:rFonts w:ascii="Times New Roman" w:hAnsi="Times New Roman"/>
          <w:spacing w:val="0"/>
          <w:sz w:val="20"/>
        </w:rPr>
      </w:pPr>
      <w:r>
        <w:rPr>
          <w:rFonts w:ascii="Times New Roman" w:hAnsi="Times New Roman"/>
          <w:spacing w:val="0"/>
          <w:sz w:val="20"/>
        </w:rPr>
        <w:t>two-class</w:t>
      </w:r>
    </w:p>
    <w:p>
      <w:pPr>
        <w:pStyle w:val="TextBody"/>
        <w:spacing w:before="240" w:after="0"/>
        <w:jc w:val="left"/>
        <w:rPr>
          <w:rFonts w:ascii="Times New Roman" w:hAnsi="Times New Roman"/>
          <w:sz w:val="20"/>
        </w:rPr>
      </w:pPr>
      <w:r>
        <w:rPr>
          <w:rFonts w:ascii="Times New Roman" w:hAnsi="Times New Roman"/>
          <w:sz w:val="20"/>
        </w:rPr>
        <w:t xml:space="preserve">method requires earnings for the period to be allocated between multiple classes of participating securities based upon their respective rights to receive distributed and undistributed earnings. The Company used the </w:t>
      </w:r>
    </w:p>
    <w:p>
      <w:pPr>
        <w:pStyle w:val="TextBody"/>
        <w:spacing w:before="240" w:after="0"/>
        <w:jc w:val="left"/>
        <w:rPr>
          <w:rFonts w:ascii="Times New Roman" w:hAnsi="Times New Roman"/>
          <w:spacing w:val="0"/>
          <w:sz w:val="20"/>
        </w:rPr>
      </w:pPr>
      <w:r>
        <w:rPr>
          <w:rFonts w:ascii="Times New Roman" w:hAnsi="Times New Roman"/>
          <w:spacing w:val="0"/>
          <w:sz w:val="20"/>
        </w:rPr>
        <w:t>two-class</w:t>
      </w:r>
    </w:p>
    <w:p>
      <w:pPr>
        <w:pStyle w:val="TextBody"/>
        <w:spacing w:before="240" w:after="0"/>
        <w:jc w:val="left"/>
        <w:rPr>
          <w:rFonts w:ascii="Times New Roman" w:hAnsi="Times New Roman"/>
          <w:sz w:val="20"/>
        </w:rPr>
      </w:pPr>
      <w:r>
        <w:rPr>
          <w:rFonts w:ascii="Times New Roman" w:hAnsi="Times New Roman"/>
          <w:sz w:val="20"/>
        </w:rPr>
        <w:t xml:space="preserve">method to compute net (loss) income per common share. Losses are not attributed to participating securities as holders of Preferred Stock, unvested RSAs, and early exercise stock options are not contractually obligated to share in the Company’s losses. </w:t>
      </w:r>
    </w:p>
    <w:p>
      <w:pPr>
        <w:pStyle w:val="TextBody"/>
        <w:spacing w:before="240" w:after="0"/>
        <w:jc w:val="left"/>
        <w:rPr>
          <w:rFonts w:ascii="Times New Roman" w:hAnsi="Times New Roman"/>
          <w:sz w:val="20"/>
        </w:rPr>
      </w:pPr>
      <w:r>
        <w:rPr>
          <w:rFonts w:ascii="Times New Roman" w:hAnsi="Times New Roman"/>
          <w:sz w:val="20"/>
        </w:rPr>
        <w:t xml:space="preserve">Basic net (loss) income attributable to holders of Common Stock per share is calculated by dividing net (loss) income attributable to holders of Common Stock by the weighted-average number of shares outstanding, excluding shares issued in relation to unvested RSAs and vested early exercise options funded by </w:t>
      </w:r>
    </w:p>
    <w:p>
      <w:pPr>
        <w:pStyle w:val="TextBody"/>
        <w:spacing w:before="240" w:after="0"/>
        <w:jc w:val="left"/>
        <w:rPr>
          <w:rFonts w:ascii="Times New Roman" w:hAnsi="Times New Roman"/>
          <w:spacing w:val="0"/>
          <w:sz w:val="20"/>
        </w:rPr>
      </w:pPr>
      <w:r>
        <w:rPr>
          <w:rFonts w:ascii="Times New Roman" w:hAnsi="Times New Roman"/>
          <w:spacing w:val="0"/>
          <w:sz w:val="20"/>
        </w:rPr>
        <w:t>non-recourse</w:t>
      </w:r>
    </w:p>
    <w:p>
      <w:pPr>
        <w:pStyle w:val="TextBody"/>
        <w:spacing w:before="240" w:after="0"/>
        <w:jc w:val="left"/>
        <w:rPr>
          <w:rFonts w:ascii="Times New Roman" w:hAnsi="Times New Roman"/>
          <w:sz w:val="20"/>
        </w:rPr>
      </w:pPr>
      <w:r>
        <w:rPr>
          <w:rFonts w:ascii="Times New Roman" w:hAnsi="Times New Roman"/>
          <w:sz w:val="20"/>
        </w:rPr>
        <w:t>notes (refer to Note 1</w:t>
      </w:r>
    </w:p>
    <w:p>
      <w:pPr>
        <w:pStyle w:val="TextBody"/>
        <w:spacing w:before="240" w:after="0"/>
        <w:jc w:val="left"/>
        <w:rPr>
          <w:rFonts w:ascii="Times New Roman" w:hAnsi="Times New Roman"/>
          <w:spacing w:val="0"/>
          <w:sz w:val="20"/>
        </w:rPr>
      </w:pPr>
      <w:r>
        <w:rPr>
          <w:rFonts w:ascii="Times New Roman" w:hAnsi="Times New Roman"/>
          <w:spacing w:val="0"/>
          <w:sz w:val="20"/>
        </w:rPr>
        <w:t>7</w:t>
      </w:r>
    </w:p>
    <w:p>
      <w:pPr>
        <w:pStyle w:val="TextBody"/>
        <w:spacing w:before="240" w:after="0"/>
        <w:jc w:val="left"/>
        <w:rPr/>
      </w:pPr>
      <w:r>
        <w:rPr/>
        <w:t>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Related-Party Transactions</w:t>
      </w:r>
    </w:p>
    <w:p>
      <w:pPr>
        <w:pStyle w:val="TextBody"/>
        <w:spacing w:before="240" w:after="0"/>
        <w:jc w:val="left"/>
        <w:rPr>
          <w:rFonts w:ascii="Times New Roman" w:hAnsi="Times New Roman"/>
          <w:sz w:val="20"/>
        </w:rPr>
      </w:pPr>
      <w:r>
        <w:rPr>
          <w:rFonts w:ascii="Times New Roman" w:hAnsi="Times New Roman"/>
          <w:sz w:val="20"/>
        </w:rPr>
        <w:t>for further details on the Company’s Loans to Stockholders).</w:t>
      </w:r>
    </w:p>
    <w:p>
      <w:pPr>
        <w:pStyle w:val="TextBody"/>
        <w:spacing w:before="240" w:after="0"/>
        <w:jc w:val="left"/>
        <w:rPr>
          <w:rFonts w:ascii="Times New Roman" w:hAnsi="Times New Roman"/>
          <w:sz w:val="20"/>
        </w:rPr>
      </w:pPr>
      <w:r>
        <w:rPr>
          <w:rFonts w:ascii="Times New Roman" w:hAnsi="Times New Roman"/>
          <w:sz w:val="20"/>
        </w:rPr>
        <w:t xml:space="preserve">Diluted net (loss) income per share attributable to holders of Common Stock adjusts the basic net (loss) income per share attributable to stockholders and the weighted-average number of shares outstanding for the potentially dilutive impact of stock options, warrants, and restricted stock using the treasury stock method and convertible preferred stock using the </w:t>
      </w:r>
    </w:p>
    <w:p>
      <w:pPr>
        <w:pStyle w:val="TextBody"/>
        <w:spacing w:before="240" w:after="0"/>
        <w:jc w:val="left"/>
        <w:rPr>
          <w:rFonts w:ascii="Times New Roman" w:hAnsi="Times New Roman"/>
          <w:spacing w:val="0"/>
          <w:sz w:val="20"/>
        </w:rPr>
      </w:pPr>
      <w:r>
        <w:rPr>
          <w:rFonts w:ascii="Times New Roman" w:hAnsi="Times New Roman"/>
          <w:spacing w:val="0"/>
          <w:sz w:val="20"/>
        </w:rPr>
        <w:t>as-if-converted</w:t>
      </w:r>
    </w:p>
    <w:p>
      <w:pPr>
        <w:pStyle w:val="TextBody"/>
        <w:spacing w:before="240" w:after="0"/>
        <w:jc w:val="left"/>
        <w:rPr>
          <w:rFonts w:ascii="Times New Roman" w:hAnsi="Times New Roman"/>
          <w:sz w:val="20"/>
        </w:rPr>
      </w:pPr>
      <w:r>
        <w:rPr>
          <w:rFonts w:ascii="Times New Roman" w:hAnsi="Times New Roman"/>
          <w:sz w:val="20"/>
        </w:rPr>
        <w:t xml:space="preserve">method.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following table sets forth the computation of the Company’s basic and diluted net (loss) income per share attributable to holders of Common Stock (in thousands, except share data): </w:t>
      </w:r>
    </w:p>
    <w:p>
      <w:pPr>
        <w:pStyle w:val="TextBody"/>
        <w:spacing w:before="0" w:after="0"/>
        <w:jc w:val="left"/>
        <w:rPr>
          <w:spacing w:val="0"/>
        </w:rPr>
      </w:pPr>
      <w:r>
        <w:rPr>
          <w:spacing w:val="0"/>
        </w:rPr>
        <w:t> </w:t>
      </w:r>
    </w:p>
    <w:tbl>
      <w:tblPr>
        <w:tblW w:w="9957" w:type="dxa"/>
        <w:jc w:val="left"/>
        <w:tblInd w:w="0" w:type="dxa"/>
        <w:tblCellMar>
          <w:top w:w="0" w:type="dxa"/>
          <w:left w:w="0" w:type="dxa"/>
          <w:bottom w:w="0" w:type="dxa"/>
          <w:right w:w="0" w:type="dxa"/>
        </w:tblCellMar>
      </w:tblPr>
      <w:tblGrid>
        <w:gridCol w:w="5540"/>
        <w:gridCol w:w="120"/>
        <w:gridCol w:w="192"/>
        <w:gridCol w:w="1681"/>
        <w:gridCol w:w="213"/>
        <w:gridCol w:w="165"/>
        <w:gridCol w:w="192"/>
        <w:gridCol w:w="1684"/>
        <w:gridCol w:w="170"/>
      </w:tblGrid>
      <w:tr>
        <w:trPr/>
        <w:tc>
          <w:tcPr>
            <w:tcW w:w="5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27" w:type="dxa"/>
            <w:gridSpan w:val="6"/>
            <w:tcBorders/>
            <w:shd w:fill="auto" w:val="clear"/>
            <w:vAlign w:val="center"/>
          </w:tcPr>
          <w:p>
            <w:pPr>
              <w:pStyle w:val="TableContents"/>
              <w:spacing w:before="0" w:after="0"/>
              <w:jc w:val="center"/>
              <w:rPr>
                <w:b/>
                <w:spacing w:val="0"/>
              </w:rPr>
            </w:pPr>
            <w:r>
              <w:rPr>
                <w:b/>
                <w:spacing w:val="0"/>
              </w:rPr>
              <w:t>For the Three Months Ended March 31,</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73" w:type="dxa"/>
            <w:gridSpan w:val="2"/>
            <w:tcBorders/>
            <w:shd w:fill="auto" w:val="clear"/>
            <w:vAlign w:val="center"/>
          </w:tcPr>
          <w:p>
            <w:pPr>
              <w:pStyle w:val="TableContents"/>
              <w:spacing w:before="0" w:after="0"/>
              <w:jc w:val="center"/>
              <w:rPr>
                <w:b/>
                <w:spacing w:val="0"/>
              </w:rPr>
            </w:pPr>
            <w:r>
              <w:rPr>
                <w:b/>
                <w:spacing w:val="0"/>
              </w:rPr>
              <w:t>2022</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876" w:type="dxa"/>
            <w:gridSpan w:val="2"/>
            <w:tcBorders/>
            <w:shd w:fill="auto" w:val="cle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Numerator</w:t>
            </w:r>
          </w:p>
        </w:tc>
        <w:tc>
          <w:tcPr>
            <w:tcW w:w="120" w:type="dxa"/>
            <w:tcBorders/>
            <w:shd w:fill="auto" w:val="clear"/>
            <w:vAlign w:val="center"/>
          </w:tcPr>
          <w:p>
            <w:pPr>
              <w:pStyle w:val="TableContents"/>
              <w:spacing w:before="0" w:after="283"/>
              <w:rPr/>
            </w:pPr>
            <w:r>
              <w:rPr/>
              <w:t>  </w:t>
            </w:r>
          </w:p>
        </w:tc>
        <w:tc>
          <w:tcPr>
            <w:tcW w:w="1873" w:type="dxa"/>
            <w:gridSpan w:val="2"/>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876"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income</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681" w:type="dxa"/>
            <w:tcBorders/>
            <w:shd w:fill="CCEEFF" w:val="clear"/>
            <w:vAlign w:val="center"/>
          </w:tcPr>
          <w:p>
            <w:pPr>
              <w:pStyle w:val="TableContents"/>
              <w:spacing w:before="0" w:after="283"/>
              <w:jc w:val="right"/>
              <w:rPr/>
            </w:pPr>
            <w:r>
              <w:rPr/>
              <w:t>(34,835</w:t>
            </w:r>
          </w:p>
        </w:tc>
        <w:tc>
          <w:tcPr>
            <w:tcW w:w="21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684" w:type="dxa"/>
            <w:tcBorders/>
            <w:shd w:fill="CCEEFF" w:val="clear"/>
            <w:vAlign w:val="center"/>
          </w:tcPr>
          <w:p>
            <w:pPr>
              <w:pStyle w:val="TableContents"/>
              <w:spacing w:before="0" w:after="283"/>
              <w:jc w:val="right"/>
              <w:rPr/>
            </w:pPr>
            <w:r>
              <w:rPr/>
              <w:t>3,952</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noncumulative dividend to convertible preferred stockholders</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right"/>
              <w:rPr/>
            </w:pPr>
            <w:r>
              <w:rPr/>
              <w:t>—  </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4" w:type="dxa"/>
            <w:tcBorders/>
            <w:shd w:fill="auto" w:val="clear"/>
            <w:vAlign w:val="center"/>
          </w:tcPr>
          <w:p>
            <w:pPr>
              <w:pStyle w:val="TableContents"/>
              <w:spacing w:before="0" w:after="283"/>
              <w:jc w:val="right"/>
              <w:rPr/>
            </w:pPr>
            <w:r>
              <w:rPr/>
              <w:t>(3,952</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undistributed earnings to participating securities</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1" w:type="dxa"/>
            <w:tcBorders/>
            <w:shd w:fill="CCEEFF" w:val="clear"/>
            <w:vAlign w:val="center"/>
          </w:tcPr>
          <w:p>
            <w:pPr>
              <w:pStyle w:val="TableContents"/>
              <w:spacing w:before="0" w:after="283"/>
              <w:jc w:val="right"/>
              <w:rPr/>
            </w:pPr>
            <w:r>
              <w:rPr/>
              <w:t>—  </w:t>
            </w:r>
          </w:p>
        </w:tc>
        <w:tc>
          <w:tcPr>
            <w:tcW w:w="21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4"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income attributed to common stockholders—basic</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right"/>
              <w:rPr/>
            </w:pPr>
            <w:r>
              <w:rPr/>
              <w:t>(34,835</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4"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Add: undistributed earnings reallocated to common stockholders</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1" w:type="dxa"/>
            <w:tcBorders/>
            <w:shd w:fill="CCEEFF" w:val="clear"/>
            <w:vAlign w:val="center"/>
          </w:tcPr>
          <w:p>
            <w:pPr>
              <w:pStyle w:val="TableContents"/>
              <w:spacing w:before="0" w:after="283"/>
              <w:jc w:val="right"/>
              <w:rPr/>
            </w:pPr>
            <w:r>
              <w:rPr/>
              <w:t>—  </w:t>
            </w:r>
          </w:p>
        </w:tc>
        <w:tc>
          <w:tcPr>
            <w:tcW w:w="21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4"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income attributed to common stockholders—diluted</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681" w:type="dxa"/>
            <w:tcBorders/>
            <w:shd w:fill="auto" w:val="clear"/>
            <w:vAlign w:val="center"/>
          </w:tcPr>
          <w:p>
            <w:pPr>
              <w:pStyle w:val="TableContents"/>
              <w:spacing w:before="0" w:after="283"/>
              <w:jc w:val="right"/>
              <w:rPr/>
            </w:pPr>
            <w:r>
              <w:rPr/>
              <w:t>(34,835</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684"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b/>
                <w:spacing w:val="0"/>
                <w:sz w:val="20"/>
                <w:u w:val="single"/>
              </w:rPr>
            </w:pPr>
            <w:r>
              <w:rPr>
                <w:rFonts w:ascii="Times New Roman" w:hAnsi="Times New Roman"/>
                <w:b/>
                <w:spacing w:val="0"/>
                <w:sz w:val="20"/>
                <w:u w:val="single"/>
              </w:rPr>
              <w:t>Denominator</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1"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4"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shares of common stock—basic</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right"/>
              <w:rPr/>
            </w:pPr>
            <w:r>
              <w:rPr/>
              <w:t>361,939,372</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4" w:type="dxa"/>
            <w:tcBorders/>
            <w:shd w:fill="auto" w:val="clear"/>
            <w:vAlign w:val="center"/>
          </w:tcPr>
          <w:p>
            <w:pPr>
              <w:pStyle w:val="TableContents"/>
              <w:spacing w:before="0" w:after="283"/>
              <w:jc w:val="right"/>
              <w:rPr/>
            </w:pPr>
            <w:r>
              <w:rPr/>
              <w:t>133,243,614</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Dilutive effect of convertible preferred stock</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1"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4" w:type="dxa"/>
            <w:tcBorders/>
            <w:shd w:fill="CCEEFF" w:val="clear"/>
            <w:vAlign w:val="center"/>
          </w:tcPr>
          <w:p>
            <w:pPr>
              <w:pStyle w:val="TableContents"/>
              <w:spacing w:before="0" w:after="283"/>
              <w:jc w:val="right"/>
              <w:rPr/>
            </w:pPr>
            <w:r>
              <w:rPr/>
              <w:t>185,833,546</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Dilutive effect of equity incentive awards</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right"/>
              <w:rPr/>
            </w:pPr>
            <w:r>
              <w:rPr/>
              <w:t>—  </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4" w:type="dxa"/>
            <w:tcBorders/>
            <w:shd w:fill="auto" w:val="clear"/>
            <w:vAlign w:val="center"/>
          </w:tcPr>
          <w:p>
            <w:pPr>
              <w:pStyle w:val="TableContents"/>
              <w:spacing w:before="0" w:after="283"/>
              <w:jc w:val="right"/>
              <w:rPr/>
            </w:pPr>
            <w:r>
              <w:rPr/>
              <w:t>21,833,189</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shares of common stock—diluted</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1" w:type="dxa"/>
            <w:tcBorders/>
            <w:shd w:fill="CCEEFF" w:val="clear"/>
            <w:vAlign w:val="center"/>
          </w:tcPr>
          <w:p>
            <w:pPr>
              <w:pStyle w:val="TableContents"/>
              <w:spacing w:before="0" w:after="283"/>
              <w:jc w:val="right"/>
              <w:rPr/>
            </w:pPr>
            <w:r>
              <w:rPr/>
              <w:t xml:space="preserve">361,939,372 </w:t>
            </w:r>
          </w:p>
        </w:tc>
        <w:tc>
          <w:tcPr>
            <w:tcW w:w="21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 </w:t>
            </w:r>
          </w:p>
        </w:tc>
        <w:tc>
          <w:tcPr>
            <w:tcW w:w="1684" w:type="dxa"/>
            <w:tcBorders/>
            <w:shd w:fill="CCEEFF" w:val="clear"/>
            <w:vAlign w:val="center"/>
          </w:tcPr>
          <w:p>
            <w:pPr>
              <w:pStyle w:val="TableContents"/>
              <w:spacing w:before="0" w:after="283"/>
              <w:jc w:val="right"/>
              <w:rPr/>
            </w:pPr>
            <w:r>
              <w:rPr/>
              <w:t>340,910,349</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b/>
                <w:spacing w:val="0"/>
                <w:sz w:val="20"/>
                <w:u w:val="single"/>
              </w:rPr>
            </w:pPr>
            <w:r>
              <w:rPr>
                <w:rFonts w:ascii="Times New Roman" w:hAnsi="Times New Roman"/>
                <w:b/>
                <w:spacing w:val="0"/>
                <w:sz w:val="20"/>
                <w:u w:val="single"/>
              </w:rPr>
              <w:t>Net (loss) income per share</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1684"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681" w:type="dxa"/>
            <w:tcBorders/>
            <w:shd w:fill="CCEEFF" w:val="clear"/>
            <w:vAlign w:val="center"/>
          </w:tcPr>
          <w:p>
            <w:pPr>
              <w:pStyle w:val="TableContents"/>
              <w:spacing w:before="0" w:after="283"/>
              <w:jc w:val="right"/>
              <w:rPr/>
            </w:pPr>
            <w:r>
              <w:rPr/>
              <w:t>(0.10</w:t>
            </w:r>
          </w:p>
        </w:tc>
        <w:tc>
          <w:tcPr>
            <w:tcW w:w="213"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92" w:type="dxa"/>
            <w:tcBorders/>
            <w:shd w:fill="CCEEFF" w:val="clear"/>
            <w:vAlign w:val="center"/>
          </w:tcPr>
          <w:p>
            <w:pPr>
              <w:pStyle w:val="TableContents"/>
              <w:spacing w:before="0" w:after="283"/>
              <w:rPr/>
            </w:pPr>
            <w:r>
              <w:rPr/>
              <w:t>$</w:t>
            </w:r>
          </w:p>
        </w:tc>
        <w:tc>
          <w:tcPr>
            <w:tcW w:w="1684"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681" w:type="dxa"/>
            <w:tcBorders/>
            <w:shd w:fill="auto" w:val="clear"/>
            <w:vAlign w:val="center"/>
          </w:tcPr>
          <w:p>
            <w:pPr>
              <w:pStyle w:val="TableContents"/>
              <w:spacing w:before="0" w:after="283"/>
              <w:jc w:val="right"/>
              <w:rPr/>
            </w:pPr>
            <w:r>
              <w:rPr/>
              <w:t>(0.10</w:t>
            </w:r>
          </w:p>
        </w:tc>
        <w:tc>
          <w:tcPr>
            <w:tcW w:w="213"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w:t>
            </w:r>
          </w:p>
        </w:tc>
        <w:tc>
          <w:tcPr>
            <w:tcW w:w="1684"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potentially dilutive shares were excluded from the computation of diluted net (loss) income per share for the periods presented because including them would have been antidilutive: </w:t>
      </w:r>
    </w:p>
    <w:p>
      <w:pPr>
        <w:pStyle w:val="TextBody"/>
        <w:spacing w:before="0" w:after="0"/>
        <w:jc w:val="left"/>
        <w:rPr>
          <w:spacing w:val="0"/>
        </w:rPr>
      </w:pPr>
      <w:r>
        <w:rPr>
          <w:spacing w:val="0"/>
        </w:rPr>
        <w:t> </w:t>
      </w:r>
    </w:p>
    <w:tbl>
      <w:tblPr>
        <w:tblW w:w="6577" w:type="dxa"/>
        <w:jc w:val="left"/>
        <w:tblInd w:w="0" w:type="dxa"/>
        <w:tblCellMar>
          <w:top w:w="0" w:type="dxa"/>
          <w:left w:w="0" w:type="dxa"/>
          <w:bottom w:w="0" w:type="dxa"/>
          <w:right w:w="0" w:type="dxa"/>
        </w:tblCellMar>
      </w:tblPr>
      <w:tblGrid>
        <w:gridCol w:w="2255"/>
        <w:gridCol w:w="120"/>
        <w:gridCol w:w="98"/>
        <w:gridCol w:w="1816"/>
        <w:gridCol w:w="98"/>
        <w:gridCol w:w="197"/>
        <w:gridCol w:w="98"/>
        <w:gridCol w:w="1820"/>
        <w:gridCol w:w="75"/>
      </w:tblGrid>
      <w:tr>
        <w:trPr/>
        <w:tc>
          <w:tcPr>
            <w:tcW w:w="22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27" w:type="dxa"/>
            <w:gridSpan w:val="6"/>
            <w:tcBorders/>
            <w:shd w:fill="auto" w:val="clear"/>
            <w:vAlign w:val="center"/>
          </w:tcPr>
          <w:p>
            <w:pPr>
              <w:pStyle w:val="TableContents"/>
              <w:spacing w:before="0" w:after="0"/>
              <w:jc w:val="center"/>
              <w:rPr>
                <w:b/>
                <w:spacing w:val="0"/>
              </w:rPr>
            </w:pPr>
            <w:r>
              <w:rPr>
                <w:b/>
                <w:spacing w:val="0"/>
              </w:rPr>
              <w:t>For the Three Months Ended March 31,</w:t>
            </w:r>
          </w:p>
        </w:tc>
        <w:tc>
          <w:tcPr>
            <w:tcW w:w="75" w:type="dxa"/>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4" w:type="dxa"/>
            <w:gridSpan w:val="2"/>
            <w:tcBorders/>
            <w:shd w:fill="auto" w:val="clear"/>
            <w:vAlign w:val="center"/>
          </w:tcPr>
          <w:p>
            <w:pPr>
              <w:pStyle w:val="TableContents"/>
              <w:spacing w:before="0" w:after="0"/>
              <w:jc w:val="center"/>
              <w:rPr>
                <w:b/>
                <w:spacing w:val="0"/>
              </w:rPr>
            </w:pPr>
            <w:r>
              <w:rPr>
                <w:b/>
                <w:spacing w:val="0"/>
              </w:rPr>
              <w:t>2022</w:t>
            </w:r>
          </w:p>
        </w:tc>
        <w:tc>
          <w:tcPr>
            <w:tcW w:w="98"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918" w:type="dxa"/>
            <w:gridSpan w:val="2"/>
            <w:tcBorders/>
            <w:shd w:fill="auto" w:val="cle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Equity incentive awards</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816" w:type="dxa"/>
            <w:tcBorders/>
            <w:shd w:fill="CCEEFF" w:val="clear"/>
            <w:vAlign w:val="center"/>
          </w:tcPr>
          <w:p>
            <w:pPr>
              <w:pStyle w:val="TableContents"/>
              <w:spacing w:before="0" w:after="283"/>
              <w:jc w:val="right"/>
              <w:rPr/>
            </w:pPr>
            <w:r>
              <w:rPr/>
              <w:t>58,275</w:t>
            </w:r>
          </w:p>
        </w:tc>
        <w:tc>
          <w:tcPr>
            <w:tcW w:w="98"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82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Convertible deb</w:t>
            </w:r>
          </w:p>
          <w:p>
            <w:pPr>
              <w:pStyle w:val="TableContents"/>
              <w:spacing w:before="0" w:after="0"/>
              <w:rPr>
                <w:rFonts w:ascii="Times New Roman" w:hAnsi="Times New Roman"/>
                <w:spacing w:val="0"/>
                <w:sz w:val="20"/>
              </w:rPr>
            </w:pPr>
            <w:r>
              <w:rPr>
                <w:rFonts w:ascii="Times New Roman" w:hAnsi="Times New Roman"/>
                <w:spacing w:val="0"/>
                <w:sz w:val="20"/>
              </w:rPr>
              <w:t>t</w:t>
            </w:r>
          </w:p>
          <w:p>
            <w:pPr>
              <w:pStyle w:val="TableContents"/>
              <w:spacing w:before="0" w:after="0"/>
              <w:rPr>
                <w:spacing w:val="0"/>
              </w:rPr>
            </w:pPr>
            <w:r>
              <w:rPr>
                <w:spacing w:val="0"/>
              </w:rPr>
            </w:r>
          </w:p>
        </w:tc>
        <w:tc>
          <w:tcPr>
            <w:tcW w:w="120" w:type="dxa"/>
            <w:tcBorders/>
            <w:shd w:fill="auto" w:val="clear"/>
            <w:vAlign w:val="center"/>
          </w:tcPr>
          <w:p>
            <w:pPr>
              <w:pStyle w:val="TableContents"/>
              <w:spacing w:before="0" w:after="0"/>
              <w:rPr/>
            </w:pPr>
            <w:r>
              <w:rPr/>
              <w:t> </w:t>
            </w:r>
          </w:p>
        </w:tc>
        <w:tc>
          <w:tcPr>
            <w:tcW w:w="98" w:type="dxa"/>
            <w:tcBorders/>
            <w:shd w:fill="auto" w:val="clear"/>
            <w:vAlign w:val="center"/>
          </w:tcPr>
          <w:p>
            <w:pPr>
              <w:pStyle w:val="TableContents"/>
              <w:spacing w:before="0" w:after="0"/>
              <w:rPr/>
            </w:pPr>
            <w:r>
              <w:rPr/>
              <w:t> </w:t>
            </w:r>
          </w:p>
        </w:tc>
        <w:tc>
          <w:tcPr>
            <w:tcW w:w="1816" w:type="dxa"/>
            <w:tcBorders/>
            <w:shd w:fill="auto" w:val="clear"/>
            <w:vAlign w:val="center"/>
          </w:tcPr>
          <w:p>
            <w:pPr>
              <w:pStyle w:val="TableContents"/>
              <w:spacing w:before="0" w:after="0"/>
              <w:ind w:left="0" w:right="0" w:hanging="0"/>
              <w:jc w:val="right"/>
              <w:rPr>
                <w:spacing w:val="0"/>
              </w:rPr>
            </w:pPr>
            <w:r>
              <w:rPr>
                <w:spacing w:val="0"/>
              </w:rPr>
              <w:t>10,000,000</w:t>
            </w:r>
          </w:p>
        </w:tc>
        <w:tc>
          <w:tcPr>
            <w:tcW w:w="98" w:type="dxa"/>
            <w:tcBorders/>
            <w:shd w:fill="auto" w:val="clear"/>
            <w:vAlign w:val="center"/>
          </w:tcPr>
          <w:p>
            <w:pPr>
              <w:pStyle w:val="TableContents"/>
              <w:spacing w:before="0" w:after="0"/>
              <w:rPr/>
            </w:pPr>
            <w:r>
              <w:rPr/>
              <w:t> </w:t>
            </w:r>
          </w:p>
        </w:tc>
        <w:tc>
          <w:tcPr>
            <w:tcW w:w="197" w:type="dxa"/>
            <w:tcBorders/>
            <w:shd w:fill="auto" w:val="clear"/>
            <w:vAlign w:val="center"/>
          </w:tcPr>
          <w:p>
            <w:pPr>
              <w:pStyle w:val="TableContents"/>
              <w:spacing w:before="0" w:after="0"/>
              <w:rPr/>
            </w:pPr>
            <w:r>
              <w:rPr/>
              <w:t> </w:t>
            </w:r>
          </w:p>
        </w:tc>
        <w:tc>
          <w:tcPr>
            <w:tcW w:w="98" w:type="dxa"/>
            <w:tcBorders/>
            <w:shd w:fill="auto" w:val="clear"/>
            <w:vAlign w:val="center"/>
          </w:tcPr>
          <w:p>
            <w:pPr>
              <w:pStyle w:val="TableContents"/>
              <w:spacing w:before="0" w:after="0"/>
              <w:rPr/>
            </w:pPr>
            <w:r>
              <w:rPr/>
              <w:t> </w:t>
            </w:r>
          </w:p>
        </w:tc>
        <w:tc>
          <w:tcPr>
            <w:tcW w:w="1820" w:type="dxa"/>
            <w:tcBorders/>
            <w:shd w:fill="auto"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xml:space="preserve">  </w:t>
            </w:r>
          </w:p>
        </w:tc>
        <w:tc>
          <w:tcPr>
            <w:tcW w:w="75" w:type="dxa"/>
            <w:tcBorders/>
            <w:shd w:fill="auto" w:val="clear"/>
            <w:vAlign w:val="center"/>
          </w:tcPr>
          <w:p>
            <w:pPr>
              <w:pStyle w:val="TableContents"/>
              <w:spacing w:before="0" w:after="0"/>
              <w:rPr/>
            </w:pPr>
            <w:r>
              <w:rPr/>
              <w:t> </w:t>
            </w:r>
          </w:p>
        </w:tc>
      </w:tr>
      <w:tr>
        <w:trPr/>
        <w:tc>
          <w:tcPr>
            <w:tcW w:w="22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Convertible preferred stock</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816"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820" w:type="dxa"/>
            <w:tcBorders/>
            <w:shd w:fill="CCEEFF" w:val="clear"/>
            <w:vAlign w:val="center"/>
          </w:tcPr>
          <w:p>
            <w:pPr>
              <w:pStyle w:val="TableContents"/>
              <w:spacing w:before="0" w:after="283"/>
              <w:jc w:val="right"/>
              <w:rPr/>
            </w:pPr>
            <w:r>
              <w:rPr/>
              <w:t>18,048,635</w:t>
            </w:r>
          </w:p>
        </w:tc>
        <w:tc>
          <w:tcPr>
            <w:tcW w:w="75" w:type="dxa"/>
            <w:tcBorders/>
            <w:shd w:fill="CCEEFF"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Series </w:t>
            </w:r>
          </w:p>
          <w:p>
            <w:pPr>
              <w:pStyle w:val="TableContents"/>
              <w:spacing w:before="0" w:after="0"/>
              <w:rPr>
                <w:rFonts w:ascii="Times New Roman" w:hAnsi="Times New Roman"/>
                <w:spacing w:val="0"/>
                <w:sz w:val="20"/>
              </w:rPr>
            </w:pPr>
            <w:r>
              <w:rPr>
                <w:rFonts w:ascii="Times New Roman" w:hAnsi="Times New Roman"/>
                <w:spacing w:val="0"/>
                <w:sz w:val="20"/>
              </w:rPr>
              <w:t>B-1</w:t>
            </w:r>
          </w:p>
          <w:p>
            <w:pPr>
              <w:pStyle w:val="TableContents"/>
              <w:spacing w:before="0" w:after="0"/>
              <w:rPr>
                <w:rFonts w:ascii="Times New Roman" w:hAnsi="Times New Roman"/>
                <w:sz w:val="20"/>
              </w:rPr>
            </w:pPr>
            <w:r>
              <w:rPr>
                <w:rFonts w:ascii="Times New Roman" w:hAnsi="Times New Roman"/>
                <w:sz w:val="20"/>
              </w:rPr>
              <w:t>warrants</w:t>
            </w:r>
          </w:p>
        </w:tc>
        <w:tc>
          <w:tcPr>
            <w:tcW w:w="12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816" w:type="dxa"/>
            <w:tcBorders/>
            <w:shd w:fill="auto" w:val="cle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jc w:val="right"/>
              <w:rPr/>
            </w:pPr>
            <w:r>
              <w:rPr/>
              <w:t>2,333,122</w:t>
            </w:r>
          </w:p>
        </w:tc>
        <w:tc>
          <w:tcPr>
            <w:tcW w:w="75" w:type="dxa"/>
            <w:tcBorders/>
            <w:shd w:fill="auto"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816"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98"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82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CCEEFF"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0"/>
              <w:rPr>
                <w:spacing w:val="0"/>
              </w:rPr>
            </w:pPr>
            <w:r>
              <w:rPr>
                <w:spacing w:val="0"/>
              </w:rPr>
              <w:t> </w:t>
            </w:r>
          </w:p>
        </w:tc>
        <w:tc>
          <w:tcPr>
            <w:tcW w:w="1816" w:type="dxa"/>
            <w:tcBorders/>
            <w:shd w:fill="CCEEFF" w:val="clear"/>
            <w:vAlign w:val="center"/>
          </w:tcPr>
          <w:p>
            <w:pPr>
              <w:pStyle w:val="TableContents"/>
              <w:spacing w:before="0" w:after="0"/>
              <w:jc w:val="right"/>
              <w:rPr>
                <w:b/>
                <w:spacing w:val="0"/>
              </w:rPr>
            </w:pPr>
            <w:r>
              <w:rPr>
                <w:b/>
                <w:spacing w:val="0"/>
              </w:rPr>
              <w:t>10,058,275</w:t>
            </w:r>
          </w:p>
        </w:tc>
        <w:tc>
          <w:tcPr>
            <w:tcW w:w="98" w:type="dxa"/>
            <w:tcBorders/>
            <w:shd w:fill="CCEEFF" w:val="clear"/>
            <w:vAlign w:val="center"/>
          </w:tcPr>
          <w:p>
            <w:pPr>
              <w:pStyle w:val="TableContents"/>
              <w:spacing w:before="0" w:after="0"/>
              <w:rPr>
                <w:spacing w:val="0"/>
              </w:rPr>
            </w:pPr>
            <w:r>
              <w:rPr>
                <w:spacing w:val="0"/>
              </w:rPr>
              <w:t> </w:t>
            </w:r>
          </w:p>
        </w:tc>
        <w:tc>
          <w:tcPr>
            <w:tcW w:w="197"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0"/>
              <w:rPr>
                <w:spacing w:val="0"/>
              </w:rPr>
            </w:pPr>
            <w:r>
              <w:rPr>
                <w:spacing w:val="0"/>
              </w:rPr>
              <w:t> </w:t>
            </w:r>
          </w:p>
        </w:tc>
        <w:tc>
          <w:tcPr>
            <w:tcW w:w="1820" w:type="dxa"/>
            <w:tcBorders/>
            <w:shd w:fill="CCEEFF" w:val="clear"/>
            <w:vAlign w:val="center"/>
          </w:tcPr>
          <w:p>
            <w:pPr>
              <w:pStyle w:val="TableContents"/>
              <w:spacing w:before="0" w:after="0"/>
              <w:jc w:val="right"/>
              <w:rPr>
                <w:b/>
                <w:spacing w:val="0"/>
              </w:rPr>
            </w:pPr>
            <w:r>
              <w:rPr>
                <w:b/>
                <w:spacing w:val="0"/>
              </w:rPr>
              <w:t>20,381,757</w:t>
            </w:r>
          </w:p>
        </w:tc>
        <w:tc>
          <w:tcPr>
            <w:tcW w:w="75" w:type="dxa"/>
            <w:tcBorders/>
            <w:shd w:fill="CCEEFF" w:val="clear"/>
            <w:vAlign w:val="center"/>
          </w:tcPr>
          <w:p>
            <w:pPr>
              <w:pStyle w:val="TableContents"/>
              <w:spacing w:before="0" w:after="0"/>
              <w:rPr>
                <w:spacing w:val="0"/>
              </w:rPr>
            </w:pPr>
            <w:r>
              <w:rPr>
                <w:spacing w:val="0"/>
              </w:rPr>
              <w:t> </w:t>
            </w:r>
          </w:p>
        </w:tc>
      </w:tr>
      <w:tr>
        <w:trPr/>
        <w:tc>
          <w:tcPr>
            <w:tcW w:w="22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81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8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Recent Accounting Pronouncements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Recently Issued Accounting Pronouncements Not Yet Adopted: </w:t>
      </w:r>
    </w:p>
    <w:p>
      <w:pPr>
        <w:pStyle w:val="TextBody"/>
        <w:spacing w:before="240" w:after="0"/>
        <w:jc w:val="left"/>
        <w:rPr>
          <w:rFonts w:ascii="Times New Roman" w:hAnsi="Times New Roman"/>
          <w:sz w:val="20"/>
        </w:rPr>
      </w:pPr>
      <w:r>
        <w:rPr>
          <w:rFonts w:ascii="Times New Roman" w:hAnsi="Times New Roman"/>
          <w:sz w:val="20"/>
        </w:rPr>
        <w:t xml:space="preserve">In June 2016, the Financial Accounting Standards Board (“FASB”) issued Accounting Standards Update (“ASU”) </w:t>
      </w:r>
    </w:p>
    <w:p>
      <w:pPr>
        <w:pStyle w:val="TextBody"/>
        <w:spacing w:before="240" w:after="0"/>
        <w:jc w:val="left"/>
        <w:rPr>
          <w:rFonts w:ascii="Times New Roman" w:hAnsi="Times New Roman"/>
          <w:spacing w:val="0"/>
          <w:sz w:val="20"/>
        </w:rPr>
      </w:pPr>
      <w:r>
        <w:rPr>
          <w:rFonts w:ascii="Times New Roman" w:hAnsi="Times New Roman"/>
          <w:spacing w:val="0"/>
          <w:sz w:val="20"/>
        </w:rPr>
        <w:t>2016-13,</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Instruments—Credit Losses (Topic 326): Measurement of Credit Losses on Financial Instruments</w:t>
      </w:r>
    </w:p>
    <w:p>
      <w:pPr>
        <w:pStyle w:val="TextBody"/>
        <w:spacing w:before="240" w:after="0"/>
        <w:jc w:val="left"/>
        <w:rPr>
          <w:rFonts w:ascii="Times New Roman" w:hAnsi="Times New Roman"/>
          <w:sz w:val="20"/>
        </w:rPr>
      </w:pPr>
      <w:r>
        <w:rPr>
          <w:rFonts w:ascii="Times New Roman" w:hAnsi="Times New Roman"/>
          <w:sz w:val="20"/>
        </w:rPr>
        <w:t xml:space="preserve">(“ASU </w:t>
      </w:r>
    </w:p>
    <w:p>
      <w:pPr>
        <w:pStyle w:val="TextBody"/>
        <w:spacing w:before="240" w:after="0"/>
        <w:jc w:val="left"/>
        <w:rPr>
          <w:rFonts w:ascii="Times New Roman" w:hAnsi="Times New Roman"/>
          <w:spacing w:val="0"/>
          <w:sz w:val="20"/>
        </w:rPr>
      </w:pPr>
      <w:r>
        <w:rPr>
          <w:rFonts w:ascii="Times New Roman" w:hAnsi="Times New Roman"/>
          <w:spacing w:val="0"/>
          <w:sz w:val="20"/>
        </w:rPr>
        <w:t>2016-13”).</w:t>
      </w:r>
    </w:p>
    <w:p>
      <w:pPr>
        <w:pStyle w:val="TextBody"/>
        <w:spacing w:before="240" w:after="0"/>
        <w:jc w:val="left"/>
        <w:rPr>
          <w:rFonts w:ascii="Times New Roman" w:hAnsi="Times New Roman"/>
          <w:sz w:val="20"/>
        </w:rPr>
      </w:pPr>
      <w:r>
        <w:rPr>
          <w:rFonts w:ascii="Times New Roman" w:hAnsi="Times New Roman"/>
          <w:sz w:val="20"/>
        </w:rPr>
        <w:t xml:space="preserve">ASU </w:t>
      </w:r>
    </w:p>
    <w:p>
      <w:pPr>
        <w:pStyle w:val="TextBody"/>
        <w:spacing w:before="240" w:after="0"/>
        <w:jc w:val="left"/>
        <w:rPr>
          <w:rFonts w:ascii="Times New Roman" w:hAnsi="Times New Roman"/>
          <w:spacing w:val="0"/>
          <w:sz w:val="20"/>
        </w:rPr>
      </w:pPr>
      <w:r>
        <w:rPr>
          <w:rFonts w:ascii="Times New Roman" w:hAnsi="Times New Roman"/>
          <w:spacing w:val="0"/>
          <w:sz w:val="20"/>
        </w:rPr>
        <w:t>2016-13</w:t>
      </w:r>
    </w:p>
    <w:p>
      <w:pPr>
        <w:pStyle w:val="TextBody"/>
        <w:spacing w:before="240" w:after="0"/>
        <w:jc w:val="left"/>
        <w:rPr>
          <w:rFonts w:ascii="Times New Roman" w:hAnsi="Times New Roman"/>
          <w:sz w:val="20"/>
        </w:rPr>
      </w:pPr>
      <w:r>
        <w:rPr>
          <w:rFonts w:ascii="Times New Roman" w:hAnsi="Times New Roman"/>
          <w:sz w:val="20"/>
        </w:rPr>
        <w:t xml:space="preserve">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w:t>
      </w:r>
    </w:p>
    <w:p>
      <w:pPr>
        <w:pStyle w:val="TextBody"/>
        <w:spacing w:before="240" w:after="0"/>
        <w:jc w:val="left"/>
        <w:rPr>
          <w:rFonts w:ascii="Times New Roman" w:hAnsi="Times New Roman"/>
          <w:spacing w:val="0"/>
          <w:sz w:val="20"/>
        </w:rPr>
      </w:pPr>
      <w:r>
        <w:rPr>
          <w:rFonts w:ascii="Times New Roman" w:hAnsi="Times New Roman"/>
          <w:spacing w:val="0"/>
          <w:sz w:val="20"/>
        </w:rPr>
        <w:t>held-to</w:t>
      </w:r>
    </w:p>
    <w:p>
      <w:pPr>
        <w:pStyle w:val="TextBody"/>
        <w:spacing w:before="240" w:after="0"/>
        <w:jc w:val="left"/>
        <w:rPr>
          <w:rFonts w:ascii="Times New Roman" w:hAnsi="Times New Roman"/>
          <w:sz w:val="20"/>
        </w:rPr>
      </w:pPr>
      <w:r>
        <w:rPr>
          <w:rFonts w:ascii="Times New Roman" w:hAnsi="Times New Roman"/>
          <w:sz w:val="20"/>
        </w:rPr>
        <w:t xml:space="preserve">maturity debt securities, trade receivables and other receivables measured at amortized cost at the time the financial asset is originated or acquired. Subsequent to the issuance of ASU </w:t>
      </w:r>
    </w:p>
    <w:p>
      <w:pPr>
        <w:pStyle w:val="TextBody"/>
        <w:spacing w:before="240" w:after="0"/>
        <w:jc w:val="left"/>
        <w:rPr>
          <w:rFonts w:ascii="Times New Roman" w:hAnsi="Times New Roman"/>
          <w:spacing w:val="0"/>
          <w:sz w:val="20"/>
        </w:rPr>
      </w:pPr>
      <w:r>
        <w:rPr>
          <w:rFonts w:ascii="Times New Roman" w:hAnsi="Times New Roman"/>
          <w:spacing w:val="0"/>
          <w:sz w:val="20"/>
        </w:rPr>
        <w:t>2016-13,</w:t>
      </w:r>
    </w:p>
    <w:p>
      <w:pPr>
        <w:pStyle w:val="TextBody"/>
        <w:spacing w:before="240" w:after="0"/>
        <w:jc w:val="left"/>
        <w:rPr>
          <w:rFonts w:ascii="Times New Roman" w:hAnsi="Times New Roman"/>
          <w:sz w:val="20"/>
        </w:rPr>
      </w:pPr>
      <w:r>
        <w:rPr>
          <w:rFonts w:ascii="Times New Roman" w:hAnsi="Times New Roman"/>
          <w:sz w:val="20"/>
        </w:rPr>
        <w:t xml:space="preserve">the FASB issued several additional ASUs to clarify implementation guidance, provide narrow-scope improvements and provide additional disclosure guidance. In November 2019, the FASB issued an amendment making this ASU effective for public companies for the fiscal year beginning after December 15, 2019. In February 2020, the FASB issued an amendment providing a description of the measurement process for current expected credit losses. Early adoption is permitted. The Company plans to adopt the standard on January 1, 2023, provided it remains an “emerging growth company” as defined in Section 2(a) of the Securities Act of 1933, as amended. The Company is currently evaluating the impact of the adoption of this standard on its condensed consolidated financial statements and related disclosures.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 xml:space="preserve">In March 2020, the FASB issued ASU </w:t>
      </w:r>
    </w:p>
    <w:p>
      <w:pPr>
        <w:pStyle w:val="TextBody"/>
        <w:spacing w:before="0" w:after="0"/>
        <w:jc w:val="left"/>
        <w:rPr>
          <w:rFonts w:ascii="Times New Roman" w:hAnsi="Times New Roman"/>
          <w:spacing w:val="0"/>
          <w:sz w:val="20"/>
        </w:rPr>
      </w:pPr>
      <w:r>
        <w:rPr>
          <w:rFonts w:ascii="Times New Roman" w:hAnsi="Times New Roman"/>
          <w:spacing w:val="0"/>
          <w:sz w:val="20"/>
        </w:rPr>
        <w:t>No. 2020-04,</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Reference Rate Reform (Topic 848): Facilitation of the Effects of Reference Rate Reform on Financial Reporting</w:t>
      </w:r>
    </w:p>
    <w:p>
      <w:pPr>
        <w:pStyle w:val="TextBody"/>
        <w:spacing w:before="0" w:after="0"/>
        <w:jc w:val="left"/>
        <w:rPr>
          <w:rFonts w:ascii="Times New Roman" w:hAnsi="Times New Roman"/>
          <w:sz w:val="20"/>
        </w:rPr>
      </w:pPr>
      <w:r>
        <w:rPr>
          <w:rFonts w:ascii="Times New Roman" w:hAnsi="Times New Roman"/>
          <w:sz w:val="20"/>
        </w:rPr>
        <w:t xml:space="preserve">, which provides optional guidance for accounting for contracts, hedging relationships, and other transactions affected by reference rate reform, if certain criteria are met. The provisions of this standard are available for election for all companies through December 31, 2022. The Company is currently evaluating the impact of the adoption of this standard on its condensed consolidated financial statements and related disclosures.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Recently Adopted Accounting Pronouncements: </w:t>
      </w:r>
    </w:p>
    <w:p>
      <w:pPr>
        <w:pStyle w:val="TextBody"/>
        <w:spacing w:before="240" w:after="0"/>
        <w:jc w:val="left"/>
        <w:rPr>
          <w:rFonts w:ascii="Times New Roman" w:hAnsi="Times New Roman"/>
          <w:sz w:val="20"/>
        </w:rPr>
      </w:pPr>
      <w:r>
        <w:rPr>
          <w:rFonts w:ascii="Times New Roman" w:hAnsi="Times New Roman"/>
          <w:sz w:val="20"/>
        </w:rPr>
        <w:t xml:space="preserve">In December 2019,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2019-12,</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 (Topic 740): Simplifying the Accounting for Income Taxes</w:t>
      </w:r>
    </w:p>
    <w:p>
      <w:pPr>
        <w:pStyle w:val="TextBody"/>
        <w:spacing w:before="240" w:after="0"/>
        <w:jc w:val="left"/>
        <w:rPr>
          <w:rFonts w:ascii="Times New Roman" w:hAnsi="Times New Roman"/>
          <w:sz w:val="20"/>
        </w:rPr>
      </w:pPr>
      <w:r>
        <w:rPr>
          <w:rFonts w:ascii="Times New Roman" w:hAnsi="Times New Roman"/>
          <w:sz w:val="20"/>
        </w:rPr>
        <w:t xml:space="preserve">(“ASU </w:t>
      </w:r>
    </w:p>
    <w:p>
      <w:pPr>
        <w:pStyle w:val="TextBody"/>
        <w:spacing w:before="240" w:after="0"/>
        <w:jc w:val="left"/>
        <w:rPr>
          <w:rFonts w:ascii="Times New Roman" w:hAnsi="Times New Roman"/>
          <w:spacing w:val="0"/>
          <w:sz w:val="20"/>
        </w:rPr>
      </w:pPr>
      <w:r>
        <w:rPr>
          <w:rFonts w:ascii="Times New Roman" w:hAnsi="Times New Roman"/>
          <w:spacing w:val="0"/>
          <w:sz w:val="20"/>
        </w:rPr>
        <w:t>2019-12”),</w:t>
      </w:r>
    </w:p>
    <w:p>
      <w:pPr>
        <w:pStyle w:val="TextBody"/>
        <w:spacing w:before="240" w:after="0"/>
        <w:jc w:val="left"/>
        <w:rPr>
          <w:rFonts w:ascii="Times New Roman" w:hAnsi="Times New Roman"/>
          <w:sz w:val="20"/>
        </w:rPr>
      </w:pPr>
      <w:r>
        <w:rPr>
          <w:rFonts w:ascii="Times New Roman" w:hAnsi="Times New Roman"/>
          <w:sz w:val="20"/>
        </w:rPr>
        <w:t xml:space="preserve">as part of its Simplification Initiative to reduce the cost and complexity in accounting for income taxes. The amendments in ASU </w:t>
      </w:r>
    </w:p>
    <w:p>
      <w:pPr>
        <w:pStyle w:val="TextBody"/>
        <w:spacing w:before="240" w:after="0"/>
        <w:jc w:val="left"/>
        <w:rPr>
          <w:rFonts w:ascii="Times New Roman" w:hAnsi="Times New Roman"/>
          <w:spacing w:val="0"/>
          <w:sz w:val="20"/>
        </w:rPr>
      </w:pPr>
      <w:r>
        <w:rPr>
          <w:rFonts w:ascii="Times New Roman" w:hAnsi="Times New Roman"/>
          <w:spacing w:val="0"/>
          <w:sz w:val="20"/>
        </w:rPr>
        <w:t>2019-12</w:t>
      </w:r>
    </w:p>
    <w:p>
      <w:pPr>
        <w:pStyle w:val="TextBody"/>
        <w:spacing w:before="240" w:after="0"/>
        <w:jc w:val="left"/>
        <w:rPr>
          <w:rFonts w:ascii="Times New Roman" w:hAnsi="Times New Roman"/>
          <w:sz w:val="20"/>
        </w:rPr>
      </w:pPr>
      <w:r>
        <w:rPr>
          <w:rFonts w:ascii="Times New Roman" w:hAnsi="Times New Roman"/>
          <w:sz w:val="20"/>
        </w:rPr>
        <w:t xml:space="preserve">remove certain exceptions related to the approach for intra-period tax allocation, the methodology for calculating income taxes in an interim period and the recognition of deferred tax liabilities for outside basis differences. ASU </w:t>
      </w:r>
    </w:p>
    <w:p>
      <w:pPr>
        <w:pStyle w:val="TextBody"/>
        <w:spacing w:before="240" w:after="0"/>
        <w:jc w:val="left"/>
        <w:rPr>
          <w:rFonts w:ascii="Times New Roman" w:hAnsi="Times New Roman"/>
          <w:spacing w:val="0"/>
          <w:sz w:val="20"/>
        </w:rPr>
      </w:pPr>
      <w:r>
        <w:rPr>
          <w:rFonts w:ascii="Times New Roman" w:hAnsi="Times New Roman"/>
          <w:spacing w:val="0"/>
          <w:sz w:val="20"/>
        </w:rPr>
        <w:t>2019-12</w:t>
      </w:r>
    </w:p>
    <w:p>
      <w:pPr>
        <w:pStyle w:val="TextBody"/>
        <w:spacing w:before="240" w:after="0"/>
        <w:jc w:val="left"/>
        <w:rPr>
          <w:rFonts w:ascii="Times New Roman" w:hAnsi="Times New Roman"/>
          <w:sz w:val="20"/>
        </w:rPr>
      </w:pPr>
      <w:r>
        <w:rPr>
          <w:rFonts w:ascii="Times New Roman" w:hAnsi="Times New Roman"/>
          <w:sz w:val="20"/>
        </w:rPr>
        <w:t xml:space="preserve">also amends other aspects of the guidance to help simplify and promote consistent application of U.S. GAAP. This ASU is effective for public companies for annual periods beginning after December 15, 2020. Early adoption is permitted.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August 2020,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2020-06,</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 – Debt with Conversion and Other Options (Subtopic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and Derivatives and Hedging – Contracts in Entity’s Own Equity (Subtopic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815-40):</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 and Contracts in an Entity’s Own Equity</w:t>
      </w:r>
    </w:p>
    <w:p>
      <w:pPr>
        <w:pStyle w:val="TextBody"/>
        <w:spacing w:before="240" w:after="0"/>
        <w:jc w:val="left"/>
        <w:rPr>
          <w:rFonts w:ascii="Times New Roman" w:hAnsi="Times New Roman"/>
          <w:spacing w:val="0"/>
          <w:sz w:val="20"/>
        </w:rPr>
      </w:pPr>
      <w:r>
        <w:rPr>
          <w:rFonts w:ascii="Times New Roman" w:hAnsi="Times New Roman"/>
          <w:spacing w:val="0"/>
          <w:sz w:val="20"/>
        </w:rPr>
        <w:t>(“ASU 2020-06”).</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guidance </w:t>
      </w:r>
    </w:p>
    <w:p>
      <w:pPr>
        <w:pStyle w:val="TextBody"/>
        <w:spacing w:before="240" w:after="0"/>
        <w:jc w:val="left"/>
        <w:rPr>
          <w:rFonts w:ascii="Times New Roman" w:hAnsi="Times New Roman"/>
          <w:spacing w:val="0"/>
          <w:sz w:val="20"/>
        </w:rPr>
      </w:pPr>
      <w:r>
        <w:rPr>
          <w:rFonts w:ascii="Times New Roman" w:hAnsi="Times New Roman"/>
          <w:spacing w:val="0"/>
          <w:sz w:val="20"/>
        </w:rPr>
        <w:t>in ASU 2020-06 simplifies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accounting for convertible debt and convertible preferred stock by removing the requirements to separately present certain conversion features in equity. In addition, the amendments in </w:t>
      </w:r>
    </w:p>
    <w:p>
      <w:pPr>
        <w:pStyle w:val="TextBody"/>
        <w:spacing w:before="240" w:after="0"/>
        <w:jc w:val="left"/>
        <w:rPr>
          <w:rFonts w:ascii="Times New Roman" w:hAnsi="Times New Roman"/>
          <w:spacing w:val="0"/>
          <w:sz w:val="20"/>
        </w:rPr>
      </w:pPr>
      <w:r>
        <w:rPr>
          <w:rFonts w:ascii="Times New Roman" w:hAnsi="Times New Roman"/>
          <w:spacing w:val="0"/>
          <w:sz w:val="20"/>
        </w:rPr>
        <w:t>the ASU 2020-06 also</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simplify the guidance in ASC Subtopic </w:t>
      </w:r>
    </w:p>
    <w:p>
      <w:pPr>
        <w:pStyle w:val="TextBody"/>
        <w:spacing w:before="240" w:after="0"/>
        <w:jc w:val="left"/>
        <w:rPr>
          <w:rFonts w:ascii="Times New Roman" w:hAnsi="Times New Roman"/>
          <w:spacing w:val="0"/>
          <w:sz w:val="20"/>
        </w:rPr>
      </w:pPr>
      <w:r>
        <w:rPr>
          <w:rFonts w:ascii="Times New Roman" w:hAnsi="Times New Roman"/>
          <w:spacing w:val="0"/>
          <w:sz w:val="20"/>
        </w:rPr>
        <w:t>815-40,</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Derivatives and Hedging: Contracts in Entity’s Own Equity</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w:t>
      </w:r>
    </w:p>
    <w:p>
      <w:pPr>
        <w:pStyle w:val="TextBody"/>
        <w:spacing w:before="240" w:after="0"/>
        <w:jc w:val="left"/>
        <w:rPr>
          <w:rFonts w:ascii="Times New Roman" w:hAnsi="Times New Roman"/>
          <w:spacing w:val="0"/>
          <w:sz w:val="20"/>
        </w:rPr>
      </w:pPr>
      <w:r>
        <w:rPr>
          <w:rFonts w:ascii="Times New Roman" w:hAnsi="Times New Roman"/>
          <w:spacing w:val="0"/>
          <w:sz w:val="20"/>
        </w:rPr>
        <w:t>if-converted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method for all convertible instruments and rescinding an entity’s ability to rebut the presumption of share settlement for instruments that may be settled in cash or other assets. The amendments </w:t>
      </w:r>
    </w:p>
    <w:p>
      <w:pPr>
        <w:pStyle w:val="TextBody"/>
        <w:spacing w:before="240" w:after="0"/>
        <w:jc w:val="left"/>
        <w:rPr>
          <w:rFonts w:ascii="Times New Roman" w:hAnsi="Times New Roman"/>
          <w:spacing w:val="0"/>
          <w:sz w:val="20"/>
        </w:rPr>
      </w:pPr>
      <w:r>
        <w:rPr>
          <w:rFonts w:ascii="Times New Roman" w:hAnsi="Times New Roman"/>
          <w:spacing w:val="0"/>
          <w:sz w:val="20"/>
        </w:rPr>
        <w:t>in ASU 2020-06 are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effective for public companies for fiscal years beginning after December 15, 2021. The Company adopted the standard effective January 1, 2022 on a modified retrospective approach.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 </w:t>
      </w:r>
    </w:p>
    <w:p>
      <w:pPr>
        <w:pStyle w:val="TextBody"/>
        <w:spacing w:before="240" w:after="0"/>
        <w:jc w:val="left"/>
        <w:rPr>
          <w:rFonts w:ascii="Times New Roman" w:hAnsi="Times New Roman"/>
          <w:sz w:val="20"/>
        </w:rPr>
      </w:pPr>
      <w:r>
        <w:rPr>
          <w:rFonts w:ascii="Times New Roman" w:hAnsi="Times New Roman"/>
          <w:sz w:val="20"/>
        </w:rPr>
        <w:t xml:space="preserve">In October 2020,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2020-10,</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Codification Improvements</w:t>
      </w:r>
    </w:p>
    <w:p>
      <w:pPr>
        <w:pStyle w:val="TextBody"/>
        <w:spacing w:before="240" w:after="0"/>
        <w:jc w:val="left"/>
        <w:rPr>
          <w:rFonts w:ascii="Times New Roman" w:hAnsi="Times New Roman"/>
          <w:sz w:val="20"/>
        </w:rPr>
      </w:pPr>
      <w:r>
        <w:rPr>
          <w:rFonts w:ascii="Times New Roman" w:hAnsi="Times New Roman"/>
          <w:sz w:val="20"/>
        </w:rPr>
        <w:t xml:space="preserve">(“Codification”). The update provides incremental improvements on various topics in the Codification to provide clarification, correct errors in, and simplification on a variety of topics. Among other things, the guidance includes presentation disclosures for the amount of income tax expense or benefit related to other comprehensive income. The amendments are effective for public entities in fiscal years beginning after December 15, 2020, including interim periods within those fiscal years. Early adoption is permitted. The Company adopted the standard effective January 1, 2021.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 </w:t>
      </w:r>
    </w:p>
    <w:p>
      <w:pPr>
        <w:pStyle w:val="TextBody"/>
        <w:spacing w:before="240" w:after="0"/>
        <w:jc w:val="left"/>
        <w:rPr>
          <w:rFonts w:ascii="Times New Roman" w:hAnsi="Times New Roman"/>
          <w:sz w:val="20"/>
        </w:rPr>
      </w:pPr>
      <w:r>
        <w:rPr>
          <w:rFonts w:ascii="Times New Roman" w:hAnsi="Times New Roman"/>
          <w:sz w:val="20"/>
        </w:rPr>
        <w:t xml:space="preserve">In May 2021, the FASB </w:t>
      </w:r>
    </w:p>
    <w:p>
      <w:pPr>
        <w:pStyle w:val="TextBody"/>
        <w:spacing w:before="240" w:after="0"/>
        <w:jc w:val="left"/>
        <w:rPr>
          <w:rFonts w:ascii="Times New Roman" w:hAnsi="Times New Roman"/>
          <w:spacing w:val="0"/>
          <w:sz w:val="20"/>
        </w:rPr>
      </w:pPr>
      <w:r>
        <w:rPr>
          <w:rFonts w:ascii="Times New Roman" w:hAnsi="Times New Roman"/>
          <w:spacing w:val="0"/>
          <w:sz w:val="20"/>
        </w:rPr>
        <w:t>issued ASU 2021-04,</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 xml:space="preserve">Earnings Per Share (Topic 260), Debt-Modifications and Extinguishments (Subtopic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470-50),</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Compensation-Stock Compensation (Topic 718), and Derivatives and Hedging-Contracts in Entity’s Own Equity (Subtopic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815-40),</w:t>
      </w:r>
    </w:p>
    <w:p>
      <w:pPr>
        <w:pStyle w:val="TextBody"/>
        <w:spacing w:before="240" w:after="0"/>
        <w:jc w:val="left"/>
        <w:rPr>
          <w:rFonts w:ascii="Times New Roman" w:hAnsi="Times New Roman"/>
          <w:sz w:val="20"/>
        </w:rPr>
      </w:pPr>
      <w:r>
        <w:rPr>
          <w:rFonts w:ascii="Times New Roman" w:hAnsi="Times New Roman"/>
          <w:sz w:val="20"/>
        </w:rPr>
        <w:t xml:space="preserve">which addresses issuer’s accounting for certain modifications or exchanges of freestanding equity-classified written call options. The amendments in this update are effective for all companies for annual periods beginning after December 15, 2021.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3 The Reverse Recapitalization and Related Transactions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the Closing Date, the Company consummated the previously announced mergers contemplated by the Business Combination Agreement. In connection with the closing of the Business Combination, the Company changed the name from “VPC Impact Acquisition Holdings III, Inc.” to “Dave Inc.,” and the Surviving Entity operates under the name “Dave Operating LLC.”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Upon the consummation of the Business Combination, in accordance with the terms and conditions of the Business Combination Agreement, all issued and outstanding Legacy Dave common stock was converted into shares of Common Stock at the Exchange Ratio. At closing, VPCC transaction costs of $22.6 million were paid, which reduced the proceeds from VPCC and reduced APIC. Additionally, $5.1 million of the costs were capitalized and included within deferred issuance costs in the consolidated balance sheet for the years ended December 31, 2021, and reduced APIC at closing. The remaining $7.5 million in transaction costs were accrued for at closing. Upon closing the Business Combination, Legacy Dave receiv</w:t>
      </w:r>
    </w:p>
    <w:p>
      <w:pPr>
        <w:pStyle w:val="TextBody"/>
        <w:spacing w:before="240" w:after="0"/>
        <w:jc w:val="left"/>
        <w:rPr>
          <w:rFonts w:ascii="Times New Roman" w:hAnsi="Times New Roman"/>
          <w:sz w:val="20"/>
        </w:rPr>
      </w:pPr>
      <w:r>
        <w:rPr>
          <w:rFonts w:ascii="Times New Roman" w:hAnsi="Times New Roman"/>
          <w:sz w:val="20"/>
        </w:rPr>
        <w:t xml:space="preserve">ed $7.0 million in cash proceeds after transactions costs of $22.6 million were paid and released from VPCC’ trust account, net of redemptions of $224.2 million. At closing, each </w:t>
      </w:r>
    </w:p>
    <w:p>
      <w:pPr>
        <w:pStyle w:val="TextBody"/>
        <w:spacing w:before="240" w:after="0"/>
        <w:jc w:val="left"/>
        <w:rPr>
          <w:rFonts w:ascii="Times New Roman" w:hAnsi="Times New Roman"/>
          <w:spacing w:val="0"/>
          <w:sz w:val="20"/>
        </w:rPr>
      </w:pPr>
      <w:r>
        <w:rPr>
          <w:rFonts w:ascii="Times New Roman" w:hAnsi="Times New Roman"/>
          <w:spacing w:val="0"/>
          <w:sz w:val="20"/>
        </w:rPr>
        <w:t>non-redeemed</w:t>
      </w:r>
    </w:p>
    <w:p>
      <w:pPr>
        <w:pStyle w:val="TextBody"/>
        <w:spacing w:before="240" w:after="0"/>
        <w:jc w:val="left"/>
        <w:rPr>
          <w:rFonts w:ascii="Times New Roman" w:hAnsi="Times New Roman"/>
          <w:sz w:val="20"/>
        </w:rPr>
      </w:pPr>
      <w:r>
        <w:rPr>
          <w:rFonts w:ascii="Times New Roman" w:hAnsi="Times New Roman"/>
          <w:sz w:val="20"/>
        </w:rPr>
        <w:t xml:space="preserve">outstanding share of Legacy Dave Class A common stock was converted into one share of Class A Common Stock.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Upon consummation of the Business Combination, the shares of Legacy Dave held by Legacy Dave shareholders converted into 342,638,866 shares of Common Stock, including 294,188,227 shares of Class A Common Stock and 48,450,639 shares of Class V Common Stock.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While the legal acquirer in the Business Combination was VPCC, for accounting and financial reporting purposes under U.S. GAAP, Legacy Dave is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Dave in many respects. Under this method of accounting, VPCC was treated as the “acquired” company. Accordingly, the consolidated assets, liabilities, and results of operations of Legacy Dave became the historical consolidated financial statements of Dave, and VPCC’s assets and liabilities were consolidated with Legacy Dave’s on the Closing Date. Operations prior to the Business Combination are presented as those of Dave in reports subsequent to the Closing Date. The net assets of VPCC were recognized at their carrying value immediately prior to the closing with no goodwill or other intangible assets recorded and were as follows, net of transaction costs (in millions): </w:t>
      </w:r>
    </w:p>
    <w:p>
      <w:pPr>
        <w:pStyle w:val="TextBody"/>
        <w:spacing w:before="0" w:after="0"/>
        <w:jc w:val="left"/>
        <w:rPr>
          <w:spacing w:val="0"/>
        </w:rPr>
      </w:pPr>
      <w:r>
        <w:rPr>
          <w:spacing w:val="0"/>
        </w:rPr>
        <w:t> </w:t>
      </w:r>
    </w:p>
    <w:tbl>
      <w:tblPr>
        <w:tblW w:w="3155" w:type="dxa"/>
        <w:jc w:val="left"/>
        <w:tblInd w:w="0" w:type="dxa"/>
        <w:tblCellMar>
          <w:top w:w="0" w:type="dxa"/>
          <w:left w:w="0" w:type="dxa"/>
          <w:bottom w:w="0" w:type="dxa"/>
          <w:right w:w="0" w:type="dxa"/>
        </w:tblCellMar>
      </w:tblPr>
      <w:tblGrid>
        <w:gridCol w:w="2105"/>
        <w:gridCol w:w="120"/>
        <w:gridCol w:w="140"/>
        <w:gridCol w:w="620"/>
        <w:gridCol w:w="170"/>
      </w:tblGrid>
      <w:tr>
        <w:trPr/>
        <w:tc>
          <w:tcPr>
            <w:tcW w:w="2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jc w:val="right"/>
              <w:rPr/>
            </w:pPr>
            <w:r>
              <w:rPr/>
              <w:t> </w:t>
            </w:r>
            <w:r>
              <w:rPr/>
              <w:t>202.0</w:t>
            </w:r>
          </w:p>
        </w:tc>
        <w:tc>
          <w:tcPr>
            <w:tcW w:w="170" w:type="dxa"/>
            <w:tcBorders/>
            <w:shd w:fill="CCEEFF" w:val="clear"/>
            <w:vAlign w:val="center"/>
          </w:tcPr>
          <w:p>
            <w:pPr>
              <w:pStyle w:val="TableContents"/>
              <w:spacing w:before="0" w:after="283"/>
              <w:rPr/>
            </w:pPr>
            <w:r>
              <w:rPr/>
              <w:t> </w:t>
            </w:r>
          </w:p>
        </w:tc>
      </w:tr>
      <w:tr>
        <w:trPr/>
        <w:tc>
          <w:tcPr>
            <w:tcW w:w="2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right"/>
              <w:rPr/>
            </w:pPr>
            <w:r>
              <w:rPr/>
              <w:t>0.7</w:t>
            </w:r>
          </w:p>
        </w:tc>
        <w:tc>
          <w:tcPr>
            <w:tcW w:w="170" w:type="dxa"/>
            <w:tcBorders/>
            <w:shd w:fill="auto" w:val="clear"/>
            <w:vAlign w:val="center"/>
          </w:tcPr>
          <w:p>
            <w:pPr>
              <w:pStyle w:val="TableContents"/>
              <w:spacing w:before="0" w:after="283"/>
              <w:rPr/>
            </w:pPr>
            <w:r>
              <w:rPr/>
              <w:t> </w:t>
            </w:r>
          </w:p>
        </w:tc>
      </w:tr>
      <w:tr>
        <w:trPr/>
        <w:tc>
          <w:tcPr>
            <w:tcW w:w="2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jc w:val="right"/>
              <w:rPr/>
            </w:pPr>
            <w:r>
              <w:rPr/>
              <w:t>(0.2</w:t>
            </w:r>
          </w:p>
        </w:tc>
        <w:tc>
          <w:tcPr>
            <w:tcW w:w="170" w:type="dxa"/>
            <w:tcBorders/>
            <w:shd w:fill="CCEEFF" w:val="clear"/>
            <w:vAlign w:val="center"/>
          </w:tcPr>
          <w:p>
            <w:pPr>
              <w:pStyle w:val="TableContents"/>
              <w:spacing w:before="0" w:after="283"/>
              <w:rPr/>
            </w:pPr>
            <w:r>
              <w:rPr/>
              <w:t>) </w:t>
            </w:r>
          </w:p>
        </w:tc>
      </w:tr>
      <w:tr>
        <w:trPr/>
        <w:tc>
          <w:tcPr>
            <w:tcW w:w="2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Warrant liability - public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right"/>
              <w:rPr/>
            </w:pPr>
            <w:r>
              <w:rPr/>
              <w:t>(7.6</w:t>
            </w:r>
          </w:p>
        </w:tc>
        <w:tc>
          <w:tcPr>
            <w:tcW w:w="170" w:type="dxa"/>
            <w:tcBorders/>
            <w:shd w:fill="auto" w:val="clear"/>
            <w:vAlign w:val="center"/>
          </w:tcPr>
          <w:p>
            <w:pPr>
              <w:pStyle w:val="TableContents"/>
              <w:spacing w:before="0" w:after="283"/>
              <w:rPr/>
            </w:pPr>
            <w:r>
              <w:rPr/>
              <w:t>) </w:t>
            </w:r>
          </w:p>
        </w:tc>
      </w:tr>
      <w:tr>
        <w:trPr/>
        <w:tc>
          <w:tcPr>
            <w:tcW w:w="2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Warrant liability - private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20" w:type="dxa"/>
            <w:tcBorders/>
            <w:shd w:fill="CCEEFF" w:val="clear"/>
            <w:vAlign w:val="center"/>
          </w:tcPr>
          <w:p>
            <w:pPr>
              <w:pStyle w:val="TableContents"/>
              <w:spacing w:before="0" w:after="283"/>
              <w:jc w:val="right"/>
              <w:rPr/>
            </w:pPr>
            <w:r>
              <w:rPr/>
              <w:t>(6.7</w:t>
            </w:r>
          </w:p>
        </w:tc>
        <w:tc>
          <w:tcPr>
            <w:tcW w:w="170" w:type="dxa"/>
            <w:tcBorders/>
            <w:shd w:fill="CCEEFF" w:val="clear"/>
            <w:vAlign w:val="center"/>
          </w:tcPr>
          <w:p>
            <w:pPr>
              <w:pStyle w:val="TableContents"/>
              <w:spacing w:before="0" w:after="283"/>
              <w:rPr/>
            </w:pPr>
            <w:r>
              <w:rPr/>
              <w:t>) </w:t>
            </w:r>
          </w:p>
        </w:tc>
      </w:tr>
      <w:tr>
        <w:trPr/>
        <w:tc>
          <w:tcPr>
            <w:tcW w:w="2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10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assets acquired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620" w:type="dxa"/>
            <w:tcBorders/>
            <w:shd w:fill="auto" w:val="clear"/>
            <w:vAlign w:val="center"/>
          </w:tcPr>
          <w:p>
            <w:pPr>
              <w:pStyle w:val="TableContents"/>
              <w:spacing w:before="0" w:after="0"/>
              <w:jc w:val="right"/>
              <w:rPr>
                <w:b/>
                <w:spacing w:val="0"/>
              </w:rPr>
            </w:pPr>
            <w:r>
              <w:rPr>
                <w:b/>
                <w:spacing w:val="0"/>
              </w:rPr>
              <w:t>188.3</w:t>
            </w:r>
          </w:p>
        </w:tc>
        <w:tc>
          <w:tcPr>
            <w:tcW w:w="170" w:type="dxa"/>
            <w:tcBorders/>
            <w:shd w:fill="auto" w:val="clear"/>
            <w:vAlign w:val="center"/>
          </w:tcPr>
          <w:p>
            <w:pPr>
              <w:pStyle w:val="TableContents"/>
              <w:spacing w:before="0" w:after="0"/>
              <w:rPr>
                <w:spacing w:val="0"/>
              </w:rPr>
            </w:pPr>
            <w:r>
              <w:rPr>
                <w:spacing w:val="0"/>
              </w:rPr>
              <w:t> </w:t>
            </w:r>
          </w:p>
        </w:tc>
      </w:tr>
      <w:tr>
        <w:trPr/>
        <w:tc>
          <w:tcPr>
            <w:tcW w:w="2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Additionally, as part of the recapitalization, 5,392,528 shares of VPCC Class A common stock held by founders of VPCC (the “Founder Holders”) were exchanged with 5,392,528 shares of Dave Class A Common Stock; 1,586,037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(or “Founder Holder Earnout Shares”) of which will be subject to forfeiture if the vesting condition is not met over th</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 five year term following the Closing Date as follows: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Sixty percent (60%) of the Founder Holder Earnout Shares (951,622 Founder Holder Earnout Shares) shall immediately become fully vested and no longer subject to forfeiture upon the occurrence of Triggering Event I, which is defined as the first date on which the Common Share Price is equal to or greater than twelve dollars and fifty cents ($12.50) after the Closing Date, but within the Earnout Period (as defined in the </w:t>
      </w:r>
    </w:p>
    <w:p>
      <w:pPr>
        <w:pStyle w:val="TextBody"/>
        <w:spacing w:before="0" w:after="0"/>
        <w:jc w:val="left"/>
        <w:rPr>
          <w:rFonts w:ascii="Times New Roman" w:hAnsi="Times New Roman"/>
          <w:spacing w:val="0"/>
          <w:sz w:val="20"/>
        </w:rPr>
      </w:pPr>
      <w:r>
        <w:rPr>
          <w:rFonts w:ascii="Times New Roman" w:hAnsi="Times New Roman"/>
          <w:spacing w:val="0"/>
          <w:sz w:val="20"/>
        </w:rPr>
        <w:t>Business Combination</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Agreement); provided, that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78"/>
        <w:gridCol w:w="9952"/>
      </w:tblGrid>
      <w:tr>
        <w:trPr/>
        <w:tc>
          <w:tcPr>
            <w:tcW w:w="75"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jc w:val="left"/>
              <w:rPr/>
            </w:pPr>
            <w:r>
              <w:rPr/>
              <w:t>(i)</w:t>
            </w:r>
          </w:p>
        </w:tc>
        <w:tc>
          <w:tcPr>
            <w:tcW w:w="995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the event of a change of control pursuant to which Dave Stockholders receive, or have the right to receive, cash, securities or other property attributing a value of at least twelve dollars and fifty cents ($12.50) to each share of Class A Common Stock (as agreed in good faith by the Sponsor and the Board), then Triggering Event I shall be deemed to have occurred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47"/>
        <w:gridCol w:w="9883"/>
      </w:tblGrid>
      <w:tr>
        <w:trPr/>
        <w:tc>
          <w:tcPr>
            <w:tcW w:w="75"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jc w:val="left"/>
              <w:rPr/>
            </w:pPr>
            <w:r>
              <w:rPr/>
              <w:t>(ii)</w:t>
            </w:r>
          </w:p>
        </w:tc>
        <w:tc>
          <w:tcPr>
            <w:tcW w:w="988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the event that, and as often as, the number of outstanding shares of Class A Common Stock is changed by reason of any dividend, subdivision, reclassification, recapitalization, split, combination, exchange or any similar event, then the applicable Common Share </w:t>
              <w:br/>
              <w:t xml:space="preserve">Price (as defined in the </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Business </w:t>
            </w:r>
          </w:p>
          <w:p>
            <w:pPr>
              <w:pStyle w:val="TableContents"/>
              <w:spacing w:before="0" w:after="0"/>
              <w:jc w:val="left"/>
              <w:rPr>
                <w:rFonts w:ascii="Times New Roman" w:hAnsi="Times New Roman"/>
                <w:spacing w:val="0"/>
                <w:sz w:val="20"/>
              </w:rPr>
            </w:pPr>
            <w:r>
              <w:rPr>
                <w:rFonts w:ascii="Times New Roman" w:hAnsi="Times New Roman"/>
                <w:spacing w:val="0"/>
                <w:sz w:val="20"/>
              </w:rPr>
              <w:t>C</w:t>
            </w:r>
          </w:p>
          <w:p>
            <w:pPr>
              <w:pStyle w:val="TableContents"/>
              <w:spacing w:before="0" w:after="0"/>
              <w:jc w:val="left"/>
              <w:rPr>
                <w:rFonts w:ascii="Times New Roman" w:hAnsi="Times New Roman"/>
                <w:spacing w:val="0"/>
                <w:sz w:val="20"/>
              </w:rPr>
            </w:pPr>
            <w:r>
              <w:rPr>
                <w:rFonts w:ascii="Times New Roman" w:hAnsi="Times New Roman"/>
                <w:spacing w:val="0"/>
                <w:sz w:val="20"/>
              </w:rPr>
              <w:t>ombination</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Agreement) threshold (i.e., twelve dollars and fifty cents ($12.50)) will, for all </w:t>
              <w:br/>
              <w:t xml:space="preserve">purposes of the </w:t>
            </w:r>
          </w:p>
          <w:p>
            <w:pPr>
              <w:pStyle w:val="TableContents"/>
              <w:spacing w:before="0" w:after="0"/>
              <w:jc w:val="left"/>
              <w:rPr>
                <w:rFonts w:ascii="Times New Roman" w:hAnsi="Times New Roman"/>
                <w:spacing w:val="0"/>
                <w:sz w:val="20"/>
              </w:rPr>
            </w:pPr>
            <w:r>
              <w:rPr>
                <w:rFonts w:ascii="Times New Roman" w:hAnsi="Times New Roman"/>
                <w:spacing w:val="0"/>
                <w:sz w:val="20"/>
              </w:rPr>
              <w:t>Business Combination</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Agreement (and the Founder Holder Agreement), in each case be equitably adjusted to reflect </w:t>
              <w:br/>
              <w:t xml:space="preserve">such change; and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The remaining Founder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Holder Earnout Shares (634,415 Founder Holder Earnout Shares) shall immediately become fully vested and no longer subject to forfeiture upon the occurrence of Triggering Event II, which is defined as the first date on which the Common Share Price is equal to or greater than fifteen dollars ($15.00) after the Closing Date, but within the Earnout Period; provided that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98"/>
        <w:gridCol w:w="9832"/>
      </w:tblGrid>
      <w:tr>
        <w:trPr/>
        <w:tc>
          <w:tcPr>
            <w:tcW w:w="75"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jc w:val="left"/>
              <w:rPr/>
            </w:pPr>
            <w:r>
              <w:rPr/>
              <w:t>(iii)</w:t>
            </w:r>
          </w:p>
        </w:tc>
        <w:tc>
          <w:tcPr>
            <w:tcW w:w="983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the event of a change of control pursuant to which Dave Stockholders receive, or have the right to receive, cash, securities or other property attributing a value of at least fifteen dollars ($15.00) to each share of Class A Common Stock (as agreed in good faith by Sponsor and the Board), then Triggering Event II shall be deemed to have occurred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99"/>
        <w:gridCol w:w="9831"/>
      </w:tblGrid>
      <w:tr>
        <w:trPr/>
        <w:tc>
          <w:tcPr>
            <w:tcW w:w="75"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(iv)</w:t>
            </w:r>
          </w:p>
        </w:tc>
        <w:tc>
          <w:tcPr>
            <w:tcW w:w="983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the event that, and as often as, the number of outstanding shares of Class A Common Stock is changed by reason of any dividend, subdivision, reclassification, recapitalization, split, combination, exchange or any similar event, then the applicable Common Share Price threshold (i.e., fifteen dollars ($15.00)) will, for all purposes of the </w:t>
            </w:r>
          </w:p>
          <w:p>
            <w:pPr>
              <w:pStyle w:val="TableContents"/>
              <w:spacing w:before="0" w:after="0"/>
              <w:jc w:val="left"/>
              <w:rPr>
                <w:rFonts w:ascii="Times New Roman" w:hAnsi="Times New Roman"/>
                <w:spacing w:val="0"/>
                <w:sz w:val="20"/>
              </w:rPr>
            </w:pPr>
            <w:r>
              <w:rPr>
                <w:rFonts w:ascii="Times New Roman" w:hAnsi="Times New Roman"/>
                <w:spacing w:val="0"/>
                <w:sz w:val="20"/>
              </w:rPr>
              <w:t>Business Combination</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Agreement (and the Founder Holder Agreement), in each case be equitably adjusted to reflect such change.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earnout shares were recognized at fair value upon the closing of the Business Combination and classified in stockholders’ equity. Because the Business Combination is accounted for as a reverse recapitalization, the issuance of the Founder Holder Earnout Shares will be treated as a deemed dividend and since Dave does not have retained earnings, the issuance will be recorded within APIC and have a net nil impact on APIC. </w:t>
      </w:r>
    </w:p>
    <w:p>
      <w:pPr>
        <w:pStyle w:val="TextBody"/>
        <w:spacing w:before="240" w:after="0"/>
        <w:jc w:val="left"/>
        <w:rPr>
          <w:rFonts w:ascii="Times New Roman" w:hAnsi="Times New Roman"/>
          <w:sz w:val="20"/>
        </w:rPr>
      </w:pPr>
      <w:r>
        <w:rPr>
          <w:rFonts w:ascii="Times New Roman" w:hAnsi="Times New Roman"/>
          <w:sz w:val="20"/>
        </w:rPr>
        <w:t xml:space="preserve">Pursuant to the terms of the </w:t>
      </w:r>
    </w:p>
    <w:p>
      <w:pPr>
        <w:pStyle w:val="TextBody"/>
        <w:spacing w:before="240" w:after="0"/>
        <w:jc w:val="left"/>
        <w:rPr>
          <w:rFonts w:ascii="Times New Roman" w:hAnsi="Times New Roman"/>
          <w:spacing w:val="0"/>
          <w:sz w:val="20"/>
        </w:rPr>
      </w:pPr>
      <w:r>
        <w:rPr>
          <w:rFonts w:ascii="Times New Roman" w:hAnsi="Times New Roman"/>
          <w:spacing w:val="0"/>
          <w:sz w:val="20"/>
        </w:rPr>
        <w:t>Business Combination</w:t>
      </w:r>
    </w:p>
    <w:p>
      <w:pPr>
        <w:pStyle w:val="TextBody"/>
        <w:spacing w:before="240" w:after="0"/>
        <w:jc w:val="left"/>
        <w:rPr>
          <w:rFonts w:ascii="Times New Roman" w:hAnsi="Times New Roman"/>
          <w:sz w:val="20"/>
        </w:rPr>
      </w:pPr>
      <w:r>
        <w:rPr>
          <w:rFonts w:ascii="Times New Roman" w:hAnsi="Times New Roman"/>
          <w:sz w:val="20"/>
        </w:rPr>
        <w:t xml:space="preserve">Agreement, all of the issued and outstanding Series A,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and Series </w:t>
      </w:r>
    </w:p>
    <w:p>
      <w:pPr>
        <w:pStyle w:val="TextBody"/>
        <w:spacing w:before="240" w:after="0"/>
        <w:jc w:val="left"/>
        <w:rPr>
          <w:rFonts w:ascii="Times New Roman" w:hAnsi="Times New Roman"/>
          <w:spacing w:val="0"/>
          <w:sz w:val="20"/>
        </w:rPr>
      </w:pPr>
      <w:r>
        <w:rPr>
          <w:rFonts w:ascii="Times New Roman" w:hAnsi="Times New Roman"/>
          <w:spacing w:val="0"/>
          <w:sz w:val="20"/>
        </w:rPr>
        <w:t>B-2</w:t>
      </w:r>
    </w:p>
    <w:p>
      <w:pPr>
        <w:pStyle w:val="TextBody"/>
        <w:spacing w:before="240" w:after="0"/>
        <w:jc w:val="left"/>
        <w:rPr>
          <w:rFonts w:ascii="Times New Roman" w:hAnsi="Times New Roman"/>
          <w:sz w:val="20"/>
        </w:rPr>
      </w:pPr>
      <w:r>
        <w:rPr>
          <w:rFonts w:ascii="Times New Roman" w:hAnsi="Times New Roman"/>
          <w:sz w:val="20"/>
        </w:rPr>
        <w:t>redeemable convertible preferred stock and series A redeemable convertible preferred stock converted into</w:t>
      </w:r>
    </w:p>
    <w:p>
      <w:pPr>
        <w:pStyle w:val="TextBody"/>
        <w:spacing w:before="240" w:after="0"/>
        <w:jc w:val="left"/>
        <w:rPr>
          <w:spacing w:val="0"/>
        </w:rPr>
      </w:pPr>
      <w:r>
        <w:rPr>
          <w:spacing w:val="0"/>
        </w:rPr>
        <w:t> </w:t>
      </w:r>
    </w:p>
    <w:p>
      <w:pPr>
        <w:pStyle w:val="TextBody"/>
        <w:spacing w:before="240" w:after="0"/>
        <w:jc w:val="left"/>
        <w:rPr>
          <w:rFonts w:ascii="Times New Roman" w:hAnsi="Times New Roman"/>
          <w:sz w:val="20"/>
        </w:rPr>
      </w:pPr>
      <w:r>
        <w:rPr>
          <w:rFonts w:ascii="Times New Roman" w:hAnsi="Times New Roman"/>
          <w:sz w:val="20"/>
        </w:rPr>
        <w:t xml:space="preserve">204,657,950 shares of Legacy Dave common stock immediately prior to the Business Combination. Then, as of the closing of the Business Combination, all outstanding shares of Legacy Dave common stock converted into 342,638,866 shares of Class A Common Stock and Class V Common Stock. Additionally, each of Legacy Dave options and warrants that were outstanding immediately prior to the closing of the Business Combination remained outstanding and converted into options and warrants for Dave Class A and Class V Common Stock equal to the number of the Company’s common stock, subject to such options or warrants, multiplied by the Exchange Ratio at an exercise price per share equal to the current exercise price per share for such option or warrant divided by the Exchange Ratio, with the aggregate amount of shares of Class A Common Stock and Class V Common Stock issuable upon exercise of such options and warrants to be 32,078,481.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Concurrently with the execution of the </w:t>
      </w:r>
    </w:p>
    <w:p>
      <w:pPr>
        <w:pStyle w:val="TextBody"/>
        <w:spacing w:before="240" w:after="0"/>
        <w:jc w:val="left"/>
        <w:rPr>
          <w:rFonts w:ascii="Times New Roman" w:hAnsi="Times New Roman"/>
          <w:spacing w:val="0"/>
          <w:sz w:val="20"/>
        </w:rPr>
      </w:pPr>
      <w:r>
        <w:rPr>
          <w:rFonts w:ascii="Times New Roman" w:hAnsi="Times New Roman"/>
          <w:spacing w:val="0"/>
          <w:sz w:val="20"/>
        </w:rPr>
        <w:t>Business Combinati</w:t>
      </w:r>
    </w:p>
    <w:p>
      <w:pPr>
        <w:pStyle w:val="TextBody"/>
        <w:spacing w:before="240" w:after="0"/>
        <w:jc w:val="left"/>
        <w:rPr>
          <w:rFonts w:ascii="Times New Roman" w:hAnsi="Times New Roman"/>
          <w:spacing w:val="0"/>
          <w:sz w:val="20"/>
        </w:rPr>
      </w:pPr>
      <w:r>
        <w:rPr>
          <w:rFonts w:ascii="Times New Roman" w:hAnsi="Times New Roman"/>
          <w:spacing w:val="0"/>
          <w:sz w:val="20"/>
        </w:rPr>
        <w:t>on</w:t>
      </w:r>
    </w:p>
    <w:p>
      <w:pPr>
        <w:pStyle w:val="TextBody"/>
        <w:spacing w:before="240" w:after="0"/>
        <w:jc w:val="left"/>
        <w:rPr>
          <w:spacing w:val="0"/>
        </w:rPr>
      </w:pPr>
      <w:r>
        <w:rPr>
          <w:spacing w:val="0"/>
        </w:rPr>
        <w:t> </w:t>
      </w:r>
      <w:r>
        <w:rPr>
          <w:rFonts w:ascii="Times New Roman" w:hAnsi="Times New Roman"/>
          <w:spacing w:val="0"/>
          <w:sz w:val="20"/>
        </w:rPr>
        <w:t xml:space="preserve">Agreement, VPCC entered into Subscription Agreements (the “Subscription Agreement”) with certain investors (the “Subscription Investors”) pursuant to which the Subscription Investors agreed to purchase, and the Company agreed to sell to the Subscription Investors, an aggregate of 21,000,000 shares of the Class A Common Stock for a purchase price of $10 per share, or an aggregate of $210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26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 xml:space="preserve">million in gross cash proceeds (the “PIPE Financing”). On August 17, 2021 Alameda Research, a Subscription Investor agreed to </w:t>
      </w:r>
    </w:p>
    <w:p>
      <w:pPr>
        <w:pStyle w:val="TextBody"/>
        <w:spacing w:before="0" w:after="0"/>
        <w:jc w:val="left"/>
        <w:rPr>
          <w:rFonts w:ascii="Times New Roman" w:hAnsi="Times New Roman"/>
          <w:spacing w:val="0"/>
          <w:sz w:val="20"/>
        </w:rPr>
      </w:pPr>
      <w:r>
        <w:rPr>
          <w:rFonts w:ascii="Times New Roman" w:hAnsi="Times New Roman"/>
          <w:spacing w:val="0"/>
          <w:sz w:val="20"/>
        </w:rPr>
        <w:t>pre-fund</w:t>
      </w:r>
    </w:p>
    <w:p>
      <w:pPr>
        <w:pStyle w:val="TextBody"/>
        <w:spacing w:before="0" w:after="0"/>
        <w:jc w:val="left"/>
        <w:rPr>
          <w:rFonts w:ascii="Times New Roman" w:hAnsi="Times New Roman"/>
          <w:sz w:val="20"/>
        </w:rPr>
      </w:pPr>
      <w:r>
        <w:rPr>
          <w:rFonts w:ascii="Times New Roman" w:hAnsi="Times New Roman"/>
          <w:sz w:val="20"/>
        </w:rPr>
        <w:t xml:space="preserve">its obligation under the original Subscription Agreement to subscribe for 1,500,000 shares of Class A Common Stock for $15.0 million of the aggregate PIPE Financing subscription amount. On August 17, 2021, Legacy Dave issued a promissory note with a principal amount of $15.0 million to Alameda Research and amended the Subscription Agreement to satisfy Alameda Research’s obligation to pay the $15.0 million purchase price under the Alameda Subscription Agreement by way of a full discharge of Legacy Dave’s obligations to pay the principal under the promissory note. Upon the closing of the Business Combination, the promissory note was automatically discharged upon the Company’s issuance of 1,500,000 shares of Class A Common Stock to Alameda Research. The closing of the private placement occurred immediately prior to the closing date.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number of shares of Common Stock issued immediately following the consummation of the Business Combination were as follows: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300"/>
        <w:gridCol w:w="120"/>
        <w:gridCol w:w="60"/>
        <w:gridCol w:w="1274"/>
        <w:gridCol w:w="95"/>
        <w:gridCol w:w="120"/>
        <w:gridCol w:w="60"/>
        <w:gridCol w:w="1100"/>
        <w:gridCol w:w="76"/>
      </w:tblGrid>
      <w:tr>
        <w:trPr/>
        <w:tc>
          <w:tcPr>
            <w:tcW w:w="7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73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34"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A</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Class V</w:t>
            </w:r>
          </w:p>
        </w:tc>
        <w:tc>
          <w:tcPr>
            <w:tcW w:w="76" w:type="dxa"/>
            <w:tcBorders/>
            <w:shd w:fill="auto" w:val="clear"/>
            <w:vAlign w:val="center"/>
          </w:tcPr>
          <w:p>
            <w:pPr>
              <w:pStyle w:val="TableContents"/>
              <w:spacing w:before="0" w:after="0"/>
              <w:rPr>
                <w:spacing w:val="0"/>
              </w:rPr>
            </w:pPr>
            <w:r>
              <w:rPr>
                <w:spacing w:val="0"/>
              </w:rPr>
              <w:t> </w:t>
            </w:r>
          </w:p>
        </w:tc>
      </w:tr>
      <w:tr>
        <w:trPr/>
        <w:tc>
          <w:tcPr>
            <w:tcW w:w="7300"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Common stock outstanding on December 31, 2021</w:t>
            </w:r>
          </w:p>
          <w:p>
            <w:pPr>
              <w:pStyle w:val="TableContents"/>
              <w:spacing w:before="0" w:after="0"/>
              <w:rPr>
                <w:rFonts w:ascii="Times New Roman" w:hAnsi="Times New Roman"/>
                <w:spacing w:val="0"/>
                <w:sz w:val="20"/>
              </w:rPr>
            </w:pPr>
            <w:r>
              <w:rPr>
                <w:rFonts w:ascii="Times New Roman" w:hAnsi="Times New Roman"/>
                <w:spacing w:val="0"/>
                <w:sz w:val="20"/>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92,436,304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00" w:type="dxa"/>
            <w:tcBorders/>
            <w:shd w:fill="CCEEFF" w:val="clear"/>
            <w:vAlign w:val="center"/>
          </w:tcPr>
          <w:p>
            <w:pPr>
              <w:pStyle w:val="TableContents"/>
              <w:spacing w:before="0" w:after="0"/>
              <w:ind w:left="0" w:right="0" w:hanging="0"/>
              <w:rPr>
                <w:spacing w:val="0"/>
              </w:rPr>
            </w:pPr>
            <w:r>
              <w:rPr>
                <w:spacing w:val="0"/>
              </w:rPr>
              <w:t>48,450,639</w:t>
            </w:r>
          </w:p>
        </w:tc>
        <w:tc>
          <w:tcPr>
            <w:tcW w:w="76" w:type="dxa"/>
            <w:tcBorders/>
            <w:shd w:fill="CCEEFF"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Common stock activity between December 31, 2021 and January 5, 2022</w:t>
            </w:r>
          </w:p>
          <w:p>
            <w:pPr>
              <w:pStyle w:val="TableContents"/>
              <w:spacing w:before="0" w:after="0"/>
              <w:rPr>
                <w:rFonts w:ascii="Times New Roman" w:hAnsi="Times New Roman"/>
                <w:sz w:val="20"/>
              </w:rPr>
            </w:pPr>
            <w:r>
              <w:rPr>
                <w:rFonts w:ascii="Times New Roman" w:hAnsi="Times New Roman"/>
                <w:sz w:val="20"/>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00" w:type="dxa"/>
            <w:tcBorders/>
            <w:shd w:fill="auto" w:val="clear"/>
            <w:vAlign w:val="center"/>
          </w:tcPr>
          <w:p>
            <w:pPr>
              <w:pStyle w:val="TableContents"/>
              <w:spacing w:before="0" w:after="0"/>
              <w:rPr/>
            </w:pPr>
            <w:r>
              <w:rPr/>
              <w:t> </w:t>
            </w:r>
          </w:p>
        </w:tc>
        <w:tc>
          <w:tcPr>
            <w:tcW w:w="76" w:type="dxa"/>
            <w:tcBorders/>
            <w:shd w:fill="auto" w:val="clear"/>
            <w:vAlign w:val="center"/>
          </w:tcPr>
          <w:p>
            <w:pPr>
              <w:pStyle w:val="TableContents"/>
              <w:spacing w:before="0" w:after="0"/>
              <w:rPr/>
            </w:pPr>
            <w:r>
              <w:rPr/>
              <w:t> </w:t>
            </w:r>
          </w:p>
        </w:tc>
      </w:tr>
      <w:tr>
        <w:trPr/>
        <w:tc>
          <w:tcPr>
            <w:tcW w:w="7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 of derivative asset and paydown of stockholder loans</w:t>
            </w:r>
          </w:p>
          <w:p>
            <w:pPr>
              <w:pStyle w:val="TableContents"/>
              <w:spacing w:before="0" w:after="0"/>
              <w:rPr>
                <w:rFonts w:ascii="Times New Roman" w:hAnsi="Times New Roman"/>
                <w:sz w:val="20"/>
              </w:rPr>
            </w:pPr>
            <w:r>
              <w:rPr>
                <w:rFonts w:ascii="Times New Roman" w:hAnsi="Times New Roman"/>
                <w:sz w:val="20"/>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(6,014,250</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00" w:type="dxa"/>
            <w:tcBorders/>
            <w:shd w:fill="CCEEFF"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CCEEFF"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Class A common stock for stock option exercises</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74" w:type="dxa"/>
            <w:tcBorders/>
            <w:shd w:fill="auto" w:val="clear"/>
            <w:vAlign w:val="center"/>
          </w:tcPr>
          <w:p>
            <w:pPr>
              <w:pStyle w:val="TableContents"/>
              <w:spacing w:before="0" w:after="0"/>
              <w:ind w:left="0" w:right="0" w:hanging="0"/>
              <w:jc w:val="right"/>
              <w:rPr>
                <w:spacing w:val="0"/>
              </w:rPr>
            </w:pPr>
            <w:r>
              <w:rPr>
                <w:spacing w:val="0"/>
              </w:rPr>
              <w:t>2,630,557</w:t>
            </w:r>
          </w:p>
        </w:tc>
        <w:tc>
          <w:tcPr>
            <w:tcW w:w="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00" w:type="dxa"/>
            <w:tcBorders/>
            <w:shd w:fill="auto"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auto" w:val="clear"/>
            <w:vAlign w:val="center"/>
          </w:tcPr>
          <w:p>
            <w:pPr>
              <w:pStyle w:val="TableContents"/>
              <w:spacing w:before="0" w:after="0"/>
              <w:rPr/>
            </w:pPr>
            <w:r>
              <w:rPr/>
              <w:t> </w:t>
            </w:r>
          </w:p>
        </w:tc>
      </w:tr>
      <w:tr>
        <w:trPr/>
        <w:tc>
          <w:tcPr>
            <w:tcW w:w="7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Repurchase of Class A common stock</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274" w:type="dxa"/>
            <w:tcBorders/>
            <w:shd w:fill="CCEEFF" w:val="clear"/>
            <w:vAlign w:val="center"/>
          </w:tcPr>
          <w:p>
            <w:pPr>
              <w:pStyle w:val="TableContents"/>
              <w:spacing w:before="0" w:after="0"/>
              <w:ind w:left="0" w:right="0" w:hanging="0"/>
              <w:jc w:val="right"/>
              <w:rPr>
                <w:spacing w:val="0"/>
              </w:rPr>
            </w:pPr>
            <w:r>
              <w:rPr>
                <w:spacing w:val="0"/>
              </w:rPr>
              <w:t>(198,505</w:t>
            </w:r>
          </w:p>
        </w:tc>
        <w:tc>
          <w:tcPr>
            <w:tcW w:w="95" w:type="dxa"/>
            <w:tcBorders/>
            <w:shd w:fill="CCEEFF" w:val="clear"/>
            <w:vAlign w:val="center"/>
          </w:tcPr>
          <w:p>
            <w:pPr>
              <w:pStyle w:val="TableContents"/>
              <w:spacing w:before="0" w:after="0"/>
              <w:rPr>
                <w:spacing w:val="0"/>
              </w:rPr>
            </w:pPr>
            <w:r>
              <w:rPr>
                <w:spacing w:val="0"/>
              </w:rPr>
              <w:t>)</w:t>
            </w:r>
          </w:p>
          <w:p>
            <w:pPr>
              <w:pStyle w:val="TableContents"/>
              <w:spacing w:before="0" w:after="0"/>
              <w:rPr/>
            </w:pPr>
            <w:r>
              <w:rPr/>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00" w:type="dxa"/>
            <w:tcBorders/>
            <w:shd w:fill="CCEEFF"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CCEEFF"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1274" w:type="dxa"/>
            <w:tcBorders>
              <w:bottom w:val="single" w:sz="6" w:space="0" w:color="000000"/>
            </w:tcBorders>
            <w:shd w:fill="auto" w:val="clear"/>
            <w:tcMar>
              <w:bottom w:w="28" w:type="dxa"/>
            </w:tcMar>
            <w:vAlign w:val="center"/>
          </w:tcPr>
          <w:p>
            <w:pPr>
              <w:pStyle w:val="TableContents"/>
              <w:spacing w:lineRule="atLeast" w:line="141" w:before="0" w:after="0"/>
              <w:jc w:val="right"/>
              <w:rPr/>
            </w:pPr>
            <w:r>
              <w:rPr/>
              <w:t> </w:t>
            </w:r>
          </w:p>
        </w:tc>
        <w:tc>
          <w:tcPr>
            <w:tcW w:w="95"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1100" w:type="dxa"/>
            <w:tcBorders>
              <w:bottom w:val="single" w:sz="6" w:space="0" w:color="000000"/>
            </w:tcBorders>
            <w:shd w:fill="auto" w:val="clear"/>
            <w:tcMar>
              <w:bottom w:w="28" w:type="dxa"/>
            </w:tcMar>
            <w:vAlign w:val="center"/>
          </w:tcPr>
          <w:p>
            <w:pPr>
              <w:pStyle w:val="TableContents"/>
              <w:spacing w:lineRule="atLeast" w:line="141" w:before="0" w:after="0"/>
              <w:jc w:val="right"/>
              <w:rPr/>
            </w:pPr>
            <w:r>
              <w:rPr/>
              <w:t> </w:t>
            </w:r>
          </w:p>
        </w:tc>
        <w:tc>
          <w:tcPr>
            <w:tcW w:w="76" w:type="dxa"/>
            <w:tcBorders/>
            <w:shd w:fill="auto" w:val="clear"/>
            <w:vAlign w:val="center"/>
          </w:tcPr>
          <w:p>
            <w:pPr>
              <w:pStyle w:val="TableContents"/>
              <w:spacing w:lineRule="atLeast" w:line="141" w:before="0" w:after="0"/>
              <w:rPr/>
            </w:pPr>
            <w:r>
              <w:rPr/>
              <w:t> </w:t>
            </w:r>
          </w:p>
        </w:tc>
      </w:tr>
      <w:tr>
        <w:trPr/>
        <w:tc>
          <w:tcPr>
            <w:tcW w:w="7300" w:type="dxa"/>
            <w:tcBorders/>
            <w:shd w:fill="auto" w:val="clear"/>
            <w:vAlign w:val="center"/>
          </w:tcPr>
          <w:p>
            <w:pPr>
              <w:pStyle w:val="TableContents"/>
              <w:spacing w:before="0" w:after="0"/>
              <w:ind w:left="0" w:right="0" w:hanging="0"/>
              <w:rPr>
                <w:rFonts w:ascii="Times New Roman" w:hAnsi="Times New Roman"/>
                <w:b/>
                <w:spacing w:val="0"/>
                <w:sz w:val="20"/>
              </w:rPr>
            </w:pPr>
            <w:r>
              <w:rPr>
                <w:rFonts w:ascii="Times New Roman" w:hAnsi="Times New Roman"/>
                <w:b/>
                <w:spacing w:val="0"/>
                <w:sz w:val="20"/>
              </w:rPr>
              <w:t>Common</w:t>
            </w:r>
          </w:p>
          <w:p>
            <w:pPr>
              <w:pStyle w:val="TableContents"/>
              <w:spacing w:before="0" w:after="0"/>
              <w:ind w:left="0" w:right="0" w:hanging="0"/>
              <w:rPr>
                <w:spacing w:val="0"/>
              </w:rPr>
            </w:pPr>
            <w:r>
              <w:rPr>
                <w:spacing w:val="0"/>
              </w:rPr>
              <w:t> </w:t>
            </w:r>
            <w:r>
              <w:rPr>
                <w:rFonts w:ascii="Times New Roman" w:hAnsi="Times New Roman"/>
                <w:b/>
                <w:spacing w:val="0"/>
                <w:sz w:val="20"/>
              </w:rPr>
              <w:t>stock outstanding prior to the Business Combination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0"/>
              <w:jc w:val="right"/>
              <w:rPr/>
            </w:pPr>
            <w:r>
              <w:rPr/>
              <w:t>88,854,106</w:t>
            </w:r>
          </w:p>
        </w:tc>
        <w:tc>
          <w:tcPr>
            <w:tcW w:w="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00" w:type="dxa"/>
            <w:tcBorders/>
            <w:shd w:fill="auto" w:val="clear"/>
            <w:vAlign w:val="center"/>
          </w:tcPr>
          <w:p>
            <w:pPr>
              <w:pStyle w:val="TableContents"/>
              <w:spacing w:before="0" w:after="0"/>
              <w:ind w:left="0" w:right="0" w:hanging="0"/>
              <w:rPr>
                <w:b/>
                <w:spacing w:val="0"/>
              </w:rPr>
            </w:pPr>
            <w:r>
              <w:rPr>
                <w:b/>
                <w:spacing w:val="0"/>
              </w:rPr>
              <w:t>48,450,639</w:t>
            </w:r>
          </w:p>
        </w:tc>
        <w:tc>
          <w:tcPr>
            <w:tcW w:w="76" w:type="dxa"/>
            <w:tcBorders/>
            <w:shd w:fill="auto" w:val="clear"/>
            <w:vAlign w:val="center"/>
          </w:tcPr>
          <w:p>
            <w:pPr>
              <w:pStyle w:val="TableContents"/>
              <w:spacing w:before="0" w:after="0"/>
              <w:rPr/>
            </w:pPr>
            <w:r>
              <w:rPr/>
              <w:t> </w:t>
            </w:r>
          </w:p>
        </w:tc>
      </w:tr>
      <w:tr>
        <w:trPr/>
        <w:tc>
          <w:tcPr>
            <w:tcW w:w="7300"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Conversion</w:t>
            </w:r>
          </w:p>
          <w:p>
            <w:pPr>
              <w:pStyle w:val="TableContents"/>
              <w:spacing w:before="0" w:after="0"/>
              <w:ind w:left="0" w:right="0" w:hanging="0"/>
              <w:rPr>
                <w:spacing w:val="0"/>
              </w:rPr>
            </w:pPr>
            <w:r>
              <w:rPr>
                <w:spacing w:val="0"/>
              </w:rPr>
              <w:t> </w:t>
            </w:r>
            <w:r>
              <w:rPr>
                <w:rFonts w:ascii="Times New Roman" w:hAnsi="Times New Roman"/>
                <w:spacing w:val="0"/>
                <w:sz w:val="20"/>
              </w:rPr>
              <w:t>of preferred stock to Class A common stock</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204,657,950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00" w:type="dxa"/>
            <w:tcBorders/>
            <w:shd w:fill="CCEEFF"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CCEEFF"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 xml:space="preserve">Common </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stock attributable to VPCC</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2,958,831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00" w:type="dxa"/>
            <w:tcBorders/>
            <w:shd w:fill="auto"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auto"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lineRule="atLeast" w:line="141" w:before="0" w:after="0"/>
              <w:ind w:left="0" w:right="0" w:hanging="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1274"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95"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1100" w:type="dxa"/>
            <w:tcBorders>
              <w:bottom w:val="single" w:sz="6" w:space="0" w:color="000000"/>
            </w:tcBorders>
            <w:shd w:fill="auto" w:val="clear"/>
            <w:tcMar>
              <w:bottom w:w="28" w:type="dxa"/>
            </w:tcMar>
            <w:vAlign w:val="center"/>
          </w:tcPr>
          <w:p>
            <w:pPr>
              <w:pStyle w:val="TableContents"/>
              <w:spacing w:lineRule="atLeast" w:line="141" w:before="0" w:after="0"/>
              <w:jc w:val="right"/>
              <w:rPr/>
            </w:pPr>
            <w:r>
              <w:rPr/>
              <w:t> </w:t>
            </w:r>
          </w:p>
        </w:tc>
        <w:tc>
          <w:tcPr>
            <w:tcW w:w="76" w:type="dxa"/>
            <w:tcBorders/>
            <w:shd w:fill="auto" w:val="clear"/>
            <w:vAlign w:val="center"/>
          </w:tcPr>
          <w:p>
            <w:pPr>
              <w:pStyle w:val="TableContents"/>
              <w:spacing w:lineRule="atLeast" w:line="141" w:before="0" w:after="0"/>
              <w:rPr/>
            </w:pPr>
            <w:r>
              <w:rPr/>
              <w:t> </w:t>
            </w:r>
          </w:p>
        </w:tc>
      </w:tr>
      <w:tr>
        <w:trPr/>
        <w:tc>
          <w:tcPr>
            <w:tcW w:w="7300" w:type="dxa"/>
            <w:tcBorders/>
            <w:shd w:fill="CCEEFF" w:val="clear"/>
            <w:vAlign w:val="center"/>
          </w:tcPr>
          <w:p>
            <w:pPr>
              <w:pStyle w:val="TableContents"/>
              <w:spacing w:before="0" w:after="0"/>
              <w:ind w:left="0" w:right="0" w:hanging="0"/>
              <w:rPr>
                <w:rFonts w:ascii="Times New Roman" w:hAnsi="Times New Roman"/>
                <w:b/>
                <w:spacing w:val="0"/>
                <w:sz w:val="20"/>
              </w:rPr>
            </w:pPr>
            <w:r>
              <w:rPr>
                <w:rFonts w:ascii="Times New Roman" w:hAnsi="Times New Roman"/>
                <w:b/>
                <w:spacing w:val="0"/>
                <w:sz w:val="20"/>
              </w:rPr>
              <w:t>Adjustment</w:t>
            </w:r>
          </w:p>
          <w:p>
            <w:pPr>
              <w:pStyle w:val="TableContents"/>
              <w:spacing w:before="0" w:after="0"/>
              <w:ind w:left="0" w:right="0" w:hanging="0"/>
              <w:rPr>
                <w:spacing w:val="0"/>
              </w:rPr>
            </w:pPr>
            <w:r>
              <w:rPr>
                <w:spacing w:val="0"/>
              </w:rPr>
              <w:t> </w:t>
            </w:r>
            <w:r>
              <w:rPr>
                <w:rFonts w:ascii="Times New Roman" w:hAnsi="Times New Roman"/>
                <w:b/>
                <w:spacing w:val="0"/>
                <w:sz w:val="20"/>
              </w:rPr>
              <w:t>related to Reverse Recapitalization*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0"/>
              <w:jc w:val="right"/>
              <w:rPr/>
            </w:pPr>
            <w:r>
              <w:rPr/>
              <w:t>207,616,781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00" w:type="dxa"/>
            <w:tcBorders/>
            <w:shd w:fill="CCEEFF"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CCEEFF"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 xml:space="preserve">Founder Holder </w:t>
            </w:r>
          </w:p>
          <w:p>
            <w:pPr>
              <w:pStyle w:val="TableContents"/>
              <w:spacing w:before="0" w:after="0"/>
              <w:rPr>
                <w:rFonts w:ascii="Times New Roman" w:hAnsi="Times New Roman"/>
                <w:spacing w:val="0"/>
                <w:sz w:val="20"/>
              </w:rPr>
            </w:pPr>
            <w:r>
              <w:rPr>
                <w:rFonts w:ascii="Times New Roman" w:hAnsi="Times New Roman"/>
                <w:spacing w:val="0"/>
                <w:sz w:val="20"/>
              </w:rPr>
              <w:t>s</w:t>
            </w:r>
          </w:p>
          <w:p>
            <w:pPr>
              <w:pStyle w:val="TableContents"/>
              <w:spacing w:before="0" w:after="0"/>
              <w:rPr>
                <w:rFonts w:ascii="Times New Roman" w:hAnsi="Times New Roman"/>
                <w:spacing w:val="0"/>
                <w:sz w:val="20"/>
              </w:rPr>
            </w:pPr>
            <w:r>
              <w:rPr>
                <w:rFonts w:ascii="Times New Roman" w:hAnsi="Times New Roman"/>
                <w:spacing w:val="0"/>
                <w:sz w:val="20"/>
              </w:rPr>
              <w:t>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5,392,528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00" w:type="dxa"/>
            <w:tcBorders/>
            <w:shd w:fill="auto"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auto" w:val="clear"/>
            <w:vAlign w:val="center"/>
          </w:tcPr>
          <w:p>
            <w:pPr>
              <w:pStyle w:val="TableContents"/>
              <w:spacing w:before="0" w:after="0"/>
              <w:rPr/>
            </w:pPr>
            <w:r>
              <w:rPr/>
              <w:t> </w:t>
            </w:r>
          </w:p>
        </w:tc>
      </w:tr>
      <w:tr>
        <w:trPr/>
        <w:tc>
          <w:tcPr>
            <w:tcW w:w="7300" w:type="dxa"/>
            <w:tcBorders/>
            <w:shd w:fill="CCEEFF" w:val="clear"/>
            <w:vAlign w:val="center"/>
          </w:tcPr>
          <w:p>
            <w:pPr>
              <w:pStyle w:val="TableContents"/>
              <w:spacing w:before="0" w:after="0"/>
              <w:ind w:left="144" w:right="0" w:hanging="0"/>
              <w:rPr>
                <w:rFonts w:ascii="Times New Roman" w:hAnsi="Times New Roman"/>
                <w:spacing w:val="0"/>
                <w:sz w:val="20"/>
              </w:rPr>
            </w:pPr>
            <w:r>
              <w:rPr>
                <w:rFonts w:ascii="Times New Roman" w:hAnsi="Times New Roman"/>
                <w:spacing w:val="0"/>
                <w:sz w:val="20"/>
              </w:rPr>
              <w:t>Conversion of 2019 convertible notes and accrued interest to Class A common stock</w:t>
            </w:r>
          </w:p>
          <w:p>
            <w:pPr>
              <w:pStyle w:val="TableContents"/>
              <w:spacing w:before="0" w:after="0"/>
              <w:rPr>
                <w:rFonts w:ascii="Times New Roman" w:hAnsi="Times New Roman"/>
                <w:spacing w:val="0"/>
                <w:sz w:val="20"/>
              </w:rPr>
            </w:pPr>
            <w:r>
              <w:rPr>
                <w:rFonts w:ascii="Times New Roman" w:hAnsi="Times New Roman"/>
                <w:spacing w:val="0"/>
                <w:sz w:val="20"/>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225,330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00" w:type="dxa"/>
            <w:tcBorders/>
            <w:shd w:fill="CCEEFF"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CCEEFF"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Exercise of Series B-1 preferred stock warrants, net of settlement</w:t>
            </w:r>
          </w:p>
          <w:p>
            <w:pPr>
              <w:pStyle w:val="TableContents"/>
              <w:spacing w:before="0" w:after="0"/>
              <w:rPr>
                <w:rFonts w:ascii="Times New Roman" w:hAnsi="Times New Roman"/>
                <w:spacing w:val="0"/>
                <w:sz w:val="20"/>
              </w:rPr>
            </w:pPr>
            <w:r>
              <w:rPr>
                <w:rFonts w:ascii="Times New Roman" w:hAnsi="Times New Roman"/>
                <w:spacing w:val="0"/>
                <w:sz w:val="20"/>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450,841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00" w:type="dxa"/>
            <w:tcBorders/>
            <w:shd w:fill="auto"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auto" w:val="clear"/>
            <w:vAlign w:val="center"/>
          </w:tcPr>
          <w:p>
            <w:pPr>
              <w:pStyle w:val="TableContents"/>
              <w:spacing w:before="0" w:after="0"/>
              <w:rPr/>
            </w:pPr>
            <w:r>
              <w:rPr/>
              <w:t> </w:t>
            </w:r>
          </w:p>
        </w:tc>
      </w:tr>
      <w:tr>
        <w:trPr/>
        <w:tc>
          <w:tcPr>
            <w:tcW w:w="7300"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Issuance of Class A common stock pursuant to the PIPE financing</w:t>
            </w:r>
          </w:p>
          <w:p>
            <w:pPr>
              <w:pStyle w:val="TableContents"/>
              <w:spacing w:before="0" w:after="0"/>
              <w:rPr>
                <w:rFonts w:ascii="Times New Roman" w:hAnsi="Times New Roman"/>
                <w:spacing w:val="0"/>
                <w:sz w:val="20"/>
              </w:rPr>
            </w:pPr>
            <w:r>
              <w:rPr>
                <w:rFonts w:ascii="Times New Roman" w:hAnsi="Times New Roman"/>
                <w:spacing w:val="0"/>
                <w:sz w:val="20"/>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21,000,000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100" w:type="dxa"/>
            <w:tcBorders/>
            <w:shd w:fill="CCEEFF" w:val="clear"/>
            <w:vAlign w:val="center"/>
          </w:tcPr>
          <w:p>
            <w:pPr>
              <w:pStyle w:val="TableContents"/>
              <w:spacing w:before="0" w:after="0"/>
              <w:ind w:left="0" w:right="0" w:hanging="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76" w:type="dxa"/>
            <w:tcBorders/>
            <w:shd w:fill="CCEEFF"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lineRule="atLeast" w:line="141" w:before="0" w:after="0"/>
              <w:ind w:left="0" w:right="0" w:hanging="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1274"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95"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141" w:before="0" w:after="0"/>
              <w:rPr/>
            </w:pPr>
            <w:r>
              <w:rPr/>
              <w:t> </w:t>
            </w:r>
          </w:p>
        </w:tc>
        <w:tc>
          <w:tcPr>
            <w:tcW w:w="1100" w:type="dxa"/>
            <w:tcBorders>
              <w:bottom w:val="single" w:sz="6" w:space="0" w:color="000000"/>
            </w:tcBorders>
            <w:shd w:fill="auto" w:val="clear"/>
            <w:tcMar>
              <w:bottom w:w="28" w:type="dxa"/>
            </w:tcMar>
            <w:vAlign w:val="center"/>
          </w:tcPr>
          <w:p>
            <w:pPr>
              <w:pStyle w:val="TableContents"/>
              <w:spacing w:lineRule="atLeast" w:line="141" w:before="0" w:after="0"/>
              <w:jc w:val="right"/>
              <w:rPr/>
            </w:pPr>
            <w:r>
              <w:rPr/>
              <w:t> </w:t>
            </w:r>
          </w:p>
        </w:tc>
        <w:tc>
          <w:tcPr>
            <w:tcW w:w="76" w:type="dxa"/>
            <w:tcBorders/>
            <w:shd w:fill="auto" w:val="clear"/>
            <w:vAlign w:val="center"/>
          </w:tcPr>
          <w:p>
            <w:pPr>
              <w:pStyle w:val="TableContents"/>
              <w:spacing w:lineRule="atLeast" w:line="141" w:before="0" w:after="0"/>
              <w:rPr/>
            </w:pPr>
            <w:r>
              <w:rPr/>
              <w:t> </w:t>
            </w:r>
          </w:p>
        </w:tc>
      </w:tr>
      <w:tr>
        <w:trPr/>
        <w:tc>
          <w:tcPr>
            <w:tcW w:w="7300" w:type="dxa"/>
            <w:tcBorders/>
            <w:shd w:fill="auto" w:val="clear"/>
            <w:vAlign w:val="center"/>
          </w:tcPr>
          <w:p>
            <w:pPr>
              <w:pStyle w:val="TableContents"/>
              <w:spacing w:before="0" w:after="0"/>
              <w:ind w:left="144" w:right="0" w:hanging="0"/>
              <w:rPr>
                <w:rFonts w:ascii="Times New Roman" w:hAnsi="Times New Roman"/>
                <w:b/>
                <w:spacing w:val="0"/>
                <w:sz w:val="20"/>
              </w:rPr>
            </w:pPr>
            <w:r>
              <w:rPr>
                <w:rFonts w:ascii="Times New Roman" w:hAnsi="Times New Roman"/>
                <w:b/>
                <w:spacing w:val="0"/>
                <w:sz w:val="20"/>
              </w:rPr>
              <w:t>Total shares of common stock as of closing of Business Combination and related transactions</w:t>
            </w:r>
          </w:p>
          <w:p>
            <w:pPr>
              <w:pStyle w:val="TableContents"/>
              <w:spacing w:before="0" w:after="0"/>
              <w:rPr>
                <w:rFonts w:ascii="Times New Roman" w:hAnsi="Times New Roman"/>
                <w:spacing w:val="0"/>
                <w:sz w:val="20"/>
              </w:rPr>
            </w:pPr>
            <w:r>
              <w:rPr>
                <w:rFonts w:ascii="Times New Roman" w:hAnsi="Times New Roman"/>
                <w:spacing w:val="0"/>
                <w:sz w:val="20"/>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 xml:space="preserve">323,539,586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00" w:type="dxa"/>
            <w:tcBorders/>
            <w:shd w:fill="auto" w:val="clear"/>
            <w:vAlign w:val="center"/>
          </w:tcPr>
          <w:p>
            <w:pPr>
              <w:pStyle w:val="TableContents"/>
              <w:spacing w:before="0" w:after="0"/>
              <w:ind w:left="0" w:right="0" w:hanging="0"/>
              <w:rPr>
                <w:b/>
                <w:spacing w:val="0"/>
              </w:rPr>
            </w:pPr>
            <w:r>
              <w:rPr>
                <w:b/>
                <w:spacing w:val="0"/>
              </w:rPr>
              <w:t>48,450,639</w:t>
            </w:r>
          </w:p>
        </w:tc>
        <w:tc>
          <w:tcPr>
            <w:tcW w:w="76" w:type="dxa"/>
            <w:tcBorders/>
            <w:shd w:fill="auto" w:val="clear"/>
            <w:vAlign w:val="center"/>
          </w:tcPr>
          <w:p>
            <w:pPr>
              <w:pStyle w:val="TableContents"/>
              <w:spacing w:before="0" w:after="0"/>
              <w:rPr/>
            </w:pPr>
            <w:r>
              <w:rPr/>
              <w:t> </w:t>
            </w:r>
          </w:p>
        </w:tc>
      </w:tr>
      <w:tr>
        <w:trPr/>
        <w:tc>
          <w:tcPr>
            <w:tcW w:w="7300" w:type="dxa"/>
            <w:tcBorders/>
            <w:shd w:fill="auto" w:val="clear"/>
            <w:vAlign w:val="center"/>
          </w:tcPr>
          <w:p>
            <w:pPr>
              <w:pStyle w:val="TableContents"/>
              <w:spacing w:lineRule="atLeast" w:line="141" w:before="0" w:after="0"/>
              <w:ind w:left="144" w:right="0" w:hanging="144"/>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double" w:sz="6" w:space="0" w:color="000000"/>
            </w:tcBorders>
            <w:shd w:fill="auto" w:val="clear"/>
            <w:tcMar>
              <w:bottom w:w="28" w:type="dxa"/>
            </w:tcMar>
            <w:vAlign w:val="center"/>
          </w:tcPr>
          <w:p>
            <w:pPr>
              <w:pStyle w:val="TableContents"/>
              <w:spacing w:lineRule="atLeast" w:line="141" w:before="0" w:after="0"/>
              <w:rPr/>
            </w:pPr>
            <w:r>
              <w:rPr/>
              <w:t> </w:t>
            </w:r>
          </w:p>
        </w:tc>
        <w:tc>
          <w:tcPr>
            <w:tcW w:w="1274" w:type="dxa"/>
            <w:tcBorders>
              <w:bottom w:val="double" w:sz="6" w:space="0" w:color="000000"/>
            </w:tcBorders>
            <w:shd w:fill="auto" w:val="clear"/>
            <w:tcMar>
              <w:bottom w:w="28" w:type="dxa"/>
            </w:tcMar>
            <w:vAlign w:val="center"/>
          </w:tcPr>
          <w:p>
            <w:pPr>
              <w:pStyle w:val="TableContents"/>
              <w:spacing w:lineRule="atLeast" w:line="141" w:before="0" w:after="0"/>
              <w:rPr/>
            </w:pPr>
            <w:r>
              <w:rPr/>
              <w:t> </w:t>
            </w:r>
          </w:p>
        </w:tc>
        <w:tc>
          <w:tcPr>
            <w:tcW w:w="95" w:type="dxa"/>
            <w:tcBorders/>
            <w:shd w:fill="auto" w:val="clear"/>
            <w:vAlign w:val="center"/>
          </w:tcPr>
          <w:p>
            <w:pPr>
              <w:pStyle w:val="TableContents"/>
              <w:spacing w:lineRule="atLeast" w:line="141" w:before="0" w:after="0"/>
              <w:rPr/>
            </w:pPr>
            <w:r>
              <w:rPr/>
              <w:t> </w:t>
            </w:r>
          </w:p>
        </w:tc>
        <w:tc>
          <w:tcPr>
            <w:tcW w:w="120" w:type="dxa"/>
            <w:tcBorders/>
            <w:shd w:fill="auto" w:val="clear"/>
            <w:vAlign w:val="center"/>
          </w:tcPr>
          <w:p>
            <w:pPr>
              <w:pStyle w:val="TableContents"/>
              <w:spacing w:lineRule="atLeast" w:line="141" w:before="0" w:after="0"/>
              <w:rPr/>
            </w:pPr>
            <w:r>
              <w:rPr/>
              <w:t> </w:t>
            </w:r>
          </w:p>
        </w:tc>
        <w:tc>
          <w:tcPr>
            <w:tcW w:w="60" w:type="dxa"/>
            <w:tcBorders>
              <w:bottom w:val="double" w:sz="6" w:space="0" w:color="000000"/>
            </w:tcBorders>
            <w:shd w:fill="auto" w:val="clear"/>
            <w:tcMar>
              <w:bottom w:w="28" w:type="dxa"/>
            </w:tcMar>
            <w:vAlign w:val="center"/>
          </w:tcPr>
          <w:p>
            <w:pPr>
              <w:pStyle w:val="TableContents"/>
              <w:spacing w:lineRule="atLeast" w:line="141" w:before="0" w:after="0"/>
              <w:rPr/>
            </w:pPr>
            <w:r>
              <w:rPr/>
              <w:t> </w:t>
            </w:r>
          </w:p>
        </w:tc>
        <w:tc>
          <w:tcPr>
            <w:tcW w:w="1100" w:type="dxa"/>
            <w:tcBorders>
              <w:bottom w:val="double" w:sz="6" w:space="0" w:color="000000"/>
            </w:tcBorders>
            <w:shd w:fill="auto" w:val="clear"/>
            <w:tcMar>
              <w:bottom w:w="28" w:type="dxa"/>
            </w:tcMar>
            <w:vAlign w:val="center"/>
          </w:tcPr>
          <w:p>
            <w:pPr>
              <w:pStyle w:val="TableContents"/>
              <w:spacing w:lineRule="atLeast" w:line="141" w:before="0" w:after="0"/>
              <w:rPr/>
            </w:pPr>
            <w:r>
              <w:rPr/>
              <w:t> </w:t>
            </w:r>
          </w:p>
        </w:tc>
        <w:tc>
          <w:tcPr>
            <w:tcW w:w="76" w:type="dxa"/>
            <w:tcBorders/>
            <w:shd w:fill="auto" w:val="clear"/>
            <w:vAlign w:val="center"/>
          </w:tcPr>
          <w:p>
            <w:pPr>
              <w:pStyle w:val="TableContents"/>
              <w:spacing w:lineRule="atLeast" w:line="141" w:before="0" w:after="0"/>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 The corresponding adjustment to APIC related to the reverse recapitalization was comprised of (i) $188.3 million which represents the fair value of the consideration transferred in the Business Combination, less the excess of the fair value of the shares issued over the value of the net monetary assets of VPCC, net of transaction costs and (ii) $72.2 million which represents the conversion of the convertible preferred stock into Dave Class A Common Stock.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There were 32,078,481 New Dave options outstanding immediately after the Business Combination.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Following the Business Combination, New Dave warrants to purcha</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se 11,444,235 shares of Class A common stock, consisting of (i) 6,344,131 public warrants listed on the Nasdaq and (ii) 5,100,214 private warrants, each with an exercise price of $11.50 per share, remained outstanding. </w:t>
      </w:r>
    </w:p>
    <w:p>
      <w:pPr>
        <w:pStyle w:val="TextBody"/>
        <w:spacing w:before="0" w:after="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4 Marketable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Below is a detail of marketable securities (in thousands): </w:t>
      </w:r>
    </w:p>
    <w:p>
      <w:pPr>
        <w:pStyle w:val="TextBody"/>
        <w:spacing w:before="0" w:after="0"/>
        <w:jc w:val="left"/>
        <w:rPr>
          <w:spacing w:val="0"/>
        </w:rPr>
      </w:pPr>
      <w:r>
        <w:rPr>
          <w:spacing w:val="0"/>
        </w:rPr>
        <w:t> </w:t>
      </w:r>
    </w:p>
    <w:tbl>
      <w:tblPr>
        <w:tblW w:w="5715" w:type="dxa"/>
        <w:jc w:val="left"/>
        <w:tblInd w:w="0" w:type="dxa"/>
        <w:tblCellMar>
          <w:top w:w="0" w:type="dxa"/>
          <w:left w:w="0" w:type="dxa"/>
          <w:bottom w:w="0" w:type="dxa"/>
          <w:right w:w="0" w:type="dxa"/>
        </w:tblCellMar>
      </w:tblPr>
      <w:tblGrid>
        <w:gridCol w:w="1775"/>
        <w:gridCol w:w="120"/>
        <w:gridCol w:w="239"/>
        <w:gridCol w:w="1371"/>
        <w:gridCol w:w="60"/>
        <w:gridCol w:w="120"/>
        <w:gridCol w:w="391"/>
        <w:gridCol w:w="1564"/>
        <w:gridCol w:w="75"/>
      </w:tblGrid>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March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 2021</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securities</w:t>
            </w:r>
          </w:p>
        </w:tc>
        <w:tc>
          <w:tcPr>
            <w:tcW w:w="12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w:t>
            </w:r>
          </w:p>
        </w:tc>
        <w:tc>
          <w:tcPr>
            <w:tcW w:w="1371" w:type="dxa"/>
            <w:tcBorders/>
            <w:shd w:fill="CCEEFF" w:val="clear"/>
            <w:vAlign w:val="center"/>
          </w:tcPr>
          <w:p>
            <w:pPr>
              <w:pStyle w:val="TableContents"/>
              <w:spacing w:before="0" w:after="283"/>
              <w:jc w:val="right"/>
              <w:rPr/>
            </w:pPr>
            <w:r>
              <w:rPr/>
              <w:t>278,265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w:t>
            </w:r>
          </w:p>
        </w:tc>
        <w:tc>
          <w:tcPr>
            <w:tcW w:w="1564" w:type="dxa"/>
            <w:tcBorders/>
            <w:shd w:fill="CCEEFF" w:val="clear"/>
            <w:vAlign w:val="center"/>
          </w:tcPr>
          <w:p>
            <w:pPr>
              <w:pStyle w:val="TableContents"/>
              <w:spacing w:before="0" w:after="283"/>
              <w:jc w:val="right"/>
              <w:rPr/>
            </w:pPr>
            <w:r>
              <w:rPr/>
              <w:t>8,226</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7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0"/>
              <w:rPr>
                <w:b/>
                <w:spacing w:val="0"/>
              </w:rPr>
            </w:pPr>
            <w:r>
              <w:rPr>
                <w:b/>
                <w:spacing w:val="0"/>
              </w:rPr>
              <w:t>$</w:t>
            </w:r>
          </w:p>
        </w:tc>
        <w:tc>
          <w:tcPr>
            <w:tcW w:w="1371" w:type="dxa"/>
            <w:tcBorders/>
            <w:shd w:fill="auto" w:val="clear"/>
            <w:vAlign w:val="center"/>
          </w:tcPr>
          <w:p>
            <w:pPr>
              <w:pStyle w:val="TableContents"/>
              <w:spacing w:before="0" w:after="0"/>
              <w:jc w:val="right"/>
              <w:rPr>
                <w:b/>
                <w:spacing w:val="0"/>
              </w:rPr>
            </w:pPr>
            <w:r>
              <w:rPr>
                <w:b/>
                <w:spacing w:val="0"/>
              </w:rPr>
              <w:t>278,265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b/>
                <w:spacing w:val="0"/>
              </w:rPr>
            </w:pPr>
            <w:r>
              <w:rPr>
                <w:b/>
                <w:spacing w:val="0"/>
              </w:rPr>
              <w:t>$</w:t>
            </w:r>
          </w:p>
        </w:tc>
        <w:tc>
          <w:tcPr>
            <w:tcW w:w="1564" w:type="dxa"/>
            <w:tcBorders/>
            <w:shd w:fill="auto" w:val="clear"/>
            <w:vAlign w:val="center"/>
          </w:tcPr>
          <w:p>
            <w:pPr>
              <w:pStyle w:val="TableContents"/>
              <w:spacing w:before="0" w:after="0"/>
              <w:jc w:val="right"/>
              <w:rPr>
                <w:b/>
                <w:spacing w:val="0"/>
              </w:rPr>
            </w:pPr>
            <w:r>
              <w:rPr>
                <w:b/>
                <w:spacing w:val="0"/>
              </w:rPr>
              <w:t>8,226</w:t>
            </w:r>
          </w:p>
        </w:tc>
        <w:tc>
          <w:tcPr>
            <w:tcW w:w="75" w:type="dxa"/>
            <w:tcBorders/>
            <w:shd w:fill="auto" w:val="clear"/>
            <w:vAlign w:val="center"/>
          </w:tcPr>
          <w:p>
            <w:pPr>
              <w:pStyle w:val="TableContents"/>
              <w:spacing w:before="0" w:after="0"/>
              <w:rPr>
                <w:spacing w:val="0"/>
              </w:rPr>
            </w:pPr>
            <w:r>
              <w:rPr>
                <w:spacing w:val="0"/>
              </w:rPr>
              <w:t> </w:t>
            </w:r>
          </w:p>
        </w:tc>
      </w:tr>
      <w:tr>
        <w:trPr/>
        <w:tc>
          <w:tcPr>
            <w:tcW w:w="1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7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Company’s marketable securities consisted of investments in a money market mutual fund. At March 31, 2022 and December 31, 2021, the money market instruments were comprised of primarily certificates of deposit and financial company/asset backed commercial paper. At March 31, 2022, the investment portfolio had a weighted-average maturity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of 16 days. The fund is publicly traded with a ticker symbol SSPXX and the money market instruments were measured at fair market value at March 31, 2022. At December 31, 2021, the investment portfolio had a weighted-average maturity of 46 days. The fund is publicly traded with a ticker symbol SPPXX and the money market instruments were measured at fair market value at December 31, 2021. Proceeds from sales and purchases of marketable securities during the three months ended March 31, 2022, were approximately $32.0 million and $302.1 million, respectively. Proceeds from sales and purchases of marketable securities during the three months ended March 31, 2021, were approximately $3.9 million and $0.002 million, respectively. The amount of loss recorded in connection with the investment in marketable securities for the three months ended March 31, 2022, was approximately $0.076 million and was recorded as a component of interest expense in the condensed consolidated statements of operations. The amount of gain recorded in connection with the investment in marketable securities for the three months ended March 31, 2022, was approximately $0.002 million and was recorded as a component of interest income in the condensed consolidated statements of operations.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5 Member Cash Advances,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Below is a detail of Member cash advances, net as of March 31, 2022 (in thousands): </w:t>
      </w:r>
    </w:p>
    <w:p>
      <w:pPr>
        <w:pStyle w:val="TextBody"/>
        <w:spacing w:before="0" w:after="0"/>
        <w:jc w:val="left"/>
        <w:rPr>
          <w:spacing w:val="0"/>
        </w:rPr>
      </w:pPr>
      <w:r>
        <w:rPr>
          <w:spacing w:val="0"/>
        </w:rPr>
        <w:t> </w:t>
      </w:r>
    </w:p>
    <w:tbl>
      <w:tblPr>
        <w:tblW w:w="6940" w:type="dxa"/>
        <w:jc w:val="left"/>
        <w:tblInd w:w="0" w:type="dxa"/>
        <w:tblCellMar>
          <w:top w:w="0" w:type="dxa"/>
          <w:left w:w="0" w:type="dxa"/>
          <w:bottom w:w="0" w:type="dxa"/>
          <w:right w:w="0" w:type="dxa"/>
        </w:tblCellMar>
      </w:tblPr>
      <w:tblGrid>
        <w:gridCol w:w="1745"/>
        <w:gridCol w:w="120"/>
        <w:gridCol w:w="262"/>
        <w:gridCol w:w="1273"/>
        <w:gridCol w:w="60"/>
        <w:gridCol w:w="120"/>
        <w:gridCol w:w="237"/>
        <w:gridCol w:w="1283"/>
        <w:gridCol w:w="155"/>
        <w:gridCol w:w="120"/>
        <w:gridCol w:w="254"/>
        <w:gridCol w:w="1236"/>
        <w:gridCol w:w="75"/>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Days From Origination</w:t>
            </w:r>
          </w:p>
        </w:tc>
        <w:tc>
          <w:tcPr>
            <w:tcW w:w="120" w:type="dxa"/>
            <w:tcBorders/>
            <w:shd w:fill="auto" w:val="clear"/>
            <w:vAlign w:val="center"/>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 Member</w:t>
              <w:br/>
              <w:t>Advances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Allowance for</w:t>
              <w:br/>
              <w:t>Unrecoverable</w:t>
              <w:br/>
              <w:t>Advances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Member</w:t>
              <w:br/>
              <w:t>Advances, Net</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1-10</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w:t>
            </w:r>
          </w:p>
        </w:tc>
        <w:tc>
          <w:tcPr>
            <w:tcW w:w="1273" w:type="dxa"/>
            <w:tcBorders/>
            <w:shd w:fill="CCEEFF" w:val="clear"/>
            <w:vAlign w:val="center"/>
          </w:tcPr>
          <w:p>
            <w:pPr>
              <w:pStyle w:val="TableContents"/>
              <w:spacing w:before="0" w:after="283"/>
              <w:jc w:val="right"/>
              <w:rPr/>
            </w:pPr>
            <w:r>
              <w:rPr/>
              <w:t>48,659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w:t>
            </w:r>
          </w:p>
        </w:tc>
        <w:tc>
          <w:tcPr>
            <w:tcW w:w="1283" w:type="dxa"/>
            <w:tcBorders/>
            <w:shd w:fill="CCEEFF" w:val="clear"/>
            <w:vAlign w:val="center"/>
          </w:tcPr>
          <w:p>
            <w:pPr>
              <w:pStyle w:val="TableContents"/>
              <w:spacing w:before="0" w:after="283"/>
              <w:jc w:val="right"/>
              <w:rPr/>
            </w:pPr>
            <w:r>
              <w:rPr/>
              <w:t>(1,658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w:t>
            </w:r>
          </w:p>
        </w:tc>
        <w:tc>
          <w:tcPr>
            <w:tcW w:w="1236" w:type="dxa"/>
            <w:tcBorders/>
            <w:shd w:fill="CCEEFF" w:val="clear"/>
            <w:vAlign w:val="center"/>
          </w:tcPr>
          <w:p>
            <w:pPr>
              <w:pStyle w:val="TableContents"/>
              <w:spacing w:before="0" w:after="283"/>
              <w:jc w:val="right"/>
              <w:rPr/>
            </w:pPr>
            <w:r>
              <w:rPr/>
              <w:t>47,001</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11-30</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273" w:type="dxa"/>
            <w:tcBorders/>
            <w:shd w:fill="auto" w:val="clear"/>
            <w:vAlign w:val="center"/>
          </w:tcPr>
          <w:p>
            <w:pPr>
              <w:pStyle w:val="TableContents"/>
              <w:spacing w:before="0" w:after="283"/>
              <w:jc w:val="right"/>
              <w:rPr/>
            </w:pPr>
            <w:r>
              <w:rPr/>
              <w:t>14,400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(3,812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36" w:type="dxa"/>
            <w:tcBorders/>
            <w:shd w:fill="auto" w:val="clear"/>
            <w:vAlign w:val="center"/>
          </w:tcPr>
          <w:p>
            <w:pPr>
              <w:pStyle w:val="TableContents"/>
              <w:spacing w:before="0" w:after="283"/>
              <w:jc w:val="right"/>
              <w:rPr/>
            </w:pPr>
            <w:r>
              <w:rPr/>
              <w:t>10,588</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31-60</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c>
          <w:tcPr>
            <w:tcW w:w="1273" w:type="dxa"/>
            <w:tcBorders/>
            <w:shd w:fill="CCEEFF" w:val="clear"/>
            <w:vAlign w:val="center"/>
          </w:tcPr>
          <w:p>
            <w:pPr>
              <w:pStyle w:val="TableContents"/>
              <w:spacing w:before="0" w:after="283"/>
              <w:jc w:val="right"/>
              <w:rPr/>
            </w:pPr>
            <w:r>
              <w:rPr/>
              <w:t>5,715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(3,554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236" w:type="dxa"/>
            <w:tcBorders/>
            <w:shd w:fill="CCEEFF" w:val="clear"/>
            <w:vAlign w:val="center"/>
          </w:tcPr>
          <w:p>
            <w:pPr>
              <w:pStyle w:val="TableContents"/>
              <w:spacing w:before="0" w:after="283"/>
              <w:jc w:val="right"/>
              <w:rPr/>
            </w:pPr>
            <w:r>
              <w:rPr/>
              <w:t>2,161</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61-90</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273" w:type="dxa"/>
            <w:tcBorders/>
            <w:shd w:fill="auto" w:val="clear"/>
            <w:vAlign w:val="center"/>
          </w:tcPr>
          <w:p>
            <w:pPr>
              <w:pStyle w:val="TableContents"/>
              <w:spacing w:before="0" w:after="283"/>
              <w:jc w:val="right"/>
              <w:rPr/>
            </w:pPr>
            <w:r>
              <w:rPr/>
              <w:t>5,438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(4,086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36" w:type="dxa"/>
            <w:tcBorders/>
            <w:shd w:fill="auto" w:val="clear"/>
            <w:vAlign w:val="center"/>
          </w:tcPr>
          <w:p>
            <w:pPr>
              <w:pStyle w:val="TableContents"/>
              <w:spacing w:before="0" w:after="283"/>
              <w:jc w:val="right"/>
              <w:rPr/>
            </w:pPr>
            <w:r>
              <w:rPr/>
              <w:t>1,352</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91-120</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c>
          <w:tcPr>
            <w:tcW w:w="1273" w:type="dxa"/>
            <w:tcBorders/>
            <w:shd w:fill="CCEEFF" w:val="clear"/>
            <w:vAlign w:val="center"/>
          </w:tcPr>
          <w:p>
            <w:pPr>
              <w:pStyle w:val="TableContents"/>
              <w:spacing w:before="0" w:after="283"/>
              <w:jc w:val="right"/>
              <w:rPr/>
            </w:pPr>
            <w:r>
              <w:rPr/>
              <w:t>3,941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(3,230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236" w:type="dxa"/>
            <w:tcBorders/>
            <w:shd w:fill="CCEEFF" w:val="clear"/>
            <w:vAlign w:val="center"/>
          </w:tcPr>
          <w:p>
            <w:pPr>
              <w:pStyle w:val="TableContents"/>
              <w:spacing w:before="0" w:after="283"/>
              <w:jc w:val="right"/>
              <w:rPr/>
            </w:pPr>
            <w:r>
              <w:rPr/>
              <w:t>711</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0"/>
              <w:rPr>
                <w:b/>
                <w:spacing w:val="0"/>
              </w:rPr>
            </w:pPr>
            <w:r>
              <w:rPr>
                <w:b/>
                <w:spacing w:val="0"/>
              </w:rPr>
              <w:t>$</w:t>
            </w:r>
          </w:p>
        </w:tc>
        <w:tc>
          <w:tcPr>
            <w:tcW w:w="1273" w:type="dxa"/>
            <w:tcBorders/>
            <w:shd w:fill="auto" w:val="clear"/>
            <w:vAlign w:val="center"/>
          </w:tcPr>
          <w:p>
            <w:pPr>
              <w:pStyle w:val="TableContents"/>
              <w:spacing w:before="0" w:after="0"/>
              <w:jc w:val="right"/>
              <w:rPr>
                <w:b/>
                <w:spacing w:val="0"/>
              </w:rPr>
            </w:pPr>
            <w:r>
              <w:rPr>
                <w:b/>
                <w:spacing w:val="0"/>
              </w:rPr>
              <w:t>78,153</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b/>
                <w:spacing w:val="0"/>
              </w:rPr>
            </w:pPr>
            <w:r>
              <w:rPr>
                <w:b/>
                <w:spacing w:val="0"/>
              </w:rPr>
              <w:t>$</w:t>
            </w:r>
          </w:p>
        </w:tc>
        <w:tc>
          <w:tcPr>
            <w:tcW w:w="1283" w:type="dxa"/>
            <w:tcBorders/>
            <w:shd w:fill="auto" w:val="clear"/>
            <w:vAlign w:val="center"/>
          </w:tcPr>
          <w:p>
            <w:pPr>
              <w:pStyle w:val="TableContents"/>
              <w:spacing w:before="0" w:after="0"/>
              <w:jc w:val="right"/>
              <w:rPr>
                <w:b/>
                <w:spacing w:val="0"/>
              </w:rPr>
            </w:pPr>
            <w:r>
              <w:rPr>
                <w:b/>
                <w:spacing w:val="0"/>
              </w:rPr>
              <w:t>(16,340</w:t>
            </w:r>
          </w:p>
        </w:tc>
        <w:tc>
          <w:tcPr>
            <w:tcW w:w="155" w:type="dxa"/>
            <w:tcBorders/>
            <w:shd w:fill="auto" w:val="cle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0"/>
              <w:rPr>
                <w:b/>
                <w:spacing w:val="0"/>
              </w:rPr>
            </w:pPr>
            <w:r>
              <w:rPr>
                <w:b/>
                <w:spacing w:val="0"/>
              </w:rPr>
              <w:t>$</w:t>
            </w:r>
          </w:p>
        </w:tc>
        <w:tc>
          <w:tcPr>
            <w:tcW w:w="1236" w:type="dxa"/>
            <w:tcBorders/>
            <w:shd w:fill="auto" w:val="clear"/>
            <w:vAlign w:val="center"/>
          </w:tcPr>
          <w:p>
            <w:pPr>
              <w:pStyle w:val="TableContents"/>
              <w:spacing w:before="0" w:after="0"/>
              <w:jc w:val="right"/>
              <w:rPr>
                <w:b/>
                <w:spacing w:val="0"/>
              </w:rPr>
            </w:pPr>
            <w:r>
              <w:rPr>
                <w:b/>
                <w:spacing w:val="0"/>
              </w:rPr>
              <w:t>61,813</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Below is a detail of Member cash advances, net as of December 31, 2021 (in thousands): </w:t>
      </w:r>
    </w:p>
    <w:p>
      <w:pPr>
        <w:pStyle w:val="TextBody"/>
        <w:spacing w:before="0" w:after="0"/>
        <w:jc w:val="left"/>
        <w:rPr>
          <w:spacing w:val="0"/>
        </w:rPr>
      </w:pPr>
      <w:r>
        <w:rPr>
          <w:spacing w:val="0"/>
        </w:rPr>
        <w:t> </w:t>
      </w:r>
    </w:p>
    <w:tbl>
      <w:tblPr>
        <w:tblW w:w="6940" w:type="dxa"/>
        <w:jc w:val="left"/>
        <w:tblInd w:w="0" w:type="dxa"/>
        <w:tblCellMar>
          <w:top w:w="0" w:type="dxa"/>
          <w:left w:w="0" w:type="dxa"/>
          <w:bottom w:w="0" w:type="dxa"/>
          <w:right w:w="0" w:type="dxa"/>
        </w:tblCellMar>
      </w:tblPr>
      <w:tblGrid>
        <w:gridCol w:w="1745"/>
        <w:gridCol w:w="120"/>
        <w:gridCol w:w="262"/>
        <w:gridCol w:w="1273"/>
        <w:gridCol w:w="60"/>
        <w:gridCol w:w="120"/>
        <w:gridCol w:w="237"/>
        <w:gridCol w:w="1283"/>
        <w:gridCol w:w="155"/>
        <w:gridCol w:w="120"/>
        <w:gridCol w:w="254"/>
        <w:gridCol w:w="1236"/>
        <w:gridCol w:w="75"/>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Days From Origination</w:t>
            </w:r>
          </w:p>
        </w:tc>
        <w:tc>
          <w:tcPr>
            <w:tcW w:w="120" w:type="dxa"/>
            <w:tcBorders/>
            <w:shd w:fill="auto" w:val="clear"/>
            <w:vAlign w:val="center"/>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 Member</w:t>
              <w:br/>
              <w:t>Advances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Allowance for</w:t>
              <w:br/>
              <w:t>Unrecoverable</w:t>
              <w:br/>
              <w:t>Advances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Member</w:t>
              <w:br/>
              <w:t>Advances, Net</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1-10</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w:t>
            </w:r>
          </w:p>
        </w:tc>
        <w:tc>
          <w:tcPr>
            <w:tcW w:w="1273" w:type="dxa"/>
            <w:tcBorders/>
            <w:shd w:fill="CCEEFF" w:val="clear"/>
            <w:vAlign w:val="center"/>
          </w:tcPr>
          <w:p>
            <w:pPr>
              <w:pStyle w:val="TableContents"/>
              <w:spacing w:before="0" w:after="283"/>
              <w:jc w:val="right"/>
              <w:rPr/>
            </w:pPr>
            <w:r>
              <w:rPr/>
              <w:t>39,910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w:t>
            </w:r>
          </w:p>
        </w:tc>
        <w:tc>
          <w:tcPr>
            <w:tcW w:w="1283" w:type="dxa"/>
            <w:tcBorders/>
            <w:shd w:fill="CCEEFF" w:val="clear"/>
            <w:vAlign w:val="center"/>
          </w:tcPr>
          <w:p>
            <w:pPr>
              <w:pStyle w:val="TableContents"/>
              <w:spacing w:before="0" w:after="283"/>
              <w:jc w:val="right"/>
              <w:rPr/>
            </w:pPr>
            <w:r>
              <w:rPr/>
              <w:t>(1,313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w:t>
            </w:r>
          </w:p>
        </w:tc>
        <w:tc>
          <w:tcPr>
            <w:tcW w:w="1236" w:type="dxa"/>
            <w:tcBorders/>
            <w:shd w:fill="CCEEFF" w:val="clear"/>
            <w:vAlign w:val="center"/>
          </w:tcPr>
          <w:p>
            <w:pPr>
              <w:pStyle w:val="TableContents"/>
              <w:spacing w:before="0" w:after="283"/>
              <w:jc w:val="right"/>
              <w:rPr/>
            </w:pPr>
            <w:r>
              <w:rPr/>
              <w:t>38,597</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11-30</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273" w:type="dxa"/>
            <w:tcBorders/>
            <w:shd w:fill="auto" w:val="clear"/>
            <w:vAlign w:val="center"/>
          </w:tcPr>
          <w:p>
            <w:pPr>
              <w:pStyle w:val="TableContents"/>
              <w:spacing w:before="0" w:after="283"/>
              <w:jc w:val="right"/>
              <w:rPr/>
            </w:pPr>
            <w:r>
              <w:rPr/>
              <w:t>8,111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(2,084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36" w:type="dxa"/>
            <w:tcBorders/>
            <w:shd w:fill="auto" w:val="clear"/>
            <w:vAlign w:val="center"/>
          </w:tcPr>
          <w:p>
            <w:pPr>
              <w:pStyle w:val="TableContents"/>
              <w:spacing w:before="0" w:after="283"/>
              <w:jc w:val="right"/>
              <w:rPr/>
            </w:pPr>
            <w:r>
              <w:rPr/>
              <w:t>6,027</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31-60</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c>
          <w:tcPr>
            <w:tcW w:w="1273" w:type="dxa"/>
            <w:tcBorders/>
            <w:shd w:fill="CCEEFF" w:val="clear"/>
            <w:vAlign w:val="center"/>
          </w:tcPr>
          <w:p>
            <w:pPr>
              <w:pStyle w:val="TableContents"/>
              <w:spacing w:before="0" w:after="283"/>
              <w:jc w:val="right"/>
              <w:rPr/>
            </w:pPr>
            <w:r>
              <w:rPr/>
              <w:t>4,781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(2,652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236" w:type="dxa"/>
            <w:tcBorders/>
            <w:shd w:fill="CCEEFF" w:val="clear"/>
            <w:vAlign w:val="center"/>
          </w:tcPr>
          <w:p>
            <w:pPr>
              <w:pStyle w:val="TableContents"/>
              <w:spacing w:before="0" w:after="283"/>
              <w:jc w:val="right"/>
              <w:rPr/>
            </w:pPr>
            <w:r>
              <w:rPr/>
              <w:t>2,129</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61-90</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 </w:t>
            </w:r>
          </w:p>
        </w:tc>
        <w:tc>
          <w:tcPr>
            <w:tcW w:w="1273" w:type="dxa"/>
            <w:tcBorders/>
            <w:shd w:fill="auto" w:val="clear"/>
            <w:vAlign w:val="center"/>
          </w:tcPr>
          <w:p>
            <w:pPr>
              <w:pStyle w:val="TableContents"/>
              <w:spacing w:before="0" w:after="283"/>
              <w:jc w:val="right"/>
              <w:rPr/>
            </w:pPr>
            <w:r>
              <w:rPr/>
              <w:t>3,986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jc w:val="right"/>
              <w:rPr/>
            </w:pPr>
            <w:r>
              <w:rPr/>
              <w:t>(2,735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236" w:type="dxa"/>
            <w:tcBorders/>
            <w:shd w:fill="auto" w:val="clear"/>
            <w:vAlign w:val="center"/>
          </w:tcPr>
          <w:p>
            <w:pPr>
              <w:pStyle w:val="TableContents"/>
              <w:spacing w:before="0" w:after="283"/>
              <w:jc w:val="right"/>
              <w:rPr/>
            </w:pPr>
            <w:r>
              <w:rPr/>
              <w:t>1,251</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91-120</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c>
          <w:tcPr>
            <w:tcW w:w="1273" w:type="dxa"/>
            <w:tcBorders/>
            <w:shd w:fill="CCEEFF" w:val="clear"/>
            <w:vAlign w:val="center"/>
          </w:tcPr>
          <w:p>
            <w:pPr>
              <w:pStyle w:val="TableContents"/>
              <w:spacing w:before="0" w:after="283"/>
              <w:jc w:val="right"/>
              <w:rPr/>
            </w:pPr>
            <w:r>
              <w:rPr/>
              <w:t>4,220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1283" w:type="dxa"/>
            <w:tcBorders/>
            <w:shd w:fill="CCEEFF" w:val="clear"/>
            <w:vAlign w:val="center"/>
          </w:tcPr>
          <w:p>
            <w:pPr>
              <w:pStyle w:val="TableContents"/>
              <w:spacing w:before="0" w:after="283"/>
              <w:jc w:val="right"/>
              <w:rPr/>
            </w:pPr>
            <w:r>
              <w:rPr/>
              <w:t>(3,211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236" w:type="dxa"/>
            <w:tcBorders/>
            <w:shd w:fill="CCEEFF" w:val="clear"/>
            <w:vAlign w:val="center"/>
          </w:tcPr>
          <w:p>
            <w:pPr>
              <w:pStyle w:val="TableContents"/>
              <w:spacing w:before="0" w:after="283"/>
              <w:jc w:val="right"/>
              <w:rPr/>
            </w:pPr>
            <w:r>
              <w:rPr/>
              <w:t>1,009</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0"/>
              <w:rPr>
                <w:b/>
                <w:spacing w:val="0"/>
              </w:rPr>
            </w:pPr>
            <w:r>
              <w:rPr>
                <w:b/>
                <w:spacing w:val="0"/>
              </w:rPr>
              <w:t>$</w:t>
            </w:r>
          </w:p>
        </w:tc>
        <w:tc>
          <w:tcPr>
            <w:tcW w:w="1273" w:type="dxa"/>
            <w:tcBorders/>
            <w:shd w:fill="auto" w:val="clear"/>
            <w:vAlign w:val="center"/>
          </w:tcPr>
          <w:p>
            <w:pPr>
              <w:pStyle w:val="TableContents"/>
              <w:spacing w:before="0" w:after="0"/>
              <w:jc w:val="right"/>
              <w:rPr>
                <w:b/>
                <w:spacing w:val="0"/>
              </w:rPr>
            </w:pPr>
            <w:r>
              <w:rPr>
                <w:b/>
                <w:spacing w:val="0"/>
              </w:rPr>
              <w:t>61,008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0"/>
              <w:rPr>
                <w:b/>
                <w:spacing w:val="0"/>
              </w:rPr>
            </w:pPr>
            <w:r>
              <w:rPr>
                <w:b/>
                <w:spacing w:val="0"/>
              </w:rPr>
              <w:t>$</w:t>
            </w:r>
          </w:p>
        </w:tc>
        <w:tc>
          <w:tcPr>
            <w:tcW w:w="1283" w:type="dxa"/>
            <w:tcBorders/>
            <w:shd w:fill="auto" w:val="clear"/>
            <w:vAlign w:val="center"/>
          </w:tcPr>
          <w:p>
            <w:pPr>
              <w:pStyle w:val="TableContents"/>
              <w:spacing w:before="0" w:after="0"/>
              <w:jc w:val="right"/>
              <w:rPr>
                <w:b/>
                <w:spacing w:val="0"/>
              </w:rPr>
            </w:pPr>
            <w:r>
              <w:rPr>
                <w:b/>
                <w:spacing w:val="0"/>
              </w:rPr>
              <w:t>(11,995</w:t>
            </w:r>
          </w:p>
        </w:tc>
        <w:tc>
          <w:tcPr>
            <w:tcW w:w="155" w:type="dxa"/>
            <w:tcBorders/>
            <w:shd w:fill="auto" w:val="cle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0"/>
              <w:rPr>
                <w:b/>
                <w:spacing w:val="0"/>
              </w:rPr>
            </w:pPr>
            <w:r>
              <w:rPr>
                <w:b/>
                <w:spacing w:val="0"/>
              </w:rPr>
              <w:t>$</w:t>
            </w:r>
          </w:p>
        </w:tc>
        <w:tc>
          <w:tcPr>
            <w:tcW w:w="1236" w:type="dxa"/>
            <w:tcBorders/>
            <w:shd w:fill="auto" w:val="clear"/>
            <w:vAlign w:val="center"/>
          </w:tcPr>
          <w:p>
            <w:pPr>
              <w:pStyle w:val="TableContents"/>
              <w:spacing w:before="0" w:after="0"/>
              <w:jc w:val="right"/>
              <w:rPr>
                <w:b/>
                <w:spacing w:val="0"/>
              </w:rPr>
            </w:pPr>
            <w:r>
              <w:rPr>
                <w:b/>
                <w:spacing w:val="0"/>
              </w:rPr>
              <w:t>49,013</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Member advances, net, represent outstanding advances, tips, and processing fees, net of direct origination costs, less an allowance for unrecoverable advances.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roll-forward of the allowance for unrecoverable advances is as follows (dollars in thousands): </w:t>
      </w:r>
    </w:p>
    <w:p>
      <w:pPr>
        <w:pStyle w:val="TextBody"/>
        <w:spacing w:before="0" w:after="0"/>
        <w:jc w:val="left"/>
        <w:rPr>
          <w:spacing w:val="0"/>
        </w:rPr>
      </w:pPr>
      <w:r>
        <w:rPr>
          <w:spacing w:val="0"/>
        </w:rPr>
        <w:t> </w:t>
      </w:r>
    </w:p>
    <w:tbl>
      <w:tblPr>
        <w:tblW w:w="5105" w:type="dxa"/>
        <w:jc w:val="left"/>
        <w:tblInd w:w="0" w:type="dxa"/>
        <w:tblCellMar>
          <w:top w:w="0" w:type="dxa"/>
          <w:left w:w="0" w:type="dxa"/>
          <w:bottom w:w="0" w:type="dxa"/>
          <w:right w:w="0" w:type="dxa"/>
        </w:tblCellMar>
      </w:tblPr>
      <w:tblGrid>
        <w:gridCol w:w="3995"/>
        <w:gridCol w:w="120"/>
        <w:gridCol w:w="140"/>
        <w:gridCol w:w="680"/>
        <w:gridCol w:w="170"/>
      </w:tblGrid>
      <w:tr>
        <w:trPr/>
        <w:tc>
          <w:tcPr>
            <w:tcW w:w="3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9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Opening allowance balance at January 1, 2022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80" w:type="dxa"/>
            <w:tcBorders/>
            <w:shd w:fill="CCEEFF" w:val="clear"/>
            <w:vAlign w:val="center"/>
          </w:tcPr>
          <w:p>
            <w:pPr>
              <w:pStyle w:val="TableContents"/>
              <w:spacing w:before="0" w:after="0"/>
              <w:jc w:val="right"/>
              <w:rPr>
                <w:b/>
                <w:spacing w:val="0"/>
              </w:rPr>
            </w:pPr>
            <w:r>
              <w:rPr>
                <w:b/>
                <w:spacing w:val="0"/>
              </w:rPr>
              <w:t>11,995</w:t>
            </w:r>
          </w:p>
        </w:tc>
        <w:tc>
          <w:tcPr>
            <w:tcW w:w="170" w:type="dxa"/>
            <w:tcBorders/>
            <w:shd w:fill="CCEEFF"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Plus: provision for unrecoverable advances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13,785</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Less: amounts </w:t>
            </w:r>
          </w:p>
          <w:p>
            <w:pPr>
              <w:pStyle w:val="TableContents"/>
              <w:spacing w:before="0" w:after="0"/>
              <w:rPr>
                <w:rFonts w:ascii="Times New Roman" w:hAnsi="Times New Roman"/>
                <w:spacing w:val="0"/>
                <w:sz w:val="20"/>
              </w:rPr>
            </w:pPr>
            <w:r>
              <w:rPr>
                <w:rFonts w:ascii="Times New Roman" w:hAnsi="Times New Roman"/>
                <w:spacing w:val="0"/>
                <w:sz w:val="20"/>
              </w:rPr>
              <w:t>written-off</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(9,440</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allowance balance at March 31, 2022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680" w:type="dxa"/>
            <w:tcBorders/>
            <w:shd w:fill="auto" w:val="clear"/>
            <w:vAlign w:val="center"/>
          </w:tcPr>
          <w:p>
            <w:pPr>
              <w:pStyle w:val="TableContents"/>
              <w:spacing w:before="0" w:after="0"/>
              <w:jc w:val="right"/>
              <w:rPr>
                <w:b/>
                <w:spacing w:val="0"/>
              </w:rPr>
            </w:pPr>
            <w:r>
              <w:rPr>
                <w:b/>
                <w:spacing w:val="0"/>
              </w:rPr>
              <w:t>16,340</w:t>
            </w:r>
          </w:p>
        </w:tc>
        <w:tc>
          <w:tcPr>
            <w:tcW w:w="170" w:type="dxa"/>
            <w:tcBorders/>
            <w:shd w:fill="auto"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5105" w:type="dxa"/>
        <w:jc w:val="left"/>
        <w:tblInd w:w="0" w:type="dxa"/>
        <w:tblCellMar>
          <w:top w:w="0" w:type="dxa"/>
          <w:left w:w="0" w:type="dxa"/>
          <w:bottom w:w="0" w:type="dxa"/>
          <w:right w:w="0" w:type="dxa"/>
        </w:tblCellMar>
      </w:tblPr>
      <w:tblGrid>
        <w:gridCol w:w="3995"/>
        <w:gridCol w:w="120"/>
        <w:gridCol w:w="140"/>
        <w:gridCol w:w="680"/>
        <w:gridCol w:w="170"/>
      </w:tblGrid>
      <w:tr>
        <w:trPr/>
        <w:tc>
          <w:tcPr>
            <w:tcW w:w="3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9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Opening allowance balance at January 1. 2021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680" w:type="dxa"/>
            <w:tcBorders/>
            <w:shd w:fill="CCEEFF" w:val="clear"/>
            <w:vAlign w:val="center"/>
          </w:tcPr>
          <w:p>
            <w:pPr>
              <w:pStyle w:val="TableContents"/>
              <w:spacing w:before="0" w:after="0"/>
              <w:jc w:val="right"/>
              <w:rPr>
                <w:b/>
                <w:spacing w:val="0"/>
              </w:rPr>
            </w:pPr>
            <w:r>
              <w:rPr>
                <w:b/>
                <w:spacing w:val="0"/>
              </w:rPr>
              <w:t>12,580</w:t>
            </w:r>
          </w:p>
        </w:tc>
        <w:tc>
          <w:tcPr>
            <w:tcW w:w="170" w:type="dxa"/>
            <w:tcBorders/>
            <w:shd w:fill="CCEEFF"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Plus: provision for unrecoverable advances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3,538</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Less: amounts </w:t>
            </w:r>
          </w:p>
          <w:p>
            <w:pPr>
              <w:pStyle w:val="TableContents"/>
              <w:spacing w:before="0" w:after="0"/>
              <w:rPr>
                <w:rFonts w:ascii="Times New Roman" w:hAnsi="Times New Roman"/>
                <w:spacing w:val="0"/>
                <w:sz w:val="20"/>
              </w:rPr>
            </w:pPr>
            <w:r>
              <w:rPr>
                <w:rFonts w:ascii="Times New Roman" w:hAnsi="Times New Roman"/>
                <w:spacing w:val="0"/>
                <w:sz w:val="20"/>
              </w:rPr>
              <w:t>written-off</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(7,675</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Ending allowance balance at March 31,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680" w:type="dxa"/>
            <w:tcBorders/>
            <w:shd w:fill="auto" w:val="clear"/>
            <w:vAlign w:val="center"/>
          </w:tcPr>
          <w:p>
            <w:pPr>
              <w:pStyle w:val="TableContents"/>
              <w:spacing w:before="0" w:after="0"/>
              <w:jc w:val="right"/>
              <w:rPr>
                <w:b/>
                <w:spacing w:val="0"/>
              </w:rPr>
            </w:pPr>
            <w:r>
              <w:rPr>
                <w:b/>
                <w:spacing w:val="0"/>
              </w:rPr>
              <w:t>8,443</w:t>
            </w:r>
          </w:p>
        </w:tc>
        <w:tc>
          <w:tcPr>
            <w:tcW w:w="170" w:type="dxa"/>
            <w:tcBorders/>
            <w:shd w:fill="auto" w:val="clear"/>
            <w:vAlign w:val="center"/>
          </w:tcPr>
          <w:p>
            <w:pPr>
              <w:pStyle w:val="TableContents"/>
              <w:spacing w:before="0" w:after="0"/>
              <w:rPr>
                <w:spacing w:val="0"/>
              </w:rPr>
            </w:pPr>
            <w:r>
              <w:rPr>
                <w:spacing w:val="0"/>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6 Property and Equipment, </w:t>
      </w:r>
    </w:p>
    <w:p>
      <w:pPr>
        <w:pStyle w:val="TextBody"/>
        <w:spacing w:before="360" w:after="0"/>
        <w:jc w:val="left"/>
        <w:rPr>
          <w:rFonts w:ascii="Times New Roman" w:hAnsi="Times New Roman"/>
          <w:b/>
          <w:spacing w:val="0"/>
          <w:sz w:val="20"/>
        </w:rPr>
      </w:pPr>
      <w:r>
        <w:rPr>
          <w:rFonts w:ascii="Times New Roman" w:hAnsi="Times New Roman"/>
          <w:b/>
          <w:spacing w:val="0"/>
          <w:sz w:val="20"/>
        </w:rPr>
        <w:t>n</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Property and Equipment, Net consisted of the following (dollars in thousands): </w:t>
      </w:r>
    </w:p>
    <w:p>
      <w:pPr>
        <w:pStyle w:val="TextBody"/>
        <w:spacing w:before="0" w:after="0"/>
        <w:jc w:val="left"/>
        <w:rPr>
          <w:spacing w:val="0"/>
        </w:rPr>
      </w:pPr>
      <w:r>
        <w:rPr>
          <w:spacing w:val="0"/>
        </w:rPr>
        <w:t> </w:t>
      </w:r>
    </w:p>
    <w:tbl>
      <w:tblPr>
        <w:tblW w:w="6730" w:type="dxa"/>
        <w:jc w:val="left"/>
        <w:tblInd w:w="0" w:type="dxa"/>
        <w:tblCellMar>
          <w:top w:w="0" w:type="dxa"/>
          <w:left w:w="0" w:type="dxa"/>
          <w:bottom w:w="0" w:type="dxa"/>
          <w:right w:w="0" w:type="dxa"/>
        </w:tblCellMar>
      </w:tblPr>
      <w:tblGrid>
        <w:gridCol w:w="2600"/>
        <w:gridCol w:w="120"/>
        <w:gridCol w:w="322"/>
        <w:gridCol w:w="1288"/>
        <w:gridCol w:w="155"/>
        <w:gridCol w:w="120"/>
        <w:gridCol w:w="391"/>
        <w:gridCol w:w="1564"/>
        <w:gridCol w:w="170"/>
      </w:tblGrid>
      <w:tr>
        <w:trPr/>
        <w:tc>
          <w:tcPr>
            <w:tcW w:w="2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March 31, 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 2021</w:t>
            </w:r>
          </w:p>
        </w:tc>
        <w:tc>
          <w:tcPr>
            <w:tcW w:w="170" w:type="dxa"/>
            <w:tcBorders/>
            <w:shd w:fill="auto" w:val="clear"/>
            <w:vAlign w:val="center"/>
          </w:tcPr>
          <w:p>
            <w:pPr>
              <w:pStyle w:val="TableContents"/>
              <w:spacing w:before="0" w:after="283"/>
              <w:rPr/>
            </w:pPr>
            <w:r>
              <w:rPr/>
              <w:t> </w:t>
            </w:r>
          </w:p>
        </w:tc>
      </w:tr>
      <w:tr>
        <w:trPr/>
        <w:tc>
          <w:tcPr>
            <w:tcW w:w="26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Computer equipment</w:t>
            </w:r>
          </w:p>
        </w:tc>
        <w:tc>
          <w:tcPr>
            <w:tcW w:w="120" w:type="dxa"/>
            <w:tcBorders/>
            <w:shd w:fill="CCEEFF" w:val="clear"/>
            <w:vAlign w:val="center"/>
          </w:tcPr>
          <w:p>
            <w:pPr>
              <w:pStyle w:val="TableContents"/>
              <w:spacing w:before="0" w:after="283"/>
              <w:rPr/>
            </w:pPr>
            <w:r>
              <w:rPr/>
              <w:t>  </w:t>
            </w:r>
          </w:p>
        </w:tc>
        <w:tc>
          <w:tcPr>
            <w:tcW w:w="322" w:type="dxa"/>
            <w:tcBorders/>
            <w:shd w:fill="CCEEFF" w:val="clear"/>
            <w:vAlign w:val="center"/>
          </w:tcPr>
          <w:p>
            <w:pPr>
              <w:pStyle w:val="TableContents"/>
              <w:spacing w:before="0" w:after="283"/>
              <w:rPr/>
            </w:pPr>
            <w:r>
              <w:rPr/>
              <w:t>$</w:t>
            </w:r>
          </w:p>
        </w:tc>
        <w:tc>
          <w:tcPr>
            <w:tcW w:w="1288" w:type="dxa"/>
            <w:tcBorders/>
            <w:shd w:fill="CCEEFF" w:val="clear"/>
            <w:vAlign w:val="center"/>
          </w:tcPr>
          <w:p>
            <w:pPr>
              <w:pStyle w:val="TableContents"/>
              <w:spacing w:before="0" w:after="283"/>
              <w:jc w:val="right"/>
              <w:rPr/>
            </w:pPr>
            <w:r>
              <w:rPr/>
              <w:t>916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w:t>
            </w:r>
          </w:p>
        </w:tc>
        <w:tc>
          <w:tcPr>
            <w:tcW w:w="1564" w:type="dxa"/>
            <w:tcBorders/>
            <w:shd w:fill="CCEEFF" w:val="clear"/>
            <w:vAlign w:val="center"/>
          </w:tcPr>
          <w:p>
            <w:pPr>
              <w:pStyle w:val="TableContents"/>
              <w:spacing w:before="0" w:after="283"/>
              <w:jc w:val="right"/>
              <w:rPr/>
            </w:pPr>
            <w:r>
              <w:rPr/>
              <w:t>664</w:t>
            </w:r>
          </w:p>
        </w:tc>
        <w:tc>
          <w:tcPr>
            <w:tcW w:w="170" w:type="dxa"/>
            <w:tcBorders/>
            <w:shd w:fill="CCEEFF"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Leasehold improvements</w:t>
            </w:r>
          </w:p>
        </w:tc>
        <w:tc>
          <w:tcPr>
            <w:tcW w:w="12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288" w:type="dxa"/>
            <w:tcBorders/>
            <w:shd w:fill="auto" w:val="clear"/>
            <w:vAlign w:val="center"/>
          </w:tcPr>
          <w:p>
            <w:pPr>
              <w:pStyle w:val="TableContents"/>
              <w:spacing w:before="0" w:after="283"/>
              <w:jc w:val="right"/>
              <w:rPr/>
            </w:pPr>
            <w:r>
              <w:rPr/>
              <w:t>384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564" w:type="dxa"/>
            <w:tcBorders/>
            <w:shd w:fill="auto" w:val="clear"/>
            <w:vAlign w:val="center"/>
          </w:tcPr>
          <w:p>
            <w:pPr>
              <w:pStyle w:val="TableContents"/>
              <w:spacing w:before="0" w:after="283"/>
              <w:jc w:val="right"/>
              <w:rPr/>
            </w:pPr>
            <w:r>
              <w:rPr/>
              <w:t>384</w:t>
            </w:r>
          </w:p>
        </w:tc>
        <w:tc>
          <w:tcPr>
            <w:tcW w:w="170" w:type="dxa"/>
            <w:tcBorders/>
            <w:shd w:fill="auto" w:val="clear"/>
            <w:vAlign w:val="center"/>
          </w:tcPr>
          <w:p>
            <w:pPr>
              <w:pStyle w:val="TableContents"/>
              <w:spacing w:before="0" w:after="283"/>
              <w:rPr/>
            </w:pPr>
            <w:r>
              <w:rPr/>
              <w:t> </w:t>
            </w:r>
          </w:p>
        </w:tc>
      </w:tr>
      <w:tr>
        <w:trPr/>
        <w:tc>
          <w:tcPr>
            <w:tcW w:w="26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Furniture and fixtures</w:t>
            </w:r>
          </w:p>
        </w:tc>
        <w:tc>
          <w:tcPr>
            <w:tcW w:w="120" w:type="dxa"/>
            <w:tcBorders/>
            <w:shd w:fill="CCEEFF" w:val="clear"/>
            <w:vAlign w:val="center"/>
          </w:tcPr>
          <w:p>
            <w:pPr>
              <w:pStyle w:val="TableContents"/>
              <w:spacing w:before="0" w:after="283"/>
              <w:rPr/>
            </w:pPr>
            <w:r>
              <w:rPr/>
              <w:t>  </w:t>
            </w:r>
          </w:p>
        </w:tc>
        <w:tc>
          <w:tcPr>
            <w:tcW w:w="322" w:type="dxa"/>
            <w:tcBorders/>
            <w:shd w:fill="CCEEFF" w:val="clear"/>
            <w:vAlign w:val="center"/>
          </w:tcPr>
          <w:p>
            <w:pPr>
              <w:pStyle w:val="TableContents"/>
              <w:spacing w:before="0" w:after="283"/>
              <w:rPr/>
            </w:pPr>
            <w:r>
              <w:rPr/>
              <w:t> </w:t>
            </w:r>
          </w:p>
        </w:tc>
        <w:tc>
          <w:tcPr>
            <w:tcW w:w="1288" w:type="dxa"/>
            <w:tcBorders/>
            <w:shd w:fill="CCEEFF" w:val="clear"/>
            <w:vAlign w:val="center"/>
          </w:tcPr>
          <w:p>
            <w:pPr>
              <w:pStyle w:val="TableContents"/>
              <w:spacing w:before="0" w:after="283"/>
              <w:jc w:val="right"/>
              <w:rPr/>
            </w:pPr>
            <w:r>
              <w:rPr/>
              <w:t>14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14</w:t>
            </w:r>
          </w:p>
        </w:tc>
        <w:tc>
          <w:tcPr>
            <w:tcW w:w="170" w:type="dxa"/>
            <w:tcBorders/>
            <w:shd w:fill="CCEEFF"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property and equipment</w:t>
            </w:r>
          </w:p>
        </w:tc>
        <w:tc>
          <w:tcPr>
            <w:tcW w:w="12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0"/>
              <w:rPr>
                <w:spacing w:val="0"/>
              </w:rPr>
            </w:pPr>
            <w:r>
              <w:rPr>
                <w:spacing w:val="0"/>
              </w:rPr>
              <w:t> </w:t>
            </w:r>
          </w:p>
        </w:tc>
        <w:tc>
          <w:tcPr>
            <w:tcW w:w="1288" w:type="dxa"/>
            <w:tcBorders/>
            <w:shd w:fill="auto" w:val="clear"/>
            <w:vAlign w:val="center"/>
          </w:tcPr>
          <w:p>
            <w:pPr>
              <w:pStyle w:val="TableContents"/>
              <w:spacing w:before="0" w:after="0"/>
              <w:jc w:val="right"/>
              <w:rPr>
                <w:b/>
                <w:spacing w:val="0"/>
              </w:rPr>
            </w:pPr>
            <w:r>
              <w:rPr>
                <w:b/>
                <w:spacing w:val="0"/>
              </w:rPr>
              <w:t>1,314</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rPr>
            </w:pPr>
            <w:r>
              <w:rPr>
                <w:spacing w:val="0"/>
              </w:rPr>
              <w:t> </w:t>
            </w:r>
          </w:p>
        </w:tc>
        <w:tc>
          <w:tcPr>
            <w:tcW w:w="1564" w:type="dxa"/>
            <w:tcBorders/>
            <w:shd w:fill="auto" w:val="clear"/>
            <w:vAlign w:val="center"/>
          </w:tcPr>
          <w:p>
            <w:pPr>
              <w:pStyle w:val="TableContents"/>
              <w:spacing w:before="0" w:after="0"/>
              <w:jc w:val="right"/>
              <w:rPr>
                <w:b/>
                <w:spacing w:val="0"/>
              </w:rPr>
            </w:pPr>
            <w:r>
              <w:rPr>
                <w:b/>
                <w:spacing w:val="0"/>
              </w:rPr>
              <w:t>1,062</w:t>
            </w:r>
          </w:p>
        </w:tc>
        <w:tc>
          <w:tcPr>
            <w:tcW w:w="170" w:type="dxa"/>
            <w:tcBorders/>
            <w:shd w:fill="auto" w:val="clear"/>
            <w:vAlign w:val="center"/>
          </w:tcPr>
          <w:p>
            <w:pPr>
              <w:pStyle w:val="TableContents"/>
              <w:spacing w:before="0" w:after="0"/>
              <w:rPr>
                <w:spacing w:val="0"/>
              </w:rPr>
            </w:pPr>
            <w:r>
              <w:rPr>
                <w:spacing w:val="0"/>
              </w:rPr>
              <w:t> </w:t>
            </w:r>
          </w:p>
        </w:tc>
      </w:tr>
      <w:tr>
        <w:trPr/>
        <w:tc>
          <w:tcPr>
            <w:tcW w:w="26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depreciation</w:t>
            </w:r>
          </w:p>
        </w:tc>
        <w:tc>
          <w:tcPr>
            <w:tcW w:w="120" w:type="dxa"/>
            <w:tcBorders/>
            <w:shd w:fill="CCEEFF" w:val="clear"/>
            <w:vAlign w:val="center"/>
          </w:tcPr>
          <w:p>
            <w:pPr>
              <w:pStyle w:val="TableContents"/>
              <w:spacing w:before="0" w:after="283"/>
              <w:rPr/>
            </w:pPr>
            <w:r>
              <w:rPr/>
              <w:t>  </w:t>
            </w:r>
          </w:p>
        </w:tc>
        <w:tc>
          <w:tcPr>
            <w:tcW w:w="322" w:type="dxa"/>
            <w:tcBorders/>
            <w:shd w:fill="CCEEFF" w:val="clear"/>
            <w:vAlign w:val="center"/>
          </w:tcPr>
          <w:p>
            <w:pPr>
              <w:pStyle w:val="TableContents"/>
              <w:spacing w:before="0" w:after="283"/>
              <w:rPr/>
            </w:pPr>
            <w:r>
              <w:rPr/>
              <w:t> </w:t>
            </w:r>
          </w:p>
        </w:tc>
        <w:tc>
          <w:tcPr>
            <w:tcW w:w="1288" w:type="dxa"/>
            <w:tcBorders/>
            <w:shd w:fill="CCEEFF" w:val="clear"/>
            <w:vAlign w:val="center"/>
          </w:tcPr>
          <w:p>
            <w:pPr>
              <w:pStyle w:val="TableContents"/>
              <w:spacing w:before="0" w:after="283"/>
              <w:jc w:val="right"/>
              <w:rPr/>
            </w:pPr>
            <w:r>
              <w:rPr/>
              <w:t>(465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(377</w:t>
            </w:r>
          </w:p>
        </w:tc>
        <w:tc>
          <w:tcPr>
            <w:tcW w:w="170" w:type="dxa"/>
            <w:tcBorders/>
            <w:shd w:fill="CCEEFF"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Property and equipment, net</w:t>
            </w:r>
          </w:p>
        </w:tc>
        <w:tc>
          <w:tcPr>
            <w:tcW w:w="12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0"/>
              <w:rPr>
                <w:b/>
                <w:spacing w:val="0"/>
              </w:rPr>
            </w:pPr>
            <w:r>
              <w:rPr>
                <w:b/>
                <w:spacing w:val="0"/>
              </w:rPr>
              <w:t>$</w:t>
            </w:r>
          </w:p>
        </w:tc>
        <w:tc>
          <w:tcPr>
            <w:tcW w:w="1288" w:type="dxa"/>
            <w:tcBorders/>
            <w:shd w:fill="auto" w:val="clear"/>
            <w:vAlign w:val="center"/>
          </w:tcPr>
          <w:p>
            <w:pPr>
              <w:pStyle w:val="TableContents"/>
              <w:spacing w:before="0" w:after="0"/>
              <w:jc w:val="right"/>
              <w:rPr>
                <w:b/>
                <w:spacing w:val="0"/>
              </w:rPr>
            </w:pPr>
            <w:r>
              <w:rPr>
                <w:b/>
                <w:spacing w:val="0"/>
              </w:rPr>
              <w:t>849</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b/>
                <w:spacing w:val="0"/>
              </w:rPr>
            </w:pPr>
            <w:r>
              <w:rPr>
                <w:b/>
                <w:spacing w:val="0"/>
              </w:rPr>
              <w:t>$</w:t>
            </w:r>
          </w:p>
        </w:tc>
        <w:tc>
          <w:tcPr>
            <w:tcW w:w="1564" w:type="dxa"/>
            <w:tcBorders/>
            <w:shd w:fill="auto" w:val="clear"/>
            <w:vAlign w:val="center"/>
          </w:tcPr>
          <w:p>
            <w:pPr>
              <w:pStyle w:val="TableContents"/>
              <w:spacing w:before="0" w:after="0"/>
              <w:jc w:val="right"/>
              <w:rPr>
                <w:b/>
                <w:spacing w:val="0"/>
              </w:rPr>
            </w:pPr>
            <w:r>
              <w:rPr>
                <w:b/>
                <w:spacing w:val="0"/>
              </w:rPr>
              <w:t>685</w:t>
            </w:r>
          </w:p>
        </w:tc>
        <w:tc>
          <w:tcPr>
            <w:tcW w:w="170" w:type="dxa"/>
            <w:tcBorders/>
            <w:shd w:fill="auto" w:val="clear"/>
            <w:vAlign w:val="center"/>
          </w:tcPr>
          <w:p>
            <w:pPr>
              <w:pStyle w:val="TableContents"/>
              <w:spacing w:before="0" w:after="0"/>
              <w:rPr>
                <w:spacing w:val="0"/>
              </w:rPr>
            </w:pPr>
            <w:r>
              <w:rPr>
                <w:spacing w:val="0"/>
              </w:rPr>
              <w:t> </w:t>
            </w:r>
          </w:p>
        </w:tc>
      </w:tr>
      <w:tr>
        <w:trPr/>
        <w:tc>
          <w:tcPr>
            <w:tcW w:w="26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Depreciation expense for the three months ended March 31, 2022 and 2021, was approximately $0.04 million and $0.09 million, respectively. As of March 31, 2022 the Company had no outstanding commitments for the purchase of property and equipment and as of December 31, 2021, the Company had outstanding commitments for the purchase of property and equipment totaling approximately $0.03 million.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6 Intangible Assets,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Intangible assets, net consisted of the following (in thousands): </w:t>
      </w:r>
    </w:p>
    <w:p>
      <w:pPr>
        <w:pStyle w:val="TextBody"/>
        <w:spacing w:before="0" w:after="0"/>
        <w:jc w:val="left"/>
        <w:rPr>
          <w:spacing w:val="0"/>
        </w:rPr>
      </w:pPr>
      <w:r>
        <w:rPr>
          <w:spacing w:val="0"/>
        </w:rPr>
        <w:t> </w:t>
      </w:r>
    </w:p>
    <w:tbl>
      <w:tblPr>
        <w:tblW w:w="14615" w:type="dxa"/>
        <w:jc w:val="left"/>
        <w:tblInd w:w="0" w:type="dxa"/>
        <w:tblCellMar>
          <w:top w:w="0" w:type="dxa"/>
          <w:left w:w="0" w:type="dxa"/>
          <w:bottom w:w="0" w:type="dxa"/>
          <w:right w:w="0" w:type="dxa"/>
        </w:tblCellMar>
      </w:tblPr>
      <w:tblGrid>
        <w:gridCol w:w="2450"/>
        <w:gridCol w:w="120"/>
        <w:gridCol w:w="85"/>
        <w:gridCol w:w="1495"/>
        <w:gridCol w:w="60"/>
        <w:gridCol w:w="120"/>
        <w:gridCol w:w="274"/>
        <w:gridCol w:w="1336"/>
        <w:gridCol w:w="60"/>
        <w:gridCol w:w="120"/>
        <w:gridCol w:w="247"/>
        <w:gridCol w:w="1123"/>
        <w:gridCol w:w="155"/>
        <w:gridCol w:w="60"/>
        <w:gridCol w:w="328"/>
        <w:gridCol w:w="1312"/>
        <w:gridCol w:w="60"/>
        <w:gridCol w:w="120"/>
        <w:gridCol w:w="274"/>
        <w:gridCol w:w="1336"/>
        <w:gridCol w:w="60"/>
        <w:gridCol w:w="120"/>
        <w:gridCol w:w="247"/>
        <w:gridCol w:w="1123"/>
        <w:gridCol w:w="155"/>
        <w:gridCol w:w="60"/>
        <w:gridCol w:w="328"/>
        <w:gridCol w:w="1312"/>
        <w:gridCol w:w="75"/>
      </w:tblGrid>
      <w:tr>
        <w:trPr/>
        <w:tc>
          <w:tcPr>
            <w:tcW w:w="2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7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March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15" w:type="dxa"/>
            <w:gridSpan w:val="10"/>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 2021</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Weighted</w:t>
              <w:br/>
              <w:t>Average Useful</w:t>
              <w:br/>
              <w:t>Lives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 Carrying</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Accumulated</w:t>
              <w:br/>
              <w:t>Amortization</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Net Book 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 Carrying</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Accumulated</w:t>
              <w:br/>
              <w:t>Amortization</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Net Book Value</w:t>
            </w:r>
          </w:p>
        </w:tc>
        <w:tc>
          <w:tcPr>
            <w:tcW w:w="75"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Internally developed software</w:t>
            </w:r>
          </w:p>
        </w:tc>
        <w:tc>
          <w:tcPr>
            <w:tcW w:w="12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jc w:val="right"/>
              <w:rPr/>
            </w:pPr>
            <w:r>
              <w:rPr/>
              <w:t>3.0 Years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rPr/>
            </w:pPr>
            <w:r>
              <w:rPr/>
              <w:t>$</w:t>
            </w:r>
          </w:p>
        </w:tc>
        <w:tc>
          <w:tcPr>
            <w:tcW w:w="1336" w:type="dxa"/>
            <w:tcBorders/>
            <w:shd w:fill="CCEEFF" w:val="clear"/>
            <w:vAlign w:val="center"/>
          </w:tcPr>
          <w:p>
            <w:pPr>
              <w:pStyle w:val="TableContents"/>
              <w:spacing w:before="0" w:after="283"/>
              <w:jc w:val="right"/>
              <w:rPr/>
            </w:pPr>
            <w:r>
              <w:rPr/>
              <w:t>15,367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1123" w:type="dxa"/>
            <w:tcBorders/>
            <w:shd w:fill="CCEEFF" w:val="clear"/>
            <w:vAlign w:val="center"/>
          </w:tcPr>
          <w:p>
            <w:pPr>
              <w:pStyle w:val="TableContents"/>
              <w:spacing w:before="0" w:after="283"/>
              <w:jc w:val="right"/>
              <w:rPr/>
            </w:pPr>
            <w:r>
              <w:rPr/>
              <w:t>(6,357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8" w:type="dxa"/>
            <w:tcBorders/>
            <w:shd w:fill="CCEEFF" w:val="clear"/>
            <w:vAlign w:val="center"/>
          </w:tcPr>
          <w:p>
            <w:pPr>
              <w:pStyle w:val="TableContents"/>
              <w:spacing w:before="0" w:after="283"/>
              <w:rPr/>
            </w:pPr>
            <w:r>
              <w:rPr/>
              <w:t>$</w:t>
            </w:r>
          </w:p>
        </w:tc>
        <w:tc>
          <w:tcPr>
            <w:tcW w:w="1312" w:type="dxa"/>
            <w:tcBorders/>
            <w:shd w:fill="CCEEFF" w:val="clear"/>
            <w:vAlign w:val="center"/>
          </w:tcPr>
          <w:p>
            <w:pPr>
              <w:pStyle w:val="TableContents"/>
              <w:spacing w:before="0" w:after="283"/>
              <w:jc w:val="right"/>
              <w:rPr/>
            </w:pPr>
            <w:r>
              <w:rPr/>
              <w:t>9,010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rPr/>
            </w:pPr>
            <w:r>
              <w:rPr/>
              <w:t>$</w:t>
            </w:r>
          </w:p>
        </w:tc>
        <w:tc>
          <w:tcPr>
            <w:tcW w:w="1336" w:type="dxa"/>
            <w:tcBorders/>
            <w:shd w:fill="CCEEFF" w:val="clear"/>
            <w:vAlign w:val="center"/>
          </w:tcPr>
          <w:p>
            <w:pPr>
              <w:pStyle w:val="TableContents"/>
              <w:spacing w:before="0" w:after="283"/>
              <w:jc w:val="right"/>
              <w:rPr/>
            </w:pPr>
            <w:r>
              <w:rPr/>
              <w:t>13,109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1123" w:type="dxa"/>
            <w:tcBorders/>
            <w:shd w:fill="CCEEFF" w:val="clear"/>
            <w:vAlign w:val="center"/>
          </w:tcPr>
          <w:p>
            <w:pPr>
              <w:pStyle w:val="TableContents"/>
              <w:spacing w:before="0" w:after="283"/>
              <w:jc w:val="right"/>
              <w:rPr/>
            </w:pPr>
            <w:r>
              <w:rPr/>
              <w:t>(5,342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8" w:type="dxa"/>
            <w:tcBorders/>
            <w:shd w:fill="CCEEFF" w:val="clear"/>
            <w:vAlign w:val="center"/>
          </w:tcPr>
          <w:p>
            <w:pPr>
              <w:pStyle w:val="TableContents"/>
              <w:spacing w:before="0" w:after="283"/>
              <w:rPr/>
            </w:pPr>
            <w:r>
              <w:rPr/>
              <w:t>$</w:t>
            </w:r>
          </w:p>
        </w:tc>
        <w:tc>
          <w:tcPr>
            <w:tcW w:w="1312" w:type="dxa"/>
            <w:tcBorders/>
            <w:shd w:fill="CCEEFF" w:val="clear"/>
            <w:vAlign w:val="center"/>
          </w:tcPr>
          <w:p>
            <w:pPr>
              <w:pStyle w:val="TableContents"/>
              <w:spacing w:before="0" w:after="283"/>
              <w:jc w:val="right"/>
              <w:rPr/>
            </w:pPr>
            <w:r>
              <w:rPr/>
              <w:t>7,767</w:t>
            </w:r>
          </w:p>
        </w:tc>
        <w:tc>
          <w:tcPr>
            <w:tcW w:w="75"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Domain name</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jc w:val="right"/>
              <w:rPr/>
            </w:pPr>
            <w:r>
              <w:rPr/>
              <w:t>15.0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right"/>
              <w:rPr/>
            </w:pPr>
            <w:r>
              <w:rPr/>
              <w:t>121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1123" w:type="dxa"/>
            <w:tcBorders/>
            <w:shd w:fill="auto" w:val="clear"/>
            <w:vAlign w:val="center"/>
          </w:tcPr>
          <w:p>
            <w:pPr>
              <w:pStyle w:val="TableContents"/>
              <w:spacing w:before="0" w:after="283"/>
              <w:jc w:val="right"/>
              <w:rPr/>
            </w:pPr>
            <w:r>
              <w:rPr/>
              <w:t>(41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jc w:val="right"/>
              <w:rPr/>
            </w:pPr>
            <w:r>
              <w:rPr/>
              <w:t>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right"/>
              <w:rPr/>
            </w:pPr>
            <w:r>
              <w:rPr/>
              <w:t>121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1123" w:type="dxa"/>
            <w:tcBorders/>
            <w:shd w:fill="auto" w:val="clear"/>
            <w:vAlign w:val="center"/>
          </w:tcPr>
          <w:p>
            <w:pPr>
              <w:pStyle w:val="TableContents"/>
              <w:spacing w:before="0" w:after="283"/>
              <w:jc w:val="right"/>
              <w:rPr/>
            </w:pPr>
            <w:r>
              <w:rPr/>
              <w:t>(39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jc w:val="right"/>
              <w:rPr/>
            </w:pPr>
            <w:r>
              <w:rPr/>
              <w:t>82</w:t>
            </w:r>
          </w:p>
        </w:tc>
        <w:tc>
          <w:tcPr>
            <w:tcW w:w="75"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Intangible assets, net</w:t>
            </w:r>
          </w:p>
        </w:tc>
        <w:tc>
          <w:tcPr>
            <w:tcW w:w="12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4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0"/>
              <w:rPr>
                <w:b/>
                <w:spacing w:val="0"/>
              </w:rPr>
            </w:pPr>
            <w:r>
              <w:rPr>
                <w:b/>
                <w:spacing w:val="0"/>
              </w:rPr>
              <w:t>$</w:t>
            </w:r>
          </w:p>
        </w:tc>
        <w:tc>
          <w:tcPr>
            <w:tcW w:w="1336" w:type="dxa"/>
            <w:tcBorders/>
            <w:shd w:fill="CCEEFF" w:val="clear"/>
            <w:vAlign w:val="center"/>
          </w:tcPr>
          <w:p>
            <w:pPr>
              <w:pStyle w:val="TableContents"/>
              <w:spacing w:before="0" w:after="0"/>
              <w:jc w:val="right"/>
              <w:rPr>
                <w:b/>
                <w:spacing w:val="0"/>
              </w:rPr>
            </w:pPr>
            <w:r>
              <w:rPr>
                <w:b/>
                <w:spacing w:val="0"/>
              </w:rPr>
              <w:t>15,488</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0"/>
              <w:rPr>
                <w:b/>
                <w:spacing w:val="0"/>
              </w:rPr>
            </w:pPr>
            <w:r>
              <w:rPr>
                <w:b/>
                <w:spacing w:val="0"/>
              </w:rPr>
              <w:t>$</w:t>
            </w:r>
          </w:p>
        </w:tc>
        <w:tc>
          <w:tcPr>
            <w:tcW w:w="1123" w:type="dxa"/>
            <w:tcBorders/>
            <w:shd w:fill="CCEEFF" w:val="clear"/>
            <w:vAlign w:val="center"/>
          </w:tcPr>
          <w:p>
            <w:pPr>
              <w:pStyle w:val="TableContents"/>
              <w:spacing w:before="0" w:after="0"/>
              <w:jc w:val="right"/>
              <w:rPr>
                <w:b/>
                <w:spacing w:val="0"/>
              </w:rPr>
            </w:pPr>
            <w:r>
              <w:rPr>
                <w:b/>
                <w:spacing w:val="0"/>
              </w:rPr>
              <w:t>(6,398</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328" w:type="dxa"/>
            <w:tcBorders/>
            <w:shd w:fill="CCEEFF" w:val="clear"/>
            <w:vAlign w:val="center"/>
          </w:tcPr>
          <w:p>
            <w:pPr>
              <w:pStyle w:val="TableContents"/>
              <w:spacing w:before="0" w:after="0"/>
              <w:rPr>
                <w:b/>
                <w:spacing w:val="0"/>
              </w:rPr>
            </w:pPr>
            <w:r>
              <w:rPr>
                <w:b/>
                <w:spacing w:val="0"/>
              </w:rPr>
              <w:t>$</w:t>
            </w:r>
          </w:p>
        </w:tc>
        <w:tc>
          <w:tcPr>
            <w:tcW w:w="1312" w:type="dxa"/>
            <w:tcBorders/>
            <w:shd w:fill="CCEEFF" w:val="clear"/>
            <w:vAlign w:val="center"/>
          </w:tcPr>
          <w:p>
            <w:pPr>
              <w:pStyle w:val="TableContents"/>
              <w:spacing w:before="0" w:after="0"/>
              <w:jc w:val="right"/>
              <w:rPr>
                <w:b/>
                <w:spacing w:val="0"/>
              </w:rPr>
            </w:pPr>
            <w:r>
              <w:rPr>
                <w:b/>
                <w:spacing w:val="0"/>
              </w:rPr>
              <w:t>9,090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0"/>
              <w:rPr>
                <w:b/>
                <w:spacing w:val="0"/>
              </w:rPr>
            </w:pPr>
            <w:r>
              <w:rPr>
                <w:b/>
                <w:spacing w:val="0"/>
              </w:rPr>
              <w:t>$</w:t>
            </w:r>
          </w:p>
        </w:tc>
        <w:tc>
          <w:tcPr>
            <w:tcW w:w="1336" w:type="dxa"/>
            <w:tcBorders/>
            <w:shd w:fill="CCEEFF" w:val="clear"/>
            <w:vAlign w:val="center"/>
          </w:tcPr>
          <w:p>
            <w:pPr>
              <w:pStyle w:val="TableContents"/>
              <w:spacing w:before="0" w:after="0"/>
              <w:jc w:val="right"/>
              <w:rPr>
                <w:b/>
                <w:spacing w:val="0"/>
              </w:rPr>
            </w:pPr>
            <w:r>
              <w:rPr>
                <w:b/>
                <w:spacing w:val="0"/>
              </w:rPr>
              <w:t>13,230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0"/>
              <w:rPr>
                <w:b/>
                <w:spacing w:val="0"/>
              </w:rPr>
            </w:pPr>
            <w:r>
              <w:rPr>
                <w:b/>
                <w:spacing w:val="0"/>
              </w:rPr>
              <w:t>$</w:t>
            </w:r>
          </w:p>
        </w:tc>
        <w:tc>
          <w:tcPr>
            <w:tcW w:w="1123" w:type="dxa"/>
            <w:tcBorders/>
            <w:shd w:fill="CCEEFF" w:val="clear"/>
            <w:vAlign w:val="center"/>
          </w:tcPr>
          <w:p>
            <w:pPr>
              <w:pStyle w:val="TableContents"/>
              <w:spacing w:before="0" w:after="0"/>
              <w:jc w:val="right"/>
              <w:rPr>
                <w:b/>
                <w:spacing w:val="0"/>
              </w:rPr>
            </w:pPr>
            <w:r>
              <w:rPr>
                <w:b/>
                <w:spacing w:val="0"/>
              </w:rPr>
              <w:t>(5,381</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328" w:type="dxa"/>
            <w:tcBorders/>
            <w:shd w:fill="CCEEFF" w:val="clear"/>
            <w:vAlign w:val="center"/>
          </w:tcPr>
          <w:p>
            <w:pPr>
              <w:pStyle w:val="TableContents"/>
              <w:spacing w:before="0" w:after="0"/>
              <w:rPr>
                <w:b/>
                <w:spacing w:val="0"/>
              </w:rPr>
            </w:pPr>
            <w:r>
              <w:rPr>
                <w:b/>
                <w:spacing w:val="0"/>
              </w:rPr>
              <w:t>$</w:t>
            </w:r>
          </w:p>
        </w:tc>
        <w:tc>
          <w:tcPr>
            <w:tcW w:w="1312" w:type="dxa"/>
            <w:tcBorders/>
            <w:shd w:fill="CCEEFF" w:val="clear"/>
            <w:vAlign w:val="center"/>
          </w:tcPr>
          <w:p>
            <w:pPr>
              <w:pStyle w:val="TableContents"/>
              <w:spacing w:before="0" w:after="0"/>
              <w:jc w:val="right"/>
              <w:rPr>
                <w:b/>
                <w:spacing w:val="0"/>
              </w:rPr>
            </w:pPr>
            <w:r>
              <w:rPr>
                <w:b/>
                <w:spacing w:val="0"/>
              </w:rPr>
              <w:t>7,849</w:t>
            </w:r>
          </w:p>
        </w:tc>
        <w:tc>
          <w:tcPr>
            <w:tcW w:w="75" w:type="dxa"/>
            <w:tcBorders/>
            <w:shd w:fill="CCEEFF" w:val="clear"/>
            <w:vAlign w:val="center"/>
          </w:tcPr>
          <w:p>
            <w:pPr>
              <w:pStyle w:val="TableContents"/>
              <w:spacing w:before="0" w:after="0"/>
              <w:rPr>
                <w:spacing w:val="0"/>
              </w:rPr>
            </w:pPr>
            <w:r>
              <w:rPr>
                <w:spacing w:val="0"/>
              </w:rPr>
              <w:t> </w:t>
            </w:r>
          </w:p>
        </w:tc>
      </w:tr>
      <w:tr>
        <w:trPr/>
        <w:tc>
          <w:tcPr>
            <w:tcW w:w="2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3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3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future estimated amortization expenses as of March 31, 2022, were as follows (in thousands): </w:t>
      </w:r>
    </w:p>
    <w:p>
      <w:pPr>
        <w:pStyle w:val="TextBody"/>
        <w:spacing w:before="0" w:after="0"/>
        <w:jc w:val="left"/>
        <w:rPr>
          <w:spacing w:val="0"/>
        </w:rPr>
      </w:pPr>
      <w:r>
        <w:rPr>
          <w:spacing w:val="0"/>
        </w:rPr>
        <w:t> </w:t>
      </w:r>
    </w:p>
    <w:tbl>
      <w:tblPr>
        <w:tblW w:w="3105" w:type="dxa"/>
        <w:jc w:val="left"/>
        <w:tblInd w:w="0" w:type="dxa"/>
        <w:tblCellMar>
          <w:top w:w="0" w:type="dxa"/>
          <w:left w:w="0" w:type="dxa"/>
          <w:bottom w:w="0" w:type="dxa"/>
          <w:right w:w="0" w:type="dxa"/>
        </w:tblCellMar>
      </w:tblPr>
      <w:tblGrid>
        <w:gridCol w:w="2210"/>
        <w:gridCol w:w="120"/>
        <w:gridCol w:w="140"/>
        <w:gridCol w:w="560"/>
        <w:gridCol w:w="75"/>
      </w:tblGrid>
      <w:tr>
        <w:trPr/>
        <w:tc>
          <w:tcPr>
            <w:tcW w:w="22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 (remaining)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3,269</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3,604</w:t>
            </w:r>
          </w:p>
        </w:tc>
        <w:tc>
          <w:tcPr>
            <w:tcW w:w="75"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2,034</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133</w:t>
            </w:r>
          </w:p>
        </w:tc>
        <w:tc>
          <w:tcPr>
            <w:tcW w:w="75"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8</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Thereafter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future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560" w:type="dxa"/>
            <w:tcBorders/>
            <w:shd w:fill="CCEEFF" w:val="clear"/>
            <w:vAlign w:val="center"/>
          </w:tcPr>
          <w:p>
            <w:pPr>
              <w:pStyle w:val="TableContents"/>
              <w:spacing w:before="0" w:after="0"/>
              <w:jc w:val="right"/>
              <w:rPr>
                <w:b/>
                <w:spacing w:val="0"/>
              </w:rPr>
            </w:pPr>
            <w:r>
              <w:rPr>
                <w:b/>
                <w:spacing w:val="0"/>
              </w:rPr>
              <w:t>9,090</w:t>
            </w:r>
          </w:p>
        </w:tc>
        <w:tc>
          <w:tcPr>
            <w:tcW w:w="75" w:type="dxa"/>
            <w:tcBorders/>
            <w:shd w:fill="CCEEFF" w:val="clear"/>
            <w:vAlign w:val="center"/>
          </w:tcPr>
          <w:p>
            <w:pPr>
              <w:pStyle w:val="TableContents"/>
              <w:spacing w:before="0" w:after="0"/>
              <w:rPr>
                <w:spacing w:val="0"/>
              </w:rPr>
            </w:pPr>
            <w:r>
              <w:rPr>
                <w:spacing w:val="0"/>
              </w:rPr>
              <w:t> </w:t>
            </w:r>
          </w:p>
        </w:tc>
      </w:tr>
      <w:tr>
        <w:trPr/>
        <w:tc>
          <w:tcPr>
            <w:tcW w:w="22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Amortization expense for the three months ended March 31, 2022 and 2021, was approximately $1.0 million and $0.6 million, respectively. No impairment charges were recognized related to long-lived assets for the three months ended March 31, 2022 and 2021.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7 Accrued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Accrued expenses consisted of the following (dollars in thousands): </w:t>
      </w:r>
    </w:p>
    <w:p>
      <w:pPr>
        <w:pStyle w:val="TextBody"/>
        <w:spacing w:before="0" w:after="0"/>
        <w:jc w:val="left"/>
        <w:rPr>
          <w:spacing w:val="0"/>
        </w:rPr>
      </w:pPr>
      <w:r>
        <w:rPr>
          <w:spacing w:val="0"/>
        </w:rPr>
        <w:t> </w:t>
      </w:r>
    </w:p>
    <w:tbl>
      <w:tblPr>
        <w:tblW w:w="7110" w:type="dxa"/>
        <w:jc w:val="left"/>
        <w:tblInd w:w="0" w:type="dxa"/>
        <w:tblCellMar>
          <w:top w:w="0" w:type="dxa"/>
          <w:left w:w="0" w:type="dxa"/>
          <w:bottom w:w="0" w:type="dxa"/>
          <w:right w:w="0" w:type="dxa"/>
        </w:tblCellMar>
      </w:tblPr>
      <w:tblGrid>
        <w:gridCol w:w="3170"/>
        <w:gridCol w:w="120"/>
        <w:gridCol w:w="256"/>
        <w:gridCol w:w="1354"/>
        <w:gridCol w:w="60"/>
        <w:gridCol w:w="120"/>
        <w:gridCol w:w="311"/>
        <w:gridCol w:w="1644"/>
        <w:gridCol w:w="75"/>
      </w:tblGrid>
      <w:tr>
        <w:trPr/>
        <w:tc>
          <w:tcPr>
            <w:tcW w:w="3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March 31,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 2021</w:t>
            </w:r>
          </w:p>
        </w:tc>
        <w:tc>
          <w:tcPr>
            <w:tcW w:w="75" w:type="dxa"/>
            <w:tcBorders/>
            <w:shd w:fill="auto" w:val="clear"/>
            <w:vAlign w:val="center"/>
          </w:tcPr>
          <w:p>
            <w:pPr>
              <w:pStyle w:val="TableContents"/>
              <w:spacing w:before="0" w:after="283"/>
              <w:rPr/>
            </w:pPr>
            <w:r>
              <w:rPr/>
              <w:t> </w:t>
            </w:r>
          </w:p>
        </w:tc>
      </w:tr>
      <w:tr>
        <w:trPr/>
        <w:tc>
          <w:tcPr>
            <w:tcW w:w="31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charitable contributions</w:t>
            </w:r>
          </w:p>
        </w:tc>
        <w:tc>
          <w:tcPr>
            <w:tcW w:w="12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rPr/>
            </w:pPr>
            <w:r>
              <w:rPr/>
              <w:t> </w:t>
            </w:r>
          </w:p>
        </w:tc>
        <w:tc>
          <w:tcPr>
            <w:tcW w:w="1354" w:type="dxa"/>
            <w:tcBorders/>
            <w:shd w:fill="CCEEFF" w:val="clear"/>
            <w:vAlign w:val="center"/>
          </w:tcPr>
          <w:p>
            <w:pPr>
              <w:pStyle w:val="TableContents"/>
              <w:spacing w:before="0" w:after="283"/>
              <w:jc w:val="right"/>
              <w:rPr/>
            </w:pPr>
            <w:r>
              <w:rPr/>
              <w:t>5,868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1" w:type="dxa"/>
            <w:tcBorders/>
            <w:shd w:fill="CCEEFF" w:val="clear"/>
            <w:vAlign w:val="center"/>
          </w:tcPr>
          <w:p>
            <w:pPr>
              <w:pStyle w:val="TableContents"/>
              <w:spacing w:before="0" w:after="283"/>
              <w:rPr/>
            </w:pPr>
            <w:r>
              <w:rPr/>
              <w:t>$</w:t>
            </w:r>
          </w:p>
        </w:tc>
        <w:tc>
          <w:tcPr>
            <w:tcW w:w="1644" w:type="dxa"/>
            <w:tcBorders/>
            <w:shd w:fill="CCEEFF" w:val="clear"/>
            <w:vAlign w:val="center"/>
          </w:tcPr>
          <w:p>
            <w:pPr>
              <w:pStyle w:val="TableContents"/>
              <w:spacing w:before="0" w:after="283"/>
              <w:jc w:val="right"/>
              <w:rPr/>
            </w:pPr>
            <w:r>
              <w:rPr/>
              <w:t>7,164</w:t>
            </w:r>
          </w:p>
        </w:tc>
        <w:tc>
          <w:tcPr>
            <w:tcW w:w="75" w:type="dxa"/>
            <w:tcBorders/>
            <w:shd w:fill="CCEEFF"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compensation</w:t>
            </w:r>
          </w:p>
        </w:tc>
        <w:tc>
          <w:tcPr>
            <w:tcW w:w="120"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1354" w:type="dxa"/>
            <w:tcBorders/>
            <w:shd w:fill="auto" w:val="clear"/>
            <w:vAlign w:val="center"/>
          </w:tcPr>
          <w:p>
            <w:pPr>
              <w:pStyle w:val="TableContents"/>
              <w:spacing w:before="0" w:after="283"/>
              <w:jc w:val="right"/>
              <w:rPr/>
            </w:pPr>
            <w:r>
              <w:rPr/>
              <w:t>2,282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1644" w:type="dxa"/>
            <w:tcBorders/>
            <w:shd w:fill="auto" w:val="clear"/>
            <w:vAlign w:val="center"/>
          </w:tcPr>
          <w:p>
            <w:pPr>
              <w:pStyle w:val="TableContents"/>
              <w:spacing w:before="0" w:after="283"/>
              <w:jc w:val="right"/>
              <w:rPr/>
            </w:pPr>
            <w:r>
              <w:rPr/>
              <w:t>1,522</w:t>
            </w:r>
          </w:p>
        </w:tc>
        <w:tc>
          <w:tcPr>
            <w:tcW w:w="75" w:type="dxa"/>
            <w:tcBorders/>
            <w:shd w:fill="auto" w:val="clear"/>
            <w:vAlign w:val="center"/>
          </w:tcPr>
          <w:p>
            <w:pPr>
              <w:pStyle w:val="TableContents"/>
              <w:spacing w:before="0" w:after="283"/>
              <w:rPr/>
            </w:pPr>
            <w:r>
              <w:rPr/>
              <w:t> </w:t>
            </w:r>
          </w:p>
        </w:tc>
      </w:tr>
      <w:tr>
        <w:trPr/>
        <w:tc>
          <w:tcPr>
            <w:tcW w:w="31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tax payable</w:t>
            </w:r>
          </w:p>
        </w:tc>
        <w:tc>
          <w:tcPr>
            <w:tcW w:w="12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rPr/>
            </w:pPr>
            <w:r>
              <w:rPr/>
              <w:t> </w:t>
            </w:r>
          </w:p>
        </w:tc>
        <w:tc>
          <w:tcPr>
            <w:tcW w:w="1354" w:type="dxa"/>
            <w:tcBorders/>
            <w:shd w:fill="CCEEFF" w:val="clear"/>
            <w:vAlign w:val="center"/>
          </w:tcPr>
          <w:p>
            <w:pPr>
              <w:pStyle w:val="TableContents"/>
              <w:spacing w:before="0" w:after="283"/>
              <w:jc w:val="right"/>
              <w:rPr/>
            </w:pPr>
            <w:r>
              <w:rPr/>
              <w:t>1,088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1" w:type="dxa"/>
            <w:tcBorders/>
            <w:shd w:fill="CCEEFF" w:val="clear"/>
            <w:vAlign w:val="center"/>
          </w:tcPr>
          <w:p>
            <w:pPr>
              <w:pStyle w:val="TableContents"/>
              <w:spacing w:before="0" w:after="283"/>
              <w:rPr/>
            </w:pPr>
            <w:r>
              <w:rPr/>
              <w:t> </w:t>
            </w:r>
          </w:p>
        </w:tc>
        <w:tc>
          <w:tcPr>
            <w:tcW w:w="1644" w:type="dxa"/>
            <w:tcBorders/>
            <w:shd w:fill="CCEEFF" w:val="clear"/>
            <w:vAlign w:val="center"/>
          </w:tcPr>
          <w:p>
            <w:pPr>
              <w:pStyle w:val="TableContents"/>
              <w:spacing w:before="0" w:after="283"/>
              <w:jc w:val="right"/>
              <w:rPr/>
            </w:pPr>
            <w:r>
              <w:rPr/>
              <w:t>1,208</w:t>
            </w:r>
          </w:p>
        </w:tc>
        <w:tc>
          <w:tcPr>
            <w:tcW w:w="75" w:type="dxa"/>
            <w:tcBorders/>
            <w:shd w:fill="CCEEFF"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professional and program fees</w:t>
            </w:r>
          </w:p>
        </w:tc>
        <w:tc>
          <w:tcPr>
            <w:tcW w:w="120"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1354" w:type="dxa"/>
            <w:tcBorders/>
            <w:shd w:fill="auto" w:val="clear"/>
            <w:vAlign w:val="center"/>
          </w:tcPr>
          <w:p>
            <w:pPr>
              <w:pStyle w:val="TableContents"/>
              <w:spacing w:before="0" w:after="283"/>
              <w:jc w:val="right"/>
              <w:rPr/>
            </w:pPr>
            <w:r>
              <w:rPr/>
              <w:t>1,494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1644" w:type="dxa"/>
            <w:tcBorders/>
            <w:shd w:fill="auto" w:val="clear"/>
            <w:vAlign w:val="center"/>
          </w:tcPr>
          <w:p>
            <w:pPr>
              <w:pStyle w:val="TableContents"/>
              <w:spacing w:before="0" w:after="283"/>
              <w:jc w:val="right"/>
              <w:rPr/>
            </w:pPr>
            <w:r>
              <w:rPr/>
              <w:t>2,163</w:t>
            </w:r>
          </w:p>
        </w:tc>
        <w:tc>
          <w:tcPr>
            <w:tcW w:w="75" w:type="dxa"/>
            <w:tcBorders/>
            <w:shd w:fill="auto" w:val="clear"/>
            <w:vAlign w:val="center"/>
          </w:tcPr>
          <w:p>
            <w:pPr>
              <w:pStyle w:val="TableContents"/>
              <w:spacing w:before="0" w:after="283"/>
              <w:rPr/>
            </w:pPr>
            <w:r>
              <w:rPr/>
              <w:t> </w:t>
            </w:r>
          </w:p>
        </w:tc>
      </w:tr>
      <w:tr>
        <w:trPr/>
        <w:tc>
          <w:tcPr>
            <w:tcW w:w="31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rPr/>
            </w:pPr>
            <w:r>
              <w:rPr/>
              <w:t> </w:t>
            </w:r>
          </w:p>
        </w:tc>
        <w:tc>
          <w:tcPr>
            <w:tcW w:w="1354" w:type="dxa"/>
            <w:tcBorders/>
            <w:shd w:fill="CCEEFF" w:val="clear"/>
            <w:vAlign w:val="center"/>
          </w:tcPr>
          <w:p>
            <w:pPr>
              <w:pStyle w:val="TableContents"/>
              <w:spacing w:before="0" w:after="283"/>
              <w:jc w:val="right"/>
              <w:rPr/>
            </w:pPr>
            <w:r>
              <w:rPr/>
              <w:t>877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1" w:type="dxa"/>
            <w:tcBorders/>
            <w:shd w:fill="CCEEFF" w:val="clear"/>
            <w:vAlign w:val="center"/>
          </w:tcPr>
          <w:p>
            <w:pPr>
              <w:pStyle w:val="TableContents"/>
              <w:spacing w:before="0" w:after="283"/>
              <w:rPr/>
            </w:pPr>
            <w:r>
              <w:rPr/>
              <w:t> </w:t>
            </w:r>
          </w:p>
        </w:tc>
        <w:tc>
          <w:tcPr>
            <w:tcW w:w="1644" w:type="dxa"/>
            <w:tcBorders/>
            <w:shd w:fill="CCEEFF" w:val="clear"/>
            <w:vAlign w:val="center"/>
          </w:tcPr>
          <w:p>
            <w:pPr>
              <w:pStyle w:val="TableContents"/>
              <w:spacing w:before="0" w:after="283"/>
              <w:jc w:val="right"/>
              <w:rPr/>
            </w:pPr>
            <w:r>
              <w:rPr/>
              <w:t>988</w:t>
            </w:r>
          </w:p>
        </w:tc>
        <w:tc>
          <w:tcPr>
            <w:tcW w:w="75" w:type="dxa"/>
            <w:tcBorders/>
            <w:shd w:fill="CCEEFF"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7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0"/>
              <w:rPr>
                <w:b/>
                <w:spacing w:val="0"/>
              </w:rPr>
            </w:pPr>
            <w:r>
              <w:rPr>
                <w:b/>
                <w:spacing w:val="0"/>
              </w:rPr>
              <w:t>$</w:t>
            </w:r>
          </w:p>
        </w:tc>
        <w:tc>
          <w:tcPr>
            <w:tcW w:w="1354" w:type="dxa"/>
            <w:tcBorders/>
            <w:shd w:fill="auto" w:val="clear"/>
            <w:vAlign w:val="center"/>
          </w:tcPr>
          <w:p>
            <w:pPr>
              <w:pStyle w:val="TableContents"/>
              <w:spacing w:before="0" w:after="0"/>
              <w:jc w:val="right"/>
              <w:rPr>
                <w:spacing w:val="0"/>
              </w:rPr>
            </w:pPr>
            <w:r>
              <w:rPr>
                <w:spacing w:val="0"/>
              </w:rPr>
              <w:t> </w:t>
            </w:r>
            <w:r>
              <w:rPr>
                <w:b/>
                <w:spacing w:val="0"/>
              </w:rPr>
              <w:t>11,609</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0"/>
              <w:rPr>
                <w:b/>
                <w:spacing w:val="0"/>
              </w:rPr>
            </w:pPr>
            <w:r>
              <w:rPr>
                <w:b/>
                <w:spacing w:val="0"/>
              </w:rPr>
              <w:t>$</w:t>
            </w:r>
          </w:p>
        </w:tc>
        <w:tc>
          <w:tcPr>
            <w:tcW w:w="1644" w:type="dxa"/>
            <w:tcBorders/>
            <w:shd w:fill="auto" w:val="clear"/>
            <w:vAlign w:val="center"/>
          </w:tcPr>
          <w:p>
            <w:pPr>
              <w:pStyle w:val="TableContents"/>
              <w:spacing w:before="0" w:after="0"/>
              <w:jc w:val="right"/>
              <w:rPr>
                <w:spacing w:val="0"/>
              </w:rPr>
            </w:pPr>
            <w:r>
              <w:rPr>
                <w:spacing w:val="0"/>
              </w:rPr>
              <w:t> </w:t>
            </w:r>
            <w:r>
              <w:rPr>
                <w:b/>
                <w:spacing w:val="0"/>
              </w:rPr>
              <w:t>13,045</w:t>
            </w:r>
          </w:p>
        </w:tc>
        <w:tc>
          <w:tcPr>
            <w:tcW w:w="75" w:type="dxa"/>
            <w:tcBorders/>
            <w:shd w:fill="auto" w:val="clear"/>
            <w:vAlign w:val="center"/>
          </w:tcPr>
          <w:p>
            <w:pPr>
              <w:pStyle w:val="TableContents"/>
              <w:spacing w:before="0" w:after="0"/>
              <w:rPr>
                <w:spacing w:val="0"/>
              </w:rPr>
            </w:pPr>
            <w:r>
              <w:rPr>
                <w:spacing w:val="0"/>
              </w:rPr>
              <w:t> </w:t>
            </w:r>
          </w:p>
        </w:tc>
      </w:tr>
      <w:tr>
        <w:trPr/>
        <w:tc>
          <w:tcPr>
            <w:tcW w:w="31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Accrued charitable contributions include amounts the Company has pledged related to charitable meal donations. The Company uses a portion of tips received to make a charitable cash donation to third parties who use the funds to provide meals to those in need. For the three month periods ended March 31, 2022 and 2021, the Company pledged approximately $1.0 million (unaudited) and $1.2 million (unaudited) related to charitable donations, respectively. These costs are expensed as incurred and are presented within other general and administrative expenses in the condensed consolidated statements of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Accrued compensation includes accrued bonuses and one half of the portion of employer Social Security payroll taxes deferred under the CARES Act. Other accrued expenses include accrued professional fees, legal fees, and accrued banking and program fees.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8 Line of Credit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November 2017, the Company entered into a line of credit agreement with UBS (the “UBS Agreement”). Issuance costs related to this transaction were not significant. There is no stated maturity date, there are no financial covenants and the amount of line of credit is solely dependent upon the total amount of assets the Company holds with UBS at any given point. During 2021, the Company repaid $3.9 million and the UBS Agreement was terminated in March 2021.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9 Convertible Note Payable </w:t>
      </w:r>
    </w:p>
    <w:p>
      <w:pPr>
        <w:pStyle w:val="TextBody"/>
        <w:spacing w:before="120" w:after="0"/>
        <w:jc w:val="left"/>
        <w:rPr>
          <w:rFonts w:ascii="Times New Roman" w:hAnsi="Times New Roman"/>
          <w:sz w:val="20"/>
        </w:rPr>
      </w:pPr>
      <w:r>
        <w:rPr>
          <w:rFonts w:ascii="Times New Roman" w:hAnsi="Times New Roman"/>
          <w:sz w:val="20"/>
        </w:rPr>
        <w:t>On March 21, 2022, the Company entered into a Convertible Note Purchase Agreement (“Purchase Agreement”) with FTX Ventures Ltd., (the “Purchaser”) owner of FTX US (“FTX”), providing for the purchase and sale of a Convertible Note in the initial principal amount of $</w:t>
      </w:r>
    </w:p>
    <w:p>
      <w:pPr>
        <w:pStyle w:val="TextBody"/>
        <w:spacing w:before="120" w:after="0"/>
        <w:jc w:val="left"/>
        <w:rPr>
          <w:rFonts w:ascii="Times New Roman" w:hAnsi="Times New Roman"/>
          <w:sz w:val="20"/>
        </w:rPr>
      </w:pPr>
      <w:r>
        <w:rPr>
          <w:rFonts w:ascii="Times New Roman" w:hAnsi="Times New Roman"/>
          <w:sz w:val="20"/>
        </w:rPr>
        <w:t>100.0</w:t>
      </w:r>
    </w:p>
    <w:p>
      <w:pPr>
        <w:pStyle w:val="TextBody"/>
        <w:spacing w:before="120" w:after="0"/>
        <w:jc w:val="left"/>
        <w:rPr/>
      </w:pPr>
      <w:r>
        <w:rPr/>
        <w:t> </w:t>
      </w:r>
      <w:r>
        <w:rPr>
          <w:rFonts w:ascii="Times New Roman" w:hAnsi="Times New Roman"/>
          <w:sz w:val="20"/>
        </w:rPr>
        <w:t xml:space="preserve">million (the “Note”). The Note bears interest at a rate of </w:t>
      </w:r>
    </w:p>
    <w:p>
      <w:pPr>
        <w:pStyle w:val="TextBody"/>
        <w:spacing w:before="120" w:after="0"/>
        <w:jc w:val="left"/>
        <w:rPr>
          <w:rFonts w:ascii="Times New Roman" w:hAnsi="Times New Roman"/>
          <w:sz w:val="20"/>
        </w:rPr>
      </w:pPr>
      <w:r>
        <w:rPr>
          <w:rFonts w:ascii="Times New Roman" w:hAnsi="Times New Roman"/>
          <w:sz w:val="20"/>
        </w:rPr>
        <w:t>3.00</w:t>
      </w:r>
    </w:p>
    <w:p>
      <w:pPr>
        <w:pStyle w:val="TextBody"/>
        <w:spacing w:before="120" w:after="0"/>
        <w:jc w:val="left"/>
        <w:rPr>
          <w:rFonts w:ascii="Times New Roman" w:hAnsi="Times New Roman"/>
          <w:sz w:val="20"/>
        </w:rPr>
      </w:pPr>
      <w:r>
        <w:rPr>
          <w:rFonts w:ascii="Times New Roman" w:hAnsi="Times New Roman"/>
          <w:sz w:val="20"/>
        </w:rPr>
        <w:t>% per year (compounded semiannually), payable semi-annually in arrears on June 30</w:t>
      </w:r>
    </w:p>
    <w:p>
      <w:pPr>
        <w:pStyle w:val="TextBody"/>
        <w:spacing w:before="120" w:after="0"/>
        <w:jc w:val="left"/>
        <w:rPr>
          <w:rFonts w:ascii="Times New Roman" w:hAnsi="Times New Roman"/>
          <w:sz w:val="14"/>
        </w:rPr>
      </w:pPr>
      <w:r>
        <w:rPr>
          <w:rFonts w:ascii="Times New Roman" w:hAnsi="Times New Roman"/>
          <w:sz w:val="14"/>
        </w:rPr>
        <w:t>th</w:t>
      </w:r>
    </w:p>
    <w:p>
      <w:pPr>
        <w:pStyle w:val="TextBody"/>
        <w:spacing w:before="120" w:after="0"/>
        <w:jc w:val="left"/>
        <w:rPr>
          <w:rFonts w:ascii="Times New Roman" w:hAnsi="Times New Roman"/>
          <w:sz w:val="20"/>
        </w:rPr>
      </w:pPr>
      <w:r>
        <w:rPr>
          <w:rFonts w:ascii="Times New Roman" w:hAnsi="Times New Roman"/>
          <w:sz w:val="20"/>
        </w:rPr>
        <w:t>and December 31</w:t>
      </w:r>
    </w:p>
    <w:p>
      <w:pPr>
        <w:pStyle w:val="TextBody"/>
        <w:spacing w:before="120" w:after="0"/>
        <w:jc w:val="left"/>
        <w:rPr>
          <w:rFonts w:ascii="Times New Roman" w:hAnsi="Times New Roman"/>
          <w:sz w:val="14"/>
        </w:rPr>
      </w:pPr>
      <w:r>
        <w:rPr>
          <w:rFonts w:ascii="Times New Roman" w:hAnsi="Times New Roman"/>
          <w:sz w:val="14"/>
        </w:rPr>
        <w:t>st</w:t>
      </w:r>
    </w:p>
    <w:p>
      <w:pPr>
        <w:pStyle w:val="TextBody"/>
        <w:spacing w:before="120" w:after="0"/>
        <w:jc w:val="left"/>
        <w:rPr>
          <w:rFonts w:ascii="Times New Roman" w:hAnsi="Times New Roman"/>
          <w:sz w:val="20"/>
        </w:rPr>
      </w:pPr>
      <w:r>
        <w:rPr>
          <w:rFonts w:ascii="Times New Roman" w:hAnsi="Times New Roman"/>
          <w:sz w:val="20"/>
        </w:rPr>
        <w:t xml:space="preserve">of each year. Interest may be paid </w:t>
      </w:r>
    </w:p>
    <w:p>
      <w:pPr>
        <w:pStyle w:val="TextBody"/>
        <w:spacing w:before="120" w:after="0"/>
        <w:jc w:val="left"/>
        <w:rPr>
          <w:rFonts w:ascii="Times New Roman" w:hAnsi="Times New Roman"/>
          <w:spacing w:val="0"/>
          <w:sz w:val="20"/>
        </w:rPr>
      </w:pPr>
      <w:r>
        <w:rPr>
          <w:rFonts w:ascii="Times New Roman" w:hAnsi="Times New Roman"/>
          <w:spacing w:val="0"/>
          <w:sz w:val="20"/>
        </w:rPr>
        <w:t>in-kind</w:t>
      </w:r>
    </w:p>
    <w:p>
      <w:pPr>
        <w:pStyle w:val="TextBody"/>
        <w:spacing w:before="120" w:after="0"/>
        <w:jc w:val="left"/>
        <w:rPr>
          <w:rFonts w:ascii="Times New Roman" w:hAnsi="Times New Roman"/>
          <w:sz w:val="20"/>
        </w:rPr>
      </w:pPr>
      <w:r>
        <w:rPr>
          <w:rFonts w:ascii="Times New Roman" w:hAnsi="Times New Roman"/>
          <w:sz w:val="20"/>
        </w:rPr>
        <w:t>or in cash, at the Company’s option.</w:t>
      </w:r>
    </w:p>
    <w:p>
      <w:pPr>
        <w:pStyle w:val="TextBody"/>
        <w:spacing w:before="120" w:after="0"/>
        <w:jc w:val="left"/>
        <w:rPr>
          <w:rFonts w:ascii="Times New Roman" w:hAnsi="Times New Roman"/>
          <w:sz w:val="20"/>
        </w:rPr>
      </w:pPr>
      <w:r>
        <w:rPr>
          <w:rFonts w:ascii="Times New Roman" w:hAnsi="Times New Roman"/>
          <w:sz w:val="20"/>
        </w:rPr>
        <w:t>Forty-eight months</w:t>
      </w:r>
    </w:p>
    <w:p>
      <w:pPr>
        <w:pStyle w:val="TextBody"/>
        <w:spacing w:before="120" w:after="0"/>
        <w:jc w:val="left"/>
        <w:rPr>
          <w:rFonts w:ascii="Times New Roman" w:hAnsi="Times New Roman"/>
          <w:sz w:val="20"/>
        </w:rPr>
      </w:pPr>
      <w:r>
        <w:rPr>
          <w:rFonts w:ascii="Times New Roman" w:hAnsi="Times New Roman"/>
          <w:sz w:val="20"/>
        </w:rPr>
        <w:t xml:space="preserve">(the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cancelled and retired.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10 Note Payable </w:t>
      </w:r>
    </w:p>
    <w:p>
      <w:pPr>
        <w:pStyle w:val="TextBody"/>
        <w:spacing w:before="120" w:after="0"/>
        <w:jc w:val="left"/>
        <w:rPr>
          <w:rFonts w:ascii="Times New Roman" w:hAnsi="Times New Roman"/>
          <w:sz w:val="20"/>
        </w:rPr>
      </w:pPr>
      <w:r>
        <w:rPr>
          <w:rFonts w:ascii="Times New Roman" w:hAnsi="Times New Roman"/>
          <w:sz w:val="20"/>
        </w:rPr>
        <w:t xml:space="preserve">In August 2021, VPCC entered into an amendment to the private investment in public equity (“PIPE”) subscription agreement (“PIPE Amendment”) it previously entered into with Alameda Research Ventures LLC (“Alameda Research”) in connection with the proposed business combination with the Company (refer to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Note 1,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Organization and Nature of Business</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The PIPE Amendment called for a $</w:t>
      </w:r>
    </w:p>
    <w:p>
      <w:pPr>
        <w:pStyle w:val="TextBody"/>
        <w:spacing w:before="120" w:after="0"/>
        <w:jc w:val="left"/>
        <w:rPr>
          <w:rFonts w:ascii="Times New Roman" w:hAnsi="Times New Roman"/>
          <w:sz w:val="20"/>
        </w:rPr>
      </w:pPr>
      <w:r>
        <w:rPr>
          <w:rFonts w:ascii="Times New Roman" w:hAnsi="Times New Roman"/>
          <w:sz w:val="20"/>
        </w:rPr>
        <w:t>15.0</w:t>
      </w:r>
    </w:p>
    <w:p>
      <w:pPr>
        <w:pStyle w:val="TextBody"/>
        <w:spacing w:before="120" w:after="0"/>
        <w:jc w:val="left"/>
        <w:rPr/>
      </w:pPr>
      <w:r>
        <w:rPr/>
        <w:t> </w:t>
      </w:r>
      <w:r>
        <w:rPr>
          <w:rFonts w:ascii="Times New Roman" w:hAnsi="Times New Roman"/>
          <w:sz w:val="20"/>
        </w:rPr>
        <w:t xml:space="preserve">million </w:t>
      </w:r>
    </w:p>
    <w:p>
      <w:pPr>
        <w:pStyle w:val="TextBody"/>
        <w:spacing w:before="120" w:after="0"/>
        <w:jc w:val="left"/>
        <w:rPr>
          <w:rFonts w:ascii="Times New Roman" w:hAnsi="Times New Roman"/>
          <w:spacing w:val="0"/>
          <w:sz w:val="20"/>
        </w:rPr>
      </w:pPr>
      <w:r>
        <w:rPr>
          <w:rFonts w:ascii="Times New Roman" w:hAnsi="Times New Roman"/>
          <w:spacing w:val="0"/>
          <w:sz w:val="20"/>
        </w:rPr>
        <w:t>pre-funding,</w:t>
      </w:r>
    </w:p>
    <w:p>
      <w:pPr>
        <w:pStyle w:val="TextBody"/>
        <w:spacing w:before="120" w:after="0"/>
        <w:jc w:val="left"/>
        <w:rPr>
          <w:rFonts w:ascii="Times New Roman" w:hAnsi="Times New Roman"/>
          <w:sz w:val="20"/>
        </w:rPr>
      </w:pPr>
      <w:r>
        <w:rPr>
          <w:rFonts w:ascii="Times New Roman" w:hAnsi="Times New Roman"/>
          <w:sz w:val="20"/>
        </w:rPr>
        <w:t xml:space="preserve">which was facilitated through the issuance of an unsecured promissory note by the Company to Alameda Research during November 2021. The Company’s obligations to repay the principal amount of the promissory note were discharged through the issuance of </w:t>
      </w:r>
    </w:p>
    <w:p>
      <w:pPr>
        <w:pStyle w:val="TextBody"/>
        <w:spacing w:before="120" w:after="0"/>
        <w:jc w:val="left"/>
        <w:rPr>
          <w:rFonts w:ascii="Times New Roman" w:hAnsi="Times New Roman"/>
          <w:sz w:val="20"/>
        </w:rPr>
      </w:pPr>
      <w:r>
        <w:rPr>
          <w:rFonts w:ascii="Times New Roman" w:hAnsi="Times New Roman"/>
          <w:sz w:val="20"/>
        </w:rPr>
        <w:t>1.5</w:t>
      </w:r>
    </w:p>
    <w:p>
      <w:pPr>
        <w:pStyle w:val="TextBody"/>
        <w:spacing w:before="120" w:after="0"/>
        <w:jc w:val="left"/>
        <w:rPr/>
      </w:pPr>
      <w:r>
        <w:rPr/>
        <w:t> </w:t>
      </w:r>
      <w:r>
        <w:rPr>
          <w:rFonts w:ascii="Times New Roman" w:hAnsi="Times New Roman"/>
          <w:sz w:val="20"/>
        </w:rPr>
        <w:t xml:space="preserve">million shares of VPCC to Alameda Research at the closing of the Business Combination. The promissory note bore an interest rate of the applicable short-term federal rate and was due at the earlier of (i) the </w:t>
      </w:r>
    </w:p>
    <w:p>
      <w:pPr>
        <w:pStyle w:val="TextBody"/>
        <w:spacing w:before="120" w:after="0"/>
        <w:jc w:val="left"/>
        <w:rPr>
          <w:rFonts w:ascii="Times New Roman" w:hAnsi="Times New Roman"/>
          <w:spacing w:val="0"/>
          <w:sz w:val="20"/>
        </w:rPr>
      </w:pPr>
      <w:r>
        <w:rPr>
          <w:rFonts w:ascii="Times New Roman" w:hAnsi="Times New Roman"/>
          <w:spacing w:val="0"/>
          <w:sz w:val="20"/>
        </w:rPr>
        <w:t>one-year</w:t>
      </w:r>
    </w:p>
    <w:p>
      <w:pPr>
        <w:pStyle w:val="TextBody"/>
        <w:spacing w:before="120" w:after="0"/>
        <w:jc w:val="left"/>
        <w:rPr>
          <w:rFonts w:ascii="Times New Roman" w:hAnsi="Times New Roman"/>
          <w:sz w:val="20"/>
        </w:rPr>
      </w:pPr>
      <w:r>
        <w:rPr>
          <w:rFonts w:ascii="Times New Roman" w:hAnsi="Times New Roman"/>
          <w:sz w:val="20"/>
        </w:rPr>
        <w:t xml:space="preserve">anniversary of the promissory note or (ii) an event of default. </w:t>
      </w:r>
    </w:p>
    <w:p>
      <w:pPr>
        <w:pStyle w:val="TextBody"/>
        <w:spacing w:before="240" w:after="0"/>
        <w:jc w:val="left"/>
        <w:rPr>
          <w:rFonts w:ascii="Times New Roman" w:hAnsi="Times New Roman"/>
          <w:sz w:val="20"/>
        </w:rPr>
      </w:pPr>
      <w:r>
        <w:rPr>
          <w:rFonts w:ascii="Times New Roman" w:hAnsi="Times New Roman"/>
          <w:sz w:val="20"/>
        </w:rPr>
        <w:t xml:space="preserve">The Company has elected to measure the note payable debt instrument at fair value using the fair value option of ASC </w:t>
      </w:r>
    </w:p>
    <w:p>
      <w:pPr>
        <w:pStyle w:val="TextBody"/>
        <w:spacing w:before="240" w:after="0"/>
        <w:jc w:val="left"/>
        <w:rPr>
          <w:rFonts w:ascii="Times New Roman" w:hAnsi="Times New Roman"/>
          <w:spacing w:val="0"/>
          <w:sz w:val="20"/>
        </w:rPr>
      </w:pPr>
      <w:r>
        <w:rPr>
          <w:rFonts w:ascii="Times New Roman" w:hAnsi="Times New Roman"/>
          <w:spacing w:val="0"/>
          <w:sz w:val="20"/>
        </w:rPr>
        <w:t>825-10.</w:t>
      </w:r>
    </w:p>
    <w:p>
      <w:pPr>
        <w:pStyle w:val="TextBody"/>
        <w:spacing w:before="240" w:after="0"/>
        <w:jc w:val="left"/>
        <w:rPr>
          <w:rFonts w:ascii="Times New Roman" w:hAnsi="Times New Roman"/>
          <w:sz w:val="20"/>
        </w:rPr>
      </w:pPr>
      <w:r>
        <w:rPr>
          <w:rFonts w:ascii="Times New Roman" w:hAnsi="Times New Roman"/>
          <w:sz w:val="20"/>
        </w:rPr>
        <w:t xml:space="preserve">The Company determined that the feature to settle the promissory note with shares at the closing of the Business Combination was a contingently exercisable share settled put option that represented an embedded derivative instrument that required bifurcation from the host promissory note. Additionally, the feature to redeem the promissory note upon a default event was a contingently exercisable call option and represented an embedded derivative instrument that required bifurcation from the host promissory note. However, in accordance with ASC </w:t>
      </w:r>
    </w:p>
    <w:p>
      <w:pPr>
        <w:pStyle w:val="TextBody"/>
        <w:spacing w:before="240" w:after="0"/>
        <w:jc w:val="left"/>
        <w:rPr>
          <w:rFonts w:ascii="Times New Roman" w:hAnsi="Times New Roman"/>
          <w:spacing w:val="0"/>
          <w:sz w:val="20"/>
        </w:rPr>
      </w:pPr>
      <w:r>
        <w:rPr>
          <w:rFonts w:ascii="Times New Roman" w:hAnsi="Times New Roman"/>
          <w:spacing w:val="0"/>
          <w:sz w:val="20"/>
        </w:rPr>
        <w:t>815-15-25-1</w:t>
      </w:r>
    </w:p>
    <w:p>
      <w:pPr>
        <w:pStyle w:val="TextBody"/>
        <w:spacing w:before="240" w:after="0"/>
        <w:jc w:val="left"/>
        <w:rPr>
          <w:rFonts w:ascii="Times New Roman" w:hAnsi="Times New Roman"/>
          <w:sz w:val="20"/>
        </w:rPr>
      </w:pPr>
      <w:r>
        <w:rPr>
          <w:rFonts w:ascii="Times New Roman" w:hAnsi="Times New Roman"/>
          <w:sz w:val="20"/>
        </w:rPr>
        <w:t xml:space="preserve">criterion (b), since the Company has elected to apply the fair value option to the debt, the embedded features will not be separated from the debt host. The fair value of the </w:t>
      </w:r>
    </w:p>
    <w:p>
      <w:pPr>
        <w:pStyle w:val="TextBody"/>
        <w:spacing w:before="240" w:after="0"/>
        <w:jc w:val="left"/>
        <w:rPr>
          <w:rFonts w:ascii="Times New Roman" w:hAnsi="Times New Roman"/>
          <w:spacing w:val="0"/>
          <w:sz w:val="20"/>
        </w:rPr>
      </w:pPr>
      <w:r>
        <w:rPr>
          <w:rFonts w:ascii="Times New Roman" w:hAnsi="Times New Roman"/>
          <w:spacing w:val="0"/>
          <w:sz w:val="20"/>
        </w:rPr>
        <w:t>P</w:t>
      </w:r>
    </w:p>
    <w:p>
      <w:pPr>
        <w:pStyle w:val="TextBody"/>
        <w:spacing w:before="240" w:after="0"/>
        <w:jc w:val="left"/>
        <w:rPr>
          <w:rFonts w:ascii="Times New Roman" w:hAnsi="Times New Roman"/>
          <w:sz w:val="20"/>
        </w:rPr>
      </w:pPr>
      <w:r>
        <w:rPr>
          <w:rFonts w:ascii="Times New Roman" w:hAnsi="Times New Roman"/>
          <w:sz w:val="20"/>
        </w:rPr>
        <w:t xml:space="preserve">romissory </w:t>
      </w:r>
    </w:p>
    <w:p>
      <w:pPr>
        <w:pStyle w:val="TextBody"/>
        <w:spacing w:before="240" w:after="0"/>
        <w:jc w:val="left"/>
        <w:rPr>
          <w:rFonts w:ascii="Times New Roman" w:hAnsi="Times New Roman"/>
          <w:spacing w:val="0"/>
          <w:sz w:val="20"/>
        </w:rPr>
      </w:pPr>
      <w:r>
        <w:rPr>
          <w:rFonts w:ascii="Times New Roman" w:hAnsi="Times New Roman"/>
          <w:spacing w:val="0"/>
          <w:sz w:val="20"/>
        </w:rPr>
        <w:t>N</w:t>
      </w:r>
    </w:p>
    <w:p>
      <w:pPr>
        <w:pStyle w:val="TextBody"/>
        <w:spacing w:before="240" w:after="0"/>
        <w:jc w:val="left"/>
        <w:rPr>
          <w:rFonts w:ascii="Times New Roman" w:hAnsi="Times New Roman"/>
          <w:sz w:val="20"/>
        </w:rPr>
      </w:pPr>
      <w:r>
        <w:rPr>
          <w:rFonts w:ascii="Times New Roman" w:hAnsi="Times New Roman"/>
          <w:sz w:val="20"/>
        </w:rPr>
        <w:t>ote was $</w:t>
      </w:r>
    </w:p>
    <w:p>
      <w:pPr>
        <w:pStyle w:val="TextBody"/>
        <w:spacing w:before="240" w:after="0"/>
        <w:jc w:val="left"/>
        <w:rPr>
          <w:rFonts w:ascii="Times New Roman" w:hAnsi="Times New Roman"/>
          <w:sz w:val="20"/>
        </w:rPr>
      </w:pPr>
      <w:r>
        <w:rPr>
          <w:rFonts w:ascii="Times New Roman" w:hAnsi="Times New Roman"/>
          <w:sz w:val="20"/>
        </w:rPr>
        <w:t>0</w:t>
      </w:r>
    </w:p>
    <w:p>
      <w:pPr>
        <w:pStyle w:val="TextBody"/>
        <w:spacing w:before="240" w:after="0"/>
        <w:jc w:val="left"/>
        <w:rPr/>
      </w:pPr>
      <w:r>
        <w:rPr/>
        <w:t> </w:t>
      </w:r>
      <w:r>
        <w:rPr>
          <w:rFonts w:ascii="Times New Roman" w:hAnsi="Times New Roman"/>
          <w:sz w:val="20"/>
        </w:rPr>
        <w:t>million (unaudited) and $</w:t>
      </w:r>
    </w:p>
    <w:p>
      <w:pPr>
        <w:pStyle w:val="TextBody"/>
        <w:spacing w:before="240" w:after="0"/>
        <w:jc w:val="left"/>
        <w:rPr>
          <w:rFonts w:ascii="Times New Roman" w:hAnsi="Times New Roman"/>
          <w:sz w:val="20"/>
        </w:rPr>
      </w:pPr>
      <w:r>
        <w:rPr>
          <w:rFonts w:ascii="Times New Roman" w:hAnsi="Times New Roman"/>
          <w:sz w:val="20"/>
        </w:rPr>
        <w:t>15.0</w:t>
      </w:r>
    </w:p>
    <w:p>
      <w:pPr>
        <w:pStyle w:val="TextBody"/>
        <w:spacing w:before="240" w:after="0"/>
        <w:jc w:val="left"/>
        <w:rPr/>
      </w:pPr>
      <w:r>
        <w:rPr/>
        <w:t> </w:t>
      </w:r>
      <w:r>
        <w:rPr>
          <w:rFonts w:ascii="Times New Roman" w:hAnsi="Times New Roman"/>
          <w:sz w:val="20"/>
        </w:rPr>
        <w:t xml:space="preserve">million as of March 31, 2022 and December 31, 2021, respectively. Upon the closing of the Business Combination, the </w:t>
      </w:r>
    </w:p>
    <w:p>
      <w:pPr>
        <w:pStyle w:val="TextBody"/>
        <w:spacing w:before="240" w:after="0"/>
        <w:jc w:val="left"/>
        <w:rPr>
          <w:rFonts w:ascii="Times New Roman" w:hAnsi="Times New Roman"/>
          <w:spacing w:val="0"/>
          <w:sz w:val="20"/>
        </w:rPr>
      </w:pPr>
      <w:r>
        <w:rPr>
          <w:rFonts w:ascii="Times New Roman" w:hAnsi="Times New Roman"/>
          <w:spacing w:val="0"/>
          <w:sz w:val="20"/>
        </w:rPr>
        <w:t>p</w:t>
      </w:r>
    </w:p>
    <w:p>
      <w:pPr>
        <w:pStyle w:val="TextBody"/>
        <w:spacing w:before="240" w:after="0"/>
        <w:jc w:val="left"/>
        <w:rPr>
          <w:rFonts w:ascii="Times New Roman" w:hAnsi="Times New Roman"/>
          <w:sz w:val="20"/>
        </w:rPr>
      </w:pPr>
      <w:r>
        <w:rPr>
          <w:rFonts w:ascii="Times New Roman" w:hAnsi="Times New Roman"/>
          <w:sz w:val="20"/>
        </w:rPr>
        <w:t xml:space="preserve">romissory </w:t>
      </w:r>
    </w:p>
    <w:p>
      <w:pPr>
        <w:pStyle w:val="TextBody"/>
        <w:spacing w:before="240" w:after="0"/>
        <w:jc w:val="left"/>
        <w:rPr>
          <w:rFonts w:ascii="Times New Roman" w:hAnsi="Times New Roman"/>
          <w:spacing w:val="0"/>
          <w:sz w:val="20"/>
        </w:rPr>
      </w:pPr>
      <w:r>
        <w:rPr>
          <w:rFonts w:ascii="Times New Roman" w:hAnsi="Times New Roman"/>
          <w:spacing w:val="0"/>
          <w:sz w:val="20"/>
        </w:rPr>
        <w:t>n</w:t>
      </w:r>
    </w:p>
    <w:p>
      <w:pPr>
        <w:pStyle w:val="TextBody"/>
        <w:spacing w:before="240" w:after="0"/>
        <w:jc w:val="left"/>
        <w:rPr>
          <w:rFonts w:ascii="Times New Roman" w:hAnsi="Times New Roman"/>
          <w:sz w:val="20"/>
        </w:rPr>
      </w:pPr>
      <w:r>
        <w:rPr>
          <w:rFonts w:ascii="Times New Roman" w:hAnsi="Times New Roman"/>
          <w:sz w:val="20"/>
        </w:rPr>
        <w:t xml:space="preserve">ote was automatically discharged upon the Company’s issuance of </w:t>
      </w:r>
    </w:p>
    <w:p>
      <w:pPr>
        <w:pStyle w:val="TextBody"/>
        <w:spacing w:before="240" w:after="0"/>
        <w:jc w:val="left"/>
        <w:rPr>
          <w:rFonts w:ascii="Times New Roman" w:hAnsi="Times New Roman"/>
          <w:sz w:val="20"/>
        </w:rPr>
      </w:pPr>
      <w:r>
        <w:rPr>
          <w:rFonts w:ascii="Times New Roman" w:hAnsi="Times New Roman"/>
          <w:sz w:val="20"/>
        </w:rPr>
        <w:t>1,500,000</w:t>
      </w:r>
    </w:p>
    <w:p>
      <w:pPr>
        <w:pStyle w:val="TextBody"/>
        <w:spacing w:before="240" w:after="0"/>
        <w:jc w:val="left"/>
        <w:rPr>
          <w:rFonts w:ascii="Times New Roman" w:hAnsi="Times New Roman"/>
          <w:sz w:val="20"/>
        </w:rPr>
      </w:pPr>
      <w:r>
        <w:rPr>
          <w:rFonts w:ascii="Times New Roman" w:hAnsi="Times New Roman"/>
          <w:sz w:val="20"/>
        </w:rPr>
        <w:t xml:space="preserve">shares of Class A Common Stock to Alameda Research. The closing of the note payable occurred immediately prior to the closing date of the Business Combination. Refer to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Note 3</w:t>
      </w:r>
    </w:p>
    <w:p>
      <w:pPr>
        <w:pStyle w:val="TextBody"/>
        <w:spacing w:before="240" w:after="0"/>
        <w:jc w:val="left"/>
        <w:rPr>
          <w:rFonts w:ascii="Times New Roman" w:hAnsi="Times New Roman"/>
          <w:sz w:val="20"/>
        </w:rPr>
      </w:pPr>
      <w:r>
        <w:rPr>
          <w:rFonts w:ascii="Times New Roman" w:hAnsi="Times New Roman"/>
          <w:sz w:val="20"/>
        </w:rPr>
        <w:t xml:space="preserve">,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Reverse Recapitalization and Related Transactions </w:t>
      </w:r>
    </w:p>
    <w:p>
      <w:pPr>
        <w:pStyle w:val="TextBody"/>
        <w:spacing w:before="240" w:after="0"/>
        <w:jc w:val="left"/>
        <w:rPr>
          <w:rFonts w:ascii="Times New Roman" w:hAnsi="Times New Roman"/>
          <w:sz w:val="20"/>
        </w:rPr>
      </w:pPr>
      <w:r>
        <w:rPr>
          <w:rFonts w:ascii="Times New Roman" w:hAnsi="Times New Roman"/>
          <w:sz w:val="20"/>
        </w:rPr>
        <w:t>for further details on the closing of the note payable</w:t>
      </w:r>
    </w:p>
    <w:p>
      <w:pPr>
        <w:pStyle w:val="TextBody"/>
        <w:spacing w:before="240" w:after="0"/>
        <w:jc w:val="left"/>
        <w:rPr>
          <w:rFonts w:ascii="Times New Roman" w:hAnsi="Times New Roman"/>
          <w:b/>
          <w:spacing w:val="0"/>
          <w:sz w:val="20"/>
        </w:rPr>
      </w:pPr>
      <w:r>
        <w:rPr>
          <w:rFonts w:ascii="Times New Roman" w:hAnsi="Times New Roman"/>
          <w:b/>
          <w:spacing w:val="0"/>
          <w:sz w:val="20"/>
        </w:rPr>
        <w:t>.</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11 Warrant Liabilities </w:t>
      </w:r>
    </w:p>
    <w:p>
      <w:pPr>
        <w:pStyle w:val="TextBody"/>
        <w:spacing w:before="120" w:after="0"/>
        <w:jc w:val="left"/>
        <w:rPr>
          <w:rFonts w:ascii="Times New Roman" w:hAnsi="Times New Roman"/>
          <w:spacing w:val="0"/>
          <w:sz w:val="20"/>
        </w:rPr>
      </w:pPr>
      <w:r>
        <w:rPr>
          <w:rFonts w:ascii="Times New Roman" w:hAnsi="Times New Roman"/>
          <w:spacing w:val="0"/>
          <w:sz w:val="20"/>
        </w:rPr>
        <w:t>As of March 31, 2022, there were 6,344,021 </w:t>
      </w:r>
    </w:p>
    <w:p>
      <w:pPr>
        <w:pStyle w:val="TextBody"/>
        <w:spacing w:before="120" w:after="0"/>
        <w:jc w:val="left"/>
        <w:rPr>
          <w:rFonts w:ascii="Times New Roman" w:hAnsi="Times New Roman"/>
          <w:spacing w:val="0"/>
          <w:sz w:val="20"/>
        </w:rPr>
      </w:pPr>
      <w:r>
        <w:rPr>
          <w:rFonts w:ascii="Times New Roman" w:hAnsi="Times New Roman"/>
          <w:spacing w:val="0"/>
          <w:sz w:val="20"/>
        </w:rPr>
        <w:t>public warrants (“Public Warrants”) outstanding an</w:t>
      </w:r>
    </w:p>
    <w:p>
      <w:pPr>
        <w:pStyle w:val="TextBody"/>
        <w:spacing w:before="120" w:after="0"/>
        <w:jc w:val="left"/>
        <w:rPr>
          <w:rFonts w:ascii="Times New Roman" w:hAnsi="Times New Roman"/>
          <w:spacing w:val="0"/>
          <w:sz w:val="20"/>
        </w:rPr>
      </w:pPr>
      <w:r>
        <w:rPr>
          <w:rFonts w:ascii="Times New Roman" w:hAnsi="Times New Roman"/>
          <w:spacing w:val="0"/>
          <w:sz w:val="20"/>
        </w:rPr>
        <w:t>d 5,100,214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private placement warrants (“Private Warrants”) outstanding. The Company determined the warrants do not meet the conditions for equity classification in accordance with ASC 815-40. The Company recorded the Public Warrants and Private Warrants on the condensed consolidated balance sheet as warrant liabilities measured at fair value, with subsequent changes in the fair value of the warrant recorded in the statement of operations as change in fair value of warrants in other income (expense).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The Public Warrants and the Private Warrants have an exercise price o</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 $11.50 per share, subject to adjustments and will expire five years after the completion of the Business Combination or earlier upon redemption or liquidation.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Redemption of Public Warrants when the price per share of Class A Common Stock equals or exceeds</w:t>
      </w:r>
    </w:p>
    <w:p>
      <w:pPr>
        <w:pStyle w:val="TextBody"/>
        <w:spacing w:before="240" w:after="0"/>
        <w:jc w:val="left"/>
        <w:rPr>
          <w:caps w:val="false"/>
          <w:smallCaps w:val="false"/>
          <w:spacing w:val="0"/>
        </w:rPr>
      </w:pPr>
      <w:r>
        <w:rPr>
          <w:caps w:val="false"/>
          <w:smallCaps w:val="false"/>
          <w:spacing w:val="0"/>
        </w:rPr>
        <w:t> </w:t>
      </w:r>
    </w:p>
    <w:p>
      <w:pPr>
        <w:pStyle w:val="TextBody"/>
        <w:spacing w:before="240" w:after="0"/>
        <w:jc w:val="left"/>
        <w:rPr>
          <w:rFonts w:ascii="Times New Roman" w:hAnsi="Times New Roman"/>
          <w:i w:val="false"/>
          <w:caps w:val="false"/>
          <w:smallCaps w:val="false"/>
          <w:spacing w:val="0"/>
          <w:sz w:val="20"/>
        </w:rPr>
      </w:pPr>
      <w:r>
        <w:rPr>
          <w:rFonts w:ascii="Times New Roman" w:hAnsi="Times New Roman"/>
          <w:i w:val="false"/>
          <w:caps w:val="false"/>
          <w:smallCaps w:val="false"/>
          <w:spacing w:val="0"/>
          <w:sz w:val="20"/>
        </w:rPr>
        <w:t>$18.00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:—Once the Public Warrants become exercisable, the Company may redeem the outstanding Public Warrants for cash: </w:t>
      </w:r>
    </w:p>
    <w:p>
      <w:pPr>
        <w:pStyle w:val="TextBody"/>
        <w:spacing w:before="24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tbl>
      <w:tblPr>
        <w:tblW w:w="2320" w:type="dxa"/>
        <w:jc w:val="left"/>
        <w:tblInd w:w="0" w:type="dxa"/>
        <w:tblCellMar>
          <w:top w:w="0" w:type="dxa"/>
          <w:left w:w="0" w:type="dxa"/>
          <w:bottom w:w="0" w:type="dxa"/>
          <w:right w:w="0" w:type="dxa"/>
        </w:tblCellMar>
      </w:tblPr>
      <w:tblGrid>
        <w:gridCol w:w="75"/>
        <w:gridCol w:w="110"/>
        <w:gridCol w:w="60"/>
        <w:gridCol w:w="2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whole and not in part; </w:t>
            </w:r>
          </w:p>
        </w:tc>
      </w:tr>
    </w:tbl>
    <w:p>
      <w:pPr>
        <w:pStyle w:val="TextBody"/>
        <w:spacing w:before="0" w:after="0"/>
        <w:jc w:val="left"/>
        <w:rPr>
          <w:spacing w:val="0"/>
        </w:rPr>
      </w:pPr>
      <w:r>
        <w:rPr>
          <w:spacing w:val="0"/>
        </w:rPr>
        <w:t> </w:t>
      </w:r>
    </w:p>
    <w:tbl>
      <w:tblPr>
        <w:tblW w:w="2785" w:type="dxa"/>
        <w:jc w:val="left"/>
        <w:tblInd w:w="0" w:type="dxa"/>
        <w:tblCellMar>
          <w:top w:w="0" w:type="dxa"/>
          <w:left w:w="0" w:type="dxa"/>
          <w:bottom w:w="0" w:type="dxa"/>
          <w:right w:w="0" w:type="dxa"/>
        </w:tblCellMar>
      </w:tblPr>
      <w:tblGrid>
        <w:gridCol w:w="75"/>
        <w:gridCol w:w="110"/>
        <w:gridCol w:w="60"/>
        <w:gridCol w:w="2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at a price of $0.01 per warrant;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upon a minimum of </w:t>
            </w:r>
          </w:p>
          <w:p>
            <w:pPr>
              <w:pStyle w:val="TableContents"/>
              <w:spacing w:before="0" w:after="0"/>
              <w:jc w:val="left"/>
              <w:rPr>
                <w:rFonts w:ascii="Times New Roman" w:hAnsi="Times New Roman"/>
                <w:sz w:val="20"/>
              </w:rPr>
            </w:pPr>
            <w:r>
              <w:rPr>
                <w:rFonts w:ascii="Times New Roman" w:hAnsi="Times New Roman"/>
                <w:sz w:val="20"/>
              </w:rPr>
              <w:t>30</w:t>
            </w:r>
          </w:p>
          <w:p>
            <w:pPr>
              <w:pStyle w:val="TableContents"/>
              <w:spacing w:before="0" w:after="0"/>
              <w:jc w:val="left"/>
              <w:rPr>
                <w:rFonts w:ascii="Times New Roman" w:hAnsi="Times New Roman"/>
                <w:sz w:val="20"/>
              </w:rPr>
            </w:pPr>
            <w:r>
              <w:rPr>
                <w:rFonts w:ascii="Times New Roman" w:hAnsi="Times New Roman"/>
                <w:sz w:val="20"/>
              </w:rPr>
              <w:t>days’ prior written notice of redemption; and if, and only if, the closing price of Class A Common Stock equals or exceeds $</w:t>
            </w:r>
          </w:p>
          <w:p>
            <w:pPr>
              <w:pStyle w:val="TableContents"/>
              <w:spacing w:before="0" w:after="0"/>
              <w:jc w:val="left"/>
              <w:rPr>
                <w:rFonts w:ascii="Times New Roman" w:hAnsi="Times New Roman"/>
                <w:sz w:val="20"/>
              </w:rPr>
            </w:pPr>
            <w:r>
              <w:rPr>
                <w:rFonts w:ascii="Times New Roman" w:hAnsi="Times New Roman"/>
                <w:sz w:val="20"/>
              </w:rPr>
              <w:t>18.00</w:t>
            </w:r>
          </w:p>
          <w:p>
            <w:pPr>
              <w:pStyle w:val="TableContents"/>
              <w:spacing w:before="0" w:after="0"/>
              <w:jc w:val="left"/>
              <w:rPr>
                <w:rFonts w:ascii="Times New Roman" w:hAnsi="Times New Roman"/>
                <w:sz w:val="20"/>
              </w:rPr>
            </w:pPr>
            <w:r>
              <w:rPr>
                <w:rFonts w:ascii="Times New Roman" w:hAnsi="Times New Roman"/>
                <w:sz w:val="20"/>
              </w:rPr>
              <w:t xml:space="preserve">per share (as adjusted) for any </w:t>
            </w:r>
          </w:p>
          <w:p>
            <w:pPr>
              <w:pStyle w:val="TableContents"/>
              <w:spacing w:before="0" w:after="0"/>
              <w:jc w:val="left"/>
              <w:rPr>
                <w:rFonts w:ascii="Times New Roman" w:hAnsi="Times New Roman"/>
                <w:sz w:val="20"/>
              </w:rPr>
            </w:pPr>
            <w:r>
              <w:rPr>
                <w:rFonts w:ascii="Times New Roman" w:hAnsi="Times New Roman"/>
                <w:sz w:val="20"/>
              </w:rPr>
              <w:t>20</w:t>
            </w:r>
          </w:p>
          <w:p>
            <w:pPr>
              <w:pStyle w:val="TableContents"/>
              <w:spacing w:before="0" w:after="0"/>
              <w:jc w:val="left"/>
              <w:rPr>
                <w:rFonts w:ascii="Times New Roman" w:hAnsi="Times New Roman"/>
                <w:sz w:val="20"/>
              </w:rPr>
            </w:pPr>
            <w:r>
              <w:rPr>
                <w:rFonts w:ascii="Times New Roman" w:hAnsi="Times New Roman"/>
                <w:sz w:val="20"/>
              </w:rPr>
              <w:t xml:space="preserve">trading days within a </w:t>
            </w:r>
          </w:p>
          <w:p>
            <w:pPr>
              <w:pStyle w:val="TableContents"/>
              <w:spacing w:before="0" w:after="0"/>
              <w:jc w:val="left"/>
              <w:rPr>
                <w:rFonts w:ascii="Times New Roman" w:hAnsi="Times New Roman"/>
                <w:spacing w:val="0"/>
                <w:sz w:val="20"/>
              </w:rPr>
            </w:pPr>
            <w:r>
              <w:rPr>
                <w:rFonts w:ascii="Times New Roman" w:hAnsi="Times New Roman"/>
                <w:spacing w:val="0"/>
                <w:sz w:val="20"/>
              </w:rPr>
              <w:t>30-trading</w:t>
            </w:r>
          </w:p>
          <w:p>
            <w:pPr>
              <w:pStyle w:val="TableContents"/>
              <w:spacing w:before="0" w:after="0"/>
              <w:jc w:val="left"/>
              <w:rPr>
                <w:rFonts w:ascii="Times New Roman" w:hAnsi="Times New Roman"/>
                <w:sz w:val="20"/>
              </w:rPr>
            </w:pPr>
            <w:r>
              <w:rPr>
                <w:rFonts w:ascii="Times New Roman" w:hAnsi="Times New Roman"/>
                <w:sz w:val="20"/>
              </w:rPr>
              <w:t xml:space="preserve">day period ending on the </w:t>
            </w:r>
          </w:p>
          <w:p>
            <w:pPr>
              <w:pStyle w:val="TableContents"/>
              <w:spacing w:before="0" w:after="0"/>
              <w:jc w:val="left"/>
              <w:rPr>
                <w:rFonts w:ascii="Times New Roman" w:hAnsi="Times New Roman"/>
                <w:sz w:val="20"/>
              </w:rPr>
            </w:pPr>
            <w:r>
              <w:rPr>
                <w:rFonts w:ascii="Times New Roman" w:hAnsi="Times New Roman"/>
                <w:sz w:val="20"/>
              </w:rPr>
              <w:t>third</w:t>
            </w:r>
          </w:p>
          <w:p>
            <w:pPr>
              <w:pStyle w:val="TableContents"/>
              <w:spacing w:before="0" w:after="0"/>
              <w:jc w:val="left"/>
              <w:rPr>
                <w:rFonts w:ascii="Times New Roman" w:hAnsi="Times New Roman"/>
                <w:sz w:val="20"/>
              </w:rPr>
            </w:pPr>
            <w:r>
              <w:rPr>
                <w:rFonts w:ascii="Times New Roman" w:hAnsi="Times New Roman"/>
                <w:sz w:val="20"/>
              </w:rPr>
              <w:t xml:space="preserve">trading day prior to the date on which the Company sends the notice of redemption to the warrant holders.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w:t>
      </w:r>
    </w:p>
    <w:p>
      <w:pPr>
        <w:pStyle w:val="TextBody"/>
        <w:spacing w:before="24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Redemption of Public Warrants for when the price per share of Class A Common Stock equals or exceed</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 $10.00:</w:t>
      </w:r>
    </w:p>
    <w:p>
      <w:pPr>
        <w:pStyle w:val="TextBody"/>
        <w:spacing w:before="240" w:after="0"/>
        <w:jc w:val="left"/>
        <w:rPr/>
      </w:pPr>
      <w:r>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Once the Public Warrants become exercisable, the Company may redeem the outstanding Public Warrants: </w:t>
      </w:r>
    </w:p>
    <w:p>
      <w:pPr>
        <w:pStyle w:val="TextBody"/>
        <w:spacing w:before="0" w:after="0"/>
        <w:jc w:val="left"/>
        <w:rPr>
          <w:spacing w:val="0"/>
        </w:rPr>
      </w:pPr>
      <w:r>
        <w:rPr>
          <w:spacing w:val="0"/>
        </w:rPr>
        <w:t> </w:t>
      </w:r>
    </w:p>
    <w:tbl>
      <w:tblPr>
        <w:tblW w:w="2320" w:type="dxa"/>
        <w:jc w:val="left"/>
        <w:tblInd w:w="0" w:type="dxa"/>
        <w:tblCellMar>
          <w:top w:w="0" w:type="dxa"/>
          <w:left w:w="0" w:type="dxa"/>
          <w:bottom w:w="0" w:type="dxa"/>
          <w:right w:w="0" w:type="dxa"/>
        </w:tblCellMar>
      </w:tblPr>
      <w:tblGrid>
        <w:gridCol w:w="75"/>
        <w:gridCol w:w="110"/>
        <w:gridCol w:w="60"/>
        <w:gridCol w:w="2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whole and not in part;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and only if, the closing price of Class A Common Stock equals or exceeds $10.00 per Public Share (as adjusted) for any 20 trading days within the </w:t>
            </w:r>
          </w:p>
          <w:p>
            <w:pPr>
              <w:pStyle w:val="TableContents"/>
              <w:spacing w:before="0" w:after="0"/>
              <w:jc w:val="left"/>
              <w:rPr>
                <w:rFonts w:ascii="Times New Roman" w:hAnsi="Times New Roman"/>
                <w:spacing w:val="0"/>
                <w:sz w:val="20"/>
              </w:rPr>
            </w:pPr>
            <w:r>
              <w:rPr>
                <w:rFonts w:ascii="Times New Roman" w:hAnsi="Times New Roman"/>
                <w:spacing w:val="0"/>
                <w:sz w:val="20"/>
              </w:rPr>
              <w:t>30-trading</w:t>
            </w:r>
          </w:p>
          <w:p>
            <w:pPr>
              <w:pStyle w:val="TableContents"/>
              <w:spacing w:before="0" w:after="0"/>
              <w:jc w:val="left"/>
              <w:rPr>
                <w:rFonts w:ascii="Times New Roman" w:hAnsi="Times New Roman"/>
                <w:sz w:val="20"/>
              </w:rPr>
            </w:pPr>
            <w:r>
              <w:rPr>
                <w:rFonts w:ascii="Times New Roman" w:hAnsi="Times New Roman"/>
                <w:sz w:val="20"/>
              </w:rPr>
              <w:t xml:space="preserve">day period ending three trading days before the Company sends notice of redemption to the warrant holders.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 </w:t>
      </w:r>
    </w:p>
    <w:p>
      <w:pPr>
        <w:pStyle w:val="TextBody"/>
        <w:spacing w:before="240" w:after="0"/>
        <w:jc w:val="left"/>
        <w:rPr>
          <w:rFonts w:ascii="Times New Roman" w:hAnsi="Times New Roman"/>
          <w:spacing w:val="0"/>
          <w:sz w:val="20"/>
        </w:rPr>
      </w:pPr>
      <w:r>
        <w:rPr>
          <w:rFonts w:ascii="Times New Roman" w:hAnsi="Times New Roman"/>
          <w:spacing w:val="0"/>
          <w:sz w:val="20"/>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$3.752050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Immediately prior to the close of the Business Combination, all, or</w:t>
      </w:r>
    </w:p>
    <w:p>
      <w:pPr>
        <w:pStyle w:val="TextBody"/>
        <w:spacing w:before="240" w:after="0"/>
        <w:jc w:val="left"/>
        <w:rPr>
          <w:spacing w:val="0"/>
        </w:rPr>
      </w:pPr>
      <w:r>
        <w:rPr>
          <w:spacing w:val="0"/>
        </w:rPr>
        <w:t> </w:t>
      </w:r>
      <w:r>
        <w:rPr>
          <w:rFonts w:ascii="Times New Roman" w:hAnsi="Times New Roman"/>
          <w:spacing w:val="0"/>
          <w:sz w:val="20"/>
        </w:rPr>
        <w:t xml:space="preserve">1,664,394 of the vested warrants were exercised and net settled for 450,841 shares of Legacy Dave’s Class A Common Stock after applying an exchange ratio of 1.354387513 pursuant to the terms of the Business Combination.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12 Debt and Credit Facility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January 2021, Dave OD Funding I, LLC (“Borrower”) entered into a Senior Secured Loan Facility (the “Debt Facility”) with Victory Park Management, LLC (“Agent”), allowing the Borrower to draw up to $100 million from various lenders associated with Victory Park Management, LLC (the “Lenders”). The Debt Facility has an interest rate of 6.95% annually plus a base rate defined as the greater of three-month LIBOR (as of the last business day of each calendar month) and 2.55%. Interest is payable monthly in arrears. The Debt Facility has certain financial covenants, including a requirement to maintain a minimum cash, cash equivalents, or marketable securities balance of $10.0 million and as of March 31, 2022, the Company was in compliance with all covenants. Payments of the loan draws are due at the following dates: (i) within five business days after the date of receipt by the Borrower and the Company (“Credit Party”) or any of their subsidiaries of any net cash proceeds in excess of $250 thousand in the aggregate during any fiscal year from any asset sales (other than certain permitted dispositions), the Borrower shall prepay the loans or remit such net cash proceeds in an aggregate amount equal to 100% of such net cash proceeds; (ii) within five business days after the date of receipt by any Credit Party or any of their subsidiaries, or the Agent as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loss payee, of any net cash proceeds from any destruction or taking, the Borrower shall prepay the loans or remit such net cash proceeds in an aggregate amount equal to 100% of such net cash proceeds; (iii) within three business days after the date of receipt by any Credit Party or any of their subsidiaries of any net cash proceeds from the incurrence of any indebtedness of any Credit Party or any of their subsidiaries (other than with respect to permitted indebtedness), the Borrower shall prepay the loans or remit such net cash proceeds in an aggregate amount equal to 100% of such net cash proceeds; and (iv) (a) if extraordinary receipts are received by any Credit Party in the aggregate amount in any fiscal year in excess of $250 thousand or (b) if an event of default has occurred and is continuing at any time when any extraordinary receipts are received by any Credit Party, then within five business days of the receipt by any Credit Party of any such extraordinary receipts, the Borrower shall prepay the loans or remit such net cash proceeds in an aggregate amount equal to (x) 100% of such extraordinary receipts in excess of $250 thousand in respect of clause (a) above and (y) 100% of such extraordinary receipts in respect of clause (b) above. As of March 31, 2022 and December 31, 2021, respectively, the Company had drawn $35 million (unaudited) on the Debt Facility and has made no repayments.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November 2021, Dave OD entered into an amendment of the Debt Facility which added a $20 million credit line (as amended, the “Credit Facility”) which has an interest rate of 8.95% annually plus a base rate defined as the greater of three-month LIBOR (as of the last business day of each calendar month) and 2.55%. As of March 31, 2022 and December 31, 2021, respectively, the Company has drawn $20 million (unaudited) on the Credit Facility and has made no repayments.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13 Commitments and Contingencies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Litigation: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32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Stoffers v. Dave Inc. (filed September 16, 2020 in the California Superior Court for the County of Los Angeles)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This is a purported class action lawsuit filed in connection with a July 2020 data breach. The Company is in the process of settling this matter; it estimates the settlement to be approximately $3.2 million and is included with Legal settlement accrual within the condensed consolidated balance sheets for the period ended March 31, 2022 and December 31, 2021.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Martinsek v. Dave Inc (filed January 9, 2020 in the California Superior Court for the County of Los Angeles).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complaint alleges that the Company and the Chief Executive Officer misappropriated approximately 6.8 million shares (as adjusted for a 10:1 forward stock split in November 2020) by rescinding a stock option agreement and a restricted stock purchase agreement between the Company and the former employee under which such shares were issued and repurchasing the shares. The Company rescinded the agreements for failure of consideration. The Company and the Chief Executive Officer answered, denying all claims and asserting defenses. Discovery has commenced, but no trial date has been set. The Company is vigorously defending against this claim. </w:t>
      </w:r>
    </w:p>
    <w:p>
      <w:pPr>
        <w:pStyle w:val="TextBody"/>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Whalerock v. Dave Inc. (filed April 4, 2020 in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California Superior Court for the County of Los Angeles) </w:t>
      </w:r>
    </w:p>
    <w:p>
      <w:pPr>
        <w:pStyle w:val="TextBody"/>
        <w:spacing w:before="120" w:after="0"/>
        <w:jc w:val="left"/>
        <w:rPr>
          <w:rFonts w:ascii="Times New Roman" w:hAnsi="Times New Roman"/>
          <w:sz w:val="20"/>
        </w:rPr>
      </w:pPr>
      <w:r>
        <w:rPr>
          <w:rFonts w:ascii="Times New Roman" w:hAnsi="Times New Roman"/>
          <w:sz w:val="20"/>
        </w:rPr>
        <w:t xml:space="preserve">Whalerock Industries Holding Company, LLC (“Whalerock”) filed an unlawful detainer action against the Company on or about August 4, 2020, which was dismissed by Whalerock on March 18, 2021. On or about March 29, 2021, Whalerock initiated new litigation against the Company seeking declaratory relief. The Company and Whalerock entered into a sublease in May 2020 whereby the Company would sublease certain space from Whalerock located in West Hollywood, California. This matter involves a dispute between the Company and Whalerock over whether the </w:t>
      </w:r>
    </w:p>
    <w:p>
      <w:pPr>
        <w:pStyle w:val="TextBody"/>
        <w:spacing w:before="120" w:after="0"/>
        <w:jc w:val="left"/>
        <w:rPr>
          <w:rFonts w:ascii="Times New Roman" w:hAnsi="Times New Roman"/>
          <w:spacing w:val="0"/>
          <w:sz w:val="20"/>
        </w:rPr>
      </w:pPr>
      <w:r>
        <w:rPr>
          <w:rFonts w:ascii="Times New Roman" w:hAnsi="Times New Roman"/>
          <w:spacing w:val="0"/>
          <w:sz w:val="20"/>
        </w:rPr>
        <w:t>18-month</w:t>
      </w:r>
    </w:p>
    <w:p>
      <w:pPr>
        <w:pStyle w:val="TextBody"/>
        <w:spacing w:before="120" w:after="0"/>
        <w:jc w:val="left"/>
        <w:rPr>
          <w:rFonts w:ascii="Times New Roman" w:hAnsi="Times New Roman"/>
          <w:sz w:val="20"/>
        </w:rPr>
      </w:pPr>
      <w:r>
        <w:rPr>
          <w:rFonts w:ascii="Times New Roman" w:hAnsi="Times New Roman"/>
          <w:sz w:val="20"/>
        </w:rPr>
        <w:t xml:space="preserve">sublease has commenced, and if so, when. The Company is actively litigating this matter and cannot estimate the likely outcome at this time.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14 Leases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November 2018, the Company entered into a sublease agreement with PCJW Properties LLC (“PCJW”), controlled by Company’s founders (including the Company’s current CEO), for general office space next to the aforementioned leased property in Los Angeles, California. The lease term is five years subject to early termination by either party. Under the terms of the sublease, monthly rent is approximately $0.006 million, subject to an annual escalation of 4%.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January 2019, the Company entered into a lease agreement with PCJW for office space located in Los Angeles, California. The lease term is seven years, beginning January 1, 2019 and ending December 31, 2025. Monthly rent is approximately $0.02 million, subject to an annual escalation of 5%.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May 2020, the Company entered into a sublease with Whalerock for general office space in West Hollywood, California. Under the terms of the sublease, the lease term is approximately 18 months and the monthly rent is approximately $0.14 million. The Company began utilizing the office space in June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All leases were classified as operating and operating lease expenses are presented within other general and administrative expenses in the unaudited condensed consolidated statements of operations. The Company does not have any finance leases or sublease arrangements where the Company is the sublessor. The Company’s leasing activities are as follows (dollars in thousands): </w:t>
      </w:r>
    </w:p>
    <w:p>
      <w:pPr>
        <w:pStyle w:val="TextBody"/>
        <w:spacing w:before="0" w:after="0"/>
        <w:jc w:val="left"/>
        <w:rPr>
          <w:spacing w:val="0"/>
        </w:rPr>
      </w:pPr>
      <w:r>
        <w:rPr>
          <w:spacing w:val="0"/>
        </w:rPr>
        <w:t> </w:t>
      </w:r>
    </w:p>
    <w:tbl>
      <w:tblPr>
        <w:tblW w:w="5575" w:type="dxa"/>
        <w:jc w:val="left"/>
        <w:tblInd w:w="0" w:type="dxa"/>
        <w:tblCellMar>
          <w:top w:w="0" w:type="dxa"/>
          <w:left w:w="0" w:type="dxa"/>
          <w:bottom w:w="0" w:type="dxa"/>
          <w:right w:w="0" w:type="dxa"/>
        </w:tblCellMar>
      </w:tblPr>
      <w:tblGrid>
        <w:gridCol w:w="1715"/>
        <w:gridCol w:w="120"/>
        <w:gridCol w:w="433"/>
        <w:gridCol w:w="1177"/>
        <w:gridCol w:w="148"/>
        <w:gridCol w:w="297"/>
        <w:gridCol w:w="432"/>
        <w:gridCol w:w="1178"/>
        <w:gridCol w:w="75"/>
      </w:tblGrid>
      <w:tr>
        <w:trPr/>
        <w:tc>
          <w:tcPr>
            <w:tcW w:w="17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65" w:type="dxa"/>
            <w:gridSpan w:val="6"/>
            <w:tcBorders/>
            <w:shd w:fill="auto" w:val="clear"/>
            <w:vAlign w:val="center"/>
          </w:tcPr>
          <w:p>
            <w:pPr>
              <w:pStyle w:val="TableContents"/>
              <w:spacing w:before="0" w:after="0"/>
              <w:jc w:val="center"/>
              <w:rPr>
                <w:b/>
                <w:spacing w:val="0"/>
              </w:rPr>
            </w:pPr>
            <w:r>
              <w:rPr>
                <w:b/>
                <w:spacing w:val="0"/>
              </w:rPr>
              <w:t>For the Three Months Ended</w:t>
            </w:r>
          </w:p>
        </w:tc>
        <w:tc>
          <w:tcPr>
            <w:tcW w:w="75" w:type="dxa"/>
            <w:tcBorders/>
            <w:shd w:fill="auto"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0"/>
              <w:jc w:val="center"/>
              <w:rPr>
                <w:b/>
                <w:spacing w:val="0"/>
              </w:rPr>
            </w:pPr>
            <w:r>
              <w:rPr>
                <w:b/>
                <w:spacing w:val="0"/>
              </w:rPr>
              <w:t>March 31, 2022</w:t>
            </w:r>
          </w:p>
        </w:tc>
        <w:tc>
          <w:tcPr>
            <w:tcW w:w="148"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0"/>
              <w:jc w:val="center"/>
              <w:rPr>
                <w:b/>
                <w:spacing w:val="0"/>
              </w:rPr>
            </w:pPr>
            <w:r>
              <w:rPr>
                <w:b/>
                <w:spacing w:val="0"/>
              </w:rPr>
              <w:t>March 31, 2021</w:t>
            </w:r>
          </w:p>
        </w:tc>
        <w:tc>
          <w:tcPr>
            <w:tcW w:w="75" w:type="dxa"/>
            <w:tcBorders/>
            <w:shd w:fill="auto"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0"/>
              <w:jc w:val="center"/>
              <w:rPr>
                <w:b/>
                <w:spacing w:val="0"/>
              </w:rPr>
            </w:pPr>
            <w:r>
              <w:rPr>
                <w:b/>
                <w:spacing w:val="0"/>
              </w:rPr>
              <w:t>(unaudited)</w:t>
            </w:r>
          </w:p>
        </w:tc>
        <w:tc>
          <w:tcPr>
            <w:tcW w:w="148"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0"/>
              <w:jc w:val="center"/>
              <w:rPr>
                <w:b/>
                <w:spacing w:val="0"/>
              </w:rPr>
            </w:pPr>
            <w:r>
              <w:rPr>
                <w:b/>
                <w:spacing w:val="0"/>
              </w:rPr>
              <w:t>(unaudited)</w:t>
            </w:r>
          </w:p>
        </w:tc>
        <w:tc>
          <w:tcPr>
            <w:tcW w:w="75" w:type="dxa"/>
            <w:tcBorders/>
            <w:shd w:fill="auto" w:val="clear"/>
            <w:vAlign w:val="center"/>
          </w:tcPr>
          <w:p>
            <w:pPr>
              <w:pStyle w:val="TableContents"/>
              <w:spacing w:before="0" w:after="283"/>
              <w:rPr/>
            </w:pPr>
            <w:r>
              <w:rPr/>
              <w:t> </w:t>
            </w:r>
          </w:p>
        </w:tc>
      </w:tr>
      <w:tr>
        <w:trPr/>
        <w:tc>
          <w:tcPr>
            <w:tcW w:w="17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cost</w:t>
            </w:r>
          </w:p>
        </w:tc>
        <w:tc>
          <w:tcPr>
            <w:tcW w:w="12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w:t>
            </w:r>
          </w:p>
        </w:tc>
        <w:tc>
          <w:tcPr>
            <w:tcW w:w="1177" w:type="dxa"/>
            <w:tcBorders/>
            <w:shd w:fill="CCEEFF" w:val="clear"/>
            <w:vAlign w:val="center"/>
          </w:tcPr>
          <w:p>
            <w:pPr>
              <w:pStyle w:val="TableContents"/>
              <w:spacing w:before="0" w:after="283"/>
              <w:jc w:val="right"/>
              <w:rPr/>
            </w:pPr>
            <w:r>
              <w:rPr/>
              <w:t>503</w:t>
            </w:r>
          </w:p>
        </w:tc>
        <w:tc>
          <w:tcPr>
            <w:tcW w:w="148" w:type="dxa"/>
            <w:tcBorders/>
            <w:shd w:fill="CCEEFF" w:val="clear"/>
            <w:vAlign w:val="center"/>
          </w:tcPr>
          <w:p>
            <w:pPr>
              <w:pStyle w:val="TableContents"/>
              <w:spacing w:before="0" w:after="283"/>
              <w:rPr/>
            </w:pPr>
            <w:r>
              <w:rPr/>
              <w:t> </w:t>
            </w:r>
          </w:p>
        </w:tc>
        <w:tc>
          <w:tcPr>
            <w:tcW w:w="297"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rPr/>
            </w:pPr>
            <w:r>
              <w:rPr/>
              <w:t>$</w:t>
            </w:r>
          </w:p>
        </w:tc>
        <w:tc>
          <w:tcPr>
            <w:tcW w:w="1178" w:type="dxa"/>
            <w:tcBorders/>
            <w:shd w:fill="CCEEFF" w:val="clear"/>
            <w:vAlign w:val="center"/>
          </w:tcPr>
          <w:p>
            <w:pPr>
              <w:pStyle w:val="TableContents"/>
              <w:spacing w:before="0" w:after="283"/>
              <w:jc w:val="right"/>
              <w:rPr/>
            </w:pPr>
            <w:r>
              <w:rPr/>
              <w:t>137</w:t>
            </w:r>
          </w:p>
        </w:tc>
        <w:tc>
          <w:tcPr>
            <w:tcW w:w="75" w:type="dxa"/>
            <w:tcBorders/>
            <w:shd w:fill="CCEEFF"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Short-term lease cost</w:t>
            </w:r>
          </w:p>
        </w:tc>
        <w:tc>
          <w:tcPr>
            <w:tcW w:w="12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6</w:t>
            </w:r>
          </w:p>
        </w:tc>
        <w:tc>
          <w:tcPr>
            <w:tcW w:w="148"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117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7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Variable lease cost</w:t>
            </w:r>
          </w:p>
        </w:tc>
        <w:tc>
          <w:tcPr>
            <w:tcW w:w="12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48" w:type="dxa"/>
            <w:tcBorders/>
            <w:shd w:fill="CCEEFF" w:val="clear"/>
            <w:vAlign w:val="center"/>
          </w:tcPr>
          <w:p>
            <w:pPr>
              <w:pStyle w:val="TableContents"/>
              <w:spacing w:before="0" w:after="283"/>
              <w:rPr/>
            </w:pPr>
            <w:r>
              <w:rPr/>
              <w:t> </w:t>
            </w:r>
          </w:p>
        </w:tc>
        <w:tc>
          <w:tcPr>
            <w:tcW w:w="297" w:type="dxa"/>
            <w:tcBorders/>
            <w:shd w:fill="CCEEFF" w:val="clear"/>
            <w:vAlign w:val="center"/>
          </w:tcPr>
          <w:p>
            <w:pPr>
              <w:pStyle w:val="TableContents"/>
              <w:spacing w:before="0" w:after="283"/>
              <w:rPr/>
            </w:pPr>
            <w:r>
              <w:rPr/>
              <w:t>  </w:t>
            </w:r>
          </w:p>
        </w:tc>
        <w:tc>
          <w:tcPr>
            <w:tcW w:w="432" w:type="dxa"/>
            <w:tcBorders/>
            <w:shd w:fill="CCEEFF" w:val="clear"/>
            <w:vAlign w:val="center"/>
          </w:tcPr>
          <w:p>
            <w:pPr>
              <w:pStyle w:val="TableContents"/>
              <w:spacing w:before="0" w:after="283"/>
              <w:rPr/>
            </w:pPr>
            <w:r>
              <w:rPr/>
              <w:t> </w:t>
            </w:r>
          </w:p>
        </w:tc>
        <w:tc>
          <w:tcPr>
            <w:tcW w:w="1178"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8"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1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lease cost</w:t>
            </w:r>
          </w:p>
        </w:tc>
        <w:tc>
          <w:tcPr>
            <w:tcW w:w="12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b/>
                <w:spacing w:val="0"/>
              </w:rPr>
            </w:pPr>
            <w:r>
              <w:rPr>
                <w:b/>
                <w:spacing w:val="0"/>
              </w:rPr>
              <w:t>$</w:t>
            </w:r>
          </w:p>
        </w:tc>
        <w:tc>
          <w:tcPr>
            <w:tcW w:w="1177" w:type="dxa"/>
            <w:tcBorders/>
            <w:shd w:fill="auto" w:val="clear"/>
            <w:vAlign w:val="center"/>
          </w:tcPr>
          <w:p>
            <w:pPr>
              <w:pStyle w:val="TableContents"/>
              <w:spacing w:before="0" w:after="0"/>
              <w:jc w:val="right"/>
              <w:rPr>
                <w:b/>
                <w:spacing w:val="0"/>
              </w:rPr>
            </w:pPr>
            <w:r>
              <w:rPr>
                <w:b/>
                <w:spacing w:val="0"/>
              </w:rPr>
              <w:t>509</w:t>
            </w:r>
          </w:p>
        </w:tc>
        <w:tc>
          <w:tcPr>
            <w:tcW w:w="148" w:type="dxa"/>
            <w:tcBorders/>
            <w:shd w:fill="auto" w:val="clear"/>
            <w:vAlign w:val="center"/>
          </w:tcPr>
          <w:p>
            <w:pPr>
              <w:pStyle w:val="TableContents"/>
              <w:spacing w:before="0" w:after="0"/>
              <w:rPr>
                <w:spacing w:val="0"/>
              </w:rPr>
            </w:pPr>
            <w:r>
              <w:rPr>
                <w:spacing w:val="0"/>
              </w:rPr>
              <w:t> </w:t>
            </w:r>
          </w:p>
        </w:tc>
        <w:tc>
          <w:tcPr>
            <w:tcW w:w="297"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0"/>
              <w:rPr>
                <w:b/>
                <w:spacing w:val="0"/>
              </w:rPr>
            </w:pPr>
            <w:r>
              <w:rPr>
                <w:b/>
                <w:spacing w:val="0"/>
              </w:rPr>
              <w:t>$</w:t>
            </w:r>
          </w:p>
        </w:tc>
        <w:tc>
          <w:tcPr>
            <w:tcW w:w="1178" w:type="dxa"/>
            <w:tcBorders/>
            <w:shd w:fill="auto" w:val="clear"/>
            <w:vAlign w:val="center"/>
          </w:tcPr>
          <w:p>
            <w:pPr>
              <w:pStyle w:val="TableContents"/>
              <w:spacing w:before="0" w:after="0"/>
              <w:jc w:val="right"/>
              <w:rPr>
                <w:b/>
                <w:spacing w:val="0"/>
              </w:rPr>
            </w:pPr>
            <w:r>
              <w:rPr>
                <w:b/>
                <w:spacing w:val="0"/>
              </w:rPr>
              <w:t>137</w:t>
            </w:r>
          </w:p>
        </w:tc>
        <w:tc>
          <w:tcPr>
            <w:tcW w:w="75" w:type="dxa"/>
            <w:tcBorders/>
            <w:shd w:fill="auto" w:val="clear"/>
            <w:vAlign w:val="center"/>
          </w:tcPr>
          <w:p>
            <w:pPr>
              <w:pStyle w:val="TableContents"/>
              <w:spacing w:before="0" w:after="0"/>
              <w:rPr>
                <w:spacing w:val="0"/>
              </w:rPr>
            </w:pPr>
            <w:r>
              <w:rPr>
                <w:spacing w:val="0"/>
              </w:rPr>
              <w:t> </w:t>
            </w:r>
          </w:p>
        </w:tc>
      </w:tr>
      <w:tr>
        <w:trPr/>
        <w:tc>
          <w:tcPr>
            <w:tcW w:w="17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8"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6945" w:type="dxa"/>
        <w:jc w:val="left"/>
        <w:tblInd w:w="0" w:type="dxa"/>
        <w:tblCellMar>
          <w:top w:w="0" w:type="dxa"/>
          <w:left w:w="0" w:type="dxa"/>
          <w:bottom w:w="0" w:type="dxa"/>
          <w:right w:w="0" w:type="dxa"/>
        </w:tblCellMar>
      </w:tblPr>
      <w:tblGrid>
        <w:gridCol w:w="4925"/>
        <w:gridCol w:w="120"/>
        <w:gridCol w:w="388"/>
        <w:gridCol w:w="1222"/>
        <w:gridCol w:w="290"/>
      </w:tblGrid>
      <w:tr>
        <w:trPr/>
        <w:tc>
          <w:tcPr>
            <w:tcW w:w="4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9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0" w:type="dxa"/>
            <w:gridSpan w:val="2"/>
            <w:tcBorders/>
            <w:shd w:fill="auto" w:val="clear"/>
            <w:vAlign w:val="center"/>
          </w:tcPr>
          <w:p>
            <w:pPr>
              <w:pStyle w:val="TableContents"/>
              <w:spacing w:before="0" w:after="0"/>
              <w:jc w:val="center"/>
              <w:rPr>
                <w:b/>
                <w:spacing w:val="0"/>
              </w:rPr>
            </w:pPr>
            <w:r>
              <w:rPr>
                <w:b/>
                <w:spacing w:val="0"/>
              </w:rPr>
              <w:t>(unaudited)</w:t>
              <w:br/>
              <w:t>For the Three</w:t>
              <w:br/>
              <w:t>Months Ended</w:t>
              <w:br/>
              <w:t>March 31, 2022</w:t>
            </w:r>
          </w:p>
        </w:tc>
        <w:tc>
          <w:tcPr>
            <w:tcW w:w="290" w:type="dxa"/>
            <w:tcBorders/>
            <w:shd w:fill="auto" w:val="clear"/>
            <w:vAlign w:val="center"/>
          </w:tcPr>
          <w:p>
            <w:pPr>
              <w:pStyle w:val="TableContents"/>
              <w:spacing w:before="0" w:after="283"/>
              <w:rPr/>
            </w:pPr>
            <w:r>
              <w:rPr/>
              <w:t> </w:t>
            </w:r>
          </w:p>
        </w:tc>
      </w:tr>
      <w:tr>
        <w:trPr/>
        <w:tc>
          <w:tcPr>
            <w:tcW w:w="49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information:</w:t>
            </w:r>
          </w:p>
        </w:tc>
        <w:tc>
          <w:tcPr>
            <w:tcW w:w="12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rPr/>
            </w:pPr>
            <w:r>
              <w:rPr/>
              <w:t> </w:t>
            </w:r>
          </w:p>
        </w:tc>
        <w:tc>
          <w:tcPr>
            <w:tcW w:w="1222"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r>
      <w:tr>
        <w:trPr/>
        <w:tc>
          <w:tcPr>
            <w:tcW w:w="49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paid for operating leases</w:t>
            </w:r>
          </w:p>
        </w:tc>
        <w:tc>
          <w:tcPr>
            <w:tcW w:w="12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w:t>
            </w:r>
          </w:p>
        </w:tc>
        <w:tc>
          <w:tcPr>
            <w:tcW w:w="1222" w:type="dxa"/>
            <w:tcBorders/>
            <w:shd w:fill="auto" w:val="clear"/>
            <w:vAlign w:val="center"/>
          </w:tcPr>
          <w:p>
            <w:pPr>
              <w:pStyle w:val="TableContents"/>
              <w:spacing w:before="0" w:after="283"/>
              <w:jc w:val="right"/>
              <w:rPr/>
            </w:pPr>
            <w:r>
              <w:rPr/>
              <w:t>532</w:t>
            </w:r>
          </w:p>
        </w:tc>
        <w:tc>
          <w:tcPr>
            <w:tcW w:w="290" w:type="dxa"/>
            <w:tcBorders/>
            <w:shd w:fill="auto" w:val="clear"/>
            <w:vAlign w:val="center"/>
          </w:tcPr>
          <w:p>
            <w:pPr>
              <w:pStyle w:val="TableContents"/>
              <w:spacing w:before="0" w:after="283"/>
              <w:rPr/>
            </w:pPr>
            <w:r>
              <w:rPr/>
              <w:t> </w:t>
            </w:r>
          </w:p>
        </w:tc>
      </w:tr>
      <w:tr>
        <w:trPr/>
        <w:tc>
          <w:tcPr>
            <w:tcW w:w="49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 obtained in exchange for new operating lease liability</w:t>
            </w:r>
          </w:p>
        </w:tc>
        <w:tc>
          <w:tcPr>
            <w:tcW w:w="12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rPr/>
            </w:pPr>
            <w:r>
              <w:rPr/>
              <w:t>$</w:t>
            </w:r>
          </w:p>
        </w:tc>
        <w:tc>
          <w:tcPr>
            <w:tcW w:w="1222"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49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remaining lease term - operating lease</w:t>
            </w:r>
          </w:p>
        </w:tc>
        <w:tc>
          <w:tcPr>
            <w:tcW w:w="12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1.96</w:t>
            </w:r>
          </w:p>
        </w:tc>
        <w:tc>
          <w:tcPr>
            <w:tcW w:w="290" w:type="dxa"/>
            <w:tcBorders/>
            <w:shd w:fill="auto" w:val="clear"/>
            <w:vAlign w:val="center"/>
          </w:tcPr>
          <w:p>
            <w:pPr>
              <w:pStyle w:val="TableContents"/>
              <w:spacing w:before="0" w:after="283"/>
              <w:rPr/>
            </w:pPr>
            <w:r>
              <w:rPr/>
              <w:t> </w:t>
            </w:r>
          </w:p>
        </w:tc>
      </w:tr>
      <w:tr>
        <w:trPr/>
        <w:tc>
          <w:tcPr>
            <w:tcW w:w="49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discount rate - operating lease</w:t>
            </w:r>
          </w:p>
        </w:tc>
        <w:tc>
          <w:tcPr>
            <w:tcW w:w="12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rPr/>
            </w:pPr>
            <w:r>
              <w:rPr/>
              <w:t> </w:t>
            </w:r>
          </w:p>
        </w:tc>
        <w:tc>
          <w:tcPr>
            <w:tcW w:w="1222" w:type="dxa"/>
            <w:tcBorders/>
            <w:shd w:fill="CCEEFF" w:val="clear"/>
            <w:vAlign w:val="center"/>
          </w:tcPr>
          <w:p>
            <w:pPr>
              <w:pStyle w:val="TableContents"/>
              <w:spacing w:before="0" w:after="283"/>
              <w:jc w:val="right"/>
              <w:rPr/>
            </w:pPr>
            <w:r>
              <w:rPr/>
              <w:t>10</w:t>
            </w:r>
          </w:p>
        </w:tc>
        <w:tc>
          <w:tcPr>
            <w:tcW w:w="29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future minimum lease payments as of March 31, 2022, were as follows (in thousands): </w:t>
      </w:r>
    </w:p>
    <w:p>
      <w:pPr>
        <w:pStyle w:val="TextBody"/>
        <w:spacing w:before="0" w:after="0"/>
        <w:jc w:val="left"/>
        <w:rPr>
          <w:spacing w:val="0"/>
        </w:rPr>
      </w:pPr>
      <w:r>
        <w:rPr>
          <w:spacing w:val="0"/>
        </w:rPr>
        <w:t> </w:t>
      </w:r>
    </w:p>
    <w:tbl>
      <w:tblPr>
        <w:tblW w:w="7415" w:type="dxa"/>
        <w:jc w:val="left"/>
        <w:tblInd w:w="0" w:type="dxa"/>
        <w:tblCellMar>
          <w:top w:w="0" w:type="dxa"/>
          <w:left w:w="0" w:type="dxa"/>
          <w:bottom w:w="0" w:type="dxa"/>
          <w:right w:w="0" w:type="dxa"/>
        </w:tblCellMar>
      </w:tblPr>
      <w:tblGrid>
        <w:gridCol w:w="2690"/>
        <w:gridCol w:w="120"/>
        <w:gridCol w:w="271"/>
        <w:gridCol w:w="1084"/>
        <w:gridCol w:w="155"/>
        <w:gridCol w:w="60"/>
        <w:gridCol w:w="289"/>
        <w:gridCol w:w="1156"/>
        <w:gridCol w:w="155"/>
        <w:gridCol w:w="60"/>
        <w:gridCol w:w="241"/>
        <w:gridCol w:w="964"/>
        <w:gridCol w:w="170"/>
      </w:tblGrid>
      <w:tr>
        <w:trPr/>
        <w:tc>
          <w:tcPr>
            <w:tcW w:w="2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0"/>
              <w:jc w:val="center"/>
              <w:rPr>
                <w:b/>
                <w:spacing w:val="0"/>
              </w:rPr>
            </w:pPr>
            <w:r>
              <w:rPr>
                <w:b/>
                <w:spacing w:val="0"/>
              </w:rPr>
              <w:t>(unaudited)</w:t>
              <w:br/>
              <w:t>Third-Party</w:t>
              <w:br/>
              <w:t>Commitment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0"/>
              <w:jc w:val="center"/>
              <w:rPr>
                <w:b/>
                <w:spacing w:val="0"/>
              </w:rPr>
            </w:pPr>
            <w:r>
              <w:rPr>
                <w:b/>
                <w:spacing w:val="0"/>
              </w:rPr>
              <w:t>(unaudited)</w:t>
            </w:r>
          </w:p>
          <w:p>
            <w:pPr>
              <w:pStyle w:val="TableContents"/>
              <w:spacing w:before="0" w:after="0"/>
              <w:jc w:val="center"/>
              <w:rPr>
                <w:b/>
                <w:spacing w:val="0"/>
              </w:rPr>
            </w:pPr>
            <w:r>
              <w:rPr>
                <w:b/>
                <w:spacing w:val="0"/>
              </w:rPr>
              <w:t>Related-Party</w:t>
            </w:r>
          </w:p>
          <w:p>
            <w:pPr>
              <w:pStyle w:val="TableContents"/>
              <w:spacing w:before="0" w:after="0"/>
              <w:jc w:val="center"/>
              <w:rPr>
                <w:b/>
                <w:spacing w:val="0"/>
              </w:rPr>
            </w:pPr>
            <w:r>
              <w:rPr>
                <w:b/>
                <w:spacing w:val="0"/>
              </w:rPr>
              <w:br/>
              <w:t>Commitment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5" w:type="dxa"/>
            <w:gridSpan w:val="2"/>
            <w:tcBorders/>
            <w:shd w:fill="auto" w:val="clear"/>
            <w:vAlign w:val="center"/>
          </w:tcPr>
          <w:p>
            <w:pPr>
              <w:pStyle w:val="TableContents"/>
              <w:spacing w:before="0" w:after="0"/>
              <w:jc w:val="center"/>
              <w:rPr>
                <w:b/>
                <w:spacing w:val="0"/>
              </w:rPr>
            </w:pPr>
            <w:r>
              <w:rPr>
                <w:b/>
                <w:spacing w:val="0"/>
              </w:rPr>
              <w:t>(unaudited)</w:t>
              <w:br/>
              <w:t>Total</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 (remaining)</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w:t>
            </w:r>
          </w:p>
        </w:tc>
        <w:tc>
          <w:tcPr>
            <w:tcW w:w="1084" w:type="dxa"/>
            <w:tcBorders/>
            <w:shd w:fill="CCEEFF" w:val="clear"/>
            <w:vAlign w:val="center"/>
          </w:tcPr>
          <w:p>
            <w:pPr>
              <w:pStyle w:val="TableContents"/>
              <w:spacing w:before="0" w:after="283"/>
              <w:jc w:val="right"/>
              <w:rPr/>
            </w:pPr>
            <w:r>
              <w:rPr/>
              <w:t>1,328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w:t>
            </w:r>
          </w:p>
        </w:tc>
        <w:tc>
          <w:tcPr>
            <w:tcW w:w="1156" w:type="dxa"/>
            <w:tcBorders/>
            <w:shd w:fill="CCEEFF" w:val="clear"/>
            <w:vAlign w:val="center"/>
          </w:tcPr>
          <w:p>
            <w:pPr>
              <w:pStyle w:val="TableContents"/>
              <w:spacing w:before="0" w:after="283"/>
              <w:jc w:val="right"/>
              <w:rPr/>
            </w:pPr>
            <w:r>
              <w:rPr/>
              <w:t>252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w:t>
            </w:r>
          </w:p>
        </w:tc>
        <w:tc>
          <w:tcPr>
            <w:tcW w:w="964" w:type="dxa"/>
            <w:tcBorders/>
            <w:shd w:fill="CCEEFF" w:val="clear"/>
            <w:vAlign w:val="center"/>
          </w:tcPr>
          <w:p>
            <w:pPr>
              <w:pStyle w:val="TableContents"/>
              <w:spacing w:before="0" w:after="283"/>
              <w:jc w:val="right"/>
              <w:rPr/>
            </w:pPr>
            <w:r>
              <w:rPr/>
              <w:t>1,580</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084" w:type="dxa"/>
            <w:tcBorders/>
            <w:shd w:fill="auto" w:val="clear"/>
            <w:vAlign w:val="center"/>
          </w:tcPr>
          <w:p>
            <w:pPr>
              <w:pStyle w:val="TableContents"/>
              <w:spacing w:before="0" w:after="283"/>
              <w:jc w:val="right"/>
              <w:rPr/>
            </w:pPr>
            <w:r>
              <w:rPr/>
              <w:t>148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964" w:type="dxa"/>
            <w:tcBorders/>
            <w:shd w:fill="auto" w:val="clear"/>
            <w:vAlign w:val="center"/>
          </w:tcPr>
          <w:p>
            <w:pPr>
              <w:pStyle w:val="TableContents"/>
              <w:spacing w:before="0" w:after="283"/>
              <w:jc w:val="right"/>
              <w:rPr/>
            </w:pPr>
            <w:r>
              <w:rPr/>
              <w:t>487</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 </w:t>
            </w:r>
          </w:p>
        </w:tc>
        <w:tc>
          <w:tcPr>
            <w:tcW w:w="108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295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964" w:type="dxa"/>
            <w:tcBorders/>
            <w:shd w:fill="CCEEFF" w:val="clear"/>
            <w:vAlign w:val="center"/>
          </w:tcPr>
          <w:p>
            <w:pPr>
              <w:pStyle w:val="TableContents"/>
              <w:spacing w:before="0" w:after="283"/>
              <w:jc w:val="right"/>
              <w:rPr/>
            </w:pPr>
            <w:r>
              <w:rPr/>
              <w:t>295</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08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964" w:type="dxa"/>
            <w:tcBorders/>
            <w:shd w:fill="auto" w:val="clear"/>
            <w:vAlign w:val="center"/>
          </w:tcPr>
          <w:p>
            <w:pPr>
              <w:pStyle w:val="TableContents"/>
              <w:spacing w:before="0" w:after="283"/>
              <w:jc w:val="right"/>
              <w:rPr/>
            </w:pPr>
            <w:r>
              <w:rPr/>
              <w:t>309</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Thereafter</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 </w:t>
            </w:r>
          </w:p>
        </w:tc>
        <w:tc>
          <w:tcPr>
            <w:tcW w:w="108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964"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minimum lease payments</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b/>
                <w:spacing w:val="0"/>
              </w:rPr>
            </w:pPr>
            <w:r>
              <w:rPr>
                <w:b/>
                <w:spacing w:val="0"/>
              </w:rPr>
              <w:t>$</w:t>
            </w:r>
          </w:p>
        </w:tc>
        <w:tc>
          <w:tcPr>
            <w:tcW w:w="1084" w:type="dxa"/>
            <w:tcBorders/>
            <w:shd w:fill="auto" w:val="clear"/>
            <w:vAlign w:val="center"/>
          </w:tcPr>
          <w:p>
            <w:pPr>
              <w:pStyle w:val="TableContents"/>
              <w:spacing w:before="0" w:after="0"/>
              <w:jc w:val="right"/>
              <w:rPr>
                <w:b/>
                <w:spacing w:val="0"/>
              </w:rPr>
            </w:pPr>
            <w:r>
              <w:rPr>
                <w:b/>
                <w:spacing w:val="0"/>
              </w:rPr>
              <w:t>1,476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b/>
                <w:spacing w:val="0"/>
              </w:rPr>
            </w:pPr>
            <w:r>
              <w:rPr>
                <w:b/>
                <w:spacing w:val="0"/>
              </w:rPr>
              <w:t>$</w:t>
            </w:r>
          </w:p>
        </w:tc>
        <w:tc>
          <w:tcPr>
            <w:tcW w:w="1156" w:type="dxa"/>
            <w:tcBorders/>
            <w:shd w:fill="auto" w:val="clear"/>
            <w:vAlign w:val="center"/>
          </w:tcPr>
          <w:p>
            <w:pPr>
              <w:pStyle w:val="TableContents"/>
              <w:spacing w:before="0" w:after="0"/>
              <w:jc w:val="right"/>
              <w:rPr>
                <w:b/>
                <w:spacing w:val="0"/>
              </w:rPr>
            </w:pPr>
            <w:r>
              <w:rPr>
                <w:b/>
                <w:spacing w:val="0"/>
              </w:rPr>
              <w:t>1,195</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b/>
                <w:spacing w:val="0"/>
              </w:rPr>
            </w:pPr>
            <w:r>
              <w:rPr>
                <w:b/>
                <w:spacing w:val="0"/>
              </w:rPr>
              <w:t>$</w:t>
            </w:r>
          </w:p>
        </w:tc>
        <w:tc>
          <w:tcPr>
            <w:tcW w:w="964" w:type="dxa"/>
            <w:tcBorders/>
            <w:shd w:fill="auto" w:val="clear"/>
            <w:vAlign w:val="center"/>
          </w:tcPr>
          <w:p>
            <w:pPr>
              <w:pStyle w:val="TableContents"/>
              <w:spacing w:before="0" w:after="0"/>
              <w:jc w:val="right"/>
              <w:rPr>
                <w:b/>
                <w:spacing w:val="0"/>
              </w:rPr>
            </w:pPr>
            <w:r>
              <w:rPr>
                <w:b/>
                <w:spacing w:val="0"/>
              </w:rPr>
              <w:t>2,671</w:t>
            </w:r>
          </w:p>
        </w:tc>
        <w:tc>
          <w:tcPr>
            <w:tcW w:w="170" w:type="dxa"/>
            <w:tcBorders/>
            <w:shd w:fill="auto" w:val="clear"/>
            <w:vAlign w:val="center"/>
          </w:tcPr>
          <w:p>
            <w:pPr>
              <w:pStyle w:val="TableContents"/>
              <w:spacing w:before="0" w:after="0"/>
              <w:rPr>
                <w:spacing w:val="0"/>
              </w:rPr>
            </w:pPr>
            <w:r>
              <w:rPr>
                <w:spacing w:val="0"/>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imputed interest</w:t>
            </w:r>
          </w:p>
        </w:tc>
        <w:tc>
          <w:tcPr>
            <w:tcW w:w="12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rPr/>
            </w:pPr>
            <w:r>
              <w:rPr/>
              <w:t> </w:t>
            </w:r>
          </w:p>
        </w:tc>
        <w:tc>
          <w:tcPr>
            <w:tcW w:w="1084" w:type="dxa"/>
            <w:tcBorders/>
            <w:shd w:fill="CCEEFF" w:val="clear"/>
            <w:vAlign w:val="center"/>
          </w:tcPr>
          <w:p>
            <w:pPr>
              <w:pStyle w:val="TableContents"/>
              <w:spacing w:before="0" w:after="283"/>
              <w:jc w:val="right"/>
              <w:rPr/>
            </w:pPr>
            <w:r>
              <w:rPr/>
              <w:t>(54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964" w:type="dxa"/>
            <w:tcBorders/>
            <w:shd w:fill="CCEEFF" w:val="clear"/>
            <w:vAlign w:val="center"/>
          </w:tcPr>
          <w:p>
            <w:pPr>
              <w:pStyle w:val="TableContents"/>
              <w:spacing w:before="0" w:after="283"/>
              <w:jc w:val="right"/>
              <w:rPr/>
            </w:pPr>
            <w:r>
              <w:rPr/>
              <w:t>(243</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lease liabilities</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b/>
                <w:spacing w:val="0"/>
              </w:rPr>
            </w:pPr>
            <w:r>
              <w:rPr>
                <w:b/>
                <w:spacing w:val="0"/>
              </w:rPr>
              <w:t>$</w:t>
            </w:r>
          </w:p>
        </w:tc>
        <w:tc>
          <w:tcPr>
            <w:tcW w:w="1084" w:type="dxa"/>
            <w:tcBorders/>
            <w:shd w:fill="auto" w:val="clear"/>
            <w:vAlign w:val="center"/>
          </w:tcPr>
          <w:p>
            <w:pPr>
              <w:pStyle w:val="TableContents"/>
              <w:spacing w:before="0" w:after="0"/>
              <w:jc w:val="right"/>
              <w:rPr>
                <w:b/>
                <w:spacing w:val="0"/>
              </w:rPr>
            </w:pPr>
            <w:r>
              <w:rPr>
                <w:b/>
                <w:spacing w:val="0"/>
              </w:rPr>
              <w:t>1,422</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b/>
                <w:spacing w:val="0"/>
              </w:rPr>
            </w:pPr>
            <w:r>
              <w:rPr>
                <w:b/>
                <w:spacing w:val="0"/>
              </w:rPr>
              <w:t>$</w:t>
            </w:r>
          </w:p>
        </w:tc>
        <w:tc>
          <w:tcPr>
            <w:tcW w:w="1156" w:type="dxa"/>
            <w:tcBorders/>
            <w:shd w:fill="auto" w:val="clear"/>
            <w:vAlign w:val="center"/>
          </w:tcPr>
          <w:p>
            <w:pPr>
              <w:pStyle w:val="TableContents"/>
              <w:spacing w:before="0" w:after="0"/>
              <w:jc w:val="right"/>
              <w:rPr>
                <w:b/>
                <w:spacing w:val="0"/>
              </w:rPr>
            </w:pPr>
            <w:r>
              <w:rPr>
                <w:b/>
                <w:spacing w:val="0"/>
              </w:rPr>
              <w:t>1,006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b/>
                <w:spacing w:val="0"/>
              </w:rPr>
            </w:pPr>
            <w:r>
              <w:rPr>
                <w:b/>
                <w:spacing w:val="0"/>
              </w:rPr>
              <w:t>$</w:t>
            </w:r>
          </w:p>
        </w:tc>
        <w:tc>
          <w:tcPr>
            <w:tcW w:w="964" w:type="dxa"/>
            <w:tcBorders/>
            <w:shd w:fill="auto" w:val="clear"/>
            <w:vAlign w:val="center"/>
          </w:tcPr>
          <w:p>
            <w:pPr>
              <w:pStyle w:val="TableContents"/>
              <w:spacing w:before="0" w:after="0"/>
              <w:jc w:val="right"/>
              <w:rPr>
                <w:b/>
                <w:spacing w:val="0"/>
              </w:rPr>
            </w:pPr>
            <w:r>
              <w:rPr>
                <w:b/>
                <w:spacing w:val="0"/>
              </w:rPr>
              <w:t>2,428</w:t>
            </w:r>
          </w:p>
        </w:tc>
        <w:tc>
          <w:tcPr>
            <w:tcW w:w="170" w:type="dxa"/>
            <w:tcBorders/>
            <w:shd w:fill="auto" w:val="clear"/>
            <w:vAlign w:val="center"/>
          </w:tcPr>
          <w:p>
            <w:pPr>
              <w:pStyle w:val="TableContents"/>
              <w:spacing w:before="0" w:after="0"/>
              <w:rPr>
                <w:spacing w:val="0"/>
              </w:rPr>
            </w:pPr>
            <w:r>
              <w:rPr>
                <w:spacing w:val="0"/>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Dave Inc.</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Note 15 Convertible Preferred Stock and Stockholders’ Equity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March 31, 2022, no shares of preferred stock were outstanding, and the Company has no present plans to issue any shares of preferred stock.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Pursuant to the terms of our amended and restated certificate of incorporation, shares of preferred stock may be issued from time to time in one or more series. The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board of directors is able to, without stockholder approval, issue preferred stock with voting and other rights that could adversely affect the voting power and other rights of the holders of the common stock and could have anti-takeover effects. The ability of the board of directors to issue preferred stock without stockholder approval could have the effect of delaying, deferring or preventing a change of control or the removal of existing management.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35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Class A and Class V Common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Board of Directors has authorized two classes of common stock, Class A and Class V. As of March 31, 2022, the Company had authorized 500,000,000 and 100,000,000 shares of Class A and Class V Common Stock. As of March 31, 2022, the Company had 324,245,822 and 48,450,639 shares of Class A and Class V Common Stock issued and outstanding, respectively.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16 Stock-Based Compensation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2017, the Company’s Board of Directors adopted the Dave Inc. 2017 Stock Plan (the “2017 Plan”). The Plan authorizes the award of stock options, restricted stock, and restricted stock units. The Company has reserved shares of common stock for issuance under the Plan.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On January 4, 2022, the stockholders of the Company considered and approved the 2021 Employee Stock Purchase Plan (the “ESPP”). The ESPP was previously approved, subject to stockholder approval, by the Company’s Board of Directors on January 4, 2022. The ESPP became effective immediately upon the completion of the Business Combination with VPCC.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recognized approximately $3.2 million and $1.7 million of stock-based compensation expense arising from stock option and restricted stock grants which is recorded as a component of compensation and benefits in the condensed consolidated statements of operations for the three months ended March 31, 2022 and 2021,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Stock Options: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Management has valued stock options at their date of grant utilizing the Black-Scholes option pricing model. The fair value of the underlying shares was estimated by using a number of inputs, including recent arm’s length transactions involving the sale of the Company’s common stock.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presents the weighted-average assumptions used to value options granted during the three months ended March 31, 2020: </w:t>
      </w:r>
    </w:p>
    <w:p>
      <w:pPr>
        <w:pStyle w:val="TextBody"/>
        <w:spacing w:before="0" w:after="0"/>
        <w:jc w:val="left"/>
        <w:rPr>
          <w:spacing w:val="0"/>
        </w:rPr>
      </w:pPr>
      <w:r>
        <w:rPr>
          <w:spacing w:val="0"/>
        </w:rPr>
        <w:t> </w:t>
      </w:r>
    </w:p>
    <w:tbl>
      <w:tblPr>
        <w:tblW w:w="3390" w:type="dxa"/>
        <w:jc w:val="left"/>
        <w:tblInd w:w="0" w:type="dxa"/>
        <w:tblCellMar>
          <w:top w:w="0" w:type="dxa"/>
          <w:left w:w="0" w:type="dxa"/>
          <w:bottom w:w="0" w:type="dxa"/>
          <w:right w:w="0" w:type="dxa"/>
        </w:tblCellMar>
      </w:tblPr>
      <w:tblGrid>
        <w:gridCol w:w="2045"/>
        <w:gridCol w:w="120"/>
        <w:gridCol w:w="60"/>
        <w:gridCol w:w="875"/>
        <w:gridCol w:w="290"/>
      </w:tblGrid>
      <w:tr>
        <w:trPr/>
        <w:tc>
          <w:tcPr>
            <w:tcW w:w="20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0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 Expected term</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6.0 years</w:t>
            </w:r>
          </w:p>
        </w:tc>
        <w:tc>
          <w:tcPr>
            <w:tcW w:w="290" w:type="dxa"/>
            <w:tcBorders/>
            <w:shd w:fill="CCEEFF"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0"/>
              <w:jc w:val="right"/>
              <w:rPr>
                <w:spacing w:val="0"/>
              </w:rPr>
            </w:pPr>
            <w:r>
              <w:rPr>
                <w:spacing w:val="0"/>
              </w:rPr>
              <w:t>0.9</w:t>
            </w:r>
          </w:p>
        </w:tc>
        <w:tc>
          <w:tcPr>
            <w:tcW w:w="290" w:type="dxa"/>
            <w:tcBorders/>
            <w:shd w:fill="auto"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0.0</w:t>
            </w:r>
          </w:p>
        </w:tc>
        <w:tc>
          <w:tcPr>
            <w:tcW w:w="290" w:type="dxa"/>
            <w:tcBorders/>
            <w:shd w:fill="CCEEFF"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volatility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60.7</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had no stock options granted during the three months ended March 31, 2022.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Expected term</w:t>
      </w:r>
    </w:p>
    <w:p>
      <w:pPr>
        <w:pStyle w:val="TextBody"/>
        <w:spacing w:before="240" w:after="0"/>
        <w:jc w:val="left"/>
        <w:rPr/>
      </w:pPr>
      <w:r>
        <w:rPr/>
        <w:t>—</w:t>
      </w:r>
      <w:r>
        <w:rPr>
          <w:rFonts w:ascii="Times New Roman" w:hAnsi="Times New Roman"/>
          <w:sz w:val="20"/>
        </w:rPr>
        <w:t xml:space="preserve">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free interest rate</w:t>
      </w:r>
    </w:p>
    <w:p>
      <w:pPr>
        <w:pStyle w:val="TextBody"/>
        <w:spacing w:before="240" w:after="0"/>
        <w:jc w:val="left"/>
        <w:rPr/>
      </w:pPr>
      <w:r>
        <w:rPr/>
        <w:t>—</w:t>
      </w:r>
      <w:r>
        <w:rPr>
          <w:rFonts w:ascii="Times New Roman" w:hAnsi="Times New Roman"/>
          <w:sz w:val="20"/>
        </w:rPr>
        <w:t xml:space="preserve">The risk-free interest rate is based on the implied yield available on U.S. Treasury issues with an equivalent term approximating the expected life of the options depending on the date of the grant and expected life of the options.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Expected dividend yield</w:t>
      </w:r>
    </w:p>
    <w:p>
      <w:pPr>
        <w:pStyle w:val="TextBody"/>
        <w:spacing w:before="240" w:after="0"/>
        <w:jc w:val="left"/>
        <w:rPr/>
      </w:pPr>
      <w:r>
        <w:rPr/>
        <w:t>—</w:t>
      </w:r>
      <w:r>
        <w:rPr>
          <w:rFonts w:ascii="Times New Roman" w:hAnsi="Times New Roman"/>
          <w:sz w:val="20"/>
        </w:rPr>
        <w:t xml:space="preserve">The Company bases the expected dividend yield assumption on the fact that it has never paid cash dividends and has no present intention to pay cash dividends.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Expected volatility</w:t>
      </w:r>
    </w:p>
    <w:p>
      <w:pPr>
        <w:pStyle w:val="TextBody"/>
        <w:spacing w:before="240" w:after="0"/>
        <w:jc w:val="left"/>
        <w:rPr/>
      </w:pPr>
      <w:r>
        <w:rPr/>
        <w:t>—</w:t>
      </w:r>
      <w:r>
        <w:rPr>
          <w:rFonts w:ascii="Times New Roman" w:hAnsi="Times New Roman"/>
          <w:sz w:val="20"/>
        </w:rPr>
        <w:t xml:space="preserve">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Activity with respect to stock options is summarized as follows: </w:t>
      </w:r>
    </w:p>
    <w:p>
      <w:pPr>
        <w:pStyle w:val="TextBody"/>
        <w:spacing w:before="0" w:after="0"/>
        <w:jc w:val="left"/>
        <w:rPr>
          <w:spacing w:val="0"/>
        </w:rPr>
      </w:pPr>
      <w:r>
        <w:rPr>
          <w:spacing w:val="0"/>
        </w:rPr>
        <w:t> </w:t>
      </w:r>
    </w:p>
    <w:tbl>
      <w:tblPr>
        <w:tblW w:w="5975" w:type="dxa"/>
        <w:jc w:val="left"/>
        <w:tblInd w:w="0" w:type="dxa"/>
        <w:tblCellMar>
          <w:top w:w="0" w:type="dxa"/>
          <w:left w:w="0" w:type="dxa"/>
          <w:bottom w:w="0" w:type="dxa"/>
          <w:right w:w="0" w:type="dxa"/>
        </w:tblCellMar>
      </w:tblPr>
      <w:tblGrid>
        <w:gridCol w:w="3275"/>
        <w:gridCol w:w="120"/>
        <w:gridCol w:w="60"/>
        <w:gridCol w:w="1100"/>
        <w:gridCol w:w="155"/>
        <w:gridCol w:w="120"/>
        <w:gridCol w:w="258"/>
        <w:gridCol w:w="812"/>
        <w:gridCol w:w="75"/>
      </w:tblGrid>
      <w:tr>
        <w:trPr/>
        <w:tc>
          <w:tcPr>
            <w:tcW w:w="3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0"/>
              <w:jc w:val="center"/>
              <w:rPr>
                <w:b/>
                <w:spacing w:val="0"/>
              </w:rPr>
            </w:pPr>
            <w:r>
              <w:rPr>
                <w:b/>
                <w:spacing w:val="0"/>
              </w:rPr>
              <w:t>Weighted-</w:t>
              <w:br/>
              <w:t>Average</w:t>
              <w:br/>
              <w:t>Exercise</w:t>
              <w:br/>
              <w:t>Price</w:t>
            </w:r>
          </w:p>
        </w:tc>
        <w:tc>
          <w:tcPr>
            <w:tcW w:w="75" w:type="dxa"/>
            <w:tcBorders/>
            <w:shd w:fill="auto" w:val="clear"/>
            <w:vAlign w:val="center"/>
          </w:tcPr>
          <w:p>
            <w:pPr>
              <w:pStyle w:val="TableContents"/>
              <w:spacing w:before="0" w:after="283"/>
              <w:rPr/>
            </w:pPr>
            <w:r>
              <w:rPr/>
              <w:t> </w:t>
            </w:r>
          </w:p>
        </w:tc>
      </w:tr>
      <w:tr>
        <w:trPr/>
        <w:tc>
          <w:tcPr>
            <w:tcW w:w="32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Options outstanding,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34,709,027</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w:t>
            </w:r>
          </w:p>
        </w:tc>
        <w:tc>
          <w:tcPr>
            <w:tcW w:w="812" w:type="dxa"/>
            <w:tcBorders/>
            <w:shd w:fill="CCEEFF" w:val="clear"/>
            <w:vAlign w:val="center"/>
          </w:tcPr>
          <w:p>
            <w:pPr>
              <w:pStyle w:val="TableContents"/>
              <w:spacing w:before="0" w:after="283"/>
              <w:jc w:val="right"/>
              <w:rPr/>
            </w:pPr>
            <w:r>
              <w:rPr/>
              <w:t>0.64</w:t>
            </w:r>
          </w:p>
        </w:tc>
        <w:tc>
          <w:tcPr>
            <w:tcW w:w="75" w:type="dxa"/>
            <w:tcBorders/>
            <w:shd w:fill="CCEEFF"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w:t>
            </w:r>
          </w:p>
        </w:tc>
        <w:tc>
          <w:tcPr>
            <w:tcW w:w="81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(3,336,683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w:t>
            </w:r>
          </w:p>
        </w:tc>
        <w:tc>
          <w:tcPr>
            <w:tcW w:w="812" w:type="dxa"/>
            <w:tcBorders/>
            <w:shd w:fill="CCEEFF" w:val="clear"/>
            <w:vAlign w:val="center"/>
          </w:tcPr>
          <w:p>
            <w:pPr>
              <w:pStyle w:val="TableContents"/>
              <w:spacing w:before="0" w:after="283"/>
              <w:jc w:val="right"/>
              <w:rPr/>
            </w:pPr>
            <w:r>
              <w:rPr/>
              <w:t>0.45</w:t>
            </w:r>
          </w:p>
        </w:tc>
        <w:tc>
          <w:tcPr>
            <w:tcW w:w="75" w:type="dxa"/>
            <w:tcBorders/>
            <w:shd w:fill="CCEEFF"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(459,787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w:t>
            </w:r>
          </w:p>
        </w:tc>
        <w:tc>
          <w:tcPr>
            <w:tcW w:w="812" w:type="dxa"/>
            <w:tcBorders/>
            <w:shd w:fill="auto" w:val="clear"/>
            <w:vAlign w:val="center"/>
          </w:tcPr>
          <w:p>
            <w:pPr>
              <w:pStyle w:val="TableContents"/>
              <w:spacing w:before="0" w:after="283"/>
              <w:jc w:val="right"/>
              <w:rPr/>
            </w:pPr>
            <w:r>
              <w:rPr/>
              <w:t>0.66</w:t>
            </w:r>
          </w:p>
        </w:tc>
        <w:tc>
          <w:tcPr>
            <w:tcW w:w="75" w:type="dxa"/>
            <w:tcBorders/>
            <w:shd w:fill="auto" w:val="clear"/>
            <w:vAlign w:val="center"/>
          </w:tcPr>
          <w:p>
            <w:pPr>
              <w:pStyle w:val="TableContents"/>
              <w:spacing w:before="0" w:after="283"/>
              <w:rPr/>
            </w:pPr>
            <w:r>
              <w:rPr/>
              <w:t> </w:t>
            </w:r>
          </w:p>
        </w:tc>
      </w:tr>
      <w:tr>
        <w:trPr/>
        <w:tc>
          <w:tcPr>
            <w:tcW w:w="3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Expired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(2,595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w:t>
            </w:r>
          </w:p>
        </w:tc>
        <w:tc>
          <w:tcPr>
            <w:tcW w:w="812" w:type="dxa"/>
            <w:tcBorders/>
            <w:shd w:fill="CCEEFF" w:val="clear"/>
            <w:vAlign w:val="center"/>
          </w:tcPr>
          <w:p>
            <w:pPr>
              <w:pStyle w:val="TableContents"/>
              <w:spacing w:before="0" w:after="283"/>
              <w:jc w:val="right"/>
              <w:rPr/>
            </w:pPr>
            <w:r>
              <w:rPr/>
              <w:t>0.69</w:t>
            </w:r>
          </w:p>
        </w:tc>
        <w:tc>
          <w:tcPr>
            <w:tcW w:w="75" w:type="dxa"/>
            <w:tcBorders/>
            <w:shd w:fill="CCEEFF"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Options outstanding, March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b/>
                <w:spacing w:val="0"/>
              </w:rPr>
            </w:pPr>
            <w:r>
              <w:rPr>
                <w:b/>
                <w:spacing w:val="0"/>
              </w:rPr>
              <w:t>30,909,962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w:t>
            </w:r>
          </w:p>
        </w:tc>
        <w:tc>
          <w:tcPr>
            <w:tcW w:w="812" w:type="dxa"/>
            <w:tcBorders/>
            <w:shd w:fill="auto" w:val="clear"/>
            <w:vAlign w:val="center"/>
          </w:tcPr>
          <w:p>
            <w:pPr>
              <w:pStyle w:val="TableContents"/>
              <w:spacing w:before="0" w:after="283"/>
              <w:jc w:val="right"/>
              <w:rPr/>
            </w:pPr>
            <w:r>
              <w:rPr/>
              <w:t>0.66</w:t>
            </w:r>
          </w:p>
        </w:tc>
        <w:tc>
          <w:tcPr>
            <w:tcW w:w="75"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Nonvested options, March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22,213,714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w:t>
            </w:r>
          </w:p>
        </w:tc>
        <w:tc>
          <w:tcPr>
            <w:tcW w:w="812" w:type="dxa"/>
            <w:tcBorders/>
            <w:shd w:fill="CCEEFF" w:val="clear"/>
            <w:vAlign w:val="center"/>
          </w:tcPr>
          <w:p>
            <w:pPr>
              <w:pStyle w:val="TableContents"/>
              <w:spacing w:before="0" w:after="283"/>
              <w:jc w:val="right"/>
              <w:rPr/>
            </w:pPr>
            <w:r>
              <w:rPr/>
              <w:t>0.71</w:t>
            </w:r>
          </w:p>
        </w:tc>
        <w:tc>
          <w:tcPr>
            <w:tcW w:w="75" w:type="dxa"/>
            <w:tcBorders/>
            <w:shd w:fill="CCEEFF"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 and exercisable, March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9,140,656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w:t>
            </w:r>
          </w:p>
        </w:tc>
        <w:tc>
          <w:tcPr>
            <w:tcW w:w="812" w:type="dxa"/>
            <w:tcBorders/>
            <w:shd w:fill="auto" w:val="clear"/>
            <w:vAlign w:val="center"/>
          </w:tcPr>
          <w:p>
            <w:pPr>
              <w:pStyle w:val="TableContents"/>
              <w:spacing w:before="0" w:after="283"/>
              <w:jc w:val="right"/>
              <w:rPr/>
            </w:pPr>
            <w:r>
              <w:rPr/>
              <w:t>0.53</w:t>
            </w:r>
          </w:p>
        </w:tc>
        <w:tc>
          <w:tcPr>
            <w:tcW w:w="75"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March 31, 2022 and 2021, 444,408 and 1,009,279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shares of Common Stock were subject to repurchase at weighted-average exercise prices of $0.69 and $0.62, respectively. The shares issued pursuant to unvested options have been included in shares issued and outstanding on the condensed consolidated balance sheets as such shares are considered legally outstanding.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March 3, 2021, the Company granted the Chief Executive Officer stock options to purchase up to 11,456,061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market, and performance conditions are probable, which is upon the completion of a liquidity event, the achievement of specified price targets for each tranche of shares, and continuous employment. Upon the completion of a business combination with VPCC, the performance condition was met and the Company recorded a cumulative stock-based compensation expense as of approximately $1.9 million. The options have a strike price of $0.72 per share. The Company determined the fair value of the options on the grant date to be approximately $10.5 million (unaudited) using a Monte Carlo simulation with key inputs and assumptions such as stock price, term, dividend yield, risk-free interest rate, and volatility. Each tranche will vest monthly over a derived service period.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presents the key inputs and assumptions used to value the options granted to the Chief Executive Officer on the grant date: </w:t>
      </w:r>
    </w:p>
    <w:p>
      <w:pPr>
        <w:pStyle w:val="TextBody"/>
        <w:spacing w:before="0" w:after="0"/>
        <w:jc w:val="left"/>
        <w:rPr>
          <w:spacing w:val="0"/>
        </w:rPr>
      </w:pPr>
      <w:r>
        <w:rPr>
          <w:spacing w:val="0"/>
        </w:rPr>
        <w:t> </w:t>
      </w:r>
    </w:p>
    <w:tbl>
      <w:tblPr>
        <w:tblW w:w="3510" w:type="dxa"/>
        <w:jc w:val="left"/>
        <w:tblInd w:w="0" w:type="dxa"/>
        <w:tblCellMar>
          <w:top w:w="0" w:type="dxa"/>
          <w:left w:w="0" w:type="dxa"/>
          <w:bottom w:w="0" w:type="dxa"/>
          <w:right w:w="0" w:type="dxa"/>
        </w:tblCellMar>
      </w:tblPr>
      <w:tblGrid>
        <w:gridCol w:w="2045"/>
        <w:gridCol w:w="120"/>
        <w:gridCol w:w="60"/>
        <w:gridCol w:w="995"/>
        <w:gridCol w:w="290"/>
      </w:tblGrid>
      <w:tr>
        <w:trPr/>
        <w:tc>
          <w:tcPr>
            <w:tcW w:w="20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0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Remaining term</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10.0 years</w:t>
            </w:r>
          </w:p>
        </w:tc>
        <w:tc>
          <w:tcPr>
            <w:tcW w:w="290" w:type="dxa"/>
            <w:tcBorders/>
            <w:shd w:fill="CCEEFF"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1.5</w:t>
            </w:r>
          </w:p>
        </w:tc>
        <w:tc>
          <w:tcPr>
            <w:tcW w:w="290" w:type="dxa"/>
            <w:tcBorders/>
            <w:shd w:fill="auto" w:val="clear"/>
            <w:vAlign w:val="center"/>
          </w:tcPr>
          <w:p>
            <w:pPr>
              <w:pStyle w:val="TableContents"/>
              <w:spacing w:before="0" w:after="283"/>
              <w:rPr/>
            </w:pPr>
            <w:r>
              <w:rPr/>
              <w:t>% </w:t>
            </w:r>
          </w:p>
        </w:tc>
      </w:tr>
      <w:tr>
        <w:trPr/>
        <w:tc>
          <w:tcPr>
            <w:tcW w:w="20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0.0</w:t>
            </w:r>
          </w:p>
        </w:tc>
        <w:tc>
          <w:tcPr>
            <w:tcW w:w="290" w:type="dxa"/>
            <w:tcBorders/>
            <w:shd w:fill="CCEEFF" w:val="clear"/>
            <w:vAlign w:val="center"/>
          </w:tcPr>
          <w:p>
            <w:pPr>
              <w:pStyle w:val="TableContents"/>
              <w:spacing w:before="0" w:after="283"/>
              <w:rPr/>
            </w:pPr>
            <w:r>
              <w:rPr/>
              <w:t>% </w:t>
            </w:r>
          </w:p>
        </w:tc>
      </w:tr>
      <w:tr>
        <w:trPr/>
        <w:tc>
          <w:tcPr>
            <w:tcW w:w="20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volatility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40.0</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36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17 Related-Party Transactions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Leasing Arrangements: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During the three months ended March 31, 2022 and 2021, the Company paid approximate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ly $0.08 million and $0.08 million, respectively, under lease agreements with PCJW for general office space in Los Angeles, California. </w:t>
      </w:r>
    </w:p>
    <w:p>
      <w:pPr>
        <w:pStyle w:val="TextBody"/>
        <w:spacing w:before="240" w:after="0"/>
        <w:jc w:val="left"/>
        <w:rPr>
          <w:rFonts w:ascii="Times New Roman" w:hAnsi="Times New Roman"/>
          <w:sz w:val="20"/>
        </w:rPr>
      </w:pPr>
      <w:r>
        <w:rPr>
          <w:rFonts w:ascii="Times New Roman" w:hAnsi="Times New Roman"/>
          <w:sz w:val="20"/>
        </w:rPr>
        <w:t xml:space="preserve">The following is a schedule of future minimum rental payments as of March 31, 2022, under the Company’s </w:t>
      </w:r>
    </w:p>
    <w:p>
      <w:pPr>
        <w:pStyle w:val="TextBody"/>
        <w:spacing w:before="240" w:after="0"/>
        <w:jc w:val="left"/>
        <w:rPr>
          <w:rFonts w:ascii="Times New Roman" w:hAnsi="Times New Roman"/>
          <w:spacing w:val="0"/>
          <w:sz w:val="20"/>
        </w:rPr>
      </w:pPr>
      <w:r>
        <w:rPr>
          <w:rFonts w:ascii="Times New Roman" w:hAnsi="Times New Roman"/>
          <w:spacing w:val="0"/>
          <w:sz w:val="20"/>
        </w:rPr>
        <w:t>sub-lease</w:t>
      </w:r>
    </w:p>
    <w:p>
      <w:pPr>
        <w:pStyle w:val="TextBody"/>
        <w:spacing w:before="240" w:after="0"/>
        <w:jc w:val="left"/>
        <w:rPr>
          <w:rFonts w:ascii="Times New Roman" w:hAnsi="Times New Roman"/>
          <w:sz w:val="20"/>
        </w:rPr>
      </w:pPr>
      <w:r>
        <w:rPr>
          <w:rFonts w:ascii="Times New Roman" w:hAnsi="Times New Roman"/>
          <w:sz w:val="20"/>
        </w:rPr>
        <w:t xml:space="preserve">for the properties located in Los Angeles, California signed with PCJW (in thousands): </w:t>
      </w:r>
    </w:p>
    <w:p>
      <w:pPr>
        <w:pStyle w:val="TextBody"/>
        <w:spacing w:before="0" w:after="0"/>
        <w:jc w:val="left"/>
        <w:rPr>
          <w:spacing w:val="0"/>
        </w:rPr>
      </w:pPr>
      <w:r>
        <w:rPr>
          <w:spacing w:val="0"/>
        </w:rPr>
        <w:t> </w:t>
      </w:r>
    </w:p>
    <w:tbl>
      <w:tblPr>
        <w:tblW w:w="4425" w:type="dxa"/>
        <w:jc w:val="left"/>
        <w:tblInd w:w="0" w:type="dxa"/>
        <w:tblCellMar>
          <w:top w:w="0" w:type="dxa"/>
          <w:left w:w="0" w:type="dxa"/>
          <w:bottom w:w="0" w:type="dxa"/>
          <w:right w:w="0" w:type="dxa"/>
        </w:tblCellMar>
      </w:tblPr>
      <w:tblGrid>
        <w:gridCol w:w="2690"/>
        <w:gridCol w:w="120"/>
        <w:gridCol w:w="289"/>
        <w:gridCol w:w="1156"/>
        <w:gridCol w:w="170"/>
      </w:tblGrid>
      <w:tr>
        <w:trPr/>
        <w:tc>
          <w:tcPr>
            <w:tcW w:w="2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0"/>
              <w:jc w:val="center"/>
              <w:rPr>
                <w:b/>
                <w:spacing w:val="0"/>
              </w:rPr>
            </w:pPr>
            <w:r>
              <w:rPr>
                <w:b/>
                <w:spacing w:val="0"/>
              </w:rPr>
              <w:t>Related-Party</w:t>
            </w:r>
          </w:p>
          <w:p>
            <w:pPr>
              <w:pStyle w:val="TableContents"/>
              <w:spacing w:before="0" w:after="0"/>
              <w:jc w:val="center"/>
              <w:rPr>
                <w:b/>
                <w:spacing w:val="0"/>
              </w:rPr>
            </w:pPr>
            <w:r>
              <w:rPr>
                <w:b/>
                <w:spacing w:val="0"/>
              </w:rPr>
              <w:br/>
              <w:t>Commitment</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 (remaining)</w:t>
            </w:r>
          </w:p>
        </w:tc>
        <w:tc>
          <w:tcPr>
            <w:tcW w:w="12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w:t>
            </w:r>
          </w:p>
        </w:tc>
        <w:tc>
          <w:tcPr>
            <w:tcW w:w="1156" w:type="dxa"/>
            <w:tcBorders/>
            <w:shd w:fill="CCEEFF" w:val="clear"/>
            <w:vAlign w:val="center"/>
          </w:tcPr>
          <w:p>
            <w:pPr>
              <w:pStyle w:val="TableContents"/>
              <w:spacing w:before="0" w:after="283"/>
              <w:jc w:val="right"/>
              <w:rPr/>
            </w:pPr>
            <w:r>
              <w:rPr/>
              <w:t>252</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339</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295</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309</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Thereafter</w:t>
            </w:r>
          </w:p>
        </w:tc>
        <w:tc>
          <w:tcPr>
            <w:tcW w:w="12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minimum lease payments</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b/>
                <w:spacing w:val="0"/>
              </w:rPr>
            </w:pPr>
            <w:r>
              <w:rPr>
                <w:b/>
                <w:spacing w:val="0"/>
              </w:rPr>
              <w:t>$</w:t>
            </w:r>
          </w:p>
        </w:tc>
        <w:tc>
          <w:tcPr>
            <w:tcW w:w="1156" w:type="dxa"/>
            <w:tcBorders/>
            <w:shd w:fill="auto" w:val="clear"/>
            <w:vAlign w:val="center"/>
          </w:tcPr>
          <w:p>
            <w:pPr>
              <w:pStyle w:val="TableContents"/>
              <w:spacing w:before="0" w:after="0"/>
              <w:jc w:val="right"/>
              <w:rPr>
                <w:b/>
                <w:spacing w:val="0"/>
              </w:rPr>
            </w:pPr>
            <w:r>
              <w:rPr>
                <w:b/>
                <w:spacing w:val="0"/>
              </w:rPr>
              <w:t>1,195</w:t>
            </w:r>
          </w:p>
        </w:tc>
        <w:tc>
          <w:tcPr>
            <w:tcW w:w="170" w:type="dxa"/>
            <w:tcBorders/>
            <w:shd w:fill="auto" w:val="clear"/>
            <w:vAlign w:val="center"/>
          </w:tcPr>
          <w:p>
            <w:pPr>
              <w:pStyle w:val="TableContents"/>
              <w:spacing w:before="0" w:after="0"/>
              <w:rPr>
                <w:spacing w:val="0"/>
              </w:rPr>
            </w:pPr>
            <w:r>
              <w:rPr>
                <w:spacing w:val="0"/>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imputed interest</w:t>
            </w:r>
          </w:p>
        </w:tc>
        <w:tc>
          <w:tcPr>
            <w:tcW w:w="12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(189</w:t>
            </w:r>
          </w:p>
        </w:tc>
        <w:tc>
          <w:tcPr>
            <w:tcW w:w="170" w:type="dxa"/>
            <w:tcBorders/>
            <w:shd w:fill="CCEEFF"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9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lease liabilities</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b/>
                <w:spacing w:val="0"/>
              </w:rPr>
            </w:pPr>
            <w:r>
              <w:rPr>
                <w:b/>
                <w:spacing w:val="0"/>
              </w:rPr>
              <w:t>$</w:t>
            </w:r>
          </w:p>
        </w:tc>
        <w:tc>
          <w:tcPr>
            <w:tcW w:w="1156" w:type="dxa"/>
            <w:tcBorders/>
            <w:shd w:fill="auto" w:val="clear"/>
            <w:vAlign w:val="center"/>
          </w:tcPr>
          <w:p>
            <w:pPr>
              <w:pStyle w:val="TableContents"/>
              <w:spacing w:before="0" w:after="0"/>
              <w:jc w:val="right"/>
              <w:rPr>
                <w:b/>
                <w:spacing w:val="0"/>
              </w:rPr>
            </w:pPr>
            <w:r>
              <w:rPr>
                <w:b/>
                <w:spacing w:val="0"/>
              </w:rPr>
              <w:t>1,006</w:t>
            </w:r>
          </w:p>
        </w:tc>
        <w:tc>
          <w:tcPr>
            <w:tcW w:w="170" w:type="dxa"/>
            <w:tcBorders/>
            <w:shd w:fill="auto" w:val="clear"/>
            <w:vAlign w:val="center"/>
          </w:tcPr>
          <w:p>
            <w:pPr>
              <w:pStyle w:val="TableContents"/>
              <w:spacing w:before="0" w:after="0"/>
              <w:rPr>
                <w:spacing w:val="0"/>
              </w:rPr>
            </w:pPr>
            <w:r>
              <w:rPr>
                <w:spacing w:val="0"/>
              </w:rPr>
              <w:t> </w:t>
            </w:r>
          </w:p>
        </w:tc>
      </w:tr>
      <w:tr>
        <w:trPr/>
        <w:tc>
          <w:tcPr>
            <w:tcW w:w="26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related-party components of the lease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z w:val="20"/>
        </w:rPr>
      </w:pPr>
      <w:r>
        <w:rPr>
          <w:rFonts w:ascii="Times New Roman" w:hAnsi="Times New Roman"/>
          <w:sz w:val="20"/>
        </w:rPr>
        <w:t xml:space="preserve">assets, lease liabilities, short-term, and lease liabilities, long-term, are presented as part of the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z w:val="20"/>
        </w:rPr>
      </w:pPr>
      <w:r>
        <w:rPr>
          <w:rFonts w:ascii="Times New Roman" w:hAnsi="Times New Roman"/>
          <w:sz w:val="20"/>
        </w:rPr>
        <w:t xml:space="preserve">asset and lease liability on the condensed consolidated balance sheets.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Related-Party Exercise Receivable Promissory Notes: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During 2018, the Company received non-recourse promissory notes from certain employees, which allowed for the early exercise of stock options, with the exercise price to be paid back to the Company at a later date. The notes for approximatel</w:t>
      </w:r>
    </w:p>
    <w:p>
      <w:pPr>
        <w:pStyle w:val="TextBody"/>
        <w:spacing w:before="120" w:after="0"/>
        <w:jc w:val="left"/>
        <w:rPr>
          <w:rFonts w:ascii="Times New Roman" w:hAnsi="Times New Roman"/>
          <w:spacing w:val="0"/>
          <w:sz w:val="20"/>
        </w:rPr>
      </w:pPr>
      <w:r>
        <w:rPr>
          <w:rFonts w:ascii="Times New Roman" w:hAnsi="Times New Roman"/>
          <w:spacing w:val="0"/>
          <w:sz w:val="20"/>
        </w:rPr>
        <w:t>y $0.1 thousand were secured by a pledge of 1,942,250 shares.</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During 2020, the Company received a non-recourse promissory note from a certain executive, which allowed for the early exercise of stock options, with the exercise price to be paid back to the Company at a later date. The note for approximatel</w:t>
      </w:r>
    </w:p>
    <w:p>
      <w:pPr>
        <w:pStyle w:val="TextBody"/>
        <w:spacing w:before="120" w:after="0"/>
        <w:jc w:val="left"/>
        <w:rPr>
          <w:rFonts w:ascii="Times New Roman" w:hAnsi="Times New Roman"/>
          <w:spacing w:val="0"/>
          <w:sz w:val="20"/>
        </w:rPr>
      </w:pPr>
      <w:r>
        <w:rPr>
          <w:rFonts w:ascii="Times New Roman" w:hAnsi="Times New Roman"/>
          <w:spacing w:val="0"/>
          <w:sz w:val="20"/>
        </w:rPr>
        <w:t>y $1.0 million was secured by a pledge of 1,050,000 shares.</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The promissory notes have a term of five years and carry stated interest rates between 1.5% and 2.0%, which are compounded annually.</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The amounts due as of March 31, 2022 and December 31, 2021, were approximately $</w:t>
      </w:r>
    </w:p>
    <w:p>
      <w:pPr>
        <w:pStyle w:val="TextBody"/>
        <w:spacing w:before="120" w:after="0"/>
        <w:jc w:val="left"/>
        <w:rPr>
          <w:rFonts w:ascii="Times New Roman" w:hAnsi="Times New Roman"/>
          <w:spacing w:val="0"/>
          <w:sz w:val="20"/>
        </w:rPr>
      </w:pPr>
      <w:r>
        <w:rPr>
          <w:rFonts w:ascii="Times New Roman" w:hAnsi="Times New Roman"/>
          <w:spacing w:val="0"/>
          <w:sz w:val="20"/>
        </w:rPr>
        <w:t>0</w:t>
      </w:r>
    </w:p>
    <w:p>
      <w:pPr>
        <w:pStyle w:val="TextBody"/>
        <w:spacing w:before="120" w:after="0"/>
        <w:jc w:val="left"/>
        <w:rPr>
          <w:rFonts w:ascii="Times New Roman" w:hAnsi="Times New Roman"/>
          <w:spacing w:val="0"/>
          <w:sz w:val="20"/>
        </w:rPr>
      </w:pPr>
      <w:r>
        <w:rPr>
          <w:rFonts w:ascii="Times New Roman" w:hAnsi="Times New Roman"/>
          <w:spacing w:val="0"/>
          <w:sz w:val="20"/>
        </w:rPr>
        <w:t>and $</w:t>
      </w:r>
    </w:p>
    <w:p>
      <w:pPr>
        <w:pStyle w:val="TextBody"/>
        <w:spacing w:before="120" w:after="0"/>
        <w:jc w:val="left"/>
        <w:rPr>
          <w:rFonts w:ascii="Times New Roman" w:hAnsi="Times New Roman"/>
          <w:spacing w:val="0"/>
          <w:sz w:val="20"/>
        </w:rPr>
      </w:pPr>
      <w:r>
        <w:rPr>
          <w:rFonts w:ascii="Times New Roman" w:hAnsi="Times New Roman"/>
          <w:spacing w:val="0"/>
          <w:sz w:val="20"/>
        </w:rPr>
        <w:t>1.1</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million, respectively. Prior to the consummation of the Business Combination in January 2022, the promissory notes were repaid. </w:t>
      </w:r>
    </w:p>
    <w:p>
      <w:pPr>
        <w:pStyle w:val="TextBody"/>
        <w:spacing w:before="240" w:after="0"/>
        <w:jc w:val="left"/>
        <w:rPr>
          <w:rFonts w:ascii="Times New Roman" w:hAnsi="Times New Roman"/>
          <w:spacing w:val="0"/>
          <w:sz w:val="20"/>
        </w:rPr>
      </w:pPr>
      <w:r>
        <w:rPr>
          <w:rFonts w:ascii="Times New Roman" w:hAnsi="Times New Roman"/>
          <w:spacing w:val="0"/>
          <w:sz w:val="20"/>
        </w:rPr>
        <w:t>On January 3, 2022, Legacy Dave entered into an agreement with a certain executive to transfer and sell shares of Legacy Dave common stock to Legacy Dave. A total of 146,565 shares of Legacy Dave’s common stock were repurchased for an aggregate purchase amount of $1.6 million, which resulted in an extinguishment of the related-party exercise receivable promissory notes.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Loans to Stockholders: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2019, the Company entered into loan, pledge, and option agreements (“Loans to Stockholders”) with various employees, who are also stockholders, to provide those employees cash in exchange for </w:t>
      </w:r>
    </w:p>
    <w:p>
      <w:pPr>
        <w:pStyle w:val="TextBody"/>
        <w:spacing w:before="120" w:after="0"/>
        <w:jc w:val="left"/>
        <w:rPr>
          <w:rFonts w:ascii="Times New Roman" w:hAnsi="Times New Roman"/>
          <w:spacing w:val="0"/>
          <w:sz w:val="20"/>
        </w:rPr>
      </w:pPr>
      <w:r>
        <w:rPr>
          <w:rFonts w:ascii="Times New Roman" w:hAnsi="Times New Roman"/>
          <w:spacing w:val="0"/>
          <w:sz w:val="20"/>
        </w:rPr>
        <w:t>non-recourse</w:t>
      </w:r>
    </w:p>
    <w:p>
      <w:pPr>
        <w:pStyle w:val="TextBody"/>
        <w:spacing w:before="120" w:after="0"/>
        <w:jc w:val="left"/>
        <w:rPr>
          <w:rFonts w:ascii="Times New Roman" w:hAnsi="Times New Roman"/>
          <w:spacing w:val="0"/>
          <w:sz w:val="20"/>
        </w:rPr>
      </w:pPr>
      <w:r>
        <w:rPr>
          <w:rFonts w:ascii="Times New Roman" w:hAnsi="Times New Roman"/>
          <w:spacing w:val="0"/>
          <w:sz w:val="20"/>
        </w:rPr>
        <w:t>promissory notes and call options, which allow the Company to acquire shares held by these stockholders. The entire unpaid principal balance of these Loans to Stockholders, together with all accrued but unpaid interest, is due and payable upon the earlier (i) o</w:t>
      </w:r>
    </w:p>
    <w:p>
      <w:pPr>
        <w:pStyle w:val="TextBody"/>
        <w:spacing w:before="120" w:after="0"/>
        <w:jc w:val="left"/>
        <w:rPr>
          <w:rFonts w:ascii="Times New Roman" w:hAnsi="Times New Roman"/>
          <w:sz w:val="20"/>
        </w:rPr>
      </w:pPr>
      <w:r>
        <w:rPr>
          <w:rFonts w:ascii="Times New Roman" w:hAnsi="Times New Roman"/>
          <w:sz w:val="20"/>
        </w:rPr>
        <w:t xml:space="preserve">f August 12, 2026; (ii) a liquidity event; or (iii) upon the exercise of the call option by the Company. These Loans to Stockholders carry stated interest rates of 1.87%, which are compounded annually. Please refer to Note 2,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Significant Account Policies</w:t>
      </w:r>
    </w:p>
    <w:p>
      <w:pPr>
        <w:pStyle w:val="TextBody"/>
        <w:spacing w:before="120" w:after="0"/>
        <w:jc w:val="left"/>
        <w:rPr>
          <w:rFonts w:ascii="Times New Roman" w:hAnsi="Times New Roman"/>
          <w:sz w:val="20"/>
        </w:rPr>
      </w:pPr>
      <w:r>
        <w:rPr>
          <w:rFonts w:ascii="Times New Roman" w:hAnsi="Times New Roman"/>
          <w:sz w:val="20"/>
        </w:rPr>
        <w:t xml:space="preserve">Summary of Significant Accounting Policies, for further details on the fair value of the derivative asset related to the Loans to Stockholders. Upon consummation of the </w:t>
      </w:r>
    </w:p>
    <w:p>
      <w:pPr>
        <w:pStyle w:val="TextBody"/>
        <w:spacing w:before="120" w:after="0"/>
        <w:jc w:val="left"/>
        <w:rPr>
          <w:rFonts w:ascii="Times New Roman" w:hAnsi="Times New Roman"/>
          <w:spacing w:val="0"/>
          <w:sz w:val="20"/>
        </w:rPr>
      </w:pPr>
      <w:r>
        <w:rPr>
          <w:rFonts w:ascii="Times New Roman" w:hAnsi="Times New Roman"/>
          <w:spacing w:val="0"/>
          <w:sz w:val="20"/>
        </w:rPr>
        <w:t>B</w:t>
      </w:r>
    </w:p>
    <w:p>
      <w:pPr>
        <w:pStyle w:val="TextBody"/>
        <w:spacing w:before="120" w:after="0"/>
        <w:jc w:val="left"/>
        <w:rPr>
          <w:rFonts w:ascii="Times New Roman" w:hAnsi="Times New Roman"/>
          <w:sz w:val="20"/>
        </w:rPr>
      </w:pPr>
      <w:r>
        <w:rPr>
          <w:rFonts w:ascii="Times New Roman" w:hAnsi="Times New Roman"/>
          <w:sz w:val="20"/>
        </w:rPr>
        <w:t xml:space="preserve">usiness </w:t>
      </w:r>
    </w:p>
    <w:p>
      <w:pPr>
        <w:pStyle w:val="TextBody"/>
        <w:spacing w:before="120" w:after="0"/>
        <w:jc w:val="left"/>
        <w:rPr>
          <w:rFonts w:ascii="Times New Roman" w:hAnsi="Times New Roman"/>
          <w:spacing w:val="0"/>
          <w:sz w:val="20"/>
        </w:rPr>
      </w:pPr>
      <w:r>
        <w:rPr>
          <w:rFonts w:ascii="Times New Roman" w:hAnsi="Times New Roman"/>
          <w:spacing w:val="0"/>
          <w:sz w:val="20"/>
        </w:rPr>
        <w:t>C</w:t>
      </w:r>
    </w:p>
    <w:p>
      <w:pPr>
        <w:pStyle w:val="TextBody"/>
        <w:spacing w:before="120" w:after="0"/>
        <w:jc w:val="left"/>
        <w:rPr>
          <w:rFonts w:ascii="Times New Roman" w:hAnsi="Times New Roman"/>
          <w:sz w:val="20"/>
        </w:rPr>
      </w:pPr>
      <w:r>
        <w:rPr>
          <w:rFonts w:ascii="Times New Roman" w:hAnsi="Times New Roman"/>
          <w:sz w:val="20"/>
        </w:rPr>
        <w:t xml:space="preserve">ombination in January 2022, all of the call options related to the Loans to Stockholders were exercised and the related loans were settled. The Loans to Stockholders, inclusive of interest, were approximately $0 (unaudited) and $15.2 million as of March 31, 2022 and December 31, 2021, respectively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18 401(k) Savings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Dave Inc.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Notes to the Unaudited Condensed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savings plan equal to 100% of the first 4% of wages deferred by each participating employee. The Company incurred expenses for employer matching contributions of approximately $0.4 million (unaudited) and $0.2 million for the three months ended March 31, 2022 and 2021, respectively.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38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Item 2. Management’s Discussion and Analysis of Financial Condition and Results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following discussion and analysis provides information which our management believes is relevant to an assessment and understanding of our results of operations and financial condition and should be read in conjunction with the condensed consolidated financial statements and the related notes included elsewhere in this report. This discussion contains forward-looking statements and involves numerous risks and uncertainties, including, but not limited to, those described in the “Risk Factors” section of our Annual Report on Form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10-K</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for the year ended December 31, 2021 filed with the Securities and Exchange Commission (“SEC”) on March 25, 2022. Actual results may differ materially from those contained in any forward-looking statements. Unless otherwise noted or the context otherwise requires, references in this “Management’s Discussion and Analysis of Financial Condition and Results of Operations” to “we,” “us,” “our,” and the “Company” are intended to mean the business and operations of Dave Inc. and our consolidated subsidiaries subsequent to the closing of the Business Combination (as defined below).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Overview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 </w:t>
      </w:r>
    </w:p>
    <w:p>
      <w:pPr>
        <w:pStyle w:val="TextBody"/>
        <w:spacing w:before="240" w:after="0"/>
        <w:jc w:val="left"/>
        <w:rPr>
          <w:rFonts w:ascii="Times New Roman" w:hAnsi="Times New Roman"/>
          <w:sz w:val="20"/>
        </w:rPr>
      </w:pPr>
      <w:r>
        <w:rPr>
          <w:rFonts w:ascii="Times New Roman" w:hAnsi="Times New Roman"/>
          <w:sz w:val="20"/>
        </w:rPr>
        <w:t xml:space="preserve">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w:t>
      </w:r>
    </w:p>
    <w:p>
      <w:pPr>
        <w:pStyle w:val="TextBody"/>
        <w:spacing w:before="240" w:after="0"/>
        <w:jc w:val="left"/>
        <w:rPr>
          <w:rFonts w:ascii="Times New Roman" w:hAnsi="Times New Roman"/>
          <w:spacing w:val="0"/>
          <w:sz w:val="20"/>
        </w:rPr>
      </w:pPr>
      <w:r>
        <w:rPr>
          <w:rFonts w:ascii="Times New Roman" w:hAnsi="Times New Roman"/>
          <w:spacing w:val="0"/>
          <w:sz w:val="20"/>
        </w:rPr>
        <w:t>$300-$400</w:t>
      </w:r>
    </w:p>
    <w:p>
      <w:pPr>
        <w:pStyle w:val="TextBody"/>
        <w:spacing w:before="240" w:after="0"/>
        <w:jc w:val="left"/>
        <w:rPr>
          <w:rFonts w:ascii="Times New Roman" w:hAnsi="Times New Roman"/>
          <w:sz w:val="20"/>
        </w:rPr>
      </w:pPr>
      <w:r>
        <w:rPr>
          <w:rFonts w:ascii="Times New Roman" w:hAnsi="Times New Roman"/>
          <w:sz w:val="20"/>
        </w:rPr>
        <w:t xml:space="preserve">in overdraft, maintenance and other fees to their existing bank for basic checking services.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Further, we see a significant opportunity to address the broader short-term credit market. According to a report by the Center for Financial Services Innovation (“CFSI”), legacy financial institutions charge approximately $30 billion in fees annually. The Financial Health Network estimates that financially “coping” and “vulnerable” populations pay approximately $120 billion a year in fees and interest for access to short-term credit.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prospective Member opportunity is also significant. According to the Financial Health Network, by 2023 approximately 45 million Americans will be “financially vulnerable,” 65 million Americans will be unbanked or underbanked and 185 million Americans will fall into the low or volatile income and credit- challenged category. Given these dynamics, we estimate that our total addressable market consists of between 150 million to 180 million Americans who are in need of financial stability and are either not served or underserved by legacy financial institutions.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Dave offers a suite of innovative financial products aimed at helping our Members improve their financial health. Our budgeting tool helps Members manage their upcoming bills to avoid overspending. To help Members avoid punitive overdraft fees and access short-term liquidity, Dave offers cash advances through its flagship 0% interest ExtraCash product. We also help Members generate extra income for spending or emergencies through our Side Hustle product, where we present Members with supplemental work opportunities. Through Dave Banking, we provide a modern checking account experience with valuable tools for building long-term financial health. </w:t>
      </w:r>
    </w:p>
    <w:p>
      <w:pPr>
        <w:pStyle w:val="TextBody"/>
        <w:spacing w:before="240" w:after="0"/>
        <w:jc w:val="left"/>
        <w:rPr>
          <w:rFonts w:ascii="Times New Roman" w:hAnsi="Times New Roman"/>
          <w:sz w:val="20"/>
        </w:rPr>
      </w:pPr>
      <w:r>
        <w:rPr>
          <w:rFonts w:ascii="Times New Roman" w:hAnsi="Times New Roman"/>
          <w:sz w:val="20"/>
        </w:rPr>
        <w:t xml:space="preserve">Market research conducted by Dave found that legacy financial institutions commonly require a more extensive banking relationship and days or even weeks of wait times to access their features and services, which can potentially be more onerous in order to obtain premium features (e.g., access to increased interest rates requires direct deposit or higher minimum daily balances). Even new challenger banks often take multiple days or even weeks before allowing members to access certain premium features, according to the same research. In contrast, Members are able to utilize all of Dave’s products individually and instantly, whether or not their banking relationship is with us. As an example, our ExtraCash product allows new Members to access up to $250 to cover an overdraft at their existing bank. We are able to do this by leveraging our proprietary machine learning engine that analyzes a Member’s prior transaction history at their existing bank. This flexible approach to Member choice and speed to value has been a key driver of our growth and </w:t>
      </w:r>
    </w:p>
    <w:p>
      <w:pPr>
        <w:pStyle w:val="TextBody"/>
        <w:spacing w:before="240" w:after="0"/>
        <w:jc w:val="left"/>
        <w:rPr>
          <w:rFonts w:ascii="Times New Roman" w:hAnsi="Times New Roman"/>
          <w:spacing w:val="0"/>
          <w:sz w:val="20"/>
        </w:rPr>
      </w:pPr>
      <w:r>
        <w:rPr>
          <w:rFonts w:ascii="Times New Roman" w:hAnsi="Times New Roman"/>
          <w:spacing w:val="0"/>
          <w:sz w:val="20"/>
        </w:rPr>
        <w:t>best-in-Class</w:t>
      </w:r>
    </w:p>
    <w:p>
      <w:pPr>
        <w:pStyle w:val="TextBody"/>
        <w:spacing w:before="240" w:after="0"/>
        <w:jc w:val="left"/>
        <w:rPr>
          <w:rFonts w:ascii="Times New Roman" w:hAnsi="Times New Roman"/>
          <w:sz w:val="20"/>
        </w:rPr>
      </w:pPr>
      <w:r>
        <w:rPr>
          <w:rFonts w:ascii="Times New Roman" w:hAnsi="Times New Roman"/>
          <w:sz w:val="20"/>
        </w:rPr>
        <w:t xml:space="preserve">brand favorability. </w:t>
      </w:r>
    </w:p>
    <w:p>
      <w:pPr>
        <w:pStyle w:val="TextBody"/>
        <w:spacing w:before="240" w:after="0"/>
        <w:jc w:val="left"/>
        <w:rPr>
          <w:rFonts w:ascii="Times New Roman" w:hAnsi="Times New Roman"/>
          <w:sz w:val="20"/>
        </w:rPr>
      </w:pPr>
      <w:r>
        <w:rPr>
          <w:rFonts w:ascii="Times New Roman" w:hAnsi="Times New Roman"/>
          <w:sz w:val="20"/>
        </w:rPr>
        <w:t xml:space="preserve">We have only begun to address the many inequities in financial services, but our progress to date demonstrates the demand for Dave to rewire the financial system for the everyday person. Since inception and through the date of this </w:t>
      </w:r>
    </w:p>
    <w:p>
      <w:pPr>
        <w:pStyle w:val="TextBody"/>
        <w:spacing w:before="240" w:after="0"/>
        <w:jc w:val="left"/>
        <w:rPr>
          <w:rFonts w:ascii="Times New Roman" w:hAnsi="Times New Roman"/>
          <w:spacing w:val="0"/>
          <w:sz w:val="20"/>
        </w:rPr>
      </w:pPr>
      <w:r>
        <w:rPr>
          <w:rFonts w:ascii="Times New Roman" w:hAnsi="Times New Roman"/>
          <w:spacing w:val="0"/>
          <w:sz w:val="20"/>
        </w:rPr>
        <w:t>Form 10-Q,</w:t>
      </w:r>
    </w:p>
    <w:p>
      <w:pPr>
        <w:pStyle w:val="TextBody"/>
        <w:spacing w:before="240" w:after="0"/>
        <w:jc w:val="left"/>
        <w:rPr>
          <w:rFonts w:ascii="Times New Roman" w:hAnsi="Times New Roman"/>
          <w:sz w:val="20"/>
        </w:rPr>
      </w:pPr>
      <w:r>
        <w:rPr>
          <w:rFonts w:ascii="Times New Roman" w:hAnsi="Times New Roman"/>
          <w:sz w:val="20"/>
        </w:rPr>
        <w:t xml:space="preserve">over 10 million Members have registered on the Dave app, over six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Business Combination and Public Company Costs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January 5, 2022 (the “Closing Date”), we consummated the previously announced mergers contemplated by the Agreement and Plan of Merger, dated as of June 7, 2021 (the “Business Combination Agreement”), by and among VPC Impact Acquisition Holdings III, Inc. (“VPCC”), Dave Inc., a Delaware corporation (“Legacy Dave”), Bear Merger Company I Inc., a Delaware corporation and a direct, wholly owned Subsidiaries of VPCC (“First Merger Sub”), and Bear Merger Company II LLC, a Delaware limited liability company and a direct, wholly owned Subsidiaries of VPCC (“Second Merger Sub”). Pursuant to the Business Combination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Business Combination Agreement, the “Business Combination”), with Second Merger Sub being the surviving company of the Second Merger as a wholly owned Subsidiaries of VPCC (the “Surviving Entity”). In connection with the closing of the Business Combination, we changed our name from “VPC Impact Acquisition Holdings III, Inc.” to “Dave Inc.,” and the Surviving Entity operates under the name “Dave Operating LLC.”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While the legal acquirer in the Business Combination Agreement is VPCC, for financial accounting and reporting purposes under accounting principles generally accepted in the United States (“U.S. GAAP”), Legacy Dave is the accounting acquirer, and the Business Combination is accounted for as a “reverse recapitalization.” A reverse recapitalization does not result in a new basis of accounting, and the consolidated financial statements of the combined entity represent the continuation of the consolidated financial statements of Legacy Dave in many respects. Under this method of accounting VPCC is treated as the “acquired” company for financial reporting purposes. For accounting purposes, Legacy Dave is deemed to be the accounting acquirer in the transaction and, consequently, the transaction will be treated as a recapitalization of Legacy Dave (i.e., a capital transaction involving the issuance of stock by VPCC for Dave Capital Stock). Accordingly, the consolidated assets, liabilities and results of operations of Legacy Dave have become the historical consolidated financial statements of the combined company, and VPCC’s assets, liabilities and results of operations have been consolidated with Dave beginning on the Closing Date. Operations prior to the Business Combination are presented as those of Legacy Dave in future reports. The net assets of VPCC have been recognized at historical cost (which is expected to be consistent with carrying value), with no goodwill or other intangible assets recorded.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Business Combination generated gross cash proceeds of $217.0 million, including $210.0 million proceeds from the public investment in private equity pursuant to the subscription agreements between the Company and certain investors (the “PIPE Investment”). Total direct and incremental transaction costs aggregated approximately $35.3 million which were recorded to APIC as equity issuance costs.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a result of the consummation of the Business Combination, we expect to incur additional annual expenses as a public company for, among other things, directors’ and officers’ liability insurance, director fees and additional internal and external accounting, and legal and administrative resources, including increased audit, compliance and legal fees.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Recent Developments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March 21, 2022, we entered into a Convertible Note Purchase Agreement (“Purchase Agreement”) with FTX Ventures Ltd., owner and operator of FTX US (“FTX Ventures”), pursuant to which, we sold and issued a convertible note in the initial principal amount of $100.0 million (the “Note” and the transactions contemplated by the Purchase Agreement and the Note, the “Transaction”). The Transaction is exempt from registration under the Securities Act of 1933, as amended (the “Securities Act”) in reliance on an exemption provided by Rule 506 of Regulation D and Section 4(a)(2) of the Securities Act. We intend to use the proceeds from the sale of the Note for working capital and general corporate purposes.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note bears interest at a fixed rate of 3.00% per year (compounded semi-annually), payable semi-annually in arrears on June 30th and December 31st of each year. Interest may be paid in-kind or in cash, at our option. Forty-eight months (the “Maturity Date”) after the date of the initial issuance of the Note (the “Issuance Date”), we will pay FTX Ventures the sum of (i) the outstanding principal amount of the Note, plus (ii) all accrued but unpaid interest thereon, plus (iii) all expenses incurred by FTX Ventures (the “Redemption Price”). Payment of the Redemption Price on the Maturity Date will constitute a redemption of the Note in whole.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Note will be convertible into shares of our Class A Common Stock at the option of FTX Ventures, upon delivery on one or more occasions of a written notice to us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our election to convert the Note, the Note will be convertible into shares of Common Stock, upon delivery of a written notice to FTX Ventures electing to convert the Note or all or any portion of the outstanding principal amount of the Note.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At any time prior to the Maturity Date, we may, in our sole discretion and upon delivery of a written notice to FTX Ventures electing to prepay the Note, prepay the Note without penalty by paying FTX Ventures 100% of the Redemption Price. Once the Redemption Price has been delivered to FTX Ventures, the Note will be cancelled and retired.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Conversion of the full initial principal amount of the Note would result in the issuance of 10,000,000 shares of Common Stock if converted at $10.00 per share, which amount is subject to increase by any interest paid in kind that is added to the outstanding principal under the terms of the Note.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Purchase Agreement and Note include customary representations, warranties and covenants and set forth standard events of default upon which the Note may be declared immediately due and payable.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March 21, 2022, we also entered into a White Label Services Agreement (the “Services Agreement”) with West Realm Shire Services, Inc., d/b/a FTX US (“FTX US”). The Services Agreement allows our customers to establish accounts with FTX US through our platform to place orders for eligible cryptocurrencies and for the settlement of such orders. During the four-year term of the Services Agreement, FTX US will be our exclusive provider of such cryptocurrency services. </w:t>
      </w:r>
    </w:p>
    <w:p>
      <w:pPr>
        <w:pStyle w:val="TextBody"/>
        <w:spacing w:before="360" w:after="0"/>
        <w:jc w:val="left"/>
        <w:rPr>
          <w:rFonts w:ascii="Times New Roman" w:hAnsi="Times New Roman"/>
          <w:b/>
          <w:spacing w:val="0"/>
          <w:sz w:val="20"/>
        </w:rPr>
      </w:pPr>
      <w:r>
        <w:rPr>
          <w:rFonts w:ascii="Times New Roman" w:hAnsi="Times New Roman"/>
          <w:b/>
          <w:spacing w:val="0"/>
          <w:sz w:val="20"/>
        </w:rPr>
        <w:t>COVID-19</w:t>
      </w:r>
    </w:p>
    <w:p>
      <w:pPr>
        <w:pStyle w:val="TextBody"/>
        <w:spacing w:before="360" w:after="0"/>
        <w:jc w:val="left"/>
        <w:rPr>
          <w:rFonts w:ascii="Times New Roman" w:hAnsi="Times New Roman"/>
          <w:b/>
          <w:sz w:val="20"/>
        </w:rPr>
      </w:pPr>
      <w:r>
        <w:rPr>
          <w:rFonts w:ascii="Times New Roman" w:hAnsi="Times New Roman"/>
          <w:b/>
          <w:sz w:val="20"/>
        </w:rPr>
        <w:t xml:space="preserve">Impact </w:t>
      </w:r>
    </w:p>
    <w:p>
      <w:pPr>
        <w:pStyle w:val="TextBody"/>
        <w:spacing w:before="120" w:after="0"/>
        <w:jc w:val="left"/>
        <w:rPr>
          <w:rFonts w:ascii="Times New Roman" w:hAnsi="Times New Roman"/>
          <w:sz w:val="20"/>
        </w:rPr>
      </w:pPr>
      <w:r>
        <w:rPr>
          <w:rFonts w:ascii="Times New Roman" w:hAnsi="Times New Roman"/>
          <w:sz w:val="20"/>
        </w:rPr>
        <w:t xml:space="preserve">There are many uncertainties regarding the current global pandemic involving a novel strain of coronavirus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and we continue to closely monitor the impact of the pandemic on all aspects of our business, including how it has and may in the future impact our Members, employees, suppliers, vendors, and business partners. The duration and magnitude of the continuing effects of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on our Members remain uncertain and dependent on various factors, including the continued severity and transmission rate of the virus, new variants of the virus, the nature of and duration for which preventive measures remain in place, the extent and effectiveness of containment and mitigation efforts, including vaccination programs, and the type of stimulus measures and other policy responses that the U.S. government may further adopt. </w:t>
      </w:r>
    </w:p>
    <w:p>
      <w:pPr>
        <w:pStyle w:val="TextBody"/>
        <w:spacing w:before="240" w:after="0"/>
        <w:jc w:val="left"/>
        <w:rPr>
          <w:rFonts w:ascii="Times New Roman" w:hAnsi="Times New Roman"/>
          <w:sz w:val="20"/>
        </w:rPr>
      </w:pPr>
      <w:r>
        <w:rPr>
          <w:rFonts w:ascii="Times New Roman" w:hAnsi="Times New Roman"/>
          <w:sz w:val="20"/>
        </w:rPr>
        <w:t xml:space="preserve">Beginning in March 2020, our business and operations were disrupted by the conditions caused by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which adversely affected Members’ spending levels and disposable income. Governmental actions such as the Coronavirus Aid, Relief, and Economic Security Act (“CARES Act”) helped mitigate the effects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on our Members. In particular, stimulus funds and enhanced unemployment benefits provided under the CARES Act created additional financial support for our Members; however, the overall economic conditions and increased levels of unemployment may negatively impact the creditworthiness of our Members and could impact the credit risk on our Advance business. We actively monitor the performance of our Advance portfolio and will continue to assess the impact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At the onset of the pandemic, we made some underwriting modifications in response and intend to make additional adjustments to our risk management policies as necessary.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Comparability of Financial Information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future results of operations and financial position may not be comparable to historical results as a result of the consummation of the Business Combination.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Key Factors Affecting Operating Results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future operating results and cash flows are dependent upon a number of opportunities, challenges and other factors, including Member growth and activity, product expansion, competition, industry trends and general economic conditions.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Member Growth and Activity</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Product Expansion</w:t>
      </w:r>
    </w:p>
    <w:p>
      <w:pPr>
        <w:pStyle w:val="TextBody"/>
        <w:spacing w:before="120" w:after="0"/>
        <w:jc w:val="left"/>
        <w:rPr>
          <w:rFonts w:ascii="Times New Roman" w:hAnsi="Times New Roman"/>
          <w:sz w:val="20"/>
        </w:rPr>
      </w:pPr>
      <w:r>
        <w:rPr>
          <w:rFonts w:ascii="Times New Roman" w:hAnsi="Times New Roman"/>
          <w:sz w:val="20"/>
        </w:rPr>
        <w:t xml:space="preserve">We aim to develop and offer a </w:t>
      </w:r>
    </w:p>
    <w:p>
      <w:pPr>
        <w:pStyle w:val="TextBody"/>
        <w:spacing w:before="120" w:after="0"/>
        <w:jc w:val="left"/>
        <w:rPr>
          <w:rFonts w:ascii="Times New Roman" w:hAnsi="Times New Roman"/>
          <w:spacing w:val="0"/>
          <w:sz w:val="20"/>
        </w:rPr>
      </w:pPr>
      <w:r>
        <w:rPr>
          <w:rFonts w:ascii="Times New Roman" w:hAnsi="Times New Roman"/>
          <w:spacing w:val="0"/>
          <w:sz w:val="20"/>
        </w:rPr>
        <w:t>best-in-class</w:t>
      </w:r>
    </w:p>
    <w:p>
      <w:pPr>
        <w:pStyle w:val="TextBody"/>
        <w:spacing w:before="120" w:after="0"/>
        <w:jc w:val="left"/>
        <w:rPr>
          <w:rFonts w:ascii="Times New Roman" w:hAnsi="Times New Roman"/>
          <w:sz w:val="20"/>
        </w:rPr>
      </w:pPr>
      <w:r>
        <w:rPr>
          <w:rFonts w:ascii="Times New Roman" w:hAnsi="Times New Roman"/>
          <w:sz w:val="20"/>
        </w:rPr>
        <w:t xml:space="preserve">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Competition</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Advance business, competition for deposits in our Checking Product from traditional banks and digital banking products, competition for subscribers to our financial management tools, and competition with other technology platforms for the enterprise services that we provide. Some of our competitors may at times seek to increase their market share by undercutting pricing terms prevalent in that market, which could adversely affect our market share for any of our products and services or require us to incur higher member acquisition costs. </w:t>
      </w:r>
    </w:p>
    <w:p>
      <w:pPr>
        <w:pStyle w:val="TextBody"/>
        <w:spacing w:before="360" w:after="0"/>
        <w:jc w:val="left"/>
        <w:rPr>
          <w:rFonts w:ascii="Times New Roman" w:hAnsi="Times New Roman"/>
          <w:b/>
          <w:spacing w:val="0"/>
          <w:sz w:val="20"/>
        </w:rPr>
      </w:pPr>
      <w:r>
        <w:rPr>
          <w:rFonts w:ascii="Times New Roman" w:hAnsi="Times New Roman"/>
          <w:b/>
          <w:spacing w:val="0"/>
          <w:sz w:val="20"/>
        </w:rPr>
        <w:t>Key Components of Statements of Operations</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Basis of presentation</w:t>
      </w:r>
    </w:p>
    <w:p>
      <w:pPr>
        <w:pStyle w:val="TextBody"/>
        <w:spacing w:before="120" w:after="0"/>
        <w:jc w:val="left"/>
        <w:rPr>
          <w:rFonts w:ascii="Times New Roman" w:hAnsi="Times New Roman"/>
          <w:sz w:val="20"/>
        </w:rPr>
      </w:pPr>
      <w:r>
        <w:rPr>
          <w:rFonts w:ascii="Times New Roman" w:hAnsi="Times New Roman"/>
          <w:sz w:val="20"/>
        </w:rPr>
        <w:t xml:space="preserve">Currently, we conduct business through one operating segment which constitutes a single reportable segment. For more information about our basis of presentation, refer to Note 2 in the accompanying unaudited condensed consolidated financial statements of Dave included in this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Service based revenue, net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as well as fees earned related to the Rewards Product for Members who make debit card spending transactions at participating merchants.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Transaction based revenue, net</w:t>
      </w:r>
    </w:p>
    <w:p>
      <w:pPr>
        <w:pStyle w:val="TextBody"/>
        <w:spacing w:before="120" w:after="0"/>
        <w:jc w:val="left"/>
        <w:rPr>
          <w:rFonts w:ascii="Times New Roman" w:hAnsi="Times New Roman"/>
          <w:sz w:val="20"/>
        </w:rPr>
      </w:pPr>
      <w:r>
        <w:rPr>
          <w:rFonts w:ascii="Times New Roman" w:hAnsi="Times New Roman"/>
          <w:sz w:val="20"/>
        </w:rPr>
        <w:t xml:space="preserve">Transaction based revenue, net consists of interchange and ATM revenues from our Checking Product, net of </w:t>
      </w:r>
    </w:p>
    <w:p>
      <w:pPr>
        <w:pStyle w:val="TextBody"/>
        <w:spacing w:before="120" w:after="0"/>
        <w:jc w:val="left"/>
        <w:rPr>
          <w:rFonts w:ascii="Times New Roman" w:hAnsi="Times New Roman"/>
          <w:spacing w:val="0"/>
          <w:sz w:val="20"/>
        </w:rPr>
      </w:pPr>
      <w:r>
        <w:rPr>
          <w:rFonts w:ascii="Times New Roman" w:hAnsi="Times New Roman"/>
          <w:spacing w:val="0"/>
          <w:sz w:val="20"/>
        </w:rPr>
        <w:t>ATM-related</w:t>
      </w:r>
    </w:p>
    <w:p>
      <w:pPr>
        <w:pStyle w:val="TextBody"/>
        <w:spacing w:before="120" w:after="0"/>
        <w:jc w:val="left"/>
        <w:rPr>
          <w:rFonts w:ascii="Times New Roman" w:hAnsi="Times New Roman"/>
          <w:sz w:val="20"/>
        </w:rPr>
      </w:pPr>
      <w:r>
        <w:rPr>
          <w:rFonts w:ascii="Times New Roman" w:hAnsi="Times New Roman"/>
          <w:sz w:val="20"/>
        </w:rPr>
        <w:t xml:space="preserve">fees, and are recognized at the point in time the transactions occur, as the performance obligation is satisfied.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Operating expenses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classify our operating expenses into the following five categories: </w:t>
      </w:r>
    </w:p>
    <w:p>
      <w:pPr>
        <w:pStyle w:val="TextBody"/>
        <w:spacing w:before="120" w:after="0"/>
        <w:jc w:val="left"/>
        <w:rPr>
          <w:rFonts w:ascii="Times New Roman" w:hAnsi="Times New Roman"/>
          <w:spacing w:val="0"/>
          <w:sz w:val="20"/>
          <w:u w:val="single"/>
        </w:rPr>
      </w:pPr>
      <w:r>
        <w:rPr>
          <w:rFonts w:ascii="Times New Roman" w:hAnsi="Times New Roman"/>
          <w:spacing w:val="0"/>
          <w:sz w:val="20"/>
          <w:u w:val="single"/>
        </w:rPr>
        <w:t>Provision for Unrecoverable Advances</w:t>
      </w:r>
    </w:p>
    <w:p>
      <w:pPr>
        <w:pStyle w:val="TextBody"/>
        <w:spacing w:before="120" w:after="0"/>
        <w:jc w:val="left"/>
        <w:rPr>
          <w:rFonts w:ascii="Times New Roman" w:hAnsi="Times New Roman"/>
          <w:sz w:val="20"/>
        </w:rPr>
      </w:pPr>
      <w:r>
        <w:rPr>
          <w:rFonts w:ascii="Times New Roman" w:hAnsi="Times New Roman"/>
          <w:sz w:val="20"/>
        </w:rPr>
        <w:t xml:space="preserve">The provision for unrecoverable advances primarily consists of an allowance for unrecoverable advances at a level estimated to be adequate to absorb credit losses inherent in the outstanding advances receivable. We currently estimate the allowance balance required using historical loss and collections experience, and, if relevant, the nature and volume of the portfolio, economic conditions, and other factors. Changes to the allowance have a direct impact on the provision for unrecoverable advances in the unaudited condensed consolidated statement of operations. We consider advances more than 120 days past due or which become uncollectible based on information available to us as impaired. All impaired advances are deemed uncollectible and subsequently written off and are a direct reduction to the allowance for unrecoverable advances. Subsequent recoveries, if any, of Member advances </w:t>
      </w:r>
    </w:p>
    <w:p>
      <w:pPr>
        <w:pStyle w:val="TextBody"/>
        <w:spacing w:before="120" w:after="0"/>
        <w:jc w:val="left"/>
        <w:rPr>
          <w:rFonts w:ascii="Times New Roman" w:hAnsi="Times New Roman"/>
          <w:spacing w:val="0"/>
          <w:sz w:val="20"/>
        </w:rPr>
      </w:pPr>
      <w:r>
        <w:rPr>
          <w:rFonts w:ascii="Times New Roman" w:hAnsi="Times New Roman"/>
          <w:spacing w:val="0"/>
          <w:sz w:val="20"/>
        </w:rPr>
        <w:t>written-off</w:t>
      </w:r>
    </w:p>
    <w:p>
      <w:pPr>
        <w:pStyle w:val="TextBody"/>
        <w:spacing w:before="120" w:after="0"/>
        <w:jc w:val="left"/>
        <w:rPr>
          <w:rFonts w:ascii="Times New Roman" w:hAnsi="Times New Roman"/>
          <w:sz w:val="20"/>
        </w:rPr>
      </w:pPr>
      <w:r>
        <w:rPr>
          <w:rFonts w:ascii="Times New Roman" w:hAnsi="Times New Roman"/>
          <w:sz w:val="20"/>
        </w:rPr>
        <w:t xml:space="preserve">are recorded as a reduction to Member advances, resulting in a reduction to the allowance for unrecoverable advances and a corresponding reduction to the provision for unrecoverable advances in the unaudited condensed consolidated statements of operations when collected.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u w:val="single"/>
        </w:rPr>
      </w:pPr>
      <w:r>
        <w:rPr>
          <w:rFonts w:ascii="Times New Roman" w:hAnsi="Times New Roman"/>
          <w:spacing w:val="0"/>
          <w:sz w:val="20"/>
          <w:u w:val="single"/>
        </w:rPr>
        <w:t>Processing and Servicing Fees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Processing and servicing fees consist of fees paid to our processing partners for the recovery of advances,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 </w:t>
      </w:r>
    </w:p>
    <w:p>
      <w:pPr>
        <w:pStyle w:val="TextBody"/>
        <w:spacing w:before="360" w:after="0"/>
        <w:jc w:val="left"/>
        <w:rPr>
          <w:rFonts w:ascii="Times New Roman" w:hAnsi="Times New Roman"/>
          <w:spacing w:val="0"/>
          <w:sz w:val="20"/>
          <w:u w:val="single"/>
        </w:rPr>
      </w:pPr>
      <w:r>
        <w:rPr>
          <w:rFonts w:ascii="Times New Roman" w:hAnsi="Times New Roman"/>
          <w:spacing w:val="0"/>
          <w:sz w:val="20"/>
          <w:u w:val="single"/>
        </w:rPr>
        <w:t>Advertising and Marketing</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Advertising and marketing expenses consist primarily of fees we pay to our platform partners. We incur advertising and marketing expenses for online, social media and television advertising and for partnerships and promotional advertising. Advertising and marketing expenses are expensed as incurred although they typically deliver a benefit over an extended period of time. </w:t>
      </w:r>
    </w:p>
    <w:p>
      <w:pPr>
        <w:pStyle w:val="TextBody"/>
        <w:spacing w:before="360" w:after="0"/>
        <w:jc w:val="left"/>
        <w:rPr>
          <w:rFonts w:ascii="Times New Roman" w:hAnsi="Times New Roman"/>
          <w:spacing w:val="0"/>
          <w:sz w:val="20"/>
          <w:u w:val="single"/>
        </w:rPr>
      </w:pPr>
      <w:r>
        <w:rPr>
          <w:rFonts w:ascii="Times New Roman" w:hAnsi="Times New Roman"/>
          <w:spacing w:val="0"/>
          <w:sz w:val="20"/>
          <w:u w:val="single"/>
        </w:rPr>
        <w:t>Compensation and Benefits</w:t>
      </w:r>
    </w:p>
    <w:p>
      <w:pPr>
        <w:pStyle w:val="TextBody"/>
        <w:spacing w:before="120" w:after="0"/>
        <w:jc w:val="left"/>
        <w:rPr>
          <w:rFonts w:ascii="Times New Roman" w:hAnsi="Times New Roman"/>
          <w:sz w:val="20"/>
        </w:rPr>
      </w:pPr>
      <w:r>
        <w:rPr>
          <w:rFonts w:ascii="Times New Roman" w:hAnsi="Times New Roman"/>
          <w:sz w:val="20"/>
        </w:rPr>
        <w:t xml:space="preserve">Compensation and benefits expenses represent the compensation, inclusive of stock-based compensation and benefits, that we provide to our employees and the payments we make to third-party contractors. While we have an </w:t>
      </w:r>
    </w:p>
    <w:p>
      <w:pPr>
        <w:pStyle w:val="TextBody"/>
        <w:spacing w:before="120" w:after="0"/>
        <w:jc w:val="left"/>
        <w:rPr>
          <w:rFonts w:ascii="Times New Roman" w:hAnsi="Times New Roman"/>
          <w:spacing w:val="0"/>
          <w:sz w:val="20"/>
        </w:rPr>
      </w:pPr>
      <w:r>
        <w:rPr>
          <w:rFonts w:ascii="Times New Roman" w:hAnsi="Times New Roman"/>
          <w:spacing w:val="0"/>
          <w:sz w:val="20"/>
        </w:rPr>
        <w:t>in-house</w:t>
      </w:r>
    </w:p>
    <w:p>
      <w:pPr>
        <w:pStyle w:val="TextBody"/>
        <w:spacing w:before="120" w:after="0"/>
        <w:jc w:val="left"/>
        <w:rPr>
          <w:rFonts w:ascii="Times New Roman" w:hAnsi="Times New Roman"/>
          <w:sz w:val="20"/>
        </w:rPr>
      </w:pPr>
      <w:r>
        <w:rPr>
          <w:rFonts w:ascii="Times New Roman" w:hAnsi="Times New Roman"/>
          <w:sz w:val="20"/>
        </w:rPr>
        <w:t xml:space="preserve">customer service function, we employ third-party contractors to conduct call center operations and handle routine customer service inquiries and support. </w:t>
      </w:r>
    </w:p>
    <w:p>
      <w:pPr>
        <w:pStyle w:val="TextBody"/>
        <w:spacing w:before="360" w:after="0"/>
        <w:jc w:val="left"/>
        <w:rPr>
          <w:rFonts w:ascii="Times New Roman" w:hAnsi="Times New Roman"/>
          <w:spacing w:val="0"/>
          <w:sz w:val="20"/>
          <w:u w:val="single"/>
        </w:rPr>
      </w:pPr>
      <w:r>
        <w:rPr>
          <w:rFonts w:ascii="Times New Roman" w:hAnsi="Times New Roman"/>
          <w:spacing w:val="0"/>
          <w:sz w:val="20"/>
          <w:u w:val="single"/>
        </w:rPr>
        <w:t>Other Operating Expenses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Other operating expenses consist primarily of technology and infrastructure (third-party Software as a Service “SaaS”), commitments to charity, transaction based costs (program expenses, association fees, processor fees, losses from Member-disputed transactions, and fraud),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public relations costs, utilities, office-related expenses and insurance technology and infrastructure (third-party subscriptions), depreciation and amortization of property and equipment and intangible assets, general and recurring legal fees, rent, office-related expenses, public relations costs, professional service fees, travel and entertainment and insurance vary based upon our investment in infrastructure, business development, risk management and internal controls and are generally not correlated with our operating revenues or other transaction metrics.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expect our operating expenses to increase for the foreseeable future with the growth of our business, and as a result of operating as a public company, including compliance with the rules and regulations of the SEC, legal, audit, additional insurance expenses, investor relations activities and other administrative and professional services. </w:t>
      </w:r>
    </w:p>
    <w:p>
      <w:pPr>
        <w:pStyle w:val="TextBody"/>
        <w:spacing w:before="360" w:after="0"/>
        <w:jc w:val="left"/>
        <w:rPr>
          <w:rFonts w:ascii="Times New Roman" w:hAnsi="Times New Roman"/>
          <w:spacing w:val="0"/>
          <w:sz w:val="20"/>
          <w:u w:val="single"/>
        </w:rPr>
      </w:pPr>
      <w:r>
        <w:rPr>
          <w:rFonts w:ascii="Times New Roman" w:hAnsi="Times New Roman"/>
          <w:spacing w:val="0"/>
          <w:sz w:val="20"/>
          <w:u w:val="single"/>
        </w:rPr>
        <w:t>Other (Income) Expenses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Other (income) expenses consist of interest income, interest expense, legal settlement and litigation expenses, derivative asset fair value adjustments, other strategic financing and transactional expenses, and warrant liability fair value adjustments. </w:t>
      </w:r>
    </w:p>
    <w:p>
      <w:pPr>
        <w:pStyle w:val="TextBody"/>
        <w:spacing w:before="360" w:after="0"/>
        <w:jc w:val="left"/>
        <w:rPr>
          <w:rFonts w:ascii="Times New Roman" w:hAnsi="Times New Roman"/>
          <w:spacing w:val="0"/>
          <w:sz w:val="20"/>
          <w:u w:val="single"/>
        </w:rPr>
      </w:pPr>
      <w:r>
        <w:rPr>
          <w:rFonts w:ascii="Times New Roman" w:hAnsi="Times New Roman"/>
          <w:spacing w:val="0"/>
          <w:sz w:val="20"/>
          <w:u w:val="single"/>
        </w:rPr>
        <w:t>Provision for Income Taxes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Provision for income taxes consists of the federal and state corporate income taxes accrued on income resulting from the sale of our services. On March 27, 2020, the CARES Act was signed into law, which among other things, includes certain income tax provisions for corporations; however, these benefits did not impact our current tax provision.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Results of Operations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Comparison of the Periods Ended March 31, 2022 and 2021 </w:t>
      </w:r>
    </w:p>
    <w:p>
      <w:pPr>
        <w:pStyle w:val="TextBody"/>
        <w:spacing w:before="0" w:after="0"/>
        <w:jc w:val="left"/>
        <w:rPr>
          <w:spacing w:val="0"/>
        </w:rPr>
      </w:pPr>
      <w:r>
        <w:rPr>
          <w:spacing w:val="0"/>
        </w:rPr>
        <w:t> </w:t>
      </w:r>
    </w:p>
    <w:tbl>
      <w:tblPr>
        <w:tblW w:w="9824" w:type="dxa"/>
        <w:jc w:val="left"/>
        <w:tblInd w:w="0" w:type="dxa"/>
        <w:tblCellMar>
          <w:top w:w="0" w:type="dxa"/>
          <w:left w:w="0" w:type="dxa"/>
          <w:bottom w:w="0" w:type="dxa"/>
          <w:right w:w="0" w:type="dxa"/>
        </w:tblCellMar>
      </w:tblPr>
      <w:tblGrid>
        <w:gridCol w:w="3860"/>
        <w:gridCol w:w="120"/>
        <w:gridCol w:w="232"/>
        <w:gridCol w:w="1128"/>
        <w:gridCol w:w="99"/>
        <w:gridCol w:w="199"/>
        <w:gridCol w:w="232"/>
        <w:gridCol w:w="1130"/>
        <w:gridCol w:w="60"/>
        <w:gridCol w:w="120"/>
        <w:gridCol w:w="208"/>
        <w:gridCol w:w="832"/>
        <w:gridCol w:w="155"/>
        <w:gridCol w:w="120"/>
        <w:gridCol w:w="157"/>
        <w:gridCol w:w="882"/>
        <w:gridCol w:w="290"/>
      </w:tblGrid>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3020" w:type="dxa"/>
            <w:gridSpan w:val="6"/>
            <w:vMerge w:val="restart"/>
            <w:tcBorders/>
            <w:shd w:fill="auto" w:val="clear"/>
            <w:vAlign w:val="center"/>
          </w:tcPr>
          <w:p>
            <w:pPr>
              <w:pStyle w:val="TableContents"/>
              <w:spacing w:before="0" w:after="0"/>
              <w:jc w:val="center"/>
              <w:rPr>
                <w:b/>
                <w:spacing w:val="0"/>
              </w:rPr>
            </w:pPr>
            <w:r>
              <w:rPr>
                <w:b/>
                <w:spacing w:val="0"/>
              </w:rPr>
              <w:t>For the Three Months Ended</w:t>
            </w:r>
          </w:p>
          <w:p>
            <w:pPr>
              <w:pStyle w:val="TableContents"/>
              <w:spacing w:before="0" w:after="0"/>
              <w:jc w:val="center"/>
              <w:rPr/>
            </w:pPr>
            <w:r>
              <w:rPr/>
            </w:r>
          </w:p>
          <w:p>
            <w:pPr>
              <w:pStyle w:val="TableContents"/>
              <w:spacing w:before="0" w:after="0"/>
              <w:jc w:val="center"/>
              <w:rPr>
                <w:b/>
                <w:spacing w:val="0"/>
              </w:rPr>
            </w:pPr>
            <w:r>
              <w:rPr>
                <w:b/>
                <w:spacing w:val="0"/>
              </w:rPr>
              <w:t>March 31,</w:t>
            </w:r>
          </w:p>
        </w:tc>
        <w:tc>
          <w:tcPr>
            <w:tcW w:w="60"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4" w:type="dxa"/>
            <w:gridSpan w:val="6"/>
            <w:tcBorders/>
            <w:shd w:fill="auto" w:val="clear"/>
            <w:vAlign w:val="center"/>
          </w:tcPr>
          <w:p>
            <w:pPr>
              <w:pStyle w:val="TableContents"/>
              <w:spacing w:before="0" w:after="0"/>
              <w:jc w:val="center"/>
              <w:rPr>
                <w:b/>
                <w:spacing w:val="0"/>
              </w:rPr>
            </w:pPr>
            <w:r>
              <w:rPr>
                <w:b/>
                <w:spacing w:val="0"/>
              </w:rPr>
              <w:t>Change</w:t>
            </w:r>
          </w:p>
        </w:tc>
        <w:tc>
          <w:tcPr>
            <w:tcW w:w="290"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b/>
                <w:spacing w:val="0"/>
              </w:rPr>
            </w:pPr>
            <w:r>
              <w:rPr>
                <w:b/>
                <w:spacing w:val="0"/>
              </w:rPr>
              <w:t>(in thousands, except for percentages)</w:t>
            </w:r>
          </w:p>
        </w:tc>
        <w:tc>
          <w:tcPr>
            <w:tcW w:w="120" w:type="dxa"/>
            <w:vMerge w:val="continue"/>
            <w:tcBorders/>
            <w:shd w:fill="auto" w:val="clear"/>
            <w:vAlign w:val="center"/>
          </w:tcPr>
          <w:p>
            <w:pPr>
              <w:pStyle w:val="Normal"/>
              <w:rPr/>
            </w:pPr>
            <w:r>
              <w:rPr/>
            </w:r>
          </w:p>
        </w:tc>
        <w:tc>
          <w:tcPr>
            <w:tcW w:w="3020" w:type="dxa"/>
            <w:gridSpan w:val="6"/>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w:t>
            </w:r>
          </w:p>
        </w:tc>
        <w:tc>
          <w:tcPr>
            <w:tcW w:w="290"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2022</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362" w:type="dxa"/>
            <w:gridSpan w:val="2"/>
            <w:tcBorders/>
            <w:shd w:fill="auto" w:val="cle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2022/2021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2022/2021</w:t>
            </w:r>
          </w:p>
        </w:tc>
        <w:tc>
          <w:tcPr>
            <w:tcW w:w="290"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Service based revenue, net</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sz w:val="4"/>
                <w:szCs w:val="4"/>
              </w:rPr>
            </w:pPr>
            <w:r>
              <w:rPr>
                <w:sz w:val="4"/>
                <w:szCs w:val="4"/>
              </w:rPr>
            </w:r>
          </w:p>
        </w:tc>
        <w:tc>
          <w:tcPr>
            <w:tcW w:w="1128" w:type="dxa"/>
            <w:tcBorders/>
            <w:shd w:fill="CCEEFF" w:val="clear"/>
            <w:vAlign w:val="center"/>
          </w:tcPr>
          <w:p>
            <w:pPr>
              <w:pStyle w:val="TableContents"/>
              <w:spacing w:before="0" w:after="283"/>
              <w:rPr>
                <w:sz w:val="4"/>
                <w:szCs w:val="4"/>
              </w:rPr>
            </w:pPr>
            <w:r>
              <w:rPr>
                <w:sz w:val="4"/>
                <w:szCs w:val="4"/>
              </w:rPr>
            </w:r>
          </w:p>
        </w:tc>
        <w:tc>
          <w:tcPr>
            <w:tcW w:w="99" w:type="dxa"/>
            <w:tcBorders/>
            <w:shd w:fill="CCEEFF" w:val="clear"/>
            <w:vAlign w:val="center"/>
          </w:tcPr>
          <w:p>
            <w:pPr>
              <w:pStyle w:val="TableContents"/>
              <w:spacing w:before="0" w:after="283"/>
              <w:rPr>
                <w:sz w:val="4"/>
                <w:szCs w:val="4"/>
              </w:rPr>
            </w:pPr>
            <w:r>
              <w:rPr>
                <w:sz w:val="4"/>
                <w:szCs w:val="4"/>
              </w:rPr>
            </w:r>
          </w:p>
        </w:tc>
        <w:tc>
          <w:tcPr>
            <w:tcW w:w="199"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sz w:val="4"/>
                <w:szCs w:val="4"/>
              </w:rPr>
            </w:pPr>
            <w:r>
              <w:rPr>
                <w:sz w:val="4"/>
                <w:szCs w:val="4"/>
              </w:rPr>
            </w:r>
          </w:p>
        </w:tc>
        <w:tc>
          <w:tcPr>
            <w:tcW w:w="113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sz w:val="4"/>
                <w:szCs w:val="4"/>
              </w:rPr>
            </w:pPr>
            <w:r>
              <w:rPr>
                <w:sz w:val="4"/>
                <w:szCs w:val="4"/>
              </w:rPr>
            </w:r>
          </w:p>
        </w:tc>
        <w:tc>
          <w:tcPr>
            <w:tcW w:w="832"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sz w:val="4"/>
                <w:szCs w:val="4"/>
              </w:rPr>
            </w:pPr>
            <w:r>
              <w:rPr>
                <w:sz w:val="4"/>
                <w:szCs w:val="4"/>
              </w:rPr>
            </w:r>
          </w:p>
        </w:tc>
        <w:tc>
          <w:tcPr>
            <w:tcW w:w="882"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Processing fees, net</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w:t>
            </w:r>
          </w:p>
        </w:tc>
        <w:tc>
          <w:tcPr>
            <w:tcW w:w="1128" w:type="dxa"/>
            <w:tcBorders/>
            <w:shd w:fill="auto" w:val="clear"/>
            <w:vAlign w:val="center"/>
          </w:tcPr>
          <w:p>
            <w:pPr>
              <w:pStyle w:val="TableContents"/>
              <w:spacing w:before="0" w:after="283"/>
              <w:jc w:val="right"/>
              <w:rPr/>
            </w:pPr>
            <w:r>
              <w:rPr/>
              <w:t>20,978</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w:t>
            </w:r>
          </w:p>
        </w:tc>
        <w:tc>
          <w:tcPr>
            <w:tcW w:w="1130" w:type="dxa"/>
            <w:tcBorders/>
            <w:shd w:fill="auto" w:val="clear"/>
            <w:vAlign w:val="center"/>
          </w:tcPr>
          <w:p>
            <w:pPr>
              <w:pStyle w:val="TableContents"/>
              <w:spacing w:before="0" w:after="283"/>
              <w:jc w:val="right"/>
              <w:rPr/>
            </w:pPr>
            <w:r>
              <w:rPr/>
              <w:t>17,400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832" w:type="dxa"/>
            <w:tcBorders/>
            <w:shd w:fill="auto" w:val="clear"/>
            <w:vAlign w:val="center"/>
          </w:tcPr>
          <w:p>
            <w:pPr>
              <w:pStyle w:val="TableContents"/>
              <w:spacing w:before="0" w:after="283"/>
              <w:jc w:val="right"/>
              <w:rPr/>
            </w:pPr>
            <w:r>
              <w:rPr/>
              <w:t>3,578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jc w:val="right"/>
              <w:rPr/>
            </w:pPr>
            <w:r>
              <w:rPr/>
              <w:t>21</w:t>
            </w:r>
          </w:p>
        </w:tc>
        <w:tc>
          <w:tcPr>
            <w:tcW w:w="290"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Tips</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28" w:type="dxa"/>
            <w:tcBorders/>
            <w:shd w:fill="CCEEFF" w:val="clear"/>
            <w:vAlign w:val="center"/>
          </w:tcPr>
          <w:p>
            <w:pPr>
              <w:pStyle w:val="TableContents"/>
              <w:spacing w:before="0" w:after="283"/>
              <w:jc w:val="right"/>
              <w:rPr/>
            </w:pPr>
            <w:r>
              <w:rPr/>
              <w:t>13,948</w:t>
            </w:r>
          </w:p>
        </w:tc>
        <w:tc>
          <w:tcPr>
            <w:tcW w:w="99"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9,999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jc w:val="right"/>
              <w:rPr/>
            </w:pPr>
            <w:r>
              <w:rPr/>
              <w:t>3,949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882" w:type="dxa"/>
            <w:tcBorders/>
            <w:shd w:fill="CCEEFF" w:val="clear"/>
            <w:vAlign w:val="center"/>
          </w:tcPr>
          <w:p>
            <w:pPr>
              <w:pStyle w:val="TableContents"/>
              <w:spacing w:before="0" w:after="283"/>
              <w:jc w:val="right"/>
              <w:rPr/>
            </w:pPr>
            <w:r>
              <w:rPr/>
              <w:t>39</w:t>
            </w:r>
          </w:p>
        </w:tc>
        <w:tc>
          <w:tcPr>
            <w:tcW w:w="290"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Subscriptions</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28" w:type="dxa"/>
            <w:tcBorders/>
            <w:shd w:fill="auto" w:val="clear"/>
            <w:vAlign w:val="center"/>
          </w:tcPr>
          <w:p>
            <w:pPr>
              <w:pStyle w:val="TableContents"/>
              <w:spacing w:before="0" w:after="283"/>
              <w:jc w:val="right"/>
              <w:rPr/>
            </w:pPr>
            <w:r>
              <w:rPr/>
              <w:t>4,154</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4,872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right"/>
              <w:rPr/>
            </w:pPr>
            <w:r>
              <w:rPr/>
              <w:t>(718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jc w:val="right"/>
              <w:rPr/>
            </w:pPr>
            <w:r>
              <w:rPr/>
              <w:t>-15</w:t>
            </w:r>
          </w:p>
        </w:tc>
        <w:tc>
          <w:tcPr>
            <w:tcW w:w="290"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28" w:type="dxa"/>
            <w:tcBorders/>
            <w:shd w:fill="CCEEFF" w:val="clear"/>
            <w:vAlign w:val="center"/>
          </w:tcPr>
          <w:p>
            <w:pPr>
              <w:pStyle w:val="TableContents"/>
              <w:spacing w:before="0" w:after="283"/>
              <w:jc w:val="right"/>
              <w:rPr/>
            </w:pPr>
            <w:r>
              <w:rPr/>
              <w:t>188</w:t>
            </w:r>
          </w:p>
        </w:tc>
        <w:tc>
          <w:tcPr>
            <w:tcW w:w="99"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832" w:type="dxa"/>
            <w:tcBorders/>
            <w:shd w:fill="CCEEFF" w:val="clear"/>
            <w:vAlign w:val="center"/>
          </w:tcPr>
          <w:p>
            <w:pPr>
              <w:pStyle w:val="TableContents"/>
              <w:spacing w:before="0" w:after="283"/>
              <w:jc w:val="right"/>
              <w:rPr/>
            </w:pPr>
            <w:r>
              <w:rPr/>
              <w:t>41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882" w:type="dxa"/>
            <w:tcBorders/>
            <w:shd w:fill="CCEEFF" w:val="clear"/>
            <w:vAlign w:val="center"/>
          </w:tcPr>
          <w:p>
            <w:pPr>
              <w:pStyle w:val="TableContents"/>
              <w:spacing w:before="0" w:after="283"/>
              <w:jc w:val="right"/>
              <w:rPr/>
            </w:pPr>
            <w:r>
              <w:rPr/>
              <w:t>28</w:t>
            </w:r>
          </w:p>
        </w:tc>
        <w:tc>
          <w:tcPr>
            <w:tcW w:w="290"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Transaction based revenue, net</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28" w:type="dxa"/>
            <w:tcBorders/>
            <w:shd w:fill="auto" w:val="clear"/>
            <w:vAlign w:val="center"/>
          </w:tcPr>
          <w:p>
            <w:pPr>
              <w:pStyle w:val="TableContents"/>
              <w:spacing w:before="0" w:after="283"/>
              <w:jc w:val="right"/>
              <w:rPr/>
            </w:pPr>
            <w:r>
              <w:rPr/>
              <w:t>3,283</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2,008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832" w:type="dxa"/>
            <w:tcBorders/>
            <w:shd w:fill="auto" w:val="clear"/>
            <w:vAlign w:val="center"/>
          </w:tcPr>
          <w:p>
            <w:pPr>
              <w:pStyle w:val="TableContents"/>
              <w:spacing w:before="0" w:after="283"/>
              <w:jc w:val="right"/>
              <w:rPr/>
            </w:pPr>
            <w:r>
              <w:rPr/>
              <w:t>1,275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jc w:val="right"/>
              <w:rPr/>
            </w:pPr>
            <w:r>
              <w:rPr/>
              <w:t>63</w:t>
            </w:r>
          </w:p>
        </w:tc>
        <w:tc>
          <w:tcPr>
            <w:tcW w:w="290"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0"/>
              <w:rPr>
                <w:b/>
                <w:spacing w:val="0"/>
              </w:rPr>
            </w:pPr>
            <w:r>
              <w:rPr>
                <w:b/>
                <w:spacing w:val="0"/>
              </w:rPr>
              <w:t>$</w:t>
            </w:r>
          </w:p>
        </w:tc>
        <w:tc>
          <w:tcPr>
            <w:tcW w:w="1128" w:type="dxa"/>
            <w:tcBorders/>
            <w:shd w:fill="CCEEFF" w:val="clear"/>
            <w:vAlign w:val="center"/>
          </w:tcPr>
          <w:p>
            <w:pPr>
              <w:pStyle w:val="TableContents"/>
              <w:spacing w:before="0" w:after="0"/>
              <w:jc w:val="right"/>
              <w:rPr>
                <w:b/>
                <w:spacing w:val="0"/>
              </w:rPr>
            </w:pPr>
            <w:r>
              <w:rPr>
                <w:b/>
                <w:spacing w:val="0"/>
              </w:rPr>
              <w:t>42,551</w:t>
            </w:r>
          </w:p>
        </w:tc>
        <w:tc>
          <w:tcPr>
            <w:tcW w:w="99" w:type="dxa"/>
            <w:tcBorders/>
            <w:shd w:fill="CCEEFF" w:val="clear"/>
            <w:vAlign w:val="center"/>
          </w:tcPr>
          <w:p>
            <w:pPr>
              <w:pStyle w:val="TableContents"/>
              <w:spacing w:before="0" w:after="0"/>
              <w:rPr>
                <w:spacing w:val="0"/>
              </w:rPr>
            </w:pPr>
            <w:r>
              <w:rPr>
                <w:spacing w:val="0"/>
              </w:rPr>
              <w:t> </w:t>
            </w:r>
          </w:p>
        </w:tc>
        <w:tc>
          <w:tcPr>
            <w:tcW w:w="199"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0"/>
              <w:rPr>
                <w:b/>
                <w:spacing w:val="0"/>
              </w:rPr>
            </w:pPr>
            <w:r>
              <w:rPr>
                <w:b/>
                <w:spacing w:val="0"/>
              </w:rPr>
              <w:t>$</w:t>
            </w:r>
          </w:p>
        </w:tc>
        <w:tc>
          <w:tcPr>
            <w:tcW w:w="1130" w:type="dxa"/>
            <w:tcBorders/>
            <w:shd w:fill="CCEEFF" w:val="clear"/>
            <w:vAlign w:val="center"/>
          </w:tcPr>
          <w:p>
            <w:pPr>
              <w:pStyle w:val="TableContents"/>
              <w:spacing w:before="0" w:after="0"/>
              <w:jc w:val="right"/>
              <w:rPr>
                <w:b/>
                <w:spacing w:val="0"/>
              </w:rPr>
            </w:pPr>
            <w:r>
              <w:rPr>
                <w:b/>
                <w:spacing w:val="0"/>
              </w:rPr>
              <w:t>34,426</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0"/>
              <w:rPr>
                <w:b/>
                <w:spacing w:val="0"/>
              </w:rPr>
            </w:pPr>
            <w:r>
              <w:rPr>
                <w:b/>
                <w:spacing w:val="0"/>
              </w:rPr>
              <w:t>$</w:t>
            </w:r>
          </w:p>
        </w:tc>
        <w:tc>
          <w:tcPr>
            <w:tcW w:w="832" w:type="dxa"/>
            <w:tcBorders/>
            <w:shd w:fill="CCEEFF" w:val="clear"/>
            <w:vAlign w:val="center"/>
          </w:tcPr>
          <w:p>
            <w:pPr>
              <w:pStyle w:val="TableContents"/>
              <w:spacing w:before="0" w:after="0"/>
              <w:jc w:val="right"/>
              <w:rPr>
                <w:b/>
                <w:spacing w:val="0"/>
              </w:rPr>
            </w:pPr>
            <w:r>
              <w:rPr>
                <w:b/>
                <w:spacing w:val="0"/>
              </w:rPr>
              <w:t>8,125</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882" w:type="dxa"/>
            <w:tcBorders/>
            <w:shd w:fill="CCEEFF" w:val="clear"/>
            <w:vAlign w:val="center"/>
          </w:tcPr>
          <w:p>
            <w:pPr>
              <w:pStyle w:val="TableContents"/>
              <w:spacing w:before="0" w:after="283"/>
              <w:jc w:val="right"/>
              <w:rPr/>
            </w:pPr>
            <w:r>
              <w:rPr/>
              <w:t>24</w:t>
            </w:r>
          </w:p>
        </w:tc>
        <w:tc>
          <w:tcPr>
            <w:tcW w:w="290"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3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3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Operating revenues</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Service based revenue, net—</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Processing fees, net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Processing fees, net of processor costs associated with advance disbursements, for the three months ended March 31, 2022 were approximately $21.0 million, an increase from approximately $17.4 million for the three months ended March 31, 2021. The increase of approximately $3.6 million, or 21%, was primarily attributable to increases in total advance volume from approximately $277.8 million to approximately $545.1 million along with a higher average advance amount period over period. Processing fees tend to increase as advance volume increases, but may not always trend ratably as processing fees vary depending on the total amount of the advance. Approximately 99% and 98% of Members chose to pay a processing fee to expedite an advance for the three months ended March 31, 2022 and 2021, respectively. The average processing fees paid to expedite these advances were approximately $5.42 and $4.78 per advance, respectively.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Tips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Tips for the three month ended March 31, 2022 were approximately $13.9 million, an increase from approximately $10.0 million for the three months ended March 31, 2021. The increase of approximately $3.9 million, or 39%, was primarily attributable to increases in total advance volume from approximately $277.8 million to approximately $545.1 million period over period. Tips tend to increase as advance volume increases, but may not always trend ratably as tips often vary depending on the total amount of the advance. Approximately 64% and 75% of Members chose to leave a tip for the three months ended March 31, 2022 and 2021, respectively. The average amount of tip Members chose to leave was approximately $6.93 and $4.07 per advance, respectively.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Subscriptions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Subscriptions for the three months ended March 31, 2022 were approximately $4.2 million, a decrease from approximately $4.9 million during the three months ended March 31, 2021. The decrease of approximately $0.7 million, or 15%, was primarily attributable to lower subscription engagement with Members on our platform.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Transaction based revenue, net—</w:t>
      </w:r>
    </w:p>
    <w:p>
      <w:pPr>
        <w:pStyle w:val="TextBody"/>
        <w:spacing w:before="240" w:after="0"/>
        <w:jc w:val="left"/>
        <w:rPr>
          <w:rFonts w:ascii="Times New Roman" w:hAnsi="Times New Roman"/>
          <w:sz w:val="20"/>
        </w:rPr>
      </w:pPr>
      <w:r>
        <w:rPr>
          <w:rFonts w:ascii="Times New Roman" w:hAnsi="Times New Roman"/>
          <w:sz w:val="20"/>
        </w:rPr>
        <w:t>Transaction based revenue, net for the three months ended March 31, 2022 were approximately $3.3 million, an increase from approximately $2.0 million, for the three months ended March 31, 2021. The increase of approximately $1.3 million, or 63%, was primarily attributable to the growth in Members engaging with our Checking Product and corresponding growth in the number of transactions initiated by Members</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Operating expenses</w:t>
      </w:r>
    </w:p>
    <w:p>
      <w:pPr>
        <w:pStyle w:val="TextBody"/>
        <w:spacing w:before="0" w:after="0"/>
        <w:jc w:val="left"/>
        <w:rPr>
          <w:spacing w:val="0"/>
        </w:rPr>
      </w:pPr>
      <w:r>
        <w:rPr>
          <w:spacing w:val="0"/>
        </w:rPr>
        <w:t> </w:t>
      </w:r>
    </w:p>
    <w:tbl>
      <w:tblPr>
        <w:tblW w:w="9823" w:type="dxa"/>
        <w:jc w:val="left"/>
        <w:tblInd w:w="0" w:type="dxa"/>
        <w:tblCellMar>
          <w:top w:w="0" w:type="dxa"/>
          <w:left w:w="0" w:type="dxa"/>
          <w:bottom w:w="0" w:type="dxa"/>
          <w:right w:w="0" w:type="dxa"/>
        </w:tblCellMar>
      </w:tblPr>
      <w:tblGrid>
        <w:gridCol w:w="3860"/>
        <w:gridCol w:w="120"/>
        <w:gridCol w:w="232"/>
        <w:gridCol w:w="1128"/>
        <w:gridCol w:w="99"/>
        <w:gridCol w:w="199"/>
        <w:gridCol w:w="232"/>
        <w:gridCol w:w="1130"/>
        <w:gridCol w:w="60"/>
        <w:gridCol w:w="120"/>
        <w:gridCol w:w="177"/>
        <w:gridCol w:w="862"/>
        <w:gridCol w:w="155"/>
        <w:gridCol w:w="120"/>
        <w:gridCol w:w="141"/>
        <w:gridCol w:w="898"/>
        <w:gridCol w:w="290"/>
      </w:tblGrid>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3020" w:type="dxa"/>
            <w:gridSpan w:val="6"/>
            <w:vMerge w:val="restart"/>
            <w:tcBorders/>
            <w:shd w:fill="auto" w:val="clear"/>
            <w:vAlign w:val="center"/>
          </w:tcPr>
          <w:p>
            <w:pPr>
              <w:pStyle w:val="TableContents"/>
              <w:spacing w:before="0" w:after="0"/>
              <w:jc w:val="center"/>
              <w:rPr>
                <w:b/>
                <w:spacing w:val="0"/>
              </w:rPr>
            </w:pPr>
            <w:r>
              <w:rPr>
                <w:b/>
                <w:spacing w:val="0"/>
              </w:rPr>
              <w:t>For the Three Months Ended</w:t>
            </w:r>
          </w:p>
          <w:p>
            <w:pPr>
              <w:pStyle w:val="TableContents"/>
              <w:spacing w:before="0" w:after="0"/>
              <w:jc w:val="center"/>
              <w:rPr/>
            </w:pPr>
            <w:r>
              <w:rPr/>
            </w:r>
          </w:p>
          <w:p>
            <w:pPr>
              <w:pStyle w:val="TableContents"/>
              <w:spacing w:before="0" w:after="0"/>
              <w:jc w:val="center"/>
              <w:rPr>
                <w:b/>
                <w:spacing w:val="0"/>
              </w:rPr>
            </w:pPr>
            <w:r>
              <w:rPr>
                <w:b/>
                <w:spacing w:val="0"/>
              </w:rPr>
              <w:t>March 31,</w:t>
            </w:r>
          </w:p>
        </w:tc>
        <w:tc>
          <w:tcPr>
            <w:tcW w:w="60"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3" w:type="dxa"/>
            <w:gridSpan w:val="6"/>
            <w:tcBorders/>
            <w:shd w:fill="auto" w:val="clear"/>
            <w:vAlign w:val="center"/>
          </w:tcPr>
          <w:p>
            <w:pPr>
              <w:pStyle w:val="TableContents"/>
              <w:spacing w:before="0" w:after="0"/>
              <w:jc w:val="center"/>
              <w:rPr>
                <w:b/>
                <w:spacing w:val="0"/>
              </w:rPr>
            </w:pPr>
            <w:r>
              <w:rPr>
                <w:b/>
                <w:spacing w:val="0"/>
              </w:rPr>
              <w:t>Change</w:t>
            </w:r>
          </w:p>
        </w:tc>
        <w:tc>
          <w:tcPr>
            <w:tcW w:w="290"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b/>
                <w:spacing w:val="0"/>
              </w:rPr>
            </w:pPr>
            <w:r>
              <w:rPr>
                <w:b/>
                <w:spacing w:val="0"/>
              </w:rPr>
              <w:t>(in thousands, except for percentages)</w:t>
            </w:r>
          </w:p>
        </w:tc>
        <w:tc>
          <w:tcPr>
            <w:tcW w:w="120" w:type="dxa"/>
            <w:vMerge w:val="continue"/>
            <w:tcBorders/>
            <w:shd w:fill="auto" w:val="clear"/>
            <w:vAlign w:val="center"/>
          </w:tcPr>
          <w:p>
            <w:pPr>
              <w:pStyle w:val="Normal"/>
              <w:rPr/>
            </w:pPr>
            <w:r>
              <w:rPr/>
            </w:r>
          </w:p>
        </w:tc>
        <w:tc>
          <w:tcPr>
            <w:tcW w:w="3020" w:type="dxa"/>
            <w:gridSpan w:val="6"/>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w:t>
            </w:r>
          </w:p>
        </w:tc>
        <w:tc>
          <w:tcPr>
            <w:tcW w:w="290"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2022</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1362" w:type="dxa"/>
            <w:gridSpan w:val="2"/>
            <w:tcBorders/>
            <w:shd w:fill="auto" w:val="cle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2022/2021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2022/2021</w:t>
            </w:r>
          </w:p>
        </w:tc>
        <w:tc>
          <w:tcPr>
            <w:tcW w:w="290"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unrecoverable advances</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w:t>
            </w:r>
          </w:p>
        </w:tc>
        <w:tc>
          <w:tcPr>
            <w:tcW w:w="1128" w:type="dxa"/>
            <w:tcBorders/>
            <w:shd w:fill="CCEEFF" w:val="clear"/>
            <w:vAlign w:val="center"/>
          </w:tcPr>
          <w:p>
            <w:pPr>
              <w:pStyle w:val="TableContents"/>
              <w:spacing w:before="0" w:after="283"/>
              <w:jc w:val="right"/>
              <w:rPr/>
            </w:pPr>
            <w:r>
              <w:rPr/>
              <w:t>13,785</w:t>
            </w:r>
          </w:p>
        </w:tc>
        <w:tc>
          <w:tcPr>
            <w:tcW w:w="99"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3,538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w:t>
            </w:r>
          </w:p>
        </w:tc>
        <w:tc>
          <w:tcPr>
            <w:tcW w:w="862" w:type="dxa"/>
            <w:tcBorders/>
            <w:shd w:fill="CCEEFF" w:val="clear"/>
            <w:vAlign w:val="center"/>
          </w:tcPr>
          <w:p>
            <w:pPr>
              <w:pStyle w:val="TableContents"/>
              <w:spacing w:before="0" w:after="283"/>
              <w:jc w:val="right"/>
              <w:rPr/>
            </w:pPr>
            <w:r>
              <w:rPr/>
              <w:t>10,247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290</w:t>
            </w:r>
          </w:p>
        </w:tc>
        <w:tc>
          <w:tcPr>
            <w:tcW w:w="290"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Processing and servicing fees</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28" w:type="dxa"/>
            <w:tcBorders/>
            <w:shd w:fill="auto" w:val="clear"/>
            <w:vAlign w:val="center"/>
          </w:tcPr>
          <w:p>
            <w:pPr>
              <w:pStyle w:val="TableContents"/>
              <w:spacing w:before="0" w:after="283"/>
              <w:jc w:val="right"/>
              <w:rPr/>
            </w:pPr>
            <w:r>
              <w:rPr/>
              <w:t>6,543</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5,220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2" w:type="dxa"/>
            <w:tcBorders/>
            <w:shd w:fill="auto" w:val="clear"/>
            <w:vAlign w:val="center"/>
          </w:tcPr>
          <w:p>
            <w:pPr>
              <w:pStyle w:val="TableContents"/>
              <w:spacing w:before="0" w:after="283"/>
              <w:jc w:val="right"/>
              <w:rPr/>
            </w:pPr>
            <w:r>
              <w:rPr/>
              <w:t>1,323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25</w:t>
            </w:r>
          </w:p>
        </w:tc>
        <w:tc>
          <w:tcPr>
            <w:tcW w:w="290"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Advertising and marketing</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28" w:type="dxa"/>
            <w:tcBorders/>
            <w:shd w:fill="CCEEFF" w:val="clear"/>
            <w:vAlign w:val="center"/>
          </w:tcPr>
          <w:p>
            <w:pPr>
              <w:pStyle w:val="TableContents"/>
              <w:spacing w:before="0" w:after="283"/>
              <w:jc w:val="right"/>
              <w:rPr/>
            </w:pPr>
            <w:r>
              <w:rPr/>
              <w:t>12,204</w:t>
            </w:r>
          </w:p>
        </w:tc>
        <w:tc>
          <w:tcPr>
            <w:tcW w:w="99"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14,040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62" w:type="dxa"/>
            <w:tcBorders/>
            <w:shd w:fill="CCEEFF" w:val="clear"/>
            <w:vAlign w:val="center"/>
          </w:tcPr>
          <w:p>
            <w:pPr>
              <w:pStyle w:val="TableContents"/>
              <w:spacing w:before="0" w:after="283"/>
              <w:jc w:val="right"/>
              <w:rPr/>
            </w:pPr>
            <w:r>
              <w:rPr/>
              <w:t>(1,836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-13</w:t>
            </w:r>
          </w:p>
        </w:tc>
        <w:tc>
          <w:tcPr>
            <w:tcW w:w="290"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Compensation and benefits</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28" w:type="dxa"/>
            <w:tcBorders/>
            <w:shd w:fill="auto" w:val="clear"/>
            <w:vAlign w:val="center"/>
          </w:tcPr>
          <w:p>
            <w:pPr>
              <w:pStyle w:val="TableContents"/>
              <w:spacing w:before="0" w:after="283"/>
              <w:jc w:val="right"/>
              <w:rPr/>
            </w:pPr>
            <w:r>
              <w:rPr/>
              <w:t>17,894</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9,384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2" w:type="dxa"/>
            <w:tcBorders/>
            <w:shd w:fill="auto" w:val="clear"/>
            <w:vAlign w:val="center"/>
          </w:tcPr>
          <w:p>
            <w:pPr>
              <w:pStyle w:val="TableContents"/>
              <w:spacing w:before="0" w:after="283"/>
              <w:jc w:val="right"/>
              <w:rPr/>
            </w:pPr>
            <w:r>
              <w:rPr/>
              <w:t>8,510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91</w:t>
            </w:r>
          </w:p>
        </w:tc>
        <w:tc>
          <w:tcPr>
            <w:tcW w:w="290"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operating expenses</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28" w:type="dxa"/>
            <w:tcBorders/>
            <w:shd w:fill="CCEEFF" w:val="clear"/>
            <w:vAlign w:val="center"/>
          </w:tcPr>
          <w:p>
            <w:pPr>
              <w:pStyle w:val="TableContents"/>
              <w:spacing w:before="0" w:after="283"/>
              <w:jc w:val="right"/>
              <w:rPr/>
            </w:pPr>
            <w:r>
              <w:rPr/>
              <w:t>14,798</w:t>
            </w:r>
          </w:p>
        </w:tc>
        <w:tc>
          <w:tcPr>
            <w:tcW w:w="99"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12,577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862" w:type="dxa"/>
            <w:tcBorders/>
            <w:shd w:fill="CCEEFF" w:val="clear"/>
            <w:vAlign w:val="center"/>
          </w:tcPr>
          <w:p>
            <w:pPr>
              <w:pStyle w:val="TableContents"/>
              <w:spacing w:before="0" w:after="283"/>
              <w:jc w:val="right"/>
              <w:rPr/>
            </w:pPr>
            <w:r>
              <w:rPr/>
              <w:t>2,221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8" w:type="dxa"/>
            <w:tcBorders/>
            <w:shd w:fill="CCEEFF" w:val="clear"/>
            <w:vAlign w:val="center"/>
          </w:tcPr>
          <w:p>
            <w:pPr>
              <w:pStyle w:val="TableContents"/>
              <w:spacing w:before="0" w:after="283"/>
              <w:jc w:val="right"/>
              <w:rPr/>
            </w:pPr>
            <w:r>
              <w:rPr/>
              <w:t>18</w:t>
            </w:r>
          </w:p>
        </w:tc>
        <w:tc>
          <w:tcPr>
            <w:tcW w:w="290"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b/>
                <w:spacing w:val="0"/>
              </w:rPr>
            </w:pPr>
            <w:r>
              <w:rPr>
                <w:b/>
                <w:spacing w:val="0"/>
              </w:rPr>
              <w:t>$</w:t>
            </w:r>
          </w:p>
        </w:tc>
        <w:tc>
          <w:tcPr>
            <w:tcW w:w="1128" w:type="dxa"/>
            <w:tcBorders/>
            <w:shd w:fill="auto" w:val="clear"/>
            <w:vAlign w:val="center"/>
          </w:tcPr>
          <w:p>
            <w:pPr>
              <w:pStyle w:val="TableContents"/>
              <w:spacing w:before="0" w:after="0"/>
              <w:jc w:val="right"/>
              <w:rPr>
                <w:b/>
                <w:spacing w:val="0"/>
              </w:rPr>
            </w:pPr>
            <w:r>
              <w:rPr>
                <w:b/>
                <w:spacing w:val="0"/>
              </w:rPr>
              <w:t>65,224</w:t>
            </w:r>
          </w:p>
        </w:tc>
        <w:tc>
          <w:tcPr>
            <w:tcW w:w="99" w:type="dxa"/>
            <w:tcBorders/>
            <w:shd w:fill="auto" w:val="clear"/>
            <w:vAlign w:val="center"/>
          </w:tcPr>
          <w:p>
            <w:pPr>
              <w:pStyle w:val="TableContents"/>
              <w:spacing w:before="0" w:after="0"/>
              <w:rPr>
                <w:spacing w:val="0"/>
              </w:rPr>
            </w:pPr>
            <w:r>
              <w:rPr>
                <w:spacing w:val="0"/>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b/>
                <w:spacing w:val="0"/>
              </w:rPr>
            </w:pPr>
            <w:r>
              <w:rPr>
                <w:b/>
                <w:spacing w:val="0"/>
              </w:rPr>
              <w:t>$</w:t>
            </w:r>
          </w:p>
        </w:tc>
        <w:tc>
          <w:tcPr>
            <w:tcW w:w="1130" w:type="dxa"/>
            <w:tcBorders/>
            <w:shd w:fill="auto" w:val="clear"/>
            <w:vAlign w:val="center"/>
          </w:tcPr>
          <w:p>
            <w:pPr>
              <w:pStyle w:val="TableContents"/>
              <w:spacing w:before="0" w:after="0"/>
              <w:jc w:val="right"/>
              <w:rPr>
                <w:b/>
                <w:spacing w:val="0"/>
              </w:rPr>
            </w:pPr>
            <w:r>
              <w:rPr>
                <w:b/>
                <w:spacing w:val="0"/>
              </w:rPr>
              <w:t>44,759</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b/>
                <w:spacing w:val="0"/>
              </w:rPr>
            </w:pPr>
            <w:r>
              <w:rPr>
                <w:b/>
                <w:spacing w:val="0"/>
              </w:rPr>
              <w:t>$</w:t>
            </w:r>
          </w:p>
        </w:tc>
        <w:tc>
          <w:tcPr>
            <w:tcW w:w="862" w:type="dxa"/>
            <w:tcBorders/>
            <w:shd w:fill="auto" w:val="clear"/>
            <w:vAlign w:val="center"/>
          </w:tcPr>
          <w:p>
            <w:pPr>
              <w:pStyle w:val="TableContents"/>
              <w:spacing w:before="0" w:after="0"/>
              <w:jc w:val="right"/>
              <w:rPr>
                <w:b/>
                <w:spacing w:val="0"/>
              </w:rPr>
            </w:pPr>
            <w:r>
              <w:rPr>
                <w:b/>
                <w:spacing w:val="0"/>
              </w:rPr>
              <w:t>20,465</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jc w:val="right"/>
              <w:rPr/>
            </w:pPr>
            <w:r>
              <w:rPr/>
              <w:t>46</w:t>
            </w:r>
          </w:p>
        </w:tc>
        <w:tc>
          <w:tcPr>
            <w:tcW w:w="290"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3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Provision for unrecoverable advances—</w:t>
      </w:r>
    </w:p>
    <w:p>
      <w:pPr>
        <w:pStyle w:val="TextBody"/>
        <w:spacing w:before="240" w:after="0"/>
        <w:jc w:val="left"/>
        <w:rPr>
          <w:rFonts w:ascii="Times New Roman" w:hAnsi="Times New Roman"/>
          <w:sz w:val="20"/>
        </w:rPr>
      </w:pPr>
      <w:r>
        <w:rPr>
          <w:rFonts w:ascii="Times New Roman" w:hAnsi="Times New Roman"/>
          <w:sz w:val="20"/>
        </w:rPr>
        <w:t xml:space="preserve">The provision for unrecoverable advances totaled approximately $13.8 million for the three months ended March 31, 2022, compared to approximately $3.5 million for the three months ended March 31, 2021. The increase of approximately $10.2 million, or 290%, was primarily attributable to increases in provision expense related to Member advances aged over 120 days and those that have become uncollectible based on information available to us of approximately $1.7 million in addition to an increase in provision expense related to Member advances aged 120 days and under of approximately $8.5 million. </w:t>
      </w:r>
    </w:p>
    <w:p>
      <w:pPr>
        <w:pStyle w:val="TextBody"/>
        <w:spacing w:before="240" w:after="0"/>
        <w:jc w:val="left"/>
        <w:rPr>
          <w:rFonts w:ascii="Times New Roman" w:hAnsi="Times New Roman"/>
          <w:sz w:val="20"/>
        </w:rPr>
      </w:pPr>
      <w:r>
        <w:rPr>
          <w:rFonts w:ascii="Times New Roman" w:hAnsi="Times New Roman"/>
          <w:sz w:val="20"/>
        </w:rPr>
        <w:t xml:space="preserve">The increase in provision expense related to Member advances aged over 120 days and those which have become uncollectible based on information available to us, period over period, was driven primarily by aged receivables and the increase in advance volume during late 2021. All impaired advances deemed uncollectible are subsequently </w:t>
      </w:r>
    </w:p>
    <w:p>
      <w:pPr>
        <w:pStyle w:val="TextBody"/>
        <w:spacing w:before="240" w:after="0"/>
        <w:jc w:val="left"/>
        <w:rPr>
          <w:rFonts w:ascii="Times New Roman" w:hAnsi="Times New Roman"/>
          <w:spacing w:val="0"/>
          <w:sz w:val="20"/>
        </w:rPr>
      </w:pPr>
      <w:r>
        <w:rPr>
          <w:rFonts w:ascii="Times New Roman" w:hAnsi="Times New Roman"/>
          <w:spacing w:val="0"/>
          <w:sz w:val="20"/>
        </w:rPr>
        <w:t>written-off</w:t>
      </w:r>
    </w:p>
    <w:p>
      <w:pPr>
        <w:pStyle w:val="TextBody"/>
        <w:spacing w:before="240" w:after="0"/>
        <w:jc w:val="left"/>
        <w:rPr>
          <w:rFonts w:ascii="Times New Roman" w:hAnsi="Times New Roman"/>
          <w:sz w:val="20"/>
        </w:rPr>
      </w:pPr>
      <w:r>
        <w:rPr>
          <w:rFonts w:ascii="Times New Roman" w:hAnsi="Times New Roman"/>
          <w:sz w:val="20"/>
        </w:rPr>
        <w:t xml:space="preserve">and are a direct reduction to the allowance for unrecoverable advances.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increase in provision expense related to Member advances aged 120 days and under, was primarily attributed to significant increases in advance volume from approximately $277.8 million to approximately $545.1 million for the three months ended March 31, 2021 and 2022, respectively. This resulted in an increase to the allowance for unrecoverable advances and corresponding higher provision for unrecoverable advances expense during the period ended March 31, 2022 as compared to March 31, 2021. We anticipate volatility in Member advances outstanding each period as they are directly correlated with the timing and volume of Member advance activity during the last 120 days prior to the end of the period. </w:t>
      </w:r>
    </w:p>
    <w:p>
      <w:pPr>
        <w:pStyle w:val="TextBody"/>
        <w:spacing w:before="240" w:after="0"/>
        <w:jc w:val="left"/>
        <w:rPr>
          <w:rFonts w:ascii="Times New Roman" w:hAnsi="Times New Roman"/>
          <w:sz w:val="20"/>
        </w:rPr>
      </w:pPr>
      <w:r>
        <w:rPr>
          <w:rFonts w:ascii="Times New Roman" w:hAnsi="Times New Roman"/>
          <w:sz w:val="20"/>
        </w:rPr>
        <w:t xml:space="preserve">Throughout the first three months of 2022, loss and collections experience of Member advances remained steady, however, historical loss and collections experience decreased slightly when compared to historical rates used in 2021 primarily as a result of underwriting modifications made during early 2020 in response to the onset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These underwriting modifications primarily consisted of lower advance amounts and stricter eligibility requirements. Any changes to our historical loss and collections experience directly affects the historical loss rates utilized in the calculation of the allowance for uncollectible advances. The changes in the allowance for unrecoverable advances, period over period, has a direct impact on the provision for unrecoverable advances. </w:t>
      </w:r>
    </w:p>
    <w:p>
      <w:pPr>
        <w:pStyle w:val="TextBody"/>
        <w:spacing w:before="240" w:after="0"/>
        <w:jc w:val="left"/>
        <w:rPr>
          <w:rFonts w:ascii="Times New Roman" w:hAnsi="Times New Roman"/>
          <w:sz w:val="20"/>
        </w:rPr>
      </w:pPr>
      <w:r>
        <w:rPr>
          <w:rFonts w:ascii="Times New Roman" w:hAnsi="Times New Roman"/>
          <w:sz w:val="20"/>
        </w:rPr>
        <w:t xml:space="preserve">For information on the aging of Member advances and a rollforward of the allowance for unrecoverable advances, refer to the tables in Note 5 to our unaudited consolidated financial statements included in 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Processing and service fees—</w:t>
      </w:r>
    </w:p>
    <w:p>
      <w:pPr>
        <w:pStyle w:val="TextBody"/>
        <w:spacing w:before="240" w:after="0"/>
        <w:jc w:val="left"/>
        <w:rPr>
          <w:rFonts w:ascii="Times New Roman" w:hAnsi="Times New Roman"/>
          <w:sz w:val="20"/>
        </w:rPr>
      </w:pPr>
      <w:r>
        <w:rPr>
          <w:rFonts w:ascii="Times New Roman" w:hAnsi="Times New Roman"/>
          <w:sz w:val="20"/>
        </w:rPr>
        <w:t xml:space="preserve">Processing and servicing fees totaled approximately $6.5 million for the period ended March 31, 2022, compared to approximately $5.2 million for the period ended March 31, 2021. The increase of approximately $1.3 million, or 25%, was primarily attributable to the increase in advance volume from $277.8 million to $545.1 million for the three months ended March 31, 2022 and 2021, respectively, offset by volume associated discounts and cost savings due to price reductions from our processors.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Advertising and marketing—</w:t>
      </w:r>
    </w:p>
    <w:p>
      <w:pPr>
        <w:pStyle w:val="TextBody"/>
        <w:spacing w:before="240" w:after="0"/>
        <w:jc w:val="left"/>
        <w:rPr>
          <w:rFonts w:ascii="Times New Roman" w:hAnsi="Times New Roman"/>
          <w:sz w:val="20"/>
        </w:rPr>
      </w:pPr>
      <w:r>
        <w:rPr>
          <w:rFonts w:ascii="Times New Roman" w:hAnsi="Times New Roman"/>
          <w:sz w:val="20"/>
        </w:rPr>
        <w:t xml:space="preserve">Advertising and marketing totaled approximately $12.2 million for the period ended March 31, 2022, compared to approximately $14.0 million for the period ended March 31, 2021. The decrease of approximately $1.8 million or 13% was primarily attributable to decreased marketing efforts and promotions across various social media platforms and television.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and benefits—</w:t>
      </w:r>
    </w:p>
    <w:p>
      <w:pPr>
        <w:pStyle w:val="TextBody"/>
        <w:spacing w:before="240" w:after="0"/>
        <w:jc w:val="left"/>
        <w:rPr>
          <w:rFonts w:ascii="Times New Roman" w:hAnsi="Times New Roman"/>
          <w:sz w:val="20"/>
        </w:rPr>
      </w:pPr>
      <w:r>
        <w:rPr>
          <w:rFonts w:ascii="Times New Roman" w:hAnsi="Times New Roman"/>
          <w:sz w:val="20"/>
        </w:rPr>
        <w:t xml:space="preserve">Compensation and benefits totaled approximately $17.9 million for the period ended March 31, 2022, compared to approximately $9.4 million for the period ended March 31, 2021. The increase of approximately $8.5 million, or 91%, was primarily attributable to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payroll and related costs of approximately $5.6 million, primarily due to hiring and increased headcount throughout the business;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consultants and contractor costs of approximately $1.4 million, primarily due to our need to supplement recruiting efforts, increase IT security, marketing, and augmenting customer service resources;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stock-based compensation of approximately $1.5 million, primarily due to the cumulative expense related to stock options granted to a certain executive during 2021which achieved certain performance conditions associated with the close of the Business Combination. </w:t>
            </w:r>
          </w:p>
        </w:tc>
      </w:tr>
    </w:tbl>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Other operating expenses—</w:t>
      </w:r>
    </w:p>
    <w:p>
      <w:pPr>
        <w:pStyle w:val="TextBody"/>
        <w:spacing w:before="240" w:after="0"/>
        <w:jc w:val="left"/>
        <w:rPr>
          <w:rFonts w:ascii="Times New Roman" w:hAnsi="Times New Roman"/>
          <w:sz w:val="20"/>
        </w:rPr>
      </w:pPr>
      <w:r>
        <w:rPr>
          <w:rFonts w:ascii="Times New Roman" w:hAnsi="Times New Roman"/>
          <w:sz w:val="20"/>
        </w:rPr>
        <w:t xml:space="preserve">Other operating expenses totaled approximately $14.8 million for the period ended March 31, 2022, compared to approximately $12.6 million for the period ended March 31, 2021. The increase of approximately $2.2 million, or 18%, was primarily attributable to the following: </w:t>
      </w:r>
    </w:p>
    <w:p>
      <w:pPr>
        <w:pStyle w:val="TextBody"/>
        <w:spacing w:before="0" w:after="0"/>
        <w:jc w:val="left"/>
        <w:rPr>
          <w:spacing w:val="0"/>
        </w:rPr>
      </w:pPr>
      <w:r>
        <w:rPr>
          <w:spacing w:val="0"/>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insurance related costs of $1.8 million, primarily related to Director and Officer Insurance premiums;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accounting costs of approximately $0.5 million, primarily related to various audit, tax and Sarbanes Oxley compliance readiness related fees associated with the Business Combination in January 2022;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technology and infrastructure expenses of approximately $1.1 million, primarily due to increased spending to support the growth of our business and development of new products and features;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expenses related to our Checking Product of approximately $1.0 million, primarily attributable to the growth in Members and the number of transactions processed;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legal fees of approximately $0.6 million, primarily due to ongoing litigation, compliance, employment and general corporate related matters;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various administrative fees of approximately $0.5 million primarily due to increases license and fees, travel and entertainment, and company meetings;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depreciation and amortization of $0.5 million, primarily due to equipment purchases for increased headcount and amortization of internally developed software; </w:t>
            </w:r>
          </w:p>
        </w:tc>
      </w:tr>
    </w:tbl>
    <w:p>
      <w:pPr>
        <w:pStyle w:val="TextBody"/>
        <w:spacing w:before="0" w:after="0"/>
        <w:jc w:val="left"/>
        <w:rPr>
          <w:spacing w:val="0"/>
        </w:rPr>
      </w:pPr>
      <w:r>
        <w:rPr>
          <w:spacing w:val="0"/>
        </w:rPr>
        <w:t> </w:t>
      </w:r>
    </w:p>
    <w:tbl>
      <w:tblPr>
        <w:tblW w:w="7615" w:type="dxa"/>
        <w:jc w:val="left"/>
        <w:tblInd w:w="0" w:type="dxa"/>
        <w:tblCellMar>
          <w:top w:w="0" w:type="dxa"/>
          <w:left w:w="0" w:type="dxa"/>
          <w:bottom w:w="0" w:type="dxa"/>
          <w:right w:w="0" w:type="dxa"/>
        </w:tblCellMar>
      </w:tblPr>
      <w:tblGrid>
        <w:gridCol w:w="75"/>
        <w:gridCol w:w="110"/>
        <w:gridCol w:w="60"/>
        <w:gridCol w:w="7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increase in rent expense of $0.4 million, due to additional leased office space; offset by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decrease in chargeback related expenses of approximately $4.0 million, primarily due to </w:t>
            </w:r>
          </w:p>
          <w:p>
            <w:pPr>
              <w:pStyle w:val="TableContents"/>
              <w:spacing w:before="0" w:after="0"/>
              <w:jc w:val="left"/>
              <w:rPr>
                <w:rFonts w:ascii="Times New Roman" w:hAnsi="Times New Roman"/>
                <w:spacing w:val="0"/>
                <w:sz w:val="20"/>
              </w:rPr>
            </w:pPr>
            <w:r>
              <w:rPr>
                <w:rFonts w:ascii="Times New Roman" w:hAnsi="Times New Roman"/>
                <w:spacing w:val="0"/>
                <w:sz w:val="20"/>
              </w:rPr>
              <w:t>non-recurring</w:t>
            </w:r>
          </w:p>
          <w:p>
            <w:pPr>
              <w:pStyle w:val="TableContents"/>
              <w:spacing w:before="0" w:after="0"/>
              <w:jc w:val="left"/>
              <w:rPr>
                <w:rFonts w:ascii="Times New Roman" w:hAnsi="Times New Roman"/>
                <w:sz w:val="20"/>
              </w:rPr>
            </w:pPr>
            <w:r>
              <w:rPr>
                <w:rFonts w:ascii="Times New Roman" w:hAnsi="Times New Roman"/>
                <w:sz w:val="20"/>
              </w:rPr>
              <w:t xml:space="preserve">fraudulent activity in relation to our Checking Product (see “Risk Factors—Risks related to our Business and Industry—Fraudulent and other illegal activity involving our products and services could lead to reputational damage to us, reduce the use of our platform and services and may adversely affect our financial position and results of operations.”);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decrease in charitable contribution expenses of approximately $0.2 million, primarily due to decreased amounts pledged to charitable meal donations related to increased Members’ tips.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Other (income) expense</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4418"/>
        <w:gridCol w:w="120"/>
        <w:gridCol w:w="219"/>
        <w:gridCol w:w="1064"/>
        <w:gridCol w:w="242"/>
        <w:gridCol w:w="93"/>
        <w:gridCol w:w="219"/>
        <w:gridCol w:w="1183"/>
        <w:gridCol w:w="155"/>
        <w:gridCol w:w="60"/>
        <w:gridCol w:w="168"/>
        <w:gridCol w:w="822"/>
        <w:gridCol w:w="155"/>
        <w:gridCol w:w="60"/>
        <w:gridCol w:w="108"/>
        <w:gridCol w:w="827"/>
        <w:gridCol w:w="292"/>
      </w:tblGrid>
      <w:tr>
        <w:trPr/>
        <w:tc>
          <w:tcPr>
            <w:tcW w:w="44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4418"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3020" w:type="dxa"/>
            <w:gridSpan w:val="6"/>
            <w:vMerge w:val="restart"/>
            <w:tcBorders/>
            <w:shd w:fill="auto" w:val="clear"/>
            <w:vAlign w:val="center"/>
          </w:tcPr>
          <w:p>
            <w:pPr>
              <w:pStyle w:val="TableContents"/>
              <w:spacing w:before="0" w:after="0"/>
              <w:jc w:val="center"/>
              <w:rPr>
                <w:b/>
                <w:spacing w:val="0"/>
              </w:rPr>
            </w:pPr>
            <w:r>
              <w:rPr>
                <w:b/>
                <w:spacing w:val="0"/>
              </w:rPr>
              <w:t>For the Three Months Ended</w:t>
            </w:r>
          </w:p>
          <w:p>
            <w:pPr>
              <w:pStyle w:val="TableContents"/>
              <w:spacing w:before="0" w:after="0"/>
              <w:jc w:val="center"/>
              <w:rPr/>
            </w:pPr>
            <w:r>
              <w:rPr/>
            </w:r>
          </w:p>
          <w:p>
            <w:pPr>
              <w:pStyle w:val="TableContents"/>
              <w:spacing w:before="0" w:after="0"/>
              <w:jc w:val="center"/>
              <w:rPr>
                <w:b/>
                <w:spacing w:val="0"/>
              </w:rPr>
            </w:pPr>
            <w:r>
              <w:rPr>
                <w:b/>
                <w:spacing w:val="0"/>
              </w:rPr>
              <w:t>March 31,</w:t>
            </w:r>
          </w:p>
        </w:tc>
        <w:tc>
          <w:tcPr>
            <w:tcW w:w="15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0" w:type="dxa"/>
            <w:gridSpan w:val="6"/>
            <w:tcBorders/>
            <w:shd w:fill="auto" w:val="clear"/>
            <w:vAlign w:val="center"/>
          </w:tcPr>
          <w:p>
            <w:pPr>
              <w:pStyle w:val="TableContents"/>
              <w:spacing w:before="0" w:after="0"/>
              <w:jc w:val="center"/>
              <w:rPr>
                <w:b/>
                <w:spacing w:val="0"/>
              </w:rPr>
            </w:pPr>
            <w:r>
              <w:rPr>
                <w:b/>
                <w:spacing w:val="0"/>
              </w:rPr>
              <w:t>Change</w:t>
            </w:r>
          </w:p>
        </w:tc>
        <w:tc>
          <w:tcPr>
            <w:tcW w:w="292" w:type="dxa"/>
            <w:tcBorders/>
            <w:shd w:fill="auto" w:val="clear"/>
            <w:vAlign w:val="center"/>
          </w:tcPr>
          <w:p>
            <w:pPr>
              <w:pStyle w:val="TableContents"/>
              <w:spacing w:before="0" w:after="283"/>
              <w:rPr/>
            </w:pPr>
            <w:r>
              <w:rPr/>
              <w:t> </w:t>
            </w:r>
          </w:p>
        </w:tc>
      </w:tr>
      <w:tr>
        <w:trPr/>
        <w:tc>
          <w:tcPr>
            <w:tcW w:w="4418" w:type="dxa"/>
            <w:tcBorders/>
            <w:shd w:fill="auto" w:val="clear"/>
            <w:vAlign w:val="center"/>
          </w:tcPr>
          <w:p>
            <w:pPr>
              <w:pStyle w:val="TableContents"/>
              <w:spacing w:before="0" w:after="0"/>
              <w:rPr>
                <w:b/>
                <w:spacing w:val="0"/>
              </w:rPr>
            </w:pPr>
            <w:r>
              <w:rPr>
                <w:b/>
                <w:spacing w:val="0"/>
              </w:rPr>
              <w:t>(in thousands, except for percentages)</w:t>
            </w:r>
          </w:p>
        </w:tc>
        <w:tc>
          <w:tcPr>
            <w:tcW w:w="120" w:type="dxa"/>
            <w:vMerge w:val="continue"/>
            <w:tcBorders/>
            <w:shd w:fill="auto" w:val="clear"/>
            <w:vAlign w:val="center"/>
          </w:tcPr>
          <w:p>
            <w:pPr>
              <w:pStyle w:val="Normal"/>
              <w:rPr/>
            </w:pPr>
            <w:r>
              <w:rPr/>
            </w:r>
          </w:p>
        </w:tc>
        <w:tc>
          <w:tcPr>
            <w:tcW w:w="3020" w:type="dxa"/>
            <w:gridSpan w:val="6"/>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990" w:type="dxa"/>
            <w:gridSpan w:val="2"/>
            <w:tcBorders/>
            <w:shd w:fill="auto" w:val="clear"/>
            <w:vAlign w:val="center"/>
          </w:tcPr>
          <w:p>
            <w:pPr>
              <w:pStyle w:val="TableContents"/>
              <w:spacing w:before="0" w:after="0"/>
              <w:jc w:val="center"/>
              <w:rPr>
                <w:b/>
                <w:spacing w:val="0"/>
              </w:rPr>
            </w:pPr>
            <w:r>
              <w:rPr>
                <w:b/>
                <w:spacing w:val="0"/>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0"/>
              <w:jc w:val="center"/>
              <w:rPr>
                <w:b/>
                <w:spacing w:val="0"/>
              </w:rPr>
            </w:pPr>
            <w:r>
              <w:rPr>
                <w:b/>
                <w:spacing w:val="0"/>
              </w:rPr>
              <w:t>%</w:t>
            </w:r>
          </w:p>
        </w:tc>
        <w:tc>
          <w:tcPr>
            <w:tcW w:w="292" w:type="dxa"/>
            <w:tcBorders/>
            <w:shd w:fill="auto" w:val="clear"/>
            <w:vAlign w:val="center"/>
          </w:tcPr>
          <w:p>
            <w:pPr>
              <w:pStyle w:val="TableContents"/>
              <w:spacing w:before="0" w:after="283"/>
              <w:rPr/>
            </w:pPr>
            <w:r>
              <w:rPr/>
              <w:t> </w:t>
            </w:r>
          </w:p>
        </w:tc>
      </w:tr>
      <w:tr>
        <w:trPr/>
        <w:tc>
          <w:tcPr>
            <w:tcW w:w="441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3" w:type="dxa"/>
            <w:gridSpan w:val="2"/>
            <w:tcBorders/>
            <w:shd w:fill="auto" w:val="clear"/>
            <w:vAlign w:val="center"/>
          </w:tcPr>
          <w:p>
            <w:pPr>
              <w:pStyle w:val="TableContents"/>
              <w:spacing w:before="0" w:after="0"/>
              <w:jc w:val="center"/>
              <w:rPr>
                <w:b/>
                <w:spacing w:val="0"/>
              </w:rPr>
            </w:pPr>
            <w:r>
              <w:rPr>
                <w:b/>
                <w:spacing w:val="0"/>
              </w:rPr>
              <w:t>2022</w:t>
            </w:r>
          </w:p>
        </w:tc>
        <w:tc>
          <w:tcPr>
            <w:tcW w:w="242"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1402" w:type="dxa"/>
            <w:gridSpan w:val="2"/>
            <w:tcBorders/>
            <w:shd w:fill="auto" w:val="cle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0" w:type="dxa"/>
            <w:gridSpan w:val="2"/>
            <w:tcBorders/>
            <w:shd w:fill="auto" w:val="clear"/>
            <w:vAlign w:val="center"/>
          </w:tcPr>
          <w:p>
            <w:pPr>
              <w:pStyle w:val="TableContents"/>
              <w:spacing w:before="0" w:after="0"/>
              <w:jc w:val="center"/>
              <w:rPr>
                <w:b/>
                <w:spacing w:val="0"/>
              </w:rPr>
            </w:pPr>
            <w:r>
              <w:rPr>
                <w:b/>
                <w:spacing w:val="0"/>
              </w:rPr>
              <w:t>2022/2021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0"/>
              <w:jc w:val="center"/>
              <w:rPr>
                <w:b/>
                <w:spacing w:val="0"/>
              </w:rPr>
            </w:pPr>
            <w:r>
              <w:rPr>
                <w:b/>
                <w:spacing w:val="0"/>
              </w:rPr>
              <w:t>2022/2021</w:t>
            </w:r>
          </w:p>
        </w:tc>
        <w:tc>
          <w:tcPr>
            <w:tcW w:w="292" w:type="dxa"/>
            <w:tcBorders/>
            <w:shd w:fill="auto" w:val="clear"/>
            <w:vAlign w:val="center"/>
          </w:tcPr>
          <w:p>
            <w:pPr>
              <w:pStyle w:val="TableContents"/>
              <w:spacing w:before="0" w:after="283"/>
              <w:rPr/>
            </w:pPr>
            <w:r>
              <w:rPr/>
              <w:t> </w:t>
            </w:r>
          </w:p>
        </w:tc>
      </w:tr>
      <w:tr>
        <w:trPr/>
        <w:tc>
          <w:tcPr>
            <w:tcW w:w="441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w:t>
            </w:r>
          </w:p>
        </w:tc>
        <w:tc>
          <w:tcPr>
            <w:tcW w:w="1064" w:type="dxa"/>
            <w:tcBorders/>
            <w:shd w:fill="CCEEFF" w:val="clear"/>
            <w:vAlign w:val="center"/>
          </w:tcPr>
          <w:p>
            <w:pPr>
              <w:pStyle w:val="TableContents"/>
              <w:spacing w:before="0" w:after="283"/>
              <w:jc w:val="right"/>
              <w:rPr/>
            </w:pPr>
            <w:r>
              <w:rPr/>
              <w:t>(13</w:t>
            </w:r>
          </w:p>
        </w:tc>
        <w:tc>
          <w:tcPr>
            <w:tcW w:w="24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w:t>
            </w:r>
          </w:p>
        </w:tc>
        <w:tc>
          <w:tcPr>
            <w:tcW w:w="1183" w:type="dxa"/>
            <w:tcBorders/>
            <w:shd w:fill="CCEEFF" w:val="clear"/>
            <w:vAlign w:val="center"/>
          </w:tcPr>
          <w:p>
            <w:pPr>
              <w:pStyle w:val="TableContents"/>
              <w:spacing w:before="0" w:after="283"/>
              <w:jc w:val="right"/>
              <w:rPr/>
            </w:pPr>
            <w:r>
              <w:rPr/>
              <w:t>(70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w:t>
            </w:r>
          </w:p>
        </w:tc>
        <w:tc>
          <w:tcPr>
            <w:tcW w:w="822" w:type="dxa"/>
            <w:tcBorders/>
            <w:shd w:fill="CCEEFF" w:val="clear"/>
            <w:vAlign w:val="center"/>
          </w:tcPr>
          <w:p>
            <w:pPr>
              <w:pStyle w:val="TableContents"/>
              <w:spacing w:before="0" w:after="283"/>
              <w:jc w:val="right"/>
              <w:rPr/>
            </w:pPr>
            <w:r>
              <w:rPr/>
              <w:t>57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-81</w:t>
            </w:r>
          </w:p>
        </w:tc>
        <w:tc>
          <w:tcPr>
            <w:tcW w:w="292" w:type="dxa"/>
            <w:tcBorders/>
            <w:shd w:fill="CCEEFF" w:val="clear"/>
            <w:vAlign w:val="center"/>
          </w:tcPr>
          <w:p>
            <w:pPr>
              <w:pStyle w:val="TableContents"/>
              <w:spacing w:before="0" w:after="283"/>
              <w:rPr/>
            </w:pPr>
            <w:r>
              <w:rPr/>
              <w:t>% </w:t>
            </w:r>
          </w:p>
        </w:tc>
      </w:tr>
      <w:tr>
        <w:trPr/>
        <w:tc>
          <w:tcPr>
            <w:tcW w:w="441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w:t>
            </w:r>
          </w:p>
        </w:tc>
        <w:tc>
          <w:tcPr>
            <w:tcW w:w="12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1,555</w:t>
            </w:r>
          </w:p>
        </w:tc>
        <w:tc>
          <w:tcPr>
            <w:tcW w:w="242"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183" w:type="dxa"/>
            <w:tcBorders/>
            <w:shd w:fill="auto" w:val="clear"/>
            <w:vAlign w:val="center"/>
          </w:tcPr>
          <w:p>
            <w:pPr>
              <w:pStyle w:val="TableContents"/>
              <w:spacing w:before="0" w:after="283"/>
              <w:jc w:val="right"/>
              <w:rPr/>
            </w:pPr>
            <w:r>
              <w:rPr/>
              <w:t>277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22" w:type="dxa"/>
            <w:tcBorders/>
            <w:shd w:fill="auto" w:val="clear"/>
            <w:vAlign w:val="center"/>
          </w:tcPr>
          <w:p>
            <w:pPr>
              <w:pStyle w:val="TableContents"/>
              <w:spacing w:before="0" w:after="283"/>
              <w:jc w:val="right"/>
              <w:rPr/>
            </w:pPr>
            <w:r>
              <w:rPr/>
              <w:t>1,278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461</w:t>
            </w:r>
          </w:p>
        </w:tc>
        <w:tc>
          <w:tcPr>
            <w:tcW w:w="292" w:type="dxa"/>
            <w:tcBorders/>
            <w:shd w:fill="auto" w:val="clear"/>
            <w:vAlign w:val="center"/>
          </w:tcPr>
          <w:p>
            <w:pPr>
              <w:pStyle w:val="TableContents"/>
              <w:spacing w:before="0" w:after="283"/>
              <w:rPr/>
            </w:pPr>
            <w:r>
              <w:rPr/>
              <w:t>% </w:t>
            </w:r>
          </w:p>
        </w:tc>
      </w:tr>
      <w:tr>
        <w:trPr/>
        <w:tc>
          <w:tcPr>
            <w:tcW w:w="441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Legal settlement and litigation expenses</w:t>
            </w:r>
          </w:p>
        </w:tc>
        <w:tc>
          <w:tcPr>
            <w:tcW w:w="12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  </w:t>
            </w:r>
          </w:p>
        </w:tc>
        <w:tc>
          <w:tcPr>
            <w:tcW w:w="24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1183" w:type="dxa"/>
            <w:tcBorders/>
            <w:shd w:fill="CCEEFF" w:val="clear"/>
            <w:vAlign w:val="center"/>
          </w:tcPr>
          <w:p>
            <w:pPr>
              <w:pStyle w:val="TableContents"/>
              <w:spacing w:before="0" w:after="283"/>
              <w:jc w:val="right"/>
              <w:rPr/>
            </w:pPr>
            <w:r>
              <w:rPr/>
              <w:t>368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jc w:val="right"/>
              <w:rPr/>
            </w:pPr>
            <w:r>
              <w:rPr/>
              <w:t>(368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-100</w:t>
            </w:r>
          </w:p>
        </w:tc>
        <w:tc>
          <w:tcPr>
            <w:tcW w:w="292" w:type="dxa"/>
            <w:tcBorders/>
            <w:shd w:fill="CCEEFF" w:val="clear"/>
            <w:vAlign w:val="center"/>
          </w:tcPr>
          <w:p>
            <w:pPr>
              <w:pStyle w:val="TableContents"/>
              <w:spacing w:before="0" w:after="283"/>
              <w:rPr/>
            </w:pPr>
            <w:r>
              <w:rPr/>
              <w:t>% </w:t>
            </w:r>
          </w:p>
        </w:tc>
      </w:tr>
      <w:tr>
        <w:trPr/>
        <w:tc>
          <w:tcPr>
            <w:tcW w:w="441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strategic financing and transactional expenses</w:t>
            </w:r>
          </w:p>
        </w:tc>
        <w:tc>
          <w:tcPr>
            <w:tcW w:w="12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961</w:t>
            </w:r>
          </w:p>
        </w:tc>
        <w:tc>
          <w:tcPr>
            <w:tcW w:w="242"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183" w:type="dxa"/>
            <w:tcBorders/>
            <w:shd w:fill="auto" w:val="clear"/>
            <w:vAlign w:val="center"/>
          </w:tcPr>
          <w:p>
            <w:pPr>
              <w:pStyle w:val="TableContents"/>
              <w:spacing w:before="0" w:after="283"/>
              <w:jc w:val="right"/>
              <w:rPr/>
            </w:pPr>
            <w:r>
              <w:rPr/>
              <w:t>108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22" w:type="dxa"/>
            <w:tcBorders/>
            <w:shd w:fill="auto" w:val="clear"/>
            <w:vAlign w:val="center"/>
          </w:tcPr>
          <w:p>
            <w:pPr>
              <w:pStyle w:val="TableContents"/>
              <w:spacing w:before="0" w:after="283"/>
              <w:jc w:val="right"/>
              <w:rPr/>
            </w:pPr>
            <w:r>
              <w:rPr/>
              <w:t>853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790</w:t>
            </w:r>
          </w:p>
        </w:tc>
        <w:tc>
          <w:tcPr>
            <w:tcW w:w="292" w:type="dxa"/>
            <w:tcBorders/>
            <w:shd w:fill="auto" w:val="clear"/>
            <w:vAlign w:val="center"/>
          </w:tcPr>
          <w:p>
            <w:pPr>
              <w:pStyle w:val="TableContents"/>
              <w:spacing w:before="0" w:after="283"/>
              <w:rPr/>
            </w:pPr>
            <w:r>
              <w:rPr/>
              <w:t>% </w:t>
            </w:r>
          </w:p>
        </w:tc>
      </w:tr>
      <w:tr>
        <w:trPr/>
        <w:tc>
          <w:tcPr>
            <w:tcW w:w="441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fair value of derivative asset on loans to stockholders</w:t>
            </w:r>
          </w:p>
        </w:tc>
        <w:tc>
          <w:tcPr>
            <w:tcW w:w="12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5,572</w:t>
            </w:r>
          </w:p>
        </w:tc>
        <w:tc>
          <w:tcPr>
            <w:tcW w:w="24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1183" w:type="dxa"/>
            <w:tcBorders/>
            <w:shd w:fill="CCEEFF" w:val="clear"/>
            <w:vAlign w:val="center"/>
          </w:tcPr>
          <w:p>
            <w:pPr>
              <w:pStyle w:val="TableContents"/>
              <w:spacing w:before="0" w:after="283"/>
              <w:jc w:val="right"/>
              <w:rPr/>
            </w:pPr>
            <w:r>
              <w:rPr/>
              <w:t>(17,146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jc w:val="right"/>
              <w:rPr/>
            </w:pPr>
            <w:r>
              <w:rPr/>
              <w:t>22,718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-132</w:t>
            </w:r>
          </w:p>
        </w:tc>
        <w:tc>
          <w:tcPr>
            <w:tcW w:w="292" w:type="dxa"/>
            <w:tcBorders/>
            <w:shd w:fill="CCEEFF" w:val="clear"/>
            <w:vAlign w:val="center"/>
          </w:tcPr>
          <w:p>
            <w:pPr>
              <w:pStyle w:val="TableContents"/>
              <w:spacing w:before="0" w:after="283"/>
              <w:rPr/>
            </w:pPr>
            <w:r>
              <w:rPr/>
              <w:t>% </w:t>
            </w:r>
          </w:p>
        </w:tc>
      </w:tr>
      <w:tr>
        <w:trPr/>
        <w:tc>
          <w:tcPr>
            <w:tcW w:w="441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fair value of warrant liability</w:t>
            </w:r>
          </w:p>
        </w:tc>
        <w:tc>
          <w:tcPr>
            <w:tcW w:w="12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4,065</w:t>
            </w:r>
          </w:p>
        </w:tc>
        <w:tc>
          <w:tcPr>
            <w:tcW w:w="242"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183" w:type="dxa"/>
            <w:tcBorders/>
            <w:shd w:fill="auto" w:val="clear"/>
            <w:vAlign w:val="center"/>
          </w:tcPr>
          <w:p>
            <w:pPr>
              <w:pStyle w:val="TableContents"/>
              <w:spacing w:before="0" w:after="283"/>
              <w:jc w:val="right"/>
              <w:rPr/>
            </w:pPr>
            <w:r>
              <w:rPr/>
              <w:t>2,186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822" w:type="dxa"/>
            <w:tcBorders/>
            <w:shd w:fill="auto" w:val="clear"/>
            <w:vAlign w:val="center"/>
          </w:tcPr>
          <w:p>
            <w:pPr>
              <w:pStyle w:val="TableContents"/>
              <w:spacing w:before="0" w:after="283"/>
              <w:jc w:val="right"/>
              <w:rPr/>
            </w:pPr>
            <w:r>
              <w:rPr/>
              <w:t>1,879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86</w:t>
            </w:r>
          </w:p>
        </w:tc>
        <w:tc>
          <w:tcPr>
            <w:tcW w:w="292" w:type="dxa"/>
            <w:tcBorders/>
            <w:shd w:fill="auto" w:val="clear"/>
            <w:vAlign w:val="center"/>
          </w:tcPr>
          <w:p>
            <w:pPr>
              <w:pStyle w:val="TableContents"/>
              <w:spacing w:before="0" w:after="283"/>
              <w:rPr/>
            </w:pPr>
            <w:r>
              <w:rPr/>
              <w:t>% </w:t>
            </w:r>
          </w:p>
        </w:tc>
      </w:tr>
      <w:tr>
        <w:trPr/>
        <w:tc>
          <w:tcPr>
            <w:tcW w:w="44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42"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8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4418"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0"/>
              <w:rPr>
                <w:b/>
                <w:spacing w:val="0"/>
              </w:rPr>
            </w:pPr>
            <w:r>
              <w:rPr>
                <w:b/>
                <w:spacing w:val="0"/>
              </w:rPr>
              <w:t>$</w:t>
            </w:r>
          </w:p>
        </w:tc>
        <w:tc>
          <w:tcPr>
            <w:tcW w:w="1064" w:type="dxa"/>
            <w:tcBorders/>
            <w:shd w:fill="CCEEFF" w:val="clear"/>
            <w:vAlign w:val="center"/>
          </w:tcPr>
          <w:p>
            <w:pPr>
              <w:pStyle w:val="TableContents"/>
              <w:spacing w:before="0" w:after="0"/>
              <w:jc w:val="right"/>
              <w:rPr>
                <w:b/>
                <w:spacing w:val="0"/>
              </w:rPr>
            </w:pPr>
            <w:r>
              <w:rPr>
                <w:b/>
                <w:spacing w:val="0"/>
              </w:rPr>
              <w:t>12,140</w:t>
            </w:r>
          </w:p>
        </w:tc>
        <w:tc>
          <w:tcPr>
            <w:tcW w:w="242" w:type="dxa"/>
            <w:tcBorders/>
            <w:shd w:fill="CCEEFF" w:val="clear"/>
            <w:vAlign w:val="center"/>
          </w:tcPr>
          <w:p>
            <w:pPr>
              <w:pStyle w:val="TableContents"/>
              <w:spacing w:before="0" w:after="0"/>
              <w:rPr>
                <w:spacing w:val="0"/>
              </w:rPr>
            </w:pPr>
            <w:r>
              <w:rPr>
                <w:spacing w:val="0"/>
              </w:rPr>
              <w:t> </w:t>
            </w:r>
          </w:p>
        </w:tc>
        <w:tc>
          <w:tcPr>
            <w:tcW w:w="93"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0"/>
              <w:rPr>
                <w:b/>
                <w:spacing w:val="0"/>
              </w:rPr>
            </w:pPr>
            <w:r>
              <w:rPr>
                <w:b/>
                <w:spacing w:val="0"/>
              </w:rPr>
              <w:t>$</w:t>
            </w:r>
          </w:p>
        </w:tc>
        <w:tc>
          <w:tcPr>
            <w:tcW w:w="1183" w:type="dxa"/>
            <w:tcBorders/>
            <w:shd w:fill="CCEEFF" w:val="clear"/>
            <w:vAlign w:val="center"/>
          </w:tcPr>
          <w:p>
            <w:pPr>
              <w:pStyle w:val="TableContents"/>
              <w:spacing w:before="0" w:after="0"/>
              <w:jc w:val="right"/>
              <w:rPr>
                <w:b/>
                <w:spacing w:val="0"/>
              </w:rPr>
            </w:pPr>
            <w:r>
              <w:rPr>
                <w:b/>
                <w:spacing w:val="0"/>
              </w:rPr>
              <w:t>(14,277</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0"/>
              <w:rPr>
                <w:b/>
                <w:spacing w:val="0"/>
              </w:rPr>
            </w:pPr>
            <w:r>
              <w:rPr>
                <w:b/>
                <w:spacing w:val="0"/>
              </w:rPr>
              <w:t>$</w:t>
            </w:r>
          </w:p>
        </w:tc>
        <w:tc>
          <w:tcPr>
            <w:tcW w:w="822" w:type="dxa"/>
            <w:tcBorders/>
            <w:shd w:fill="CCEEFF" w:val="clear"/>
            <w:vAlign w:val="center"/>
          </w:tcPr>
          <w:p>
            <w:pPr>
              <w:pStyle w:val="TableContents"/>
              <w:spacing w:before="0" w:after="0"/>
              <w:jc w:val="right"/>
              <w:rPr>
                <w:b/>
                <w:spacing w:val="0"/>
              </w:rPr>
            </w:pPr>
            <w:r>
              <w:rPr>
                <w:b/>
                <w:spacing w:val="0"/>
              </w:rPr>
              <w:t>26,417</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0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-185</w:t>
            </w:r>
          </w:p>
        </w:tc>
        <w:tc>
          <w:tcPr>
            <w:tcW w:w="292" w:type="dxa"/>
            <w:tcBorders/>
            <w:shd w:fill="CCEEFF" w:val="clear"/>
            <w:vAlign w:val="center"/>
          </w:tcPr>
          <w:p>
            <w:pPr>
              <w:pStyle w:val="TableContents"/>
              <w:spacing w:before="0" w:after="283"/>
              <w:rPr/>
            </w:pPr>
            <w:r>
              <w:rPr/>
              <w:t>% </w:t>
            </w:r>
          </w:p>
        </w:tc>
      </w:tr>
      <w:tr>
        <w:trPr/>
        <w:tc>
          <w:tcPr>
            <w:tcW w:w="44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42"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2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 expense—</w:t>
      </w:r>
    </w:p>
    <w:p>
      <w:pPr>
        <w:pStyle w:val="TextBody"/>
        <w:spacing w:before="240" w:after="0"/>
        <w:jc w:val="left"/>
        <w:rPr>
          <w:rFonts w:ascii="Times New Roman" w:hAnsi="Times New Roman"/>
          <w:sz w:val="20"/>
        </w:rPr>
      </w:pPr>
      <w:r>
        <w:rPr>
          <w:rFonts w:ascii="Times New Roman" w:hAnsi="Times New Roman"/>
          <w:sz w:val="20"/>
        </w:rPr>
        <w:t xml:space="preserve">Interest expense totaled approximately $1.6 million for the period ended March 31, 2022, compared to approximately $0.3 million for the period ended March 31, 2021. The increase of approximately $1.3 million, or 461%, was primarily attributable to interest related to the Debt Facility which we entered into during January 2021, and was subsequently amended in November 2021 to include the Credit Facility, along with interest related to the convertible note with FTX Ventures entered into during March 2022.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Legal settlement and litigation expenses—</w:t>
      </w:r>
    </w:p>
    <w:p>
      <w:pPr>
        <w:pStyle w:val="TextBody"/>
        <w:spacing w:before="0" w:after="0"/>
        <w:jc w:val="left"/>
        <w:rPr>
          <w:rFonts w:ascii="Times New Roman" w:hAnsi="Times New Roman"/>
          <w:sz w:val="20"/>
        </w:rPr>
      </w:pPr>
      <w:r>
        <w:rPr>
          <w:rFonts w:ascii="Times New Roman" w:hAnsi="Times New Roman"/>
          <w:sz w:val="20"/>
        </w:rPr>
        <w:t xml:space="preserve">Legal settlement and litigation expenses totaled approximately $0 for the period ended March 31, 2022, compared to approximately $0.4 million for the period ended March 31, 2021. See “Information About Dave —Legal Proceedings” for more information regarding pending legal actions. The decrease of approximately $0.4 million, or 100%, was primarily attributable to reduced non-recurring settlement and litigation expenses as compared to those expenses recorded during the three months ended March 31, 2021.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Other strategic financing and transactional expenses—</w:t>
      </w:r>
    </w:p>
    <w:p>
      <w:pPr>
        <w:pStyle w:val="TextBody"/>
        <w:spacing w:before="240" w:after="0"/>
        <w:jc w:val="left"/>
        <w:rPr>
          <w:rFonts w:ascii="Times New Roman" w:hAnsi="Times New Roman"/>
          <w:sz w:val="20"/>
        </w:rPr>
      </w:pPr>
      <w:r>
        <w:rPr>
          <w:rFonts w:ascii="Times New Roman" w:hAnsi="Times New Roman"/>
          <w:sz w:val="20"/>
        </w:rPr>
        <w:t xml:space="preserve">Other strategic financing and transactional expenses totaled approximately $1.0 million for the period ended March 31, 2022, compared to approximately $0.1 million for the period ended March 31, 2021. The increase of approximately $0.9 million, or 790%, was primarily attributable to spending on legal, audit and compliance related expenses associated with the Business Combination during the three months ended March 31, 2022.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Changes in fair value of derivative asset on loans to stockholders—</w:t>
      </w:r>
    </w:p>
    <w:p>
      <w:pPr>
        <w:pStyle w:val="TextBody"/>
        <w:spacing w:before="240" w:after="0"/>
        <w:jc w:val="left"/>
        <w:rPr>
          <w:rFonts w:ascii="Times New Roman" w:hAnsi="Times New Roman"/>
          <w:sz w:val="20"/>
        </w:rPr>
      </w:pPr>
      <w:r>
        <w:rPr>
          <w:rFonts w:ascii="Times New Roman" w:hAnsi="Times New Roman"/>
          <w:sz w:val="20"/>
        </w:rPr>
        <w:t xml:space="preserve">Changes in fair value of derivative asset on loans to stockholders totaled a charge of approximately $5.6 million for the period ended March 31, 2022, compared to a benefit of $17.1 million for the period ended March 31, 2021. The increase of approximately $22.7 million, or 132%, was primarily attributable to fair value adjustments associated with options issued in connection with loans to stockholders resulting from a decrease in the underlying fair value of our common stock as of the settlement date of the derivative asset compared to the benefit received from the increase in the fair value of our common stock during the three months ended March 31, 2021.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Changes in fair value of warrant liability—</w:t>
      </w:r>
    </w:p>
    <w:p>
      <w:pPr>
        <w:pStyle w:val="TextBody"/>
        <w:spacing w:before="240" w:after="0"/>
        <w:jc w:val="left"/>
        <w:rPr>
          <w:rFonts w:ascii="Times New Roman" w:hAnsi="Times New Roman"/>
          <w:sz w:val="20"/>
        </w:rPr>
      </w:pPr>
      <w:r>
        <w:rPr>
          <w:rFonts w:ascii="Times New Roman" w:hAnsi="Times New Roman"/>
          <w:sz w:val="20"/>
        </w:rPr>
        <w:t xml:space="preserve">Changes in fair value of warrant liability totaled approximately $4.1 million for the period ended March 31, 2022, compared to $2.2 for the three months ended March 31, 2021. The increase of approximately $1.9 million, or 86%, was primarily attributable to fair value adjustments associated with certain public and private warrant liabilities due to decreases in our underlying common stock price, offset by fair value adjustments associated with certain warrants exercised during the Business Combination.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Provision for income taxes</w:t>
      </w:r>
    </w:p>
    <w:p>
      <w:pPr>
        <w:pStyle w:val="TextBody"/>
        <w:spacing w:before="0" w:after="0"/>
        <w:jc w:val="left"/>
        <w:rPr>
          <w:spacing w:val="0"/>
        </w:rPr>
      </w:pPr>
      <w:r>
        <w:rPr>
          <w:spacing w:val="0"/>
        </w:rPr>
        <w:t> </w:t>
      </w:r>
    </w:p>
    <w:tbl>
      <w:tblPr>
        <w:tblW w:w="9809" w:type="dxa"/>
        <w:jc w:val="left"/>
        <w:tblInd w:w="0" w:type="dxa"/>
        <w:tblCellMar>
          <w:top w:w="0" w:type="dxa"/>
          <w:left w:w="0" w:type="dxa"/>
          <w:bottom w:w="0" w:type="dxa"/>
          <w:right w:w="0" w:type="dxa"/>
        </w:tblCellMar>
      </w:tblPr>
      <w:tblGrid>
        <w:gridCol w:w="3860"/>
        <w:gridCol w:w="120"/>
        <w:gridCol w:w="452"/>
        <w:gridCol w:w="839"/>
        <w:gridCol w:w="193"/>
        <w:gridCol w:w="387"/>
        <w:gridCol w:w="452"/>
        <w:gridCol w:w="697"/>
        <w:gridCol w:w="155"/>
        <w:gridCol w:w="60"/>
        <w:gridCol w:w="364"/>
        <w:gridCol w:w="676"/>
        <w:gridCol w:w="60"/>
        <w:gridCol w:w="120"/>
        <w:gridCol w:w="120"/>
        <w:gridCol w:w="919"/>
        <w:gridCol w:w="335"/>
      </w:tblGrid>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3020" w:type="dxa"/>
            <w:gridSpan w:val="6"/>
            <w:vMerge w:val="restart"/>
            <w:tcBorders/>
            <w:shd w:fill="auto" w:val="clear"/>
            <w:vAlign w:val="center"/>
          </w:tcPr>
          <w:p>
            <w:pPr>
              <w:pStyle w:val="TableContents"/>
              <w:spacing w:before="0" w:after="0"/>
              <w:jc w:val="center"/>
              <w:rPr>
                <w:b/>
                <w:spacing w:val="0"/>
              </w:rPr>
            </w:pPr>
            <w:r>
              <w:rPr>
                <w:b/>
                <w:spacing w:val="0"/>
              </w:rPr>
              <w:t>For the Three Months Ended</w:t>
            </w:r>
          </w:p>
          <w:p>
            <w:pPr>
              <w:pStyle w:val="TableContents"/>
              <w:spacing w:before="0" w:after="0"/>
              <w:jc w:val="center"/>
              <w:rPr/>
            </w:pPr>
            <w:r>
              <w:rPr/>
            </w:r>
          </w:p>
          <w:p>
            <w:pPr>
              <w:pStyle w:val="TableContents"/>
              <w:spacing w:before="0" w:after="0"/>
              <w:jc w:val="center"/>
              <w:rPr>
                <w:b/>
                <w:spacing w:val="0"/>
              </w:rPr>
            </w:pPr>
            <w:r>
              <w:rPr>
                <w:b/>
                <w:spacing w:val="0"/>
              </w:rPr>
              <w:t>March 31,</w:t>
            </w:r>
          </w:p>
        </w:tc>
        <w:tc>
          <w:tcPr>
            <w:tcW w:w="15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59" w:type="dxa"/>
            <w:gridSpan w:val="6"/>
            <w:tcBorders/>
            <w:shd w:fill="auto" w:val="clear"/>
            <w:vAlign w:val="center"/>
          </w:tcPr>
          <w:p>
            <w:pPr>
              <w:pStyle w:val="TableContents"/>
              <w:spacing w:before="0" w:after="0"/>
              <w:jc w:val="center"/>
              <w:rPr>
                <w:b/>
                <w:spacing w:val="0"/>
              </w:rPr>
            </w:pPr>
            <w:r>
              <w:rPr>
                <w:b/>
                <w:spacing w:val="0"/>
              </w:rPr>
              <w:t>Change</w:t>
            </w:r>
          </w:p>
        </w:tc>
        <w:tc>
          <w:tcPr>
            <w:tcW w:w="335"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b/>
                <w:spacing w:val="0"/>
              </w:rPr>
            </w:pPr>
            <w:r>
              <w:rPr>
                <w:b/>
                <w:spacing w:val="0"/>
              </w:rPr>
              <w:t>(in thousands, except for percentages)</w:t>
            </w:r>
          </w:p>
        </w:tc>
        <w:tc>
          <w:tcPr>
            <w:tcW w:w="120" w:type="dxa"/>
            <w:vMerge w:val="continue"/>
            <w:tcBorders/>
            <w:shd w:fill="auto" w:val="clear"/>
            <w:vAlign w:val="center"/>
          </w:tcPr>
          <w:p>
            <w:pPr>
              <w:pStyle w:val="Normal"/>
              <w:rPr/>
            </w:pPr>
            <w:r>
              <w:rPr/>
            </w:r>
          </w:p>
        </w:tc>
        <w:tc>
          <w:tcPr>
            <w:tcW w:w="3020" w:type="dxa"/>
            <w:gridSpan w:val="6"/>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w:t>
            </w:r>
          </w:p>
        </w:tc>
        <w:tc>
          <w:tcPr>
            <w:tcW w:w="335"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1" w:type="dxa"/>
            <w:gridSpan w:val="2"/>
            <w:tcBorders/>
            <w:shd w:fill="auto" w:val="clear"/>
            <w:vAlign w:val="center"/>
          </w:tcPr>
          <w:p>
            <w:pPr>
              <w:pStyle w:val="TableContents"/>
              <w:spacing w:before="0" w:after="0"/>
              <w:jc w:val="center"/>
              <w:rPr>
                <w:b/>
                <w:spacing w:val="0"/>
              </w:rPr>
            </w:pPr>
            <w:r>
              <w:rPr>
                <w:b/>
                <w:spacing w:val="0"/>
              </w:rPr>
              <w:t>2022</w:t>
            </w:r>
          </w:p>
        </w:tc>
        <w:tc>
          <w:tcPr>
            <w:tcW w:w="19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1149" w:type="dxa"/>
            <w:gridSpan w:val="2"/>
            <w:tcBorders/>
            <w:shd w:fill="auto" w:val="cle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2022/2021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9" w:type="dxa"/>
            <w:gridSpan w:val="2"/>
            <w:tcBorders/>
            <w:shd w:fill="auto" w:val="clear"/>
            <w:vAlign w:val="center"/>
          </w:tcPr>
          <w:p>
            <w:pPr>
              <w:pStyle w:val="TableContents"/>
              <w:spacing w:before="0" w:after="0"/>
              <w:jc w:val="center"/>
              <w:rPr>
                <w:b/>
                <w:spacing w:val="0"/>
              </w:rPr>
            </w:pPr>
            <w:r>
              <w:rPr>
                <w:b/>
                <w:spacing w:val="0"/>
              </w:rPr>
              <w:t>2022/2021</w:t>
            </w:r>
          </w:p>
        </w:tc>
        <w:tc>
          <w:tcPr>
            <w:tcW w:w="335"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(benefit) for income taxes</w:t>
            </w:r>
          </w:p>
        </w:tc>
        <w:tc>
          <w:tcPr>
            <w:tcW w:w="120" w:type="dxa"/>
            <w:tcBorders/>
            <w:shd w:fill="CCEEFF" w:val="clear"/>
            <w:vAlign w:val="center"/>
          </w:tcPr>
          <w:p>
            <w:pPr>
              <w:pStyle w:val="TableContents"/>
              <w:spacing w:before="0" w:after="283"/>
              <w:rPr/>
            </w:pPr>
            <w:r>
              <w:rPr/>
              <w:t>  </w:t>
            </w:r>
          </w:p>
        </w:tc>
        <w:tc>
          <w:tcPr>
            <w:tcW w:w="452" w:type="dxa"/>
            <w:tcBorders/>
            <w:shd w:fill="CCEEFF" w:val="clear"/>
            <w:vAlign w:val="center"/>
          </w:tcPr>
          <w:p>
            <w:pPr>
              <w:pStyle w:val="TableContents"/>
              <w:spacing w:before="0" w:after="283"/>
              <w:rPr/>
            </w:pPr>
            <w:r>
              <w:rPr/>
              <w:t>$</w:t>
            </w:r>
          </w:p>
        </w:tc>
        <w:tc>
          <w:tcPr>
            <w:tcW w:w="839" w:type="dxa"/>
            <w:tcBorders/>
            <w:shd w:fill="CCEEFF" w:val="clear"/>
            <w:vAlign w:val="center"/>
          </w:tcPr>
          <w:p>
            <w:pPr>
              <w:pStyle w:val="TableContents"/>
              <w:spacing w:before="0" w:after="283"/>
              <w:jc w:val="right"/>
              <w:rPr/>
            </w:pPr>
            <w:r>
              <w:rPr/>
              <w:t>22</w:t>
            </w:r>
          </w:p>
        </w:tc>
        <w:tc>
          <w:tcPr>
            <w:tcW w:w="193" w:type="dxa"/>
            <w:tcBorders/>
            <w:shd w:fill="CCEEFF" w:val="clear"/>
            <w:vAlign w:val="center"/>
          </w:tcPr>
          <w:p>
            <w:pPr>
              <w:pStyle w:val="TableContents"/>
              <w:spacing w:before="0" w:after="283"/>
              <w:rPr/>
            </w:pPr>
            <w:r>
              <w:rPr/>
              <w:t> </w:t>
            </w:r>
          </w:p>
        </w:tc>
        <w:tc>
          <w:tcPr>
            <w:tcW w:w="387" w:type="dxa"/>
            <w:tcBorders/>
            <w:shd w:fill="CCEEFF" w:val="clear"/>
            <w:vAlign w:val="center"/>
          </w:tcPr>
          <w:p>
            <w:pPr>
              <w:pStyle w:val="TableContents"/>
              <w:spacing w:before="0" w:after="283"/>
              <w:rPr/>
            </w:pPr>
            <w:r>
              <w:rPr/>
              <w:t>  </w:t>
            </w:r>
          </w:p>
        </w:tc>
        <w:tc>
          <w:tcPr>
            <w:tcW w:w="452" w:type="dxa"/>
            <w:tcBorders/>
            <w:shd w:fill="CCEEFF" w:val="clear"/>
            <w:vAlign w:val="center"/>
          </w:tcPr>
          <w:p>
            <w:pPr>
              <w:pStyle w:val="TableContents"/>
              <w:spacing w:before="0" w:after="283"/>
              <w:rPr/>
            </w:pPr>
            <w:r>
              <w:rPr/>
              <w:t>$</w:t>
            </w:r>
          </w:p>
        </w:tc>
        <w:tc>
          <w:tcPr>
            <w:tcW w:w="697" w:type="dxa"/>
            <w:tcBorders/>
            <w:shd w:fill="CCEEFF" w:val="clear"/>
            <w:vAlign w:val="center"/>
          </w:tcPr>
          <w:p>
            <w:pPr>
              <w:pStyle w:val="TableContents"/>
              <w:spacing w:before="0" w:after="283"/>
              <w:jc w:val="right"/>
              <w:rPr/>
            </w:pPr>
            <w:r>
              <w:rPr/>
              <w:t>(8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4" w:type="dxa"/>
            <w:tcBorders/>
            <w:shd w:fill="CCEEFF" w:val="clear"/>
            <w:vAlign w:val="center"/>
          </w:tcPr>
          <w:p>
            <w:pPr>
              <w:pStyle w:val="TableContents"/>
              <w:spacing w:before="0" w:after="283"/>
              <w:rPr/>
            </w:pPr>
            <w:r>
              <w:rPr/>
              <w:t>$</w:t>
            </w:r>
          </w:p>
        </w:tc>
        <w:tc>
          <w:tcPr>
            <w:tcW w:w="676" w:type="dxa"/>
            <w:tcBorders/>
            <w:shd w:fill="CCEEFF" w:val="clear"/>
            <w:vAlign w:val="center"/>
          </w:tcPr>
          <w:p>
            <w:pPr>
              <w:pStyle w:val="TableContents"/>
              <w:spacing w:before="0" w:after="283"/>
              <w:jc w:val="right"/>
              <w:rPr/>
            </w:pPr>
            <w:r>
              <w:rPr/>
              <w:t>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19" w:type="dxa"/>
            <w:tcBorders/>
            <w:shd w:fill="CCEEFF" w:val="clear"/>
            <w:vAlign w:val="center"/>
          </w:tcPr>
          <w:p>
            <w:pPr>
              <w:pStyle w:val="TableContents"/>
              <w:spacing w:before="0" w:after="283"/>
              <w:jc w:val="right"/>
              <w:rPr/>
            </w:pPr>
            <w:r>
              <w:rPr/>
              <w:t>-375</w:t>
            </w:r>
          </w:p>
        </w:tc>
        <w:tc>
          <w:tcPr>
            <w:tcW w:w="335"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3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9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0"/>
              <w:rPr>
                <w:b/>
                <w:spacing w:val="0"/>
              </w:rPr>
            </w:pPr>
            <w:r>
              <w:rPr>
                <w:b/>
                <w:spacing w:val="0"/>
              </w:rPr>
              <w:t>$</w:t>
            </w:r>
          </w:p>
        </w:tc>
        <w:tc>
          <w:tcPr>
            <w:tcW w:w="839" w:type="dxa"/>
            <w:tcBorders/>
            <w:shd w:fill="auto" w:val="clear"/>
            <w:vAlign w:val="center"/>
          </w:tcPr>
          <w:p>
            <w:pPr>
              <w:pStyle w:val="TableContents"/>
              <w:spacing w:before="0" w:after="0"/>
              <w:jc w:val="right"/>
              <w:rPr>
                <w:b/>
                <w:spacing w:val="0"/>
              </w:rPr>
            </w:pPr>
            <w:r>
              <w:rPr>
                <w:b/>
                <w:spacing w:val="0"/>
              </w:rPr>
              <w:t>22</w:t>
            </w:r>
          </w:p>
        </w:tc>
        <w:tc>
          <w:tcPr>
            <w:tcW w:w="193" w:type="dxa"/>
            <w:tcBorders/>
            <w:shd w:fill="auto" w:val="clear"/>
            <w:vAlign w:val="center"/>
          </w:tcPr>
          <w:p>
            <w:pPr>
              <w:pStyle w:val="TableContents"/>
              <w:spacing w:before="0" w:after="0"/>
              <w:rPr>
                <w:spacing w:val="0"/>
              </w:rPr>
            </w:pPr>
            <w:r>
              <w:rPr>
                <w:spacing w:val="0"/>
              </w:rPr>
              <w:t> </w:t>
            </w:r>
          </w:p>
        </w:tc>
        <w:tc>
          <w:tcPr>
            <w:tcW w:w="387"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0"/>
              <w:rPr>
                <w:b/>
                <w:spacing w:val="0"/>
              </w:rPr>
            </w:pPr>
            <w:r>
              <w:rPr>
                <w:b/>
                <w:spacing w:val="0"/>
              </w:rPr>
              <w:t>$</w:t>
            </w:r>
          </w:p>
        </w:tc>
        <w:tc>
          <w:tcPr>
            <w:tcW w:w="697" w:type="dxa"/>
            <w:tcBorders/>
            <w:shd w:fill="auto" w:val="clear"/>
            <w:vAlign w:val="center"/>
          </w:tcPr>
          <w:p>
            <w:pPr>
              <w:pStyle w:val="TableContents"/>
              <w:spacing w:before="0" w:after="0"/>
              <w:jc w:val="right"/>
              <w:rPr>
                <w:b/>
                <w:spacing w:val="0"/>
              </w:rPr>
            </w:pPr>
            <w:r>
              <w:rPr>
                <w:b/>
                <w:spacing w:val="0"/>
              </w:rPr>
              <w:t>(8</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0"/>
              <w:rPr>
                <w:b/>
                <w:spacing w:val="0"/>
              </w:rPr>
            </w:pPr>
            <w:r>
              <w:rPr>
                <w:b/>
                <w:spacing w:val="0"/>
              </w:rPr>
              <w:t>$</w:t>
            </w:r>
          </w:p>
        </w:tc>
        <w:tc>
          <w:tcPr>
            <w:tcW w:w="676" w:type="dxa"/>
            <w:tcBorders/>
            <w:shd w:fill="auto" w:val="clear"/>
            <w:vAlign w:val="center"/>
          </w:tcPr>
          <w:p>
            <w:pPr>
              <w:pStyle w:val="TableContents"/>
              <w:spacing w:before="0" w:after="0"/>
              <w:jc w:val="right"/>
              <w:rPr>
                <w:b/>
                <w:spacing w:val="0"/>
              </w:rPr>
            </w:pPr>
            <w:r>
              <w:rPr>
                <w:b/>
                <w:spacing w:val="0"/>
              </w:rPr>
              <w:t>30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919" w:type="dxa"/>
            <w:tcBorders/>
            <w:shd w:fill="auto" w:val="clear"/>
            <w:vAlign w:val="center"/>
          </w:tcPr>
          <w:p>
            <w:pPr>
              <w:pStyle w:val="TableContents"/>
              <w:spacing w:before="0" w:after="0"/>
              <w:jc w:val="right"/>
              <w:rPr>
                <w:b/>
                <w:spacing w:val="0"/>
              </w:rPr>
            </w:pPr>
            <w:r>
              <w:rPr>
                <w:b/>
                <w:spacing w:val="0"/>
              </w:rPr>
              <w:t>-375</w:t>
            </w:r>
          </w:p>
        </w:tc>
        <w:tc>
          <w:tcPr>
            <w:tcW w:w="335" w:type="dxa"/>
            <w:tcBorders/>
            <w:shd w:fill="auto" w:val="clear"/>
            <w:vAlign w:val="center"/>
          </w:tcPr>
          <w:p>
            <w:pPr>
              <w:pStyle w:val="TableContents"/>
              <w:spacing w:before="0" w:after="0"/>
              <w:rPr>
                <w:b/>
                <w:spacing w:val="0"/>
              </w:rPr>
            </w:pPr>
            <w:r>
              <w:rPr>
                <w:b/>
                <w:spacing w:val="0"/>
              </w:rPr>
              <w:t>% </w:t>
            </w:r>
          </w:p>
        </w:tc>
      </w:tr>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3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3"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9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Provision (benefit) for income taxes for the period ended March 31, 2022 increased by approximately $0.03 million or </w:t>
      </w:r>
    </w:p>
    <w:p>
      <w:pPr>
        <w:pStyle w:val="TextBody"/>
        <w:spacing w:before="240" w:after="0"/>
        <w:jc w:val="left"/>
        <w:rPr>
          <w:rFonts w:ascii="Times New Roman" w:hAnsi="Times New Roman"/>
          <w:spacing w:val="0"/>
          <w:sz w:val="20"/>
        </w:rPr>
      </w:pPr>
      <w:r>
        <w:rPr>
          <w:rFonts w:ascii="Times New Roman" w:hAnsi="Times New Roman"/>
          <w:spacing w:val="0"/>
          <w:sz w:val="20"/>
        </w:rPr>
        <w:t>-375%,</w:t>
      </w:r>
    </w:p>
    <w:p>
      <w:pPr>
        <w:pStyle w:val="TextBody"/>
        <w:spacing w:before="240" w:after="0"/>
        <w:jc w:val="left"/>
        <w:rPr>
          <w:rFonts w:ascii="Times New Roman" w:hAnsi="Times New Roman"/>
          <w:sz w:val="20"/>
        </w:rPr>
      </w:pPr>
      <w:r>
        <w:rPr>
          <w:rFonts w:ascii="Times New Roman" w:hAnsi="Times New Roman"/>
          <w:sz w:val="20"/>
        </w:rPr>
        <w:t xml:space="preserve">compared to the period ended March 31, 2021. This increase was primarily attributable to a decrease in the federal deferred tax benefit relative to the benefit recognized for the three months ended March 31, 2021. </w:t>
      </w:r>
    </w:p>
    <w:p>
      <w:pPr>
        <w:pStyle w:val="TextBody"/>
        <w:spacing w:before="360" w:after="0"/>
        <w:jc w:val="left"/>
        <w:rPr>
          <w:rFonts w:ascii="Times New Roman" w:hAnsi="Times New Roman"/>
          <w:b/>
          <w:spacing w:val="0"/>
          <w:sz w:val="20"/>
        </w:rPr>
      </w:pPr>
      <w:r>
        <w:rPr>
          <w:rFonts w:ascii="Times New Roman" w:hAnsi="Times New Roman"/>
          <w:b/>
          <w:spacing w:val="0"/>
          <w:sz w:val="20"/>
        </w:rPr>
        <w:t>Non-GAAP</w:t>
      </w:r>
    </w:p>
    <w:p>
      <w:pPr>
        <w:pStyle w:val="TextBody"/>
        <w:spacing w:before="360" w:after="0"/>
        <w:jc w:val="left"/>
        <w:rPr>
          <w:rFonts w:ascii="Times New Roman" w:hAnsi="Times New Roman"/>
          <w:b/>
          <w:sz w:val="20"/>
        </w:rPr>
      </w:pPr>
      <w:r>
        <w:rPr>
          <w:rFonts w:ascii="Times New Roman" w:hAnsi="Times New Roman"/>
          <w:b/>
          <w:sz w:val="20"/>
        </w:rPr>
        <w:t xml:space="preserve">Financial Measures </w:t>
      </w:r>
    </w:p>
    <w:p>
      <w:pPr>
        <w:pStyle w:val="TextBody"/>
        <w:spacing w:before="120" w:after="0"/>
        <w:jc w:val="left"/>
        <w:rPr>
          <w:rFonts w:ascii="Times New Roman" w:hAnsi="Times New Roman"/>
          <w:sz w:val="20"/>
        </w:rPr>
      </w:pPr>
      <w:r>
        <w:rPr>
          <w:rFonts w:ascii="Times New Roman" w:hAnsi="Times New Roman"/>
          <w:sz w:val="20"/>
        </w:rPr>
        <w:t xml:space="preserve">In addition to our results determined in accordance with GAAP, we believe the following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measures are useful in evaluating our operational performance. We use the following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measures to evaluate our ongoing operations and for internal planning and forecasting purposes. We believe that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financial information, when taken collectively, may be helpful in assessing our operating performance and are more indicative of our operational performance and facilitate an alternative comparison among fiscal periods. These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financial measures are not, and should not be viewed as, substitutes for GAAP reporting measures.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Adjusted EBITDA</w:t>
      </w:r>
    </w:p>
    <w:p>
      <w:pPr>
        <w:pStyle w:val="TextBody"/>
        <w:spacing w:before="120" w:after="0"/>
        <w:jc w:val="left"/>
        <w:rPr/>
      </w:pPr>
      <w:r>
        <w:rPr/>
        <w:t>“</w:t>
      </w:r>
      <w:r>
        <w:rPr>
          <w:rFonts w:ascii="Times New Roman" w:hAnsi="Times New Roman"/>
          <w:sz w:val="20"/>
        </w:rPr>
        <w:t xml:space="preserve">Adjusted EBITDA” is defined as net (loss) income adjusted for interest expense (income), provision (benefit)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w:t>
      </w:r>
    </w:p>
    <w:p>
      <w:pPr>
        <w:pStyle w:val="TextBody"/>
        <w:spacing w:before="120" w:after="0"/>
        <w:jc w:val="left"/>
        <w:rPr>
          <w:rFonts w:ascii="Times New Roman" w:hAnsi="Times New Roman"/>
          <w:spacing w:val="0"/>
          <w:sz w:val="20"/>
        </w:rPr>
      </w:pPr>
      <w:r>
        <w:rPr>
          <w:rFonts w:ascii="Times New Roman" w:hAnsi="Times New Roman"/>
          <w:spacing w:val="0"/>
          <w:sz w:val="20"/>
        </w:rPr>
        <w:t>non-recurring</w:t>
      </w:r>
    </w:p>
    <w:p>
      <w:pPr>
        <w:pStyle w:val="TextBody"/>
        <w:spacing w:before="120" w:after="0"/>
        <w:jc w:val="left"/>
        <w:rPr>
          <w:rFonts w:ascii="Times New Roman" w:hAnsi="Times New Roman"/>
          <w:sz w:val="20"/>
        </w:rPr>
      </w:pPr>
      <w:r>
        <w:rPr>
          <w:rFonts w:ascii="Times New Roman" w:hAnsi="Times New Roman"/>
          <w:sz w:val="20"/>
        </w:rPr>
        <w:t xml:space="preserve">items. Our computation of Adjusted EBITDA may not be comparable to other similarly titled measures computed by other companies, because all companies may not calculate Adjusted EBITDA in the same fashion.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loss to Adjusted EBITDA below should be reviewed and no single financial measure should be relied upon to evaluate our business.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reconciles net (loss) income to Adjusted EBITDA for the three months ended March 31, 2022 and 2021, respectively: </w:t>
      </w:r>
    </w:p>
    <w:p>
      <w:pPr>
        <w:pStyle w:val="TextBody"/>
        <w:spacing w:before="0" w:after="0"/>
        <w:jc w:val="left"/>
        <w:rPr>
          <w:spacing w:val="0"/>
        </w:rPr>
      </w:pPr>
      <w:r>
        <w:rPr>
          <w:spacing w:val="0"/>
        </w:rPr>
        <w:t> </w:t>
      </w:r>
    </w:p>
    <w:tbl>
      <w:tblPr>
        <w:tblW w:w="8610" w:type="dxa"/>
        <w:jc w:val="left"/>
        <w:tblInd w:w="0" w:type="dxa"/>
        <w:tblCellMar>
          <w:top w:w="0" w:type="dxa"/>
          <w:left w:w="0" w:type="dxa"/>
          <w:bottom w:w="0" w:type="dxa"/>
          <w:right w:w="0" w:type="dxa"/>
        </w:tblCellMar>
      </w:tblPr>
      <w:tblGrid>
        <w:gridCol w:w="5300"/>
        <w:gridCol w:w="120"/>
        <w:gridCol w:w="204"/>
        <w:gridCol w:w="1104"/>
        <w:gridCol w:w="226"/>
        <w:gridCol w:w="175"/>
        <w:gridCol w:w="204"/>
        <w:gridCol w:w="1107"/>
        <w:gridCol w:w="170"/>
      </w:tblGrid>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b/>
                <w:spacing w:val="0"/>
              </w:rPr>
            </w:pPr>
            <w:r>
              <w:rPr>
                <w:b/>
                <w:spacing w:val="0"/>
              </w:rPr>
              <w:t>(in thousands)</w:t>
            </w:r>
          </w:p>
        </w:tc>
        <w:tc>
          <w:tcPr>
            <w:tcW w:w="120" w:type="dxa"/>
            <w:tcBorders/>
            <w:shd w:fill="auto" w:val="clear"/>
            <w:vAlign w:val="center"/>
          </w:tcPr>
          <w:p>
            <w:pPr>
              <w:pStyle w:val="TableContents"/>
              <w:spacing w:before="0" w:after="283"/>
              <w:rPr/>
            </w:pPr>
            <w:r>
              <w:rPr/>
              <w:t>  </w:t>
            </w:r>
          </w:p>
        </w:tc>
        <w:tc>
          <w:tcPr>
            <w:tcW w:w="3020" w:type="dxa"/>
            <w:gridSpan w:val="6"/>
            <w:tcBorders/>
            <w:shd w:fill="auto" w:val="clear"/>
            <w:vAlign w:val="center"/>
          </w:tcPr>
          <w:p>
            <w:pPr>
              <w:pStyle w:val="TableContents"/>
              <w:spacing w:before="0" w:after="0"/>
              <w:jc w:val="center"/>
              <w:rPr>
                <w:b/>
                <w:spacing w:val="0"/>
              </w:rPr>
            </w:pPr>
            <w:r>
              <w:rPr>
                <w:b/>
                <w:spacing w:val="0"/>
              </w:rPr>
              <w:t>For the Three Months Ended</w:t>
            </w:r>
          </w:p>
          <w:p>
            <w:pPr>
              <w:pStyle w:val="TableContents"/>
              <w:spacing w:before="0" w:after="0"/>
              <w:jc w:val="center"/>
              <w:rPr/>
            </w:pPr>
            <w:r>
              <w:rPr/>
            </w:r>
          </w:p>
          <w:p>
            <w:pPr>
              <w:pStyle w:val="TableContents"/>
              <w:spacing w:before="0" w:after="0"/>
              <w:jc w:val="center"/>
              <w:rPr>
                <w:b/>
                <w:spacing w:val="0"/>
              </w:rPr>
            </w:pPr>
            <w:r>
              <w:rPr>
                <w:b/>
                <w:spacing w:val="0"/>
              </w:rPr>
              <w:t>March 31,</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8" w:type="dxa"/>
            <w:gridSpan w:val="2"/>
            <w:tcBorders/>
            <w:shd w:fill="auto" w:val="clear"/>
            <w:vAlign w:val="center"/>
          </w:tcPr>
          <w:p>
            <w:pPr>
              <w:pStyle w:val="TableContents"/>
              <w:spacing w:before="0" w:after="0"/>
              <w:jc w:val="center"/>
              <w:rPr>
                <w:b/>
                <w:spacing w:val="0"/>
              </w:rPr>
            </w:pPr>
            <w:r>
              <w:rPr>
                <w:b/>
                <w:spacing w:val="0"/>
              </w:rPr>
              <w:t>2022</w:t>
            </w:r>
          </w:p>
        </w:tc>
        <w:tc>
          <w:tcPr>
            <w:tcW w:w="22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311" w:type="dxa"/>
            <w:gridSpan w:val="2"/>
            <w:tcBorders/>
            <w:shd w:fill="auto" w:val="clear"/>
            <w:vAlign w:val="center"/>
          </w:tcPr>
          <w:p>
            <w:pPr>
              <w:pStyle w:val="TableContents"/>
              <w:spacing w:before="0" w:after="0"/>
              <w:jc w:val="center"/>
              <w:rPr>
                <w:b/>
                <w:spacing w:val="0"/>
              </w:rPr>
            </w:pPr>
            <w:r>
              <w:rPr>
                <w:b/>
                <w:spacing w:val="0"/>
              </w:rPr>
              <w:t>2021</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income</w:t>
            </w:r>
          </w:p>
        </w:tc>
        <w:tc>
          <w:tcPr>
            <w:tcW w:w="12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w:t>
            </w:r>
          </w:p>
        </w:tc>
        <w:tc>
          <w:tcPr>
            <w:tcW w:w="1104" w:type="dxa"/>
            <w:tcBorders/>
            <w:shd w:fill="CCEEFF" w:val="clear"/>
            <w:vAlign w:val="center"/>
          </w:tcPr>
          <w:p>
            <w:pPr>
              <w:pStyle w:val="TableContents"/>
              <w:spacing w:before="0" w:after="283"/>
              <w:jc w:val="right"/>
              <w:rPr/>
            </w:pPr>
            <w:r>
              <w:rPr/>
              <w:t>(34,835</w:t>
            </w:r>
          </w:p>
        </w:tc>
        <w:tc>
          <w:tcPr>
            <w:tcW w:w="226"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w:t>
            </w:r>
          </w:p>
        </w:tc>
        <w:tc>
          <w:tcPr>
            <w:tcW w:w="1107" w:type="dxa"/>
            <w:tcBorders/>
            <w:shd w:fill="CCEEFF" w:val="clear"/>
            <w:vAlign w:val="center"/>
          </w:tcPr>
          <w:p>
            <w:pPr>
              <w:pStyle w:val="TableContents"/>
              <w:spacing w:before="0" w:after="283"/>
              <w:jc w:val="right"/>
              <w:rPr/>
            </w:pPr>
            <w:r>
              <w:rPr/>
              <w:t>3,952</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w:t>
            </w:r>
          </w:p>
        </w:tc>
        <w:tc>
          <w:tcPr>
            <w:tcW w:w="12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4" w:type="dxa"/>
            <w:tcBorders/>
            <w:shd w:fill="auto" w:val="clear"/>
            <w:vAlign w:val="center"/>
          </w:tcPr>
          <w:p>
            <w:pPr>
              <w:pStyle w:val="TableContents"/>
              <w:spacing w:before="0" w:after="283"/>
              <w:jc w:val="right"/>
              <w:rPr/>
            </w:pPr>
            <w:r>
              <w:rPr/>
              <w:t>1,542</w:t>
            </w:r>
          </w:p>
        </w:tc>
        <w:tc>
          <w:tcPr>
            <w:tcW w:w="22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207</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(benefit) for income taxes</w:t>
            </w:r>
          </w:p>
        </w:tc>
        <w:tc>
          <w:tcPr>
            <w:tcW w:w="12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before="0" w:after="283"/>
              <w:jc w:val="right"/>
              <w:rPr/>
            </w:pPr>
            <w:r>
              <w:rPr/>
              <w:t>22</w:t>
            </w:r>
          </w:p>
        </w:tc>
        <w:tc>
          <w:tcPr>
            <w:tcW w:w="226"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(8</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4" w:type="dxa"/>
            <w:tcBorders/>
            <w:shd w:fill="auto" w:val="clear"/>
            <w:vAlign w:val="center"/>
          </w:tcPr>
          <w:p>
            <w:pPr>
              <w:pStyle w:val="TableContents"/>
              <w:spacing w:before="0" w:after="283"/>
              <w:jc w:val="right"/>
              <w:rPr/>
            </w:pPr>
            <w:r>
              <w:rPr/>
              <w:t>1,105</w:t>
            </w:r>
          </w:p>
        </w:tc>
        <w:tc>
          <w:tcPr>
            <w:tcW w:w="22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598</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before="0" w:after="283"/>
              <w:jc w:val="right"/>
              <w:rPr/>
            </w:pPr>
            <w:r>
              <w:rPr/>
              <w:t>3,190</w:t>
            </w:r>
          </w:p>
        </w:tc>
        <w:tc>
          <w:tcPr>
            <w:tcW w:w="226"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1,694</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Legal settlement and litigation expenses</w:t>
            </w:r>
          </w:p>
        </w:tc>
        <w:tc>
          <w:tcPr>
            <w:tcW w:w="12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4" w:type="dxa"/>
            <w:tcBorders/>
            <w:shd w:fill="auto" w:val="clear"/>
            <w:vAlign w:val="center"/>
          </w:tcPr>
          <w:p>
            <w:pPr>
              <w:pStyle w:val="TableContents"/>
              <w:spacing w:before="0" w:after="283"/>
              <w:jc w:val="right"/>
              <w:rPr/>
            </w:pPr>
            <w:r>
              <w:rPr/>
              <w:t>—  </w:t>
            </w:r>
          </w:p>
        </w:tc>
        <w:tc>
          <w:tcPr>
            <w:tcW w:w="22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368</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strategic financing and transactional expenses</w:t>
            </w:r>
          </w:p>
        </w:tc>
        <w:tc>
          <w:tcPr>
            <w:tcW w:w="12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before="0" w:after="283"/>
              <w:jc w:val="right"/>
              <w:rPr/>
            </w:pPr>
            <w:r>
              <w:rPr/>
              <w:t>961</w:t>
            </w:r>
          </w:p>
        </w:tc>
        <w:tc>
          <w:tcPr>
            <w:tcW w:w="226"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108</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fair value of derivative asset on loans to stockholders</w:t>
            </w:r>
          </w:p>
        </w:tc>
        <w:tc>
          <w:tcPr>
            <w:tcW w:w="12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4" w:type="dxa"/>
            <w:tcBorders/>
            <w:shd w:fill="auto" w:val="clear"/>
            <w:vAlign w:val="center"/>
          </w:tcPr>
          <w:p>
            <w:pPr>
              <w:pStyle w:val="TableContents"/>
              <w:spacing w:before="0" w:after="283"/>
              <w:jc w:val="right"/>
              <w:rPr/>
            </w:pPr>
            <w:r>
              <w:rPr/>
              <w:t>5,572</w:t>
            </w:r>
          </w:p>
        </w:tc>
        <w:tc>
          <w:tcPr>
            <w:tcW w:w="22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(17,146</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fair value of warrant liability</w:t>
            </w:r>
          </w:p>
        </w:tc>
        <w:tc>
          <w:tcPr>
            <w:tcW w:w="12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before="0" w:after="283"/>
              <w:jc w:val="right"/>
              <w:rPr/>
            </w:pPr>
            <w:r>
              <w:rPr/>
              <w:t>4,065</w:t>
            </w:r>
          </w:p>
        </w:tc>
        <w:tc>
          <w:tcPr>
            <w:tcW w:w="226"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2,186</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2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w:t>
            </w:r>
          </w:p>
        </w:tc>
        <w:tc>
          <w:tcPr>
            <w:tcW w:w="12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b/>
                <w:spacing w:val="0"/>
              </w:rPr>
            </w:pPr>
            <w:r>
              <w:rPr>
                <w:b/>
                <w:spacing w:val="0"/>
              </w:rPr>
              <w:t>$</w:t>
            </w:r>
          </w:p>
        </w:tc>
        <w:tc>
          <w:tcPr>
            <w:tcW w:w="1104" w:type="dxa"/>
            <w:tcBorders/>
            <w:shd w:fill="auto" w:val="clear"/>
            <w:vAlign w:val="center"/>
          </w:tcPr>
          <w:p>
            <w:pPr>
              <w:pStyle w:val="TableContents"/>
              <w:spacing w:before="0" w:after="0"/>
              <w:jc w:val="right"/>
              <w:rPr>
                <w:b/>
                <w:spacing w:val="0"/>
              </w:rPr>
            </w:pPr>
            <w:r>
              <w:rPr>
                <w:b/>
                <w:spacing w:val="0"/>
              </w:rPr>
              <w:t>(18,378</w:t>
            </w:r>
          </w:p>
        </w:tc>
        <w:tc>
          <w:tcPr>
            <w:tcW w:w="226" w:type="dxa"/>
            <w:tcBorders/>
            <w:shd w:fill="auto" w:val="clear"/>
            <w:vAlign w:val="center"/>
          </w:tcPr>
          <w:p>
            <w:pPr>
              <w:pStyle w:val="TableContents"/>
              <w:spacing w:before="0" w:after="0"/>
              <w:rPr>
                <w:b/>
                <w:spacing w:val="0"/>
              </w:rPr>
            </w:pPr>
            <w:r>
              <w:rPr>
                <w:b/>
                <w:spacing w:val="0"/>
              </w:rPr>
              <w:t>) </w:t>
            </w:r>
          </w:p>
        </w:tc>
        <w:tc>
          <w:tcPr>
            <w:tcW w:w="1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b/>
                <w:spacing w:val="0"/>
              </w:rPr>
            </w:pPr>
            <w:r>
              <w:rPr>
                <w:b/>
                <w:spacing w:val="0"/>
              </w:rPr>
              <w:t>$</w:t>
            </w:r>
          </w:p>
        </w:tc>
        <w:tc>
          <w:tcPr>
            <w:tcW w:w="1107" w:type="dxa"/>
            <w:tcBorders/>
            <w:shd w:fill="auto" w:val="clear"/>
            <w:vAlign w:val="center"/>
          </w:tcPr>
          <w:p>
            <w:pPr>
              <w:pStyle w:val="TableContents"/>
              <w:spacing w:before="0" w:after="0"/>
              <w:jc w:val="right"/>
              <w:rPr>
                <w:b/>
                <w:spacing w:val="0"/>
              </w:rPr>
            </w:pPr>
            <w:r>
              <w:rPr>
                <w:b/>
                <w:spacing w:val="0"/>
              </w:rPr>
              <w:t>(8,041</w:t>
            </w:r>
          </w:p>
        </w:tc>
        <w:tc>
          <w:tcPr>
            <w:tcW w:w="170" w:type="dxa"/>
            <w:tcBorders/>
            <w:shd w:fill="auto" w:val="clear"/>
            <w:vAlign w:val="center"/>
          </w:tcPr>
          <w:p>
            <w:pPr>
              <w:pStyle w:val="TableContents"/>
              <w:spacing w:before="0" w:after="0"/>
              <w:rPr>
                <w:b/>
                <w:spacing w:val="0"/>
              </w:rPr>
            </w:pPr>
            <w:r>
              <w:rPr>
                <w:b/>
                <w:spacing w:val="0"/>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26"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Liquidity and Capital Resources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Since inception, we have financed our operations primarily from the issuance of preferred stock through our Series A and Series B funding rounds, issuances of convertible notes, funds from borrowings under a Senior Secured Loan Facility (the “Debt Facility”) with Victory Park Management, LLC, (as amended in November 2021 to include a $20 million credit line, the “Credit Agreement”), and funds as a result of the Business Combination that took place as on January 5, 2022. As of March 31, 2022 and 2021, our cash and marketable securities balances were approximately $302.3 million and $37.6 million,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an early-stage company, the expenses we have incurred since inception are consistent with our strategy and approach to capital allocation. Dave expects to incur net losses in accordance with our operating plan as we continue to expand and improve upon our financial platform.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ability to access capital when needed is not assured and, if capital is not available to Dave when, and in the amounts needed, Dave could be required to delay, scale back or abandon some or all of our development programs and other operations, which could materially harm our business, prospects, financial condition and operating results. </w:t>
      </w:r>
    </w:p>
    <w:p>
      <w:pPr>
        <w:pStyle w:val="TextBody"/>
        <w:spacing w:before="240" w:after="0"/>
        <w:jc w:val="left"/>
        <w:rPr>
          <w:rFonts w:ascii="Times New Roman" w:hAnsi="Times New Roman"/>
          <w:sz w:val="20"/>
        </w:rPr>
      </w:pPr>
      <w:r>
        <w:rPr>
          <w:rFonts w:ascii="Times New Roman" w:hAnsi="Times New Roman"/>
          <w:sz w:val="20"/>
        </w:rPr>
        <w:t xml:space="preserve">We believe that our cash on hand following the consummation of the Business Combination, including the net proceeds of VPCC’s cash in trust and the proceeds from the PIPE Investment and any alternative financing, along with the $100 million in cash from the Purchase Agreement with FTX Ventures should be sufficient to meet our working capital and capital expenditure requirements for a period of at least 12 months from the date of 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and sufficient to fund our operations. We may raise additional capital through </w:t>
      </w:r>
    </w:p>
    <w:p>
      <w:pPr>
        <w:pStyle w:val="TextBody"/>
        <w:spacing w:before="240" w:after="0"/>
        <w:jc w:val="left"/>
        <w:rPr>
          <w:rFonts w:ascii="Times New Roman" w:hAnsi="Times New Roman"/>
          <w:spacing w:val="0"/>
          <w:sz w:val="20"/>
        </w:rPr>
      </w:pPr>
      <w:r>
        <w:rPr>
          <w:rFonts w:ascii="Times New Roman" w:hAnsi="Times New Roman"/>
          <w:spacing w:val="0"/>
          <w:sz w:val="20"/>
        </w:rPr>
        <w:t>follow-on</w:t>
      </w:r>
    </w:p>
    <w:p>
      <w:pPr>
        <w:pStyle w:val="TextBody"/>
        <w:spacing w:before="240" w:after="0"/>
        <w:jc w:val="left"/>
        <w:rPr>
          <w:rFonts w:ascii="Times New Roman" w:hAnsi="Times New Roman"/>
          <w:sz w:val="20"/>
        </w:rPr>
      </w:pPr>
      <w:r>
        <w:rPr>
          <w:rFonts w:ascii="Times New Roman" w:hAnsi="Times New Roman"/>
          <w:sz w:val="20"/>
        </w:rPr>
        <w:t xml:space="preserve">public offerings or debt financings. The amount and timing of our future funding requirements, if any, will depend on many factors, including the pace and results of our research and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Material Cash Requirements </w:t>
      </w:r>
    </w:p>
    <w:p>
      <w:pPr>
        <w:pStyle w:val="TextBody"/>
        <w:spacing w:before="120" w:after="0"/>
        <w:jc w:val="left"/>
        <w:rPr>
          <w:rFonts w:ascii="Times New Roman" w:hAnsi="Times New Roman"/>
          <w:sz w:val="20"/>
        </w:rPr>
      </w:pPr>
      <w:r>
        <w:rPr>
          <w:rFonts w:ascii="Times New Roman" w:hAnsi="Times New Roman"/>
          <w:sz w:val="20"/>
        </w:rPr>
        <w:t xml:space="preserve">While the effect of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has created economic uncertainty and impacted how we manage our liquidity and capital resources, we intend to continue to invest in people, marketing and user acquisition, technology and infrastructure, and new and existing financial products and programs we believe are critical to meeting our strategic objectives. As growth of our ExtraCash product scales, material cash will be required to fund advances until the point at which those advances are subsequently collected. The amount and timing of these related cash outflows in future periods is difficult to predict and is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dependent on a number of factors including the hiring of new employees, the rate of change in technology used in our business and our business outlook as a result of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pandemic. While we expect certain cash outflows for these expenditures will exceed amounts spent in 2021, we expect to fund these cash outflows primarily through our cash flows provided by operating, investing and financing activities.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use cash to acquire businesses and technologies. The nature of these transactions, however, makes it difficult to predict the amount and timing of such cash requirements. </w:t>
      </w:r>
    </w:p>
    <w:p>
      <w:pPr>
        <w:pStyle w:val="TextBody"/>
        <w:spacing w:before="240" w:after="0"/>
        <w:jc w:val="left"/>
        <w:rPr>
          <w:rFonts w:ascii="Times New Roman" w:hAnsi="Times New Roman"/>
          <w:sz w:val="20"/>
        </w:rPr>
      </w:pPr>
      <w:r>
        <w:rPr>
          <w:rFonts w:ascii="Times New Roman" w:hAnsi="Times New Roman"/>
          <w:sz w:val="20"/>
        </w:rPr>
        <w:t xml:space="preserve">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w:t>
      </w:r>
    </w:p>
    <w:p>
      <w:pPr>
        <w:pStyle w:val="TextBody"/>
        <w:spacing w:before="240" w:after="0"/>
        <w:jc w:val="left"/>
        <w:rPr>
          <w:spacing w:val="0"/>
        </w:rPr>
      </w:pPr>
      <w:r>
        <w:rPr>
          <w:spacing w:val="0"/>
        </w:rPr>
        <w:t>“</w:t>
      </w:r>
      <w:r>
        <w:rPr>
          <w:rFonts w:ascii="Times New Roman" w:hAnsi="Times New Roman"/>
          <w:spacing w:val="0"/>
          <w:sz w:val="20"/>
        </w:rPr>
        <w:t>off-balance</w:t>
      </w:r>
    </w:p>
    <w:p>
      <w:pPr>
        <w:pStyle w:val="TextBody"/>
        <w:spacing w:before="240" w:after="0"/>
        <w:jc w:val="left"/>
        <w:rPr>
          <w:rFonts w:ascii="Times New Roman" w:hAnsi="Times New Roman"/>
          <w:sz w:val="20"/>
        </w:rPr>
      </w:pPr>
      <w:r>
        <w:rPr>
          <w:rFonts w:ascii="Times New Roman" w:hAnsi="Times New Roman"/>
          <w:sz w:val="20"/>
        </w:rPr>
        <w:t xml:space="preserve">sheet arrangements,” as defined by the SEC regulations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response to our remote employee workforce strategy in the U.S., we have not yet closed our leased office locations. We are required to continue making our contractual payments until our operating leases are formally terminated or expire. Our remaining leases have terms of less than 1 year to approximately 4 years, subject to renewal options of varying terms, and as of March 31, 2022, we had a total lease liability of approximately $2.4 million. See Note 14—Leases of the Notes to our Unaudited Condensed Consolidated Financial Statements for additional information regarding our lease liabilities as of March 31, 2022.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also have certain contractual payment obligations for principal and interest owed under the $100 million delayed draw credit facility of the Credit Facility. Interest payments are required to be made on a monthly basis. At March 31, 2022, $35.0 million of term loans under the Credit Agreement were outstanding and $20.0 million has been drawn on the credit line under the Credit Facility. Additionally, we also have certain contractual payment obligations for interest owed under our Purchase Agreement entered into with FTX Ventures. Interest payments relating to the $100 million convertible note are required to be made on a semi-annual basis. At March 31, 2022, approximately $0.8 million of interest was accrued. For more information on the Purchase Agreement with FTX Ventures, see “ —Recent Developments.”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Cash Flows Summary </w:t>
      </w:r>
    </w:p>
    <w:p>
      <w:pPr>
        <w:pStyle w:val="TextBody"/>
        <w:spacing w:before="0" w:after="0"/>
        <w:jc w:val="left"/>
        <w:rPr>
          <w:spacing w:val="0"/>
        </w:rPr>
      </w:pPr>
      <w:r>
        <w:rPr>
          <w:spacing w:val="0"/>
        </w:rPr>
        <w:t> </w:t>
      </w:r>
    </w:p>
    <w:tbl>
      <w:tblPr>
        <w:tblW w:w="10285" w:type="dxa"/>
        <w:jc w:val="left"/>
        <w:tblInd w:w="0" w:type="dxa"/>
        <w:tblCellMar>
          <w:top w:w="0" w:type="dxa"/>
          <w:left w:w="0" w:type="dxa"/>
          <w:bottom w:w="0" w:type="dxa"/>
          <w:right w:w="0" w:type="dxa"/>
        </w:tblCellMar>
      </w:tblPr>
      <w:tblGrid>
        <w:gridCol w:w="6020"/>
        <w:gridCol w:w="120"/>
        <w:gridCol w:w="270"/>
        <w:gridCol w:w="1687"/>
        <w:gridCol w:w="298"/>
        <w:gridCol w:w="231"/>
        <w:gridCol w:w="270"/>
        <w:gridCol w:w="1314"/>
        <w:gridCol w:w="75"/>
      </w:tblGrid>
      <w:tr>
        <w:trPr/>
        <w:tc>
          <w:tcPr>
            <w:tcW w:w="60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020" w:type="dxa"/>
            <w:tcBorders/>
            <w:shd w:fill="auto" w:val="clear"/>
            <w:vAlign w:val="center"/>
          </w:tcPr>
          <w:p>
            <w:pPr>
              <w:pStyle w:val="TableContents"/>
              <w:spacing w:before="0" w:after="0"/>
              <w:rPr>
                <w:b/>
                <w:spacing w:val="0"/>
              </w:rPr>
            </w:pPr>
            <w:r>
              <w:rPr>
                <w:b/>
                <w:spacing w:val="0"/>
              </w:rPr>
              <w:t>Total cash (used in) provided by:</w:t>
            </w:r>
          </w:p>
        </w:tc>
        <w:tc>
          <w:tcPr>
            <w:tcW w:w="120" w:type="dxa"/>
            <w:tcBorders/>
            <w:shd w:fill="auto" w:val="clear"/>
            <w:vAlign w:val="center"/>
          </w:tcPr>
          <w:p>
            <w:pPr>
              <w:pStyle w:val="TableContents"/>
              <w:spacing w:before="0" w:after="283"/>
              <w:rPr/>
            </w:pPr>
            <w:r>
              <w:rPr/>
              <w:t>  </w:t>
            </w:r>
          </w:p>
        </w:tc>
        <w:tc>
          <w:tcPr>
            <w:tcW w:w="4070" w:type="dxa"/>
            <w:gridSpan w:val="6"/>
            <w:tcBorders/>
            <w:shd w:fill="auto" w:val="clear"/>
            <w:vAlign w:val="center"/>
          </w:tcPr>
          <w:p>
            <w:pPr>
              <w:pStyle w:val="TableContents"/>
              <w:spacing w:before="0" w:after="0"/>
              <w:jc w:val="center"/>
              <w:rPr>
                <w:b/>
                <w:spacing w:val="0"/>
              </w:rPr>
            </w:pPr>
            <w:r>
              <w:rPr>
                <w:b/>
                <w:spacing w:val="0"/>
              </w:rPr>
              <w:t>For the Three Months Ended March 31,</w:t>
            </w:r>
          </w:p>
        </w:tc>
        <w:tc>
          <w:tcPr>
            <w:tcW w:w="75" w:type="dxa"/>
            <w:tcBorders/>
            <w:shd w:fill="auto" w:val="clear"/>
            <w:vAlign w:val="center"/>
          </w:tcPr>
          <w:p>
            <w:pPr>
              <w:pStyle w:val="TableContents"/>
              <w:spacing w:before="0" w:after="283"/>
              <w:rPr/>
            </w:pPr>
            <w:r>
              <w:rPr/>
              <w:t> </w:t>
            </w:r>
          </w:p>
        </w:tc>
      </w:tr>
      <w:tr>
        <w:trPr/>
        <w:tc>
          <w:tcPr>
            <w:tcW w:w="6020" w:type="dxa"/>
            <w:tcBorders/>
            <w:shd w:fill="auto" w:val="clear"/>
            <w:vAlign w:val="center"/>
          </w:tcPr>
          <w:p>
            <w:pPr>
              <w:pStyle w:val="TableContents"/>
              <w:spacing w:before="0" w:after="0"/>
              <w:rPr>
                <w:b/>
                <w:spacing w:val="0"/>
              </w:rPr>
            </w:pPr>
            <w:r>
              <w:rPr>
                <w:b/>
                <w:spacing w:val="0"/>
              </w:rPr>
              <w:t>(in thousands)</w:t>
            </w:r>
          </w:p>
        </w:tc>
        <w:tc>
          <w:tcPr>
            <w:tcW w:w="120" w:type="dxa"/>
            <w:tcBorders/>
            <w:shd w:fill="auto" w:val="clear"/>
            <w:vAlign w:val="center"/>
          </w:tcPr>
          <w:p>
            <w:pPr>
              <w:pStyle w:val="TableContents"/>
              <w:spacing w:before="0" w:after="283"/>
              <w:rPr/>
            </w:pPr>
            <w:r>
              <w:rPr/>
              <w:t>  </w:t>
            </w:r>
          </w:p>
        </w:tc>
        <w:tc>
          <w:tcPr>
            <w:tcW w:w="1957" w:type="dxa"/>
            <w:gridSpan w:val="2"/>
            <w:tcBorders/>
            <w:shd w:fill="auto" w:val="clear"/>
            <w:vAlign w:val="center"/>
          </w:tcPr>
          <w:p>
            <w:pPr>
              <w:pStyle w:val="TableContents"/>
              <w:spacing w:before="0" w:after="0"/>
              <w:jc w:val="center"/>
              <w:rPr>
                <w:b/>
                <w:spacing w:val="0"/>
              </w:rPr>
            </w:pPr>
            <w:r>
              <w:rPr>
                <w:b/>
                <w:spacing w:val="0"/>
              </w:rPr>
              <w:t>2022</w:t>
            </w:r>
          </w:p>
        </w:tc>
        <w:tc>
          <w:tcPr>
            <w:tcW w:w="2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1584" w:type="dxa"/>
            <w:gridSpan w:val="2"/>
            <w:tcBorders/>
            <w:shd w:fill="auto" w:val="clear"/>
            <w:vAlign w:val="center"/>
          </w:tcPr>
          <w:p>
            <w:pPr>
              <w:pStyle w:val="TableContents"/>
              <w:spacing w:before="0" w:after="0"/>
              <w:jc w:val="center"/>
              <w:rPr>
                <w:b/>
                <w:spacing w:val="0"/>
              </w:rPr>
            </w:pPr>
            <w:r>
              <w:rPr>
                <w:b/>
                <w:spacing w:val="0"/>
              </w:rPr>
              <w:t>2021</w:t>
            </w:r>
          </w:p>
        </w:tc>
        <w:tc>
          <w:tcPr>
            <w:tcW w:w="75" w:type="dxa"/>
            <w:tcBorders/>
            <w:shd w:fill="auto" w:val="clear"/>
            <w:vAlign w:val="center"/>
          </w:tcPr>
          <w:p>
            <w:pPr>
              <w:pStyle w:val="TableContents"/>
              <w:spacing w:before="0" w:after="283"/>
              <w:rPr/>
            </w:pPr>
            <w:r>
              <w:rPr/>
              <w:t> </w:t>
            </w:r>
          </w:p>
        </w:tc>
      </w:tr>
      <w:tr>
        <w:trPr/>
        <w:tc>
          <w:tcPr>
            <w:tcW w:w="60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activities</w:t>
            </w:r>
          </w:p>
        </w:tc>
        <w:tc>
          <w:tcPr>
            <w:tcW w:w="120"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w:t>
            </w:r>
          </w:p>
        </w:tc>
        <w:tc>
          <w:tcPr>
            <w:tcW w:w="1687" w:type="dxa"/>
            <w:tcBorders/>
            <w:shd w:fill="CCEEFF" w:val="clear"/>
            <w:vAlign w:val="center"/>
          </w:tcPr>
          <w:p>
            <w:pPr>
              <w:pStyle w:val="TableContents"/>
              <w:spacing w:before="0" w:after="283"/>
              <w:jc w:val="right"/>
              <w:rPr/>
            </w:pPr>
            <w:r>
              <w:rPr/>
              <w:t>(37,479</w:t>
            </w:r>
          </w:p>
        </w:tc>
        <w:tc>
          <w:tcPr>
            <w:tcW w:w="298"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w:t>
            </w:r>
          </w:p>
        </w:tc>
        <w:tc>
          <w:tcPr>
            <w:tcW w:w="1314" w:type="dxa"/>
            <w:tcBorders/>
            <w:shd w:fill="CCEEFF" w:val="clear"/>
            <w:vAlign w:val="center"/>
          </w:tcPr>
          <w:p>
            <w:pPr>
              <w:pStyle w:val="TableContents"/>
              <w:spacing w:before="0" w:after="283"/>
              <w:jc w:val="right"/>
              <w:rPr/>
            </w:pPr>
            <w:r>
              <w:rPr/>
              <w:t>2,619</w:t>
            </w:r>
          </w:p>
        </w:tc>
        <w:tc>
          <w:tcPr>
            <w:tcW w:w="75" w:type="dxa"/>
            <w:tcBorders/>
            <w:shd w:fill="CCEEFF" w:val="clear"/>
            <w:vAlign w:val="center"/>
          </w:tcPr>
          <w:p>
            <w:pPr>
              <w:pStyle w:val="TableContents"/>
              <w:spacing w:before="0" w:after="283"/>
              <w:rPr/>
            </w:pPr>
            <w:r>
              <w:rPr/>
              <w:t> </w:t>
            </w:r>
          </w:p>
        </w:tc>
      </w:tr>
      <w:tr>
        <w:trPr/>
        <w:tc>
          <w:tcPr>
            <w:tcW w:w="60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Investing activities</w:t>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1687" w:type="dxa"/>
            <w:tcBorders/>
            <w:shd w:fill="auto" w:val="clear"/>
            <w:vAlign w:val="center"/>
          </w:tcPr>
          <w:p>
            <w:pPr>
              <w:pStyle w:val="TableContents"/>
              <w:spacing w:before="0" w:after="283"/>
              <w:jc w:val="right"/>
              <w:rPr/>
            </w:pPr>
            <w:r>
              <w:rPr/>
              <w:t>(272,601</w:t>
            </w:r>
          </w:p>
        </w:tc>
        <w:tc>
          <w:tcPr>
            <w:tcW w:w="2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jc w:val="right"/>
              <w:rPr/>
            </w:pPr>
            <w:r>
              <w:rPr/>
              <w:t>610</w:t>
            </w:r>
          </w:p>
        </w:tc>
        <w:tc>
          <w:tcPr>
            <w:tcW w:w="75" w:type="dxa"/>
            <w:tcBorders/>
            <w:shd w:fill="auto" w:val="clear"/>
            <w:vAlign w:val="center"/>
          </w:tcPr>
          <w:p>
            <w:pPr>
              <w:pStyle w:val="TableContents"/>
              <w:spacing w:before="0" w:after="283"/>
              <w:rPr/>
            </w:pPr>
            <w:r>
              <w:rPr/>
              <w:t> </w:t>
            </w:r>
          </w:p>
        </w:tc>
      </w:tr>
      <w:tr>
        <w:trPr/>
        <w:tc>
          <w:tcPr>
            <w:tcW w:w="60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Financing activities</w:t>
            </w:r>
          </w:p>
        </w:tc>
        <w:tc>
          <w:tcPr>
            <w:tcW w:w="120"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 </w:t>
            </w:r>
          </w:p>
        </w:tc>
        <w:tc>
          <w:tcPr>
            <w:tcW w:w="1687" w:type="dxa"/>
            <w:tcBorders/>
            <w:shd w:fill="CCEEFF" w:val="clear"/>
            <w:vAlign w:val="center"/>
          </w:tcPr>
          <w:p>
            <w:pPr>
              <w:pStyle w:val="TableContents"/>
              <w:spacing w:before="0" w:after="283"/>
              <w:jc w:val="right"/>
              <w:rPr/>
            </w:pPr>
            <w:r>
              <w:rPr/>
              <w:t>301,724</w:t>
            </w:r>
          </w:p>
        </w:tc>
        <w:tc>
          <w:tcPr>
            <w:tcW w:w="298"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spacing w:before="0" w:after="283"/>
              <w:jc w:val="right"/>
              <w:rPr/>
            </w:pPr>
            <w:r>
              <w:rPr/>
              <w:t>15,569</w:t>
            </w:r>
          </w:p>
        </w:tc>
        <w:tc>
          <w:tcPr>
            <w:tcW w:w="75" w:type="dxa"/>
            <w:tcBorders/>
            <w:shd w:fill="CCEEFF" w:val="clear"/>
            <w:vAlign w:val="center"/>
          </w:tcPr>
          <w:p>
            <w:pPr>
              <w:pStyle w:val="TableContents"/>
              <w:spacing w:before="0" w:after="283"/>
              <w:rPr/>
            </w:pPr>
            <w:r>
              <w:rPr/>
              <w:t> </w:t>
            </w:r>
          </w:p>
        </w:tc>
      </w:tr>
      <w:tr>
        <w:trPr/>
        <w:tc>
          <w:tcPr>
            <w:tcW w:w="60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02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(decrease) increase in cash and cash equivalents and restricted cash</w:t>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0"/>
              <w:rPr>
                <w:b/>
                <w:spacing w:val="0"/>
              </w:rPr>
            </w:pPr>
            <w:r>
              <w:rPr>
                <w:b/>
                <w:spacing w:val="0"/>
              </w:rPr>
              <w:t>$</w:t>
            </w:r>
          </w:p>
        </w:tc>
        <w:tc>
          <w:tcPr>
            <w:tcW w:w="1687" w:type="dxa"/>
            <w:tcBorders/>
            <w:shd w:fill="auto" w:val="clear"/>
            <w:vAlign w:val="center"/>
          </w:tcPr>
          <w:p>
            <w:pPr>
              <w:pStyle w:val="TableContents"/>
              <w:spacing w:before="0" w:after="0"/>
              <w:jc w:val="right"/>
              <w:rPr>
                <w:b/>
                <w:spacing w:val="0"/>
              </w:rPr>
            </w:pPr>
            <w:r>
              <w:rPr>
                <w:b/>
                <w:spacing w:val="0"/>
              </w:rPr>
              <w:t>(8,356</w:t>
            </w:r>
          </w:p>
        </w:tc>
        <w:tc>
          <w:tcPr>
            <w:tcW w:w="298" w:type="dxa"/>
            <w:tcBorders/>
            <w:shd w:fill="auto" w:val="clear"/>
            <w:vAlign w:val="center"/>
          </w:tcPr>
          <w:p>
            <w:pPr>
              <w:pStyle w:val="TableContents"/>
              <w:spacing w:before="0" w:after="0"/>
              <w:rPr>
                <w:b/>
                <w:spacing w:val="0"/>
              </w:rPr>
            </w:pPr>
            <w:r>
              <w:rPr>
                <w:b/>
                <w:spacing w:val="0"/>
              </w:rPr>
              <w:t>) </w:t>
            </w:r>
          </w:p>
        </w:tc>
        <w:tc>
          <w:tcPr>
            <w:tcW w:w="231"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0"/>
              <w:rPr>
                <w:b/>
                <w:spacing w:val="0"/>
              </w:rPr>
            </w:pPr>
            <w:r>
              <w:rPr>
                <w:b/>
                <w:spacing w:val="0"/>
              </w:rPr>
              <w:t>$</w:t>
            </w:r>
          </w:p>
        </w:tc>
        <w:tc>
          <w:tcPr>
            <w:tcW w:w="1314" w:type="dxa"/>
            <w:tcBorders/>
            <w:shd w:fill="auto" w:val="clear"/>
            <w:vAlign w:val="center"/>
          </w:tcPr>
          <w:p>
            <w:pPr>
              <w:pStyle w:val="TableContents"/>
              <w:spacing w:before="0" w:after="0"/>
              <w:jc w:val="right"/>
              <w:rPr>
                <w:b/>
                <w:spacing w:val="0"/>
              </w:rPr>
            </w:pPr>
            <w:r>
              <w:rPr>
                <w:b/>
                <w:spacing w:val="0"/>
              </w:rPr>
              <w:t>18,798</w:t>
            </w:r>
          </w:p>
        </w:tc>
        <w:tc>
          <w:tcPr>
            <w:tcW w:w="75" w:type="dxa"/>
            <w:tcBorders/>
            <w:shd w:fill="auto" w:val="clear"/>
            <w:vAlign w:val="center"/>
          </w:tcPr>
          <w:p>
            <w:pPr>
              <w:pStyle w:val="TableContents"/>
              <w:spacing w:before="0" w:after="0"/>
              <w:rPr>
                <w:spacing w:val="0"/>
              </w:rPr>
            </w:pPr>
            <w:r>
              <w:rPr>
                <w:spacing w:val="0"/>
              </w:rPr>
              <w:t> </w:t>
            </w:r>
          </w:p>
        </w:tc>
      </w:tr>
      <w:tr>
        <w:trPr/>
        <w:tc>
          <w:tcPr>
            <w:tcW w:w="60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8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8"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Cash Flows From Operating Activities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recorded a net loss of approximately $34.8 million for the period ended March 31, 2022, and net income of approximately $4.0 million for the period ended March 31, 2021. We reported negative cash flows from operating activities of approximately $37.5 million and cash flows from operating activities of approximately $2.6 million for the periods ended March 31, 2022 and 2021, respectively.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for the period ended March 31, 2022 included a net loss of approximately $34.8 million, adjusted for </w:t>
      </w:r>
    </w:p>
    <w:p>
      <w:pPr>
        <w:pStyle w:val="TextBody"/>
        <w:spacing w:before="240" w:after="0"/>
        <w:jc w:val="left"/>
        <w:rPr>
          <w:rFonts w:ascii="Times New Roman" w:hAnsi="Times New Roman"/>
          <w:spacing w:val="0"/>
          <w:sz w:val="20"/>
        </w:rPr>
      </w:pPr>
      <w:r>
        <w:rPr>
          <w:rFonts w:ascii="Times New Roman" w:hAnsi="Times New Roman"/>
          <w:spacing w:val="0"/>
          <w:sz w:val="20"/>
        </w:rPr>
        <w:t>non-cash</w:t>
      </w:r>
    </w:p>
    <w:p>
      <w:pPr>
        <w:pStyle w:val="TextBody"/>
        <w:spacing w:before="240" w:after="0"/>
        <w:jc w:val="left"/>
        <w:rPr>
          <w:rFonts w:ascii="Times New Roman" w:hAnsi="Times New Roman"/>
          <w:sz w:val="20"/>
        </w:rPr>
      </w:pPr>
      <w:r>
        <w:rPr>
          <w:rFonts w:ascii="Times New Roman" w:hAnsi="Times New Roman"/>
          <w:sz w:val="20"/>
        </w:rPr>
        <w:t xml:space="preserve">items of approximately $1.1 million for depreciation and amortization, approximately $13.8 million for provision for unrecoverable advances, approximately $4.1 million for an increase in warrant liability fair value, approximately $3.2 million for stock-based compensation expense, and approximately $5.6 million for a decrease in derivative asset fair value. Further changes in cash flows from operations included an increase in Member advances of approximately $26.6 million, an increase in prepaid expenses and other current assets of approximately $4.8 million, an increase in accrued expenses of approximately $1.0 million, and a decrease in other current liabilities of approximately $0.3 million. These changes were offset primarily by an increase in accounts payable of approximately $2.5 million.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for the period ended March 31, 2021 included net income of approximately $4.0 million, adjusted for </w:t>
      </w:r>
    </w:p>
    <w:p>
      <w:pPr>
        <w:pStyle w:val="TextBody"/>
        <w:spacing w:before="240" w:after="0"/>
        <w:jc w:val="left"/>
        <w:rPr>
          <w:rFonts w:ascii="Times New Roman" w:hAnsi="Times New Roman"/>
          <w:spacing w:val="0"/>
          <w:sz w:val="20"/>
        </w:rPr>
      </w:pPr>
      <w:r>
        <w:rPr>
          <w:rFonts w:ascii="Times New Roman" w:hAnsi="Times New Roman"/>
          <w:spacing w:val="0"/>
          <w:sz w:val="20"/>
        </w:rPr>
        <w:t>non-cash</w:t>
      </w:r>
    </w:p>
    <w:p>
      <w:pPr>
        <w:pStyle w:val="TextBody"/>
        <w:spacing w:before="240" w:after="0"/>
        <w:jc w:val="left"/>
        <w:rPr>
          <w:rFonts w:ascii="Times New Roman" w:hAnsi="Times New Roman"/>
          <w:sz w:val="20"/>
        </w:rPr>
      </w:pPr>
      <w:r>
        <w:rPr>
          <w:rFonts w:ascii="Times New Roman" w:hAnsi="Times New Roman"/>
          <w:sz w:val="20"/>
        </w:rPr>
        <w:t xml:space="preserve">items of approximately $2.8 million for depreciation and amortization, approximately $3.5 million for the provision for unrecoverable advances, approximately $17.1 million for an increase in derivative asset fair value, approximately $2.2 million for an increase in warrant liability fair value, and approximately $1.7 million for stock-based compensation expense. Further changes in cash flows from operations included a decrease in Member advances of approximately $5.0 million, a decrease in prepaid income taxes of approximately $0.8 million, a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49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decrease in accrued expenses of approximately $1.6 million and a decrease in accounts payable of approximately $0.2 million. These changes were offset primarily by a decrease in other current liabilities of approximately $1.5 million and an increase in prepaid expenses and other current assets of approximately $0.5 million.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Cash Flows From Investing Activities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period ended March 31, 2022, net cash used in investing activities was approximately $272.6 million. This included the purchase of marketable securities of approximately $302.1 million, the capitalization of internally developed software costs of approximately $2.3 million and the purchase of property and equipment of approximately $0.2 million, offset by the sale of marketable securities of approximately $32.0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the period ended March 31, 2021, net cash provided by investing activities was approximately $0.6 million. This included the sale of marketable securities of approximately $3.9 million, partially offset by the capitalization of internally developed software costs of approximately $3.3 million.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Cash Flows From Financing Activities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period ended March 31, 2022, net cash provided by financing activities was approximately $301.7 million, which consisted of $195.0 million in proceeds from PIPE offering, $100.0 million in proceeds from borrowings related to the Purchase Agreement with FTX Ventures, approximately $29.7 million in proceeds from the Business Combination, net of redemptions and approximately $1.6 million in proceeds from stock option exercises, partially offset by approximately $22.9 million for the payment of costs related to the Business Combination and approximately $1.6 million related to the repurchase of common stock. For more information on the Business Combination and Purchase Agreement with FTX Ventures, see “— Business Combination and Public Company Costs” and “—Recent Developments”,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the period ended March 31, 2021, net cash provided by financing activities was approximately $15.6 million, which consisted of $19.0 million in debt and credit facility borrowings, offset against approximately $3.9 million of repayments on a line of credit.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Critical Accounting Policies and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unaudited condensed consolidated financial statements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(i) realization of tax assets and estimates of tax liabilities; (ii) valuation of equity securities; (iii) fair value of derivatives; (iv) valuation of notes payable; (v) fair value of warrant liabilities; and (vi) allowance for unrecoverable advances. </w:t>
      </w:r>
    </w:p>
    <w:p>
      <w:pPr>
        <w:pStyle w:val="TextBody"/>
        <w:spacing w:before="240" w:after="0"/>
        <w:jc w:val="left"/>
        <w:rPr>
          <w:rFonts w:ascii="Times New Roman" w:hAnsi="Times New Roman"/>
          <w:sz w:val="20"/>
        </w:rPr>
      </w:pPr>
      <w:r>
        <w:rPr>
          <w:rFonts w:ascii="Times New Roman" w:hAnsi="Times New Roman"/>
          <w:sz w:val="20"/>
        </w:rPr>
        <w:t xml:space="preserve">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Please refer to Note 2 in our accompanying unaudited condensed consolidated financial statements for the period ended March 31, 2022 included in this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While our significant accounting policies are described in the notes to our unaudited condensed consolidated financial statements, we believe that the following accounting policies require a greater degree of judgment and complexity and are the most critical to understanding our financial condition and historical and future results of operations.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Fair Value of Financial Instruments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required to account for certain financial instruments at fair value with changes in fair value reported in earnings and may elect fair value accounting for certain other financial instruments in accordance with U.S. GAAP.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Financial instruments carried at fair value include marketable securities, derivative assets related to loans to stockholders, and warrant liabilities.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We apply the provisions of Financial Accounting Standards Board (“</w:t>
      </w:r>
    </w:p>
    <w:p>
      <w:pPr>
        <w:pStyle w:val="TextBody"/>
        <w:spacing w:before="0" w:after="0"/>
        <w:jc w:val="left"/>
        <w:rPr>
          <w:rFonts w:ascii="Times New Roman" w:hAnsi="Times New Roman"/>
          <w:b/>
          <w:spacing w:val="0"/>
          <w:sz w:val="20"/>
        </w:rPr>
      </w:pPr>
      <w:r>
        <w:rPr>
          <w:rFonts w:ascii="Times New Roman" w:hAnsi="Times New Roman"/>
          <w:b/>
          <w:spacing w:val="0"/>
          <w:sz w:val="20"/>
        </w:rPr>
        <w:t>FASB</w:t>
      </w:r>
    </w:p>
    <w:p>
      <w:pPr>
        <w:pStyle w:val="TextBody"/>
        <w:spacing w:before="0" w:after="0"/>
        <w:jc w:val="left"/>
        <w:rPr/>
      </w:pPr>
      <w:r>
        <w:rPr/>
        <w:t>”</w:t>
      </w:r>
      <w:r>
        <w:rPr>
          <w:rFonts w:ascii="Times New Roman" w:hAnsi="Times New Roman"/>
          <w:sz w:val="20"/>
        </w:rPr>
        <w:t>) Accounting Standards Codification (“</w:t>
      </w:r>
    </w:p>
    <w:p>
      <w:pPr>
        <w:pStyle w:val="TextBody"/>
        <w:spacing w:before="0" w:after="0"/>
        <w:jc w:val="left"/>
        <w:rPr>
          <w:rFonts w:ascii="Times New Roman" w:hAnsi="Times New Roman"/>
          <w:b/>
          <w:spacing w:val="0"/>
          <w:sz w:val="20"/>
        </w:rPr>
      </w:pPr>
      <w:r>
        <w:rPr>
          <w:rFonts w:ascii="Times New Roman" w:hAnsi="Times New Roman"/>
          <w:b/>
          <w:spacing w:val="0"/>
          <w:sz w:val="20"/>
        </w:rPr>
        <w:t>ASC</w:t>
      </w:r>
    </w:p>
    <w:p>
      <w:pPr>
        <w:pStyle w:val="TextBody"/>
        <w:spacing w:before="0" w:after="0"/>
        <w:jc w:val="left"/>
        <w:rPr/>
      </w:pPr>
      <w:r>
        <w:rPr/>
        <w:t>”</w:t>
      </w:r>
      <w:r>
        <w:rPr>
          <w:rFonts w:ascii="Times New Roman" w:hAnsi="Times New Roman"/>
          <w:sz w:val="20"/>
        </w:rPr>
        <w:t xml:space="preserve">) ASC 820,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Fair Value Measurements and Disclosures</w:t>
      </w:r>
    </w:p>
    <w:p>
      <w:pPr>
        <w:pStyle w:val="TextBody"/>
        <w:spacing w:before="0" w:after="0"/>
        <w:jc w:val="left"/>
        <w:rPr>
          <w:rFonts w:ascii="Times New Roman" w:hAnsi="Times New Roman"/>
          <w:sz w:val="20"/>
        </w:rPr>
      </w:pPr>
      <w:r>
        <w:rPr>
          <w:rFonts w:ascii="Times New Roman" w:hAnsi="Times New Roman"/>
          <w:sz w:val="20"/>
        </w:rPr>
        <w:t xml:space="preserve">, which provides a single authoritative definition of fair value, sets out a framework for measuring fair value and expands on required disclosures about fair value measurement. Fair value represents the exchange price that would be received for an asset or paid to transfer a liability in the principal or most advantageous market for the asset or liability in an orderly transaction between market participants on the measurement date. We use the following hierarchy in measuring the fair value of our assets and liabilities, focusing on the most observable inputs when available: </w:t>
      </w:r>
    </w:p>
    <w:p>
      <w:pPr>
        <w:pStyle w:val="TextBody"/>
        <w:spacing w:before="0" w:after="0"/>
        <w:jc w:val="left"/>
        <w:rPr>
          <w:spacing w:val="0"/>
        </w:rPr>
      </w:pPr>
      <w:r>
        <w:rPr>
          <w:spacing w:val="0"/>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1. Quoted prices in active markets for identical assets or liabilities.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2.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3.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Valuation techniques used to measure fair value must maximize the use of observable inputs and minimize the use of unobservable inputs.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Derivative Asset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recorded a derivative asset related to the call option on loans to stockholders. The derivative asset was carried at estimated fair value on our unaudited condensed consolidated balance sheets. Changes in the estimated fair value of the derivatives were reported as a loss (gain) on derivatives in the accompanying unaudited condensed consolidated statements of operations. We utilized the binomial option pricing model to compute the fair value of the derivative asset and to mark to market the fair value of the derivative at each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Upon consummation of the business combination in January 2022, all of the call options related to the Loans to Stockholders were exercised and the related loans were settled.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Warrant Liabilities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recorded a warrant liability associated with the Debt Facility. The warrant liability was carried on our unaudited condensed consolidated balance sheets as a long-term liability estimated at fair value. Changes in the estimated fair value of the warrant liability were reported as a loss (gain) in the accompanying unaudited condensed consolidated statements of operations. We utilized the binomial option-pricing model to compute the fair value and to mark to market the fair value of the warrant liability at each unaudited condensed consolidated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Immediately prior to the close of the Business Combination, all, or 1,664,394 of the vested warrants were exercised and net settled for 450,841 shares of Legacy Dave’s Class A Common Stock after applying an exchange ratio of 1.354387513 pursuant to the terms of the Business Combination.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also recorded warrant liabilities for both public and private warrants associated with the Business Combination. The warrant liabilities are carried on our unaudited condensed consolidated balance sheets as a long-term liability estimated at fair value. Changes in the estimated fair value of the warrant liability are reported as a loss (gain) in the accompanying unaudited condensed consolidated statements of operations. We utilize the Black-Scholes model to compute the fair value and to mark to market the fair value of the private placement warrant liability at the time of the Business Combination and at each unaudited condensed consolidated balance sheet date. The public warrants were valued using the Black 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Note Payable </w:t>
      </w:r>
    </w:p>
    <w:p>
      <w:pPr>
        <w:pStyle w:val="TextBody"/>
        <w:spacing w:before="120" w:after="0"/>
        <w:jc w:val="left"/>
        <w:rPr>
          <w:rFonts w:ascii="Times New Roman" w:hAnsi="Times New Roman"/>
          <w:sz w:val="20"/>
        </w:rPr>
      </w:pPr>
      <w:r>
        <w:rPr>
          <w:rFonts w:ascii="Times New Roman" w:hAnsi="Times New Roman"/>
          <w:sz w:val="20"/>
        </w:rPr>
        <w:t xml:space="preserve">The Company has elected to measure the note payable debt instrument at fair value using the fair value option of ASC </w:t>
      </w:r>
    </w:p>
    <w:p>
      <w:pPr>
        <w:pStyle w:val="TextBody"/>
        <w:spacing w:before="120" w:after="0"/>
        <w:jc w:val="left"/>
        <w:rPr>
          <w:rFonts w:ascii="Times New Roman" w:hAnsi="Times New Roman"/>
          <w:spacing w:val="0"/>
          <w:sz w:val="20"/>
        </w:rPr>
      </w:pPr>
      <w:r>
        <w:rPr>
          <w:rFonts w:ascii="Times New Roman" w:hAnsi="Times New Roman"/>
          <w:spacing w:val="0"/>
          <w:sz w:val="20"/>
        </w:rPr>
        <w:t>825-10.</w:t>
      </w:r>
    </w:p>
    <w:p>
      <w:pPr>
        <w:pStyle w:val="TextBody"/>
        <w:spacing w:before="120" w:after="0"/>
        <w:jc w:val="left"/>
        <w:rPr>
          <w:rFonts w:ascii="Times New Roman" w:hAnsi="Times New Roman"/>
          <w:sz w:val="20"/>
        </w:rPr>
      </w:pPr>
      <w:r>
        <w:rPr>
          <w:rFonts w:ascii="Times New Roman" w:hAnsi="Times New Roman"/>
          <w:sz w:val="20"/>
        </w:rPr>
        <w:t xml:space="preserve">We identified an embedded derivative related to a convertible feature in our promissory note with Alameda Research and in accordance with ASC </w:t>
      </w:r>
    </w:p>
    <w:p>
      <w:pPr>
        <w:pStyle w:val="TextBody"/>
        <w:spacing w:before="120" w:after="0"/>
        <w:jc w:val="left"/>
        <w:rPr>
          <w:rFonts w:ascii="Times New Roman" w:hAnsi="Times New Roman"/>
          <w:spacing w:val="0"/>
          <w:sz w:val="20"/>
        </w:rPr>
      </w:pPr>
      <w:r>
        <w:rPr>
          <w:rFonts w:ascii="Times New Roman" w:hAnsi="Times New Roman"/>
          <w:spacing w:val="0"/>
          <w:sz w:val="20"/>
        </w:rPr>
        <w:t>815-15-25-1</w:t>
      </w:r>
    </w:p>
    <w:p>
      <w:pPr>
        <w:pStyle w:val="TextBody"/>
        <w:spacing w:before="120" w:after="0"/>
        <w:jc w:val="left"/>
        <w:rPr>
          <w:rFonts w:ascii="Times New Roman" w:hAnsi="Times New Roman"/>
          <w:sz w:val="20"/>
        </w:rPr>
      </w:pPr>
      <w:r>
        <w:rPr>
          <w:rFonts w:ascii="Times New Roman" w:hAnsi="Times New Roman"/>
          <w:sz w:val="20"/>
        </w:rPr>
        <w:t xml:space="preserve">criterion (b), since we have elected to apply the fair value option to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debt, the Contingently Exercisable Share Settled Put/Call Option and any other embedded features were not be separated from the debt host. The note payable was carried on our consolidated balance sheets as a current liability estimated at fair value with changes in fair value reflected in earnings. We used a market yield approach to determine the fair value of the promissory note. The market yield approach model includes subjective input assumptions that can materially affect the fair value estimates.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Fair Value of Common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Up until the Closing of the Business Combination in which the Company became publicly traded on Nasdaq, the Company was required to estimate the fair value of the Common Stock underlying the Company’s share-based awards The fair value of the common stock underlying our stock-based awards was determined, in each case, based on a valuation model as discussed further below, and was approved by our Board of Directors. Our Board of Directors intended all stock options granted to be exercisable at a price per share not less than the fair value per share of the ordinary share underlying those stock options on the date of grant.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the absence of a public market for our Common Stock prior to the date of the Business Combination, the valuation has been determined using appropriate valuation methodologies in accordance with the guidelines outlined in the American Institute of Certified Public Accountants Practice Guide, Valuation of Privately Held Company Equity Securities Issued as Compensation.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considered various objective and subjective factors to determine the fair value of our Common Stock as of each grant date, including: </w:t>
      </w:r>
    </w:p>
    <w:p>
      <w:pPr>
        <w:pStyle w:val="TextBody"/>
        <w:spacing w:before="0" w:after="0"/>
        <w:jc w:val="left"/>
        <w:rPr>
          <w:spacing w:val="0"/>
        </w:rPr>
      </w:pPr>
      <w:r>
        <w:rPr>
          <w:spacing w:val="0"/>
        </w:rPr>
        <w:t> </w:t>
      </w:r>
    </w:p>
    <w:tbl>
      <w:tblPr>
        <w:tblW w:w="2995" w:type="dxa"/>
        <w:jc w:val="left"/>
        <w:tblInd w:w="0" w:type="dxa"/>
        <w:tblCellMar>
          <w:top w:w="0" w:type="dxa"/>
          <w:left w:w="0" w:type="dxa"/>
          <w:bottom w:w="0" w:type="dxa"/>
          <w:right w:w="0" w:type="dxa"/>
        </w:tblCellMar>
      </w:tblPr>
      <w:tblGrid>
        <w:gridCol w:w="75"/>
        <w:gridCol w:w="110"/>
        <w:gridCol w:w="60"/>
        <w:gridCol w:w="2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Historical financial performance; </w:t>
            </w:r>
          </w:p>
        </w:tc>
      </w:tr>
    </w:tbl>
    <w:p>
      <w:pPr>
        <w:pStyle w:val="TextBody"/>
        <w:spacing w:before="0" w:after="0"/>
        <w:jc w:val="left"/>
        <w:rPr>
          <w:spacing w:val="0"/>
        </w:rPr>
      </w:pPr>
      <w:r>
        <w:rPr>
          <w:spacing w:val="0"/>
        </w:rPr>
        <w:t> </w:t>
      </w:r>
    </w:p>
    <w:tbl>
      <w:tblPr>
        <w:tblW w:w="2110" w:type="dxa"/>
        <w:jc w:val="left"/>
        <w:tblInd w:w="0" w:type="dxa"/>
        <w:tblCellMar>
          <w:top w:w="0" w:type="dxa"/>
          <w:left w:w="0" w:type="dxa"/>
          <w:bottom w:w="0" w:type="dxa"/>
          <w:right w:w="0" w:type="dxa"/>
        </w:tblCellMar>
      </w:tblPr>
      <w:tblGrid>
        <w:gridCol w:w="75"/>
        <w:gridCol w:w="110"/>
        <w:gridCol w:w="60"/>
        <w:gridCol w:w="1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business strategy; </w:t>
            </w:r>
          </w:p>
        </w:tc>
      </w:tr>
    </w:tbl>
    <w:p>
      <w:pPr>
        <w:pStyle w:val="TextBody"/>
        <w:spacing w:before="0" w:after="0"/>
        <w:jc w:val="left"/>
        <w:rPr>
          <w:spacing w:val="0"/>
        </w:rPr>
      </w:pPr>
      <w:r>
        <w:rPr>
          <w:spacing w:val="0"/>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Industry information, such as external market conditions and trends;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Likelihood of achieving a liquidity event, such as an initial public offering, SPAC merger, or strategic sale given prevailing market conditions and the nature and history of our business;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Prices, privileges, powers, preferences and rights of our convertible preferred stock relative to those of Dave Common Stock; </w:t>
            </w:r>
          </w:p>
        </w:tc>
      </w:tr>
    </w:tbl>
    <w:p>
      <w:pPr>
        <w:pStyle w:val="TextBody"/>
        <w:spacing w:before="0" w:after="0"/>
        <w:jc w:val="left"/>
        <w:rPr>
          <w:spacing w:val="0"/>
        </w:rPr>
      </w:pPr>
      <w:r>
        <w:rPr>
          <w:spacing w:val="0"/>
        </w:rPr>
        <w:t> </w:t>
      </w:r>
    </w:p>
    <w:tbl>
      <w:tblPr>
        <w:tblW w:w="4630" w:type="dxa"/>
        <w:jc w:val="left"/>
        <w:tblInd w:w="0" w:type="dxa"/>
        <w:tblCellMar>
          <w:top w:w="0" w:type="dxa"/>
          <w:left w:w="0" w:type="dxa"/>
          <w:bottom w:w="0" w:type="dxa"/>
          <w:right w:w="0" w:type="dxa"/>
        </w:tblCellMar>
      </w:tblPr>
      <w:tblGrid>
        <w:gridCol w:w="75"/>
        <w:gridCol w:w="110"/>
        <w:gridCol w:w="60"/>
        <w:gridCol w:w="4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Forecasted cash flow projections for Dave’s business; </w:t>
            </w:r>
          </w:p>
        </w:tc>
      </w:tr>
    </w:tbl>
    <w:p>
      <w:pPr>
        <w:pStyle w:val="TextBody"/>
        <w:spacing w:before="0" w:after="0"/>
        <w:jc w:val="left"/>
        <w:rPr>
          <w:spacing w:val="0"/>
        </w:rPr>
      </w:pPr>
      <w:r>
        <w:rPr>
          <w:spacing w:val="0"/>
        </w:rPr>
        <w:t> </w:t>
      </w:r>
    </w:p>
    <w:tbl>
      <w:tblPr>
        <w:tblW w:w="6475" w:type="dxa"/>
        <w:jc w:val="left"/>
        <w:tblInd w:w="0" w:type="dxa"/>
        <w:tblCellMar>
          <w:top w:w="0" w:type="dxa"/>
          <w:left w:w="0" w:type="dxa"/>
          <w:bottom w:w="0" w:type="dxa"/>
          <w:right w:w="0" w:type="dxa"/>
        </w:tblCellMar>
      </w:tblPr>
      <w:tblGrid>
        <w:gridCol w:w="75"/>
        <w:gridCol w:w="110"/>
        <w:gridCol w:w="60"/>
        <w:gridCol w:w="62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Publicly traded price of the special purpose acquisition company (“SPAC”); </w:t>
            </w:r>
          </w:p>
        </w:tc>
      </w:tr>
    </w:tbl>
    <w:p>
      <w:pPr>
        <w:pStyle w:val="TextBody"/>
        <w:spacing w:before="0" w:after="0"/>
        <w:jc w:val="left"/>
        <w:rPr>
          <w:spacing w:val="0"/>
        </w:rPr>
      </w:pPr>
      <w:r>
        <w:rPr>
          <w:spacing w:val="0"/>
        </w:rPr>
        <w:t> </w:t>
      </w:r>
    </w:p>
    <w:tbl>
      <w:tblPr>
        <w:tblW w:w="8530" w:type="dxa"/>
        <w:jc w:val="left"/>
        <w:tblInd w:w="0" w:type="dxa"/>
        <w:tblCellMar>
          <w:top w:w="0" w:type="dxa"/>
          <w:left w:w="0" w:type="dxa"/>
          <w:bottom w:w="0" w:type="dxa"/>
          <w:right w:w="0" w:type="dxa"/>
        </w:tblCellMar>
      </w:tblPr>
      <w:tblGrid>
        <w:gridCol w:w="75"/>
        <w:gridCol w:w="110"/>
        <w:gridCol w:w="60"/>
        <w:gridCol w:w="8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Primary preferred stock financings and secondary common stock transactions of our equity securities;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Lack of marketability/illiquidity of the common stock underlying our stock-based awards involving securities in a private company; and </w:t>
            </w:r>
          </w:p>
        </w:tc>
      </w:tr>
    </w:tbl>
    <w:p>
      <w:pPr>
        <w:pStyle w:val="TextBody"/>
        <w:spacing w:before="0" w:after="0"/>
        <w:jc w:val="left"/>
        <w:rPr>
          <w:spacing w:val="0"/>
        </w:rPr>
      </w:pPr>
      <w:r>
        <w:rPr>
          <w:spacing w:val="0"/>
        </w:rPr>
        <w:t> </w:t>
      </w:r>
    </w:p>
    <w:tbl>
      <w:tblPr>
        <w:tblW w:w="2605" w:type="dxa"/>
        <w:jc w:val="left"/>
        <w:tblInd w:w="0" w:type="dxa"/>
        <w:tblCellMar>
          <w:top w:w="0" w:type="dxa"/>
          <w:left w:w="0" w:type="dxa"/>
          <w:bottom w:w="0" w:type="dxa"/>
          <w:right w:w="0" w:type="dxa"/>
        </w:tblCellMar>
      </w:tblPr>
      <w:tblGrid>
        <w:gridCol w:w="75"/>
        <w:gridCol w:w="110"/>
        <w:gridCol w:w="60"/>
        <w:gridCol w:w="2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Macroeconomic conditions.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assumptions underlying these valuations represented management’s best estimate, which involved inherent uncertainties and the application of management’s judgment. The probability of a liquidity event, the derived discount rate, and the selected multiples that are applied to our financial statistics are significant assumptions used to estimate the fair value of our common stock. If we had used different assumptions or estimates, the fair value of our common stock and our stock-based compensation expense could have been materially different.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2019 and 2020, our estimated fair value of our common stock remained relatively consistent before a potential public listing through a business combination with a special purpose acquisition company was first considered in 2021 (“SPAC Transaction”).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fair value for our common stock was estimated to be $0.935 per share as of August 5, 2019 (“August 2019 Valuation”) and $0.981 per share as of August 30, 2020 (“August 2020 Valuation”). In 2021, our management team first contemplated a SPAC Transaction, which was incorporated in the June 7, 2021 valuation that resulted in a fair value for our common stock of $8.67 per share (“June 2021 Valuation”). The SPAC Transaction was considered in the subsequent valuation performed as of October 6, 2021 that resulted in a fair value for Dave’s common stock of $10.80 per share (“October 2021 Valuation”).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August 2019 Valuation and August 2020 Valuations were completed prior to the contemplation of the Business Combination, and at the time of these valuations our management did not expect a near-term exit. The August 2019 Valuation was performed at the time of the close of Dave’s </w:t>
      </w:r>
    </w:p>
    <w:p>
      <w:pPr>
        <w:pStyle w:val="TextBody"/>
        <w:spacing w:before="0" w:after="0"/>
        <w:jc w:val="left"/>
        <w:rPr>
          <w:rFonts w:ascii="Times New Roman" w:hAnsi="Times New Roman"/>
          <w:spacing w:val="0"/>
          <w:sz w:val="20"/>
        </w:rPr>
      </w:pPr>
      <w:r>
        <w:rPr>
          <w:rFonts w:ascii="Times New Roman" w:hAnsi="Times New Roman"/>
          <w:spacing w:val="0"/>
          <w:sz w:val="20"/>
        </w:rPr>
        <w:t>Series B-1</w:t>
      </w:r>
    </w:p>
    <w:p>
      <w:pPr>
        <w:pStyle w:val="TextBody"/>
        <w:spacing w:before="0" w:after="0"/>
        <w:jc w:val="left"/>
        <w:rPr>
          <w:rFonts w:ascii="Times New Roman" w:hAnsi="Times New Roman"/>
          <w:sz w:val="20"/>
        </w:rPr>
      </w:pPr>
      <w:r>
        <w:rPr>
          <w:rFonts w:ascii="Times New Roman" w:hAnsi="Times New Roman"/>
          <w:sz w:val="20"/>
        </w:rPr>
        <w:t xml:space="preserve">and </w:t>
      </w:r>
    </w:p>
    <w:p>
      <w:pPr>
        <w:pStyle w:val="TextBody"/>
        <w:spacing w:before="0" w:after="0"/>
        <w:jc w:val="left"/>
        <w:rPr>
          <w:rFonts w:ascii="Times New Roman" w:hAnsi="Times New Roman"/>
          <w:spacing w:val="0"/>
          <w:sz w:val="20"/>
        </w:rPr>
      </w:pPr>
      <w:r>
        <w:rPr>
          <w:rFonts w:ascii="Times New Roman" w:hAnsi="Times New Roman"/>
          <w:spacing w:val="0"/>
          <w:sz w:val="20"/>
        </w:rPr>
        <w:t>B-2</w:t>
      </w:r>
    </w:p>
    <w:p>
      <w:pPr>
        <w:pStyle w:val="TextBody"/>
        <w:spacing w:before="0" w:after="0"/>
        <w:jc w:val="left"/>
        <w:rPr>
          <w:rFonts w:ascii="Times New Roman" w:hAnsi="Times New Roman"/>
          <w:sz w:val="20"/>
        </w:rPr>
      </w:pPr>
      <w:r>
        <w:rPr>
          <w:rFonts w:ascii="Times New Roman" w:hAnsi="Times New Roman"/>
          <w:sz w:val="20"/>
        </w:rPr>
        <w:t xml:space="preserve">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our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our comparative operational performance between the periods. </w:t>
      </w:r>
    </w:p>
    <w:p>
      <w:pPr>
        <w:pStyle w:val="TextBody"/>
        <w:spacing w:before="240" w:after="0"/>
        <w:jc w:val="left"/>
        <w:rPr>
          <w:rFonts w:ascii="Times New Roman" w:hAnsi="Times New Roman"/>
          <w:sz w:val="20"/>
        </w:rPr>
      </w:pPr>
      <w:r>
        <w:rPr>
          <w:rFonts w:ascii="Times New Roman" w:hAnsi="Times New Roman"/>
          <w:sz w:val="20"/>
        </w:rPr>
        <w:t xml:space="preserve">The June 2021 Valuation and October 2021 Valuation both used the hybrid method, wherein a probability-weighted expected return model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w:t>
      </w:r>
    </w:p>
    <w:p>
      <w:pPr>
        <w:pStyle w:val="TextBody"/>
        <w:spacing w:before="240" w:after="0"/>
        <w:jc w:val="left"/>
        <w:rPr>
          <w:rFonts w:ascii="Times New Roman" w:hAnsi="Times New Roman"/>
          <w:spacing w:val="0"/>
          <w:sz w:val="20"/>
        </w:rPr>
      </w:pPr>
      <w:r>
        <w:rPr>
          <w:rFonts w:ascii="Times New Roman" w:hAnsi="Times New Roman"/>
          <w:spacing w:val="0"/>
          <w:sz w:val="20"/>
        </w:rPr>
        <w:t>pre-money</w:t>
      </w:r>
    </w:p>
    <w:p>
      <w:pPr>
        <w:pStyle w:val="TextBody"/>
        <w:spacing w:before="240" w:after="0"/>
        <w:jc w:val="left"/>
        <w:rPr>
          <w:rFonts w:ascii="Times New Roman" w:hAnsi="Times New Roman"/>
          <w:sz w:val="20"/>
        </w:rPr>
      </w:pPr>
      <w:r>
        <w:rPr>
          <w:rFonts w:ascii="Times New Roman" w:hAnsi="Times New Roman"/>
          <w:sz w:val="20"/>
        </w:rPr>
        <w:t xml:space="preserve">valuation. The common stock price per share in the SPAC Transaction scenario included in the October 2021 Valuation was determined based on the publicly traded price of the SPAC as of the valuation date. Our management’s estimated probability for each scenario occurring at each valuation date was applied to the respective scenario’s indicated common stock value to arrive at the estimated fair value of common stock. </w:t>
      </w:r>
    </w:p>
    <w:p>
      <w:pPr>
        <w:pStyle w:val="TextBody"/>
        <w:spacing w:before="240" w:after="0"/>
        <w:jc w:val="left"/>
        <w:rPr>
          <w:rFonts w:ascii="Times New Roman" w:hAnsi="Times New Roman"/>
          <w:sz w:val="20"/>
        </w:rPr>
      </w:pPr>
      <w:r>
        <w:rPr>
          <w:rFonts w:ascii="Times New Roman" w:hAnsi="Times New Roman"/>
          <w:sz w:val="20"/>
        </w:rPr>
        <w:t xml:space="preserve">The increase in the fair value of our common stock between the August 2019 and August 2020 Valuations, and the June 2021 Valuation and the October 2021 Valuation was predominantly due to our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our financial and operational performance as well as to reflect changes in the guideline public companies’ multiples and comparative performance, from the close of the Series B financing to the August 2020 valuation date. In early 2021, we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our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$10.80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w:t>
      </w:r>
    </w:p>
    <w:p>
      <w:pPr>
        <w:pStyle w:val="TextBody"/>
        <w:spacing w:before="240" w:after="0"/>
        <w:jc w:val="left"/>
        <w:rPr>
          <w:rFonts w:ascii="Times New Roman" w:hAnsi="Times New Roman"/>
          <w:spacing w:val="0"/>
          <w:sz w:val="20"/>
        </w:rPr>
      </w:pPr>
      <w:r>
        <w:rPr>
          <w:rFonts w:ascii="Times New Roman" w:hAnsi="Times New Roman"/>
          <w:spacing w:val="0"/>
          <w:sz w:val="20"/>
        </w:rPr>
        <w:t>pre-money</w:t>
      </w:r>
    </w:p>
    <w:p>
      <w:pPr>
        <w:pStyle w:val="TextBody"/>
        <w:spacing w:before="240" w:after="0"/>
        <w:jc w:val="left"/>
        <w:rPr>
          <w:rFonts w:ascii="Times New Roman" w:hAnsi="Times New Roman"/>
          <w:sz w:val="20"/>
        </w:rPr>
      </w:pPr>
      <w:r>
        <w:rPr>
          <w:rFonts w:ascii="Times New Roman" w:hAnsi="Times New Roman"/>
          <w:sz w:val="20"/>
        </w:rPr>
        <w:t xml:space="preserve">valuation. As a result, the increase in Dave’s common stock fair value between the valuation dates resulted directly from both the increase in the </w:t>
      </w:r>
    </w:p>
    <w:p>
      <w:pPr>
        <w:pStyle w:val="TextBody"/>
        <w:spacing w:before="240" w:after="0"/>
        <w:jc w:val="left"/>
        <w:rPr>
          <w:rFonts w:ascii="Times New Roman" w:hAnsi="Times New Roman"/>
          <w:spacing w:val="0"/>
          <w:sz w:val="20"/>
        </w:rPr>
      </w:pPr>
      <w:r>
        <w:rPr>
          <w:rFonts w:ascii="Times New Roman" w:hAnsi="Times New Roman"/>
          <w:spacing w:val="0"/>
          <w:sz w:val="20"/>
        </w:rPr>
        <w:t>pre-money</w:t>
      </w:r>
    </w:p>
    <w:p>
      <w:pPr>
        <w:pStyle w:val="TextBody"/>
        <w:spacing w:before="240" w:after="0"/>
        <w:jc w:val="left"/>
        <w:rPr>
          <w:rFonts w:ascii="Times New Roman" w:hAnsi="Times New Roman"/>
          <w:sz w:val="20"/>
        </w:rPr>
      </w:pPr>
      <w:r>
        <w:rPr>
          <w:rFonts w:ascii="Times New Roman" w:hAnsi="Times New Roman"/>
          <w:sz w:val="20"/>
        </w:rPr>
        <w:t xml:space="preserve">valuation and acceleration of the timing of an exit, from the Series B Financing to the Business Combination. </w:t>
      </w:r>
    </w:p>
    <w:p>
      <w:pPr>
        <w:pStyle w:val="TextBody"/>
        <w:spacing w:before="120" w:after="0"/>
        <w:jc w:val="left"/>
        <w:rPr>
          <w:rFonts w:ascii="Times New Roman" w:hAnsi="Times New Roman"/>
          <w:sz w:val="20"/>
        </w:rPr>
      </w:pPr>
      <w:r>
        <w:rPr>
          <w:rFonts w:ascii="Times New Roman" w:hAnsi="Times New Roman"/>
          <w:sz w:val="20"/>
        </w:rPr>
        <w:t xml:space="preserve">Please refer to Note 2 in our accompanying unaudited condensed consolidated financial statements for the period ended March 31, 2022 included in this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Allowance for Unrecoverable Advances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maintain an allowance for unrecoverable advances at a level estimated to be adequate to absorb credit losses inherent in outstanding Member advances. We currently estimate the allowance balance required using historical loss and collections experience, and, if relevant, the nature and volume of the portfolio, economic conditions, and other factors. Interpretations of the nature of volume of the portfolio and projections of future economic conditions involve a high degree of subjectivity. Changes to the allowance have a direct impact on the provision for unrecoverable advances in the unaudited condensed consolidated statement of operations.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consider advances over 120 days past due or which become uncollectible based on information available to us as impaired. All impaired advances are deemed uncollectible and subsequently </w:t>
      </w:r>
    </w:p>
    <w:p>
      <w:pPr>
        <w:pStyle w:val="TextBody"/>
        <w:spacing w:before="0" w:after="0"/>
        <w:jc w:val="left"/>
        <w:rPr>
          <w:rFonts w:ascii="Times New Roman" w:hAnsi="Times New Roman"/>
          <w:spacing w:val="0"/>
          <w:sz w:val="20"/>
        </w:rPr>
      </w:pPr>
      <w:r>
        <w:rPr>
          <w:rFonts w:ascii="Times New Roman" w:hAnsi="Times New Roman"/>
          <w:spacing w:val="0"/>
          <w:sz w:val="20"/>
        </w:rPr>
        <w:t>written-off</w:t>
      </w:r>
    </w:p>
    <w:p>
      <w:pPr>
        <w:pStyle w:val="TextBody"/>
        <w:spacing w:before="0" w:after="0"/>
        <w:jc w:val="left"/>
        <w:rPr>
          <w:rFonts w:ascii="Times New Roman" w:hAnsi="Times New Roman"/>
          <w:sz w:val="20"/>
        </w:rPr>
      </w:pPr>
      <w:r>
        <w:rPr>
          <w:rFonts w:ascii="Times New Roman" w:hAnsi="Times New Roman"/>
          <w:sz w:val="20"/>
        </w:rPr>
        <w:t xml:space="preserve">and are a direct reduction to the allowance for unrecoverable advances. Subsequent recoveries of Member advances </w:t>
      </w:r>
    </w:p>
    <w:p>
      <w:pPr>
        <w:pStyle w:val="TextBody"/>
        <w:spacing w:before="0" w:after="0"/>
        <w:jc w:val="left"/>
        <w:rPr>
          <w:rFonts w:ascii="Times New Roman" w:hAnsi="Times New Roman"/>
          <w:spacing w:val="0"/>
          <w:sz w:val="20"/>
        </w:rPr>
      </w:pPr>
      <w:r>
        <w:rPr>
          <w:rFonts w:ascii="Times New Roman" w:hAnsi="Times New Roman"/>
          <w:spacing w:val="0"/>
          <w:sz w:val="20"/>
        </w:rPr>
        <w:t>written-off,</w:t>
      </w:r>
    </w:p>
    <w:p>
      <w:pPr>
        <w:pStyle w:val="TextBody"/>
        <w:spacing w:before="0" w:after="0"/>
        <w:jc w:val="left"/>
        <w:rPr>
          <w:rFonts w:ascii="Times New Roman" w:hAnsi="Times New Roman"/>
          <w:sz w:val="20"/>
        </w:rPr>
      </w:pPr>
      <w:r>
        <w:rPr>
          <w:rFonts w:ascii="Times New Roman" w:hAnsi="Times New Roman"/>
          <w:sz w:val="20"/>
        </w:rPr>
        <w:t xml:space="preserve">if any, are recorded as a reduction to Member advances when collected, resulting in a reduction to the allowance for unrecoverable advances and a corresponding reduction to the provision for unrecoverable advances expense in the unaudited condensed consolidated statements of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We follow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w:t>
      </w:r>
    </w:p>
    <w:p>
      <w:pPr>
        <w:pStyle w:val="TextBody"/>
        <w:spacing w:before="12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120" w:after="0"/>
        <w:jc w:val="left"/>
        <w:rPr>
          <w:rFonts w:ascii="Times New Roman" w:hAnsi="Times New Roman"/>
          <w:sz w:val="20"/>
        </w:rPr>
      </w:pPr>
      <w:r>
        <w:rPr>
          <w:rFonts w:ascii="Times New Roman" w:hAnsi="Times New Roman"/>
          <w:sz w:val="20"/>
        </w:rPr>
        <w:t xml:space="preserve">that the asset will not be realized. </w:t>
      </w:r>
    </w:p>
    <w:p>
      <w:pPr>
        <w:pStyle w:val="TextBody"/>
        <w:spacing w:before="240" w:after="0"/>
        <w:jc w:val="left"/>
        <w:rPr>
          <w:rFonts w:ascii="Times New Roman" w:hAnsi="Times New Roman"/>
          <w:sz w:val="20"/>
        </w:rPr>
      </w:pPr>
      <w:r>
        <w:rPr>
          <w:rFonts w:ascii="Times New Roman" w:hAnsi="Times New Roman"/>
          <w:sz w:val="20"/>
        </w:rPr>
        <w:t xml:space="preserve">ASC 740 provides that a tax benefit from an uncertain tax position may be recognized when it is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that the position will be sustained in a court of last resort, based on the technical merits. If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the amount recognized is the largest amount of tax benefit that is greater than 50% likely of being realized upon examination, including compromise settlements. For tax positions not meeting the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threshold, no tax benefit is recorded. We have estimated approximately $0.5 million of uncertain tax positions as of both March 31, 2022 and 2021, related to state income taxes and research tax credits.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policy is to recognize interest and penalties accrued on any unrecognized tax benefits as a component of income tax expense within the statement of operations. We recognized approximately $0.001 million and $0.002 million of interest expense and penalties as a component of income tax expense during the periods ended March 31, 2022 and 2021, respectively. There was approximately $0.008 million and $0.007 million of accrued interest and penalties as of March 31, 2022 and December 31, 2021,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subject to income tax in jurisdictions in which we operate, including the United States. For U.S. income tax purposes, we are taxed as a Subchapter C corporation. </w:t>
      </w:r>
    </w:p>
    <w:p>
      <w:pPr>
        <w:pStyle w:val="TextBody"/>
        <w:spacing w:before="240" w:after="0"/>
        <w:jc w:val="left"/>
        <w:rPr>
          <w:rFonts w:ascii="Times New Roman" w:hAnsi="Times New Roman"/>
          <w:sz w:val="20"/>
        </w:rPr>
      </w:pPr>
      <w:r>
        <w:rPr>
          <w:rFonts w:ascii="Times New Roman" w:hAnsi="Times New Roman"/>
          <w:sz w:val="20"/>
        </w:rPr>
        <w:t xml:space="preserve">We recognize deferred taxes for temporary differences between the basis of assets and liabilities for financial statement and income tax purposes. We recorded a valuation allowance against our deferred tax assets, net of certain deferred tax liabilities, at March 31, 2022 and December 31, 2021. Based upon management’s assessment of all available evidence, we have concluded that it is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that the deferred tax assets, net of certain deferred tax liabilities, will not be realized.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Emerging Growth Company Status </w:t>
      </w:r>
    </w:p>
    <w:p>
      <w:pPr>
        <w:pStyle w:val="TextBody"/>
        <w:spacing w:before="120" w:after="0"/>
        <w:jc w:val="left"/>
        <w:rPr>
          <w:rFonts w:ascii="Times New Roman" w:hAnsi="Times New Roman"/>
          <w:sz w:val="20"/>
        </w:rPr>
      </w:pPr>
      <w:r>
        <w:rPr>
          <w:rFonts w:ascii="Times New Roman" w:hAnsi="Times New Roman"/>
          <w:sz w:val="20"/>
        </w:rPr>
        <w:t xml:space="preserve">We are an “emerging growth company” as defined in Section 2(a) of the Securities Act of 1933, as amended, and has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w:t>
      </w:r>
    </w:p>
    <w:p>
      <w:pPr>
        <w:pStyle w:val="TextBody"/>
        <w:spacing w:before="120" w:after="0"/>
        <w:jc w:val="left"/>
        <w:rPr>
          <w:rFonts w:ascii="Times New Roman" w:hAnsi="Times New Roman"/>
          <w:spacing w:val="0"/>
          <w:sz w:val="20"/>
        </w:rPr>
      </w:pPr>
      <w:r>
        <w:rPr>
          <w:rFonts w:ascii="Times New Roman" w:hAnsi="Times New Roman"/>
          <w:spacing w:val="0"/>
          <w:sz w:val="20"/>
        </w:rPr>
        <w:t>non-public</w:t>
      </w:r>
    </w:p>
    <w:p>
      <w:pPr>
        <w:pStyle w:val="TextBody"/>
        <w:spacing w:before="120" w:after="0"/>
        <w:jc w:val="left"/>
        <w:rPr>
          <w:rFonts w:ascii="Times New Roman" w:hAnsi="Times New Roman"/>
          <w:sz w:val="20"/>
        </w:rPr>
      </w:pPr>
      <w:r>
        <w:rPr>
          <w:rFonts w:ascii="Times New Roman" w:hAnsi="Times New Roman"/>
          <w:sz w:val="20"/>
        </w:rPr>
        <w:t xml:space="preserve">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unaudited condensed consolidated financial statements included in this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for the recent accounting pronouncements adopted and the recent accounting pronouncements not yet adopted for the periods ended March 31, 2022 and 2021. </w:t>
      </w:r>
    </w:p>
    <w:p>
      <w:pPr>
        <w:pStyle w:val="TextBody"/>
        <w:spacing w:before="240" w:after="0"/>
        <w:jc w:val="left"/>
        <w:rPr>
          <w:rFonts w:ascii="Times New Roman" w:hAnsi="Times New Roman"/>
          <w:sz w:val="20"/>
        </w:rPr>
      </w:pPr>
      <w:r>
        <w:rPr>
          <w:rFonts w:ascii="Times New Roman" w:hAnsi="Times New Roman"/>
          <w:sz w:val="20"/>
        </w:rPr>
        <w:t xml:space="preserve">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w:t>
      </w:r>
    </w:p>
    <w:p>
      <w:pPr>
        <w:pStyle w:val="TextBody"/>
        <w:spacing w:before="240" w:after="0"/>
        <w:jc w:val="left"/>
        <w:rPr>
          <w:rFonts w:ascii="Times New Roman" w:hAnsi="Times New Roman"/>
          <w:spacing w:val="0"/>
          <w:sz w:val="20"/>
        </w:rPr>
      </w:pPr>
      <w:r>
        <w:rPr>
          <w:rFonts w:ascii="Times New Roman" w:hAnsi="Times New Roman"/>
          <w:spacing w:val="0"/>
          <w:sz w:val="20"/>
        </w:rPr>
        <w:t>non-emerging</w:t>
      </w:r>
    </w:p>
    <w:p>
      <w:pPr>
        <w:pStyle w:val="TextBody"/>
        <w:spacing w:before="240" w:after="0"/>
        <w:jc w:val="left"/>
        <w:rPr>
          <w:rFonts w:ascii="Times New Roman" w:hAnsi="Times New Roman"/>
          <w:sz w:val="20"/>
        </w:rPr>
      </w:pPr>
      <w:r>
        <w:rPr>
          <w:rFonts w:ascii="Times New Roman" w:hAnsi="Times New Roman"/>
          <w:sz w:val="20"/>
        </w:rPr>
        <w:t xml:space="preserve">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unaudited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w:t>
      </w:r>
    </w:p>
    <w:p>
      <w:pPr>
        <w:pStyle w:val="TextBody"/>
        <w:spacing w:before="0" w:after="0"/>
        <w:jc w:val="left"/>
        <w:rPr>
          <w:rFonts w:ascii="Times New Roman" w:hAnsi="Times New Roman"/>
          <w:spacing w:val="0"/>
          <w:sz w:val="20"/>
        </w:rPr>
      </w:pPr>
      <w:r>
        <w:rPr>
          <w:rFonts w:ascii="Times New Roman" w:hAnsi="Times New Roman"/>
          <w:spacing w:val="0"/>
          <w:sz w:val="20"/>
        </w:rPr>
        <w:t>non-affiliates</w:t>
      </w:r>
    </w:p>
    <w:p>
      <w:pPr>
        <w:pStyle w:val="TextBody"/>
        <w:spacing w:before="0" w:after="0"/>
        <w:jc w:val="left"/>
        <w:rPr>
          <w:rFonts w:ascii="Times New Roman" w:hAnsi="Times New Roman"/>
          <w:sz w:val="20"/>
        </w:rPr>
      </w:pPr>
      <w:r>
        <w:rPr>
          <w:rFonts w:ascii="Times New Roman" w:hAnsi="Times New Roman"/>
          <w:sz w:val="20"/>
        </w:rPr>
        <w:t xml:space="preserve">exceeds $700 million as of the end of the prior fiscal year’s second fiscal quarter; and (2) the date on which we have issued more than $1.0 billion in </w:t>
      </w:r>
    </w:p>
    <w:p>
      <w:pPr>
        <w:pStyle w:val="TextBody"/>
        <w:spacing w:before="0" w:after="0"/>
        <w:jc w:val="left"/>
        <w:rPr>
          <w:rFonts w:ascii="Times New Roman" w:hAnsi="Times New Roman"/>
          <w:spacing w:val="0"/>
          <w:sz w:val="20"/>
        </w:rPr>
      </w:pPr>
      <w:r>
        <w:rPr>
          <w:rFonts w:ascii="Times New Roman" w:hAnsi="Times New Roman"/>
          <w:spacing w:val="0"/>
          <w:sz w:val="20"/>
        </w:rPr>
        <w:t>non-convertible</w:t>
      </w:r>
    </w:p>
    <w:p>
      <w:pPr>
        <w:pStyle w:val="TextBody"/>
        <w:spacing w:before="0" w:after="0"/>
        <w:jc w:val="left"/>
        <w:rPr>
          <w:rFonts w:ascii="Times New Roman" w:hAnsi="Times New Roman"/>
          <w:sz w:val="20"/>
        </w:rPr>
      </w:pPr>
      <w:r>
        <w:rPr>
          <w:rFonts w:ascii="Times New Roman" w:hAnsi="Times New Roman"/>
          <w:sz w:val="20"/>
        </w:rPr>
        <w:t xml:space="preserve">debt securities during the previous three years.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Recently Issued Accounting Standards </w:t>
      </w:r>
    </w:p>
    <w:p>
      <w:pPr>
        <w:pStyle w:val="TextBody"/>
        <w:spacing w:before="120" w:after="0"/>
        <w:jc w:val="left"/>
        <w:rPr>
          <w:rFonts w:ascii="Times New Roman" w:hAnsi="Times New Roman"/>
          <w:sz w:val="20"/>
        </w:rPr>
      </w:pPr>
      <w:r>
        <w:rPr>
          <w:rFonts w:ascii="Times New Roman" w:hAnsi="Times New Roman"/>
          <w:sz w:val="20"/>
        </w:rPr>
        <w:t xml:space="preserve">Refer to Note 2, “Significant Accounting Policies,” of our unaudited condensed consolidated financial statements included in this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for a discussion of the impact of recent accounting pronouncements.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3. Quantitative and Qualitative Disclosures about Market Risk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exposed to a variety of market and other risks, including the effects of changes in interest rates and inflation, as well as risks to the availability of funding sources, hazard events and specific asset risks.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Interest Rate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hold cash and cash equivalents and marketable securities for working capital purposes. We do not have significant exposure to market risk with respect to investments, as any investments we enter into are primarily highly liquid investments. As of March 31, 2022, we had cash and cash equivalents and marketable securities of $302.3 million, consisting of operating, savings and money market accounts which are not materially affected by changes in the general level of U.S. interest rates. Furthermore, all of the Convertible Notes issued by us accrue interest at a fixed rate.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also have interest rate exposure as a result of our outstanding term loans under the Credit Facility. As of March 31, 2022, the aggregate outstanding principal amounts of the term loans was $35.0 million. The term loans bear interest at an annual rate equal to 6.95% plus a base rate defined as the greater of three-month LIBOR (as of the last day of each calendar month) and 2.55%. The $20 million credit line under the Credit Facility has an interest rate of 8.95% annually plus a base rate defined as the greater of three-month LIBOR and 2.55% (a total of 11.5% as of March 31, 2022). If overall interest rates increase by 100 basis points, our interest expense would not be significantly affected.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Credit Risk </w:t>
      </w:r>
    </w:p>
    <w:p>
      <w:pPr>
        <w:pStyle w:val="TextBody"/>
        <w:spacing w:before="120" w:after="0"/>
        <w:jc w:val="left"/>
        <w:rPr>
          <w:rFonts w:ascii="Times New Roman" w:hAnsi="Times New Roman"/>
          <w:sz w:val="20"/>
        </w:rPr>
      </w:pPr>
      <w:r>
        <w:rPr>
          <w:rFonts w:ascii="Times New Roman" w:hAnsi="Times New Roman"/>
          <w:sz w:val="20"/>
        </w:rPr>
        <w:t>Financial instruments that potentially subject us to credit risk consist of cash, Member advances and deposits. We maintain our cash with major financial institutions. At times, cash account balances with any one financial institution may exceed FDIC insurance limits ($250,000 per depositor per institution). We believe the financial institutions that hold our cash are financially sound and, accordingly, minimal credit risk exists with respect to cash. Our payment processors also collect cash on our behalf and will hold these cash balances temporarily until they are settled the next business day. The Member advances are also subject to credit risk. See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 Factors—Risk Related to Our Business and Industry—Our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non-recourse</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cash advances expose us to credit</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of our Members and if our underwriting criteria for making advances is not sufficient to mitigate against this risk, our financial condition and operating results could be adversely affected if a substantial number of our Members fail to repay the cash advance they receive</w:t>
      </w:r>
    </w:p>
    <w:p>
      <w:pPr>
        <w:pStyle w:val="TextBody"/>
        <w:spacing w:before="120" w:after="0"/>
        <w:jc w:val="left"/>
        <w:rPr>
          <w:rFonts w:ascii="Times New Roman" w:hAnsi="Times New Roman"/>
          <w:sz w:val="20"/>
        </w:rPr>
      </w:pPr>
      <w:r>
        <w:rPr>
          <w:rFonts w:ascii="Times New Roman" w:hAnsi="Times New Roman"/>
          <w:sz w:val="20"/>
        </w:rPr>
        <w:t xml:space="preserv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Inflation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Historically, inflation did not have a material effect on our business, results of operations, or financial condition. During 2021, inflation has begun to increase. If our costs were to become subject to significant inflationary pressures, we may not be able to fully offset such higher costs. Our inability or failure to do so could harm our business, results of operations and financial condition.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55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Item 4. Controls and Procedures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Evaluation of 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Our management, with the participation of our Chief Executive Officer and Chief Financial Officer, has evaluated the effectiveness of our disclosure controls and procedures (as defined in Rules </w:t>
      </w:r>
    </w:p>
    <w:p>
      <w:pPr>
        <w:pStyle w:val="TextBody"/>
        <w:spacing w:before="120" w:after="0"/>
        <w:jc w:val="left"/>
        <w:rPr>
          <w:rFonts w:ascii="Times New Roman" w:hAnsi="Times New Roman"/>
          <w:spacing w:val="0"/>
          <w:sz w:val="20"/>
        </w:rPr>
      </w:pPr>
      <w:r>
        <w:rPr>
          <w:rFonts w:ascii="Times New Roman" w:hAnsi="Times New Roman"/>
          <w:spacing w:val="0"/>
          <w:sz w:val="20"/>
        </w:rPr>
        <w:t>13a-15(e)</w:t>
      </w:r>
    </w:p>
    <w:p>
      <w:pPr>
        <w:pStyle w:val="TextBody"/>
        <w:spacing w:before="120" w:after="0"/>
        <w:jc w:val="left"/>
        <w:rPr>
          <w:rFonts w:ascii="Times New Roman" w:hAnsi="Times New Roman"/>
          <w:sz w:val="20"/>
        </w:rPr>
      </w:pPr>
      <w:r>
        <w:rPr>
          <w:rFonts w:ascii="Times New Roman" w:hAnsi="Times New Roman"/>
          <w:sz w:val="20"/>
        </w:rPr>
        <w:t xml:space="preserve">and </w:t>
      </w:r>
    </w:p>
    <w:p>
      <w:pPr>
        <w:pStyle w:val="TextBody"/>
        <w:spacing w:before="120" w:after="0"/>
        <w:jc w:val="left"/>
        <w:rPr>
          <w:rFonts w:ascii="Times New Roman" w:hAnsi="Times New Roman"/>
          <w:spacing w:val="0"/>
          <w:sz w:val="20"/>
        </w:rPr>
      </w:pPr>
      <w:r>
        <w:rPr>
          <w:rFonts w:ascii="Times New Roman" w:hAnsi="Times New Roman"/>
          <w:spacing w:val="0"/>
          <w:sz w:val="20"/>
        </w:rPr>
        <w:t>15d-15(e)</w:t>
      </w:r>
    </w:p>
    <w:p>
      <w:pPr>
        <w:pStyle w:val="TextBody"/>
        <w:spacing w:before="120" w:after="0"/>
        <w:jc w:val="left"/>
        <w:rPr>
          <w:rFonts w:ascii="Times New Roman" w:hAnsi="Times New Roman"/>
          <w:sz w:val="20"/>
        </w:rPr>
      </w:pPr>
      <w:r>
        <w:rPr>
          <w:rFonts w:ascii="Times New Roman" w:hAnsi="Times New Roman"/>
          <w:sz w:val="20"/>
        </w:rPr>
        <w:t xml:space="preserve">under the Exchange Act) as of the end of the fiscal quarter ended March 31, 2022. Based on this evaluation and for the reasons set forth below, our Chief Executive Officer and Chief Financial Officer have concluded that our disclosure controls and procedures were not effective as of March 31, 2022 due to the material weaknesses in internal control over financial reporting disclosed in Part II, Item 9A of our Annual Report on Form </w:t>
      </w:r>
    </w:p>
    <w:p>
      <w:pPr>
        <w:pStyle w:val="TextBody"/>
        <w:spacing w:before="120" w:after="0"/>
        <w:jc w:val="left"/>
        <w:rPr>
          <w:rFonts w:ascii="Times New Roman" w:hAnsi="Times New Roman"/>
          <w:spacing w:val="0"/>
          <w:sz w:val="20"/>
        </w:rPr>
      </w:pPr>
      <w:r>
        <w:rPr>
          <w:rFonts w:ascii="Times New Roman" w:hAnsi="Times New Roman"/>
          <w:spacing w:val="0"/>
          <w:sz w:val="20"/>
        </w:rPr>
        <w:t>10-K</w:t>
      </w:r>
    </w:p>
    <w:p>
      <w:pPr>
        <w:pStyle w:val="TextBody"/>
        <w:spacing w:before="120" w:after="0"/>
        <w:jc w:val="left"/>
        <w:rPr>
          <w:rFonts w:ascii="Times New Roman" w:hAnsi="Times New Roman"/>
          <w:sz w:val="20"/>
        </w:rPr>
      </w:pPr>
      <w:r>
        <w:rPr>
          <w:rFonts w:ascii="Times New Roman" w:hAnsi="Times New Roman"/>
          <w:sz w:val="20"/>
        </w:rPr>
        <w:t xml:space="preserve">for the fiscal year ended December 31, 2021 (the “Annual Report”).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Previously Identified Material Weaknesses </w:t>
      </w:r>
    </w:p>
    <w:p>
      <w:pPr>
        <w:pStyle w:val="TextBody"/>
        <w:spacing w:before="120" w:after="0"/>
        <w:jc w:val="left"/>
        <w:rPr>
          <w:rFonts w:ascii="Times New Roman" w:hAnsi="Times New Roman"/>
          <w:sz w:val="20"/>
        </w:rPr>
      </w:pPr>
      <w:r>
        <w:rPr>
          <w:rFonts w:ascii="Times New Roman" w:hAnsi="Times New Roman"/>
          <w:sz w:val="20"/>
        </w:rPr>
        <w:t>In connection with the audit of our consolidated financial statements for the years ended December 31, 2021 and 2020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For more information concerning the material weaknesses identified, see section titled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 Factors—Dave identified material weaknesses in its internal control over financial reporting in its audited financial statements for the years ended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December 31, 2021 and 2020 and if Dave is unable to remediate these material weaknesses, or if it identifies additional material</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pStyle w:val="TextBody"/>
        <w:spacing w:before="120" w:after="0"/>
        <w:jc w:val="left"/>
        <w:rPr>
          <w:rFonts w:ascii="Times New Roman" w:hAnsi="Times New Roman"/>
          <w:sz w:val="20"/>
        </w:rPr>
      </w:pPr>
      <w:r>
        <w:rPr>
          <w:rFonts w:ascii="Times New Roman" w:hAnsi="Times New Roman"/>
          <w:sz w:val="20"/>
        </w:rPr>
        <w:t xml:space="preserve">.” included in our Annual Report. </w:t>
      </w:r>
    </w:p>
    <w:p>
      <w:pPr>
        <w:pStyle w:val="TextBody"/>
        <w:spacing w:before="120" w:after="0"/>
        <w:jc w:val="left"/>
        <w:rPr>
          <w:rFonts w:ascii="Times New Roman" w:hAnsi="Times New Roman"/>
          <w:sz w:val="20"/>
        </w:rPr>
      </w:pPr>
      <w:r>
        <w:rPr>
          <w:rFonts w:ascii="Times New Roman" w:hAnsi="Times New Roman"/>
          <w:sz w:val="20"/>
        </w:rPr>
        <w:t xml:space="preserve">Notwithstanding the conclusion by our Chief Executive Officer and Chief Financial Officer that our disclosure controls and procedures as of March 31, 2022 were not effective, and notwithstanding the identified material weaknesses, management, including our Chief Executive Officer and Chief Financial Officer, believes the condensed consolidated financial statements included in this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fairly represent in all material respects our financial condition, results of operations and cash flows at and for the periods presented in accordance with U.S. GAAP.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Changes in Internal Control over Financial Reporting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were no changes in our internal control over financial reporting during the quarter ended March 31, 2022 that have materially affected, or are reasonably likely to materially affect, our internal control over financial reporting.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56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PART II – OTHER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rPr>
          <w:rFonts w:ascii="Times New Roman" w:hAnsi="Times New Roman"/>
          <w:b/>
          <w:spacing w:val="0"/>
          <w:sz w:val="20"/>
        </w:rPr>
      </w:pPr>
      <w:r>
        <w:rPr>
          <w:rFonts w:ascii="Times New Roman" w:hAnsi="Times New Roman"/>
          <w:b/>
          <w:spacing w:val="0"/>
          <w:sz w:val="20"/>
        </w:rPr>
        <w:t xml:space="preserve">Item 1. Legal Proceedings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For a description of our material pending legal proceedings, please see Note 13 Commitments and Contingencies, to the unaudited condensed consolidated financial statements included elsewhere in this report.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From time to time, we may become involved in legal proceedings arising in the ordinary course of business.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1A. Risk Factors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the date of this Quarterly Report on Form 10-Q, there have been no material changes to the risk factors disclosed in in our Annual Report for the year ended December 31, 2021 filed with the SEC on March 25, 2022.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 including as set forth below.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issuance of shares of our Common Stock pursuant to our Note may result in significant dilution to our stockholders.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March 21, 2022, Dave entered into a Convertible Note Purchase Agreement (“Purchase Agreement”) with FTX Ventures Ltd., owner and operator of FTX US (the “Purchaser”), providing for the purchase and sale of a Convertible Note in the initial principal amount of $100.0 million (the “Note”). The conversion of the Note could result in the issuance of a significant number of shares of our Common Stock. Currently, the $100.0 million principal amount of the Note is convertible, at the option of the Purchaser, at a price of $10.00 per share, which would result in the issuance of 10,000,000 shares of Common Stock upon its conversion in full. The Conversion Price of the Note is subject to adjustment for stock splits, dividends or distributions, recapitalizations, spinoffs or similar transactions. Conversion of the full initial principal amount of the Note would result in the issuance of 10,000,000 shares of Common Stock if converted at $10.00 per share, which amount is subject to increase by any interest paid in kind that is added to the outstanding principal under the terms of the Note.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Any conversion of the Note may result in significant dilution to our stockholders and could negatively impact the trading price of our Common Stock.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Purchaser has certain additional rights upon an event of default under the Note, which could harm our business, financial condition, and results of operations and could require us to reduce or cease or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Under the Note, the Purchaser has certain rights upon an event of default. In the event of any event of default, the Company must accelerate its payment of the principal amount of the Note and must pay all reasonable attorneys’ fees and costs incurred by the Purchaser in enforcing its rights under the Note and collecting any amounts due and payable under the Note. The exercise of these rights upon an event of default could substantially harm our financial condition, substantially dilute our other shareholders and force us to reduce or cease operations and you may lose all or part of your investment.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2. Unregistered Sales of Equity Securities and Use of Proceeds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3. Defaults Upon Senior Securities.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4. Mine Safety Disclosures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5. Other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Item 6. Exhibits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Exhibits designated by an asterisk (*) are filed herewith and those designated by two asterisks (**) are furnished herewith; all exhibits not so designated are incorporated by reference to a prior filing as indicated.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57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1700"/>
        <w:gridCol w:w="120"/>
        <w:gridCol w:w="8385"/>
      </w:tblGrid>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85"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0"/>
              <w:jc w:val="center"/>
              <w:rPr>
                <w:b/>
                <w:spacing w:val="0"/>
              </w:rPr>
            </w:pPr>
            <w:r>
              <w:rPr>
                <w:b/>
                <w:spacing w:val="0"/>
              </w:rPr>
              <w:t>Exhibit Number</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Description</w:t>
            </w:r>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r:id="rId2">
              <w:r>
                <w:rPr>
                  <w:rStyle w:val="InternetLink"/>
                </w:rPr>
                <w:t xml:space="preserve">Agreement and Plan of Merger, dated as of June 7, 2021, by and among VPC Impact Acquisition Holdings III, Inc., Bear Merger Company I Inc., Bear Merger Company II LLC, and Dave Inc. (incorporated by reference to Exhibit 2.1 to the Company’s Current Report on Form </w:t>
              </w:r>
            </w:hyperlink>
            <w:hyperlink r:id="rId3">
              <w:r>
                <w:rPr>
                  <w:rStyle w:val="InternetLink"/>
                  <w:spacing w:val="0"/>
                </w:rPr>
                <w:t>8-K</w:t>
              </w:r>
            </w:hyperlink>
            <w:hyperlink r:id="rId4">
              <w:r>
                <w:rPr>
                  <w:rStyle w:val="InternetLink"/>
                </w:rPr>
                <w:t xml:space="preserve"> filed with the Commission on June 10, 2021.) </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r>
              <w:rPr/>
              <w:t>3.1</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r:id="rId5">
              <w:r>
                <w:rPr>
                  <w:rStyle w:val="InternetLink"/>
                </w:rPr>
                <w:t xml:space="preserve">Second Amended and Restated Certificate of Incorporation of Dave Inc. (incorporated by reference to Exhibit 3.1 to the Company’s Current Report on Form </w:t>
              </w:r>
            </w:hyperlink>
            <w:hyperlink r:id="rId6">
              <w:r>
                <w:rPr>
                  <w:rStyle w:val="InternetLink"/>
                  <w:spacing w:val="0"/>
                </w:rPr>
                <w:t>8-K</w:t>
              </w:r>
            </w:hyperlink>
            <w:hyperlink r:id="rId7">
              <w:r>
                <w:rPr>
                  <w:rStyle w:val="InternetLink"/>
                </w:rPr>
                <w:t xml:space="preserve"> filed with the Commission on January 11, 2022.) </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r>
              <w:rPr/>
              <w:t>3.2</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r:id="rId8">
              <w:r>
                <w:rPr>
                  <w:rStyle w:val="InternetLink"/>
                </w:rPr>
                <w:t xml:space="preserve">Amended and Restated Bylaws of Dave Inc. (incorporated by reference to Exhibit 3.2 to the Company’s Current Report on Form </w:t>
              </w:r>
            </w:hyperlink>
            <w:hyperlink r:id="rId9">
              <w:r>
                <w:rPr>
                  <w:rStyle w:val="InternetLink"/>
                  <w:spacing w:val="0"/>
                </w:rPr>
                <w:t>8-K</w:t>
              </w:r>
            </w:hyperlink>
            <w:hyperlink r:id="rId10">
              <w:r>
                <w:rPr>
                  <w:rStyle w:val="InternetLink"/>
                </w:rPr>
                <w:t xml:space="preserve"> filed with the Commission on January 11, 2022.) </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r:id="rId11">
              <w:r>
                <w:rPr>
                  <w:rStyle w:val="InternetLink"/>
                </w:rPr>
                <w:t xml:space="preserve">Convertible Note, dated March 21, 2022, by and between Dave Inc. and FTX Ventures Ltd. (incorporated by reference to Exhibit 4.1 to the Company’s Current Report on Form 8-K filed with the Commission on March 21, 2022). </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10.10</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r:id="rId12">
              <w:r>
                <w:rPr>
                  <w:rStyle w:val="InternetLink"/>
                </w:rPr>
                <w:t xml:space="preserve">Convertible Note Purchase Agreement, dated March 21, 2022, by and between the Company and FTX Ventures Ltd. (incorporated by reference to Exhibit 10.1 to the Company’s Current Report on Form </w:t>
              </w:r>
            </w:hyperlink>
            <w:hyperlink r:id="rId13">
              <w:r>
                <w:rPr>
                  <w:rStyle w:val="InternetLink"/>
                  <w:spacing w:val="0"/>
                </w:rPr>
                <w:t>8-K</w:t>
              </w:r>
            </w:hyperlink>
            <w:hyperlink r:id="rId14">
              <w:r>
                <w:rPr>
                  <w:rStyle w:val="InternetLink"/>
                </w:rPr>
                <w:t xml:space="preserve"> filed with the Commission on March 21, 2022). </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31.1*</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w:anchor="d340063dex311.htm">
              <w:r>
                <w:rPr>
                  <w:rStyle w:val="InternetLink"/>
                </w:rPr>
                <w:t xml:space="preserve">Certification of the Chief Executive Officer pursuant to Rule </w:t>
              </w:r>
            </w:hyperlink>
            <w:hyperlink w:anchor="d340063dex311.htm">
              <w:r>
                <w:rPr>
                  <w:rStyle w:val="InternetLink"/>
                  <w:spacing w:val="0"/>
                </w:rPr>
                <w:t>13a-14(a)</w:t>
              </w:r>
            </w:hyperlink>
            <w:hyperlink w:anchor="d340063dex311.htm">
              <w:r>
                <w:rPr>
                  <w:rStyle w:val="InternetLink"/>
                </w:rPr>
                <w:t xml:space="preserve"> under the Securities Exchange Act of 1934, as adopted pursuant to §302 of the Sarbanes-Oxley Act of 2002</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31.2*</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w:anchor="d340063dex312.htm">
              <w:r>
                <w:rPr>
                  <w:rStyle w:val="InternetLink"/>
                </w:rPr>
                <w:t xml:space="preserve">Certification of the Chief Financial Officer pursuant to Rule </w:t>
              </w:r>
            </w:hyperlink>
            <w:hyperlink w:anchor="d340063dex312.htm">
              <w:r>
                <w:rPr>
                  <w:rStyle w:val="InternetLink"/>
                  <w:spacing w:val="0"/>
                </w:rPr>
                <w:t>13a-14(a)</w:t>
              </w:r>
            </w:hyperlink>
            <w:hyperlink w:anchor="d340063dex312.htm">
              <w:r>
                <w:rPr>
                  <w:rStyle w:val="InternetLink"/>
                </w:rPr>
                <w:t xml:space="preserve"> under the Securities Exchange Act of 1934, as adopted pursuant to §302 of the Sarbanes-Oxley Act of 2002</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32.1**</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hyperlink w:anchor="d340063dex321.htm">
              <w:r>
                <w:rPr>
                  <w:rStyle w:val="InternetLink"/>
                </w:rPr>
                <w:t>Certification of the Chief Executive Officer and Chief Financial Officer pursuant to 18 U.S.C. §1350, as adopted pursuant to §906 of the Sarbanes-Oxley Act of 2002</w:t>
              </w:r>
            </w:hyperlink>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r>
              <w:rPr/>
              <w:t>101</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0"/>
              <w:rPr/>
            </w:pPr>
            <w:r>
              <w:rPr/>
              <w:t xml:space="preserve">The following financial information from this quarterly report on Form </w:t>
            </w:r>
          </w:p>
          <w:p>
            <w:pPr>
              <w:pStyle w:val="TableContents"/>
              <w:spacing w:before="0" w:after="0"/>
              <w:rPr>
                <w:spacing w:val="0"/>
              </w:rPr>
            </w:pPr>
            <w:r>
              <w:rPr>
                <w:spacing w:val="0"/>
              </w:rPr>
              <w:t>10-Q</w:t>
            </w:r>
          </w:p>
          <w:p>
            <w:pPr>
              <w:pStyle w:val="TableContents"/>
              <w:spacing w:before="0" w:after="0"/>
              <w:rPr/>
            </w:pPr>
            <w:r>
              <w:rPr/>
              <w:t>for the fiscal quarter ended March 31, 2022 formatted in Inline XBRL: (i) Condensed Consolidated Balance Sheets; (ii) Condensed Consolidated Statements of Operations; (iii) Condensed Consolidated Statement of Stockholders’ Equity; (iv) Condensed Consolidated Statements of Cash Flows; and (v) Notes to Unaudited Condensed Consolidated Financial Statements</w:t>
            </w:r>
          </w:p>
        </w:tc>
      </w:tr>
      <w:tr>
        <w:trPr/>
        <w:tc>
          <w:tcPr>
            <w:tcW w:w="1700" w:type="dxa"/>
            <w:tcBorders/>
            <w:shd w:fill="auto" w:val="clear"/>
            <w:vAlign w:val="center"/>
          </w:tcPr>
          <w:p>
            <w:pPr>
              <w:pStyle w:val="TableContents"/>
              <w:spacing w:before="0" w:after="283"/>
              <w:rPr>
                <w:sz w:val="4"/>
                <w:szCs w:val="4"/>
              </w:rPr>
            </w:pPr>
            <w:r>
              <w:rPr>
                <w:sz w:val="4"/>
                <w:szCs w:val="4"/>
              </w:rPr>
            </w:r>
          </w:p>
        </w:tc>
        <w:tc>
          <w:tcPr>
            <w:tcW w:w="8505" w:type="dxa"/>
            <w:gridSpan w:val="2"/>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r>
              <w:rPr/>
              <w:t>104</w:t>
            </w:r>
          </w:p>
        </w:tc>
        <w:tc>
          <w:tcPr>
            <w:tcW w:w="120" w:type="dxa"/>
            <w:tcBorders/>
            <w:shd w:fill="auto" w:val="clear"/>
            <w:vAlign w:val="center"/>
          </w:tcPr>
          <w:p>
            <w:pPr>
              <w:pStyle w:val="TableContents"/>
              <w:spacing w:before="0" w:after="283"/>
              <w:rPr/>
            </w:pPr>
            <w:r>
              <w:rPr/>
              <w:t>  </w:t>
            </w:r>
          </w:p>
        </w:tc>
        <w:tc>
          <w:tcPr>
            <w:tcW w:w="8385" w:type="dxa"/>
            <w:tcBorders/>
            <w:shd w:fill="auto" w:val="clear"/>
            <w:vAlign w:val="center"/>
          </w:tcPr>
          <w:p>
            <w:pPr>
              <w:pStyle w:val="TableContents"/>
              <w:spacing w:before="0" w:after="283"/>
              <w:rPr/>
            </w:pPr>
            <w:r>
              <w:rPr/>
              <w:t>Cover Page Interactive Data File (formatted as Inline XBRL and contained in Exhibit 101)</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58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SIGNATURES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left"/>
        <w:rPr>
          <w:spacing w:val="0"/>
        </w:rPr>
      </w:pPr>
      <w:r>
        <w:rPr>
          <w:spacing w:val="0"/>
        </w:rPr>
        <w:t> </w:t>
      </w:r>
    </w:p>
    <w:tbl>
      <w:tblPr>
        <w:tblW w:w="5748" w:type="dxa"/>
        <w:jc w:val="left"/>
        <w:tblInd w:w="0" w:type="dxa"/>
        <w:tblCellMar>
          <w:top w:w="0" w:type="dxa"/>
          <w:left w:w="0" w:type="dxa"/>
          <w:bottom w:w="0" w:type="dxa"/>
          <w:right w:w="0" w:type="dxa"/>
        </w:tblCellMar>
      </w:tblPr>
      <w:tblGrid>
        <w:gridCol w:w="2060"/>
        <w:gridCol w:w="60"/>
        <w:gridCol w:w="23"/>
        <w:gridCol w:w="60"/>
        <w:gridCol w:w="3545"/>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45"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0"/>
              <w:rPr>
                <w:b/>
                <w:spacing w:val="0"/>
              </w:rPr>
            </w:pPr>
            <w:r>
              <w:rPr>
                <w:b/>
                <w:spacing w:val="0"/>
              </w:rPr>
              <w:t>Dave Inc.</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3605"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rPr/>
            </w:pPr>
            <w:r>
              <w:rPr/>
              <w:t>Dated: May 13, 2022</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Jason Wilk</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Jason Wilk</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Chief Executive Officer and Director</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3605" w:type="dxa"/>
            <w:gridSpan w:val="2"/>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rPr/>
            </w:pPr>
            <w:r>
              <w:rPr/>
              <w:t>Dated: May 13, 2022</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Kyle Beilman</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Kyle Beilman</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283"/>
              <w:rPr/>
            </w:pPr>
            <w:r>
              <w:rPr/>
              <w:t>Chief Financial Officer</w:t>
            </w:r>
          </w:p>
        </w:tc>
      </w:tr>
    </w:tbl>
    <w:p>
      <w:pPr>
        <w:pStyle w:val="TextBody"/>
        <w:spacing w:before="0" w:after="0"/>
        <w:ind w:left="0" w:right="0" w:hanging="0"/>
        <w:jc w:val="left"/>
        <w:rPr>
          <w:spacing w:val="0"/>
        </w:rPr>
      </w:pPr>
      <w:r>
        <w:rPr>
          <w:spacing w:val="0"/>
        </w:rPr>
        <w:t> </w:t>
      </w:r>
    </w:p>
    <w:p>
      <w:pPr>
        <w:pStyle w:val="TextBody"/>
        <w:ind w:left="0" w:right="0" w:hanging="0"/>
        <w:jc w:val="center"/>
        <w:rPr>
          <w:rFonts w:ascii="Times New Roman" w:hAnsi="Times New Roman"/>
          <w:spacing w:val="0"/>
          <w:sz w:val="20"/>
        </w:rPr>
      </w:pPr>
      <w:r>
        <w:rPr>
          <w:rFonts w:ascii="Times New Roman" w:hAnsi="Times New Roman"/>
          <w:spacing w:val="0"/>
          <w:sz w:val="20"/>
        </w:rPr>
        <w:t xml:space="preserve">59 </w:t>
      </w:r>
      <w:r>
        <w:br w:type="page"/>
      </w:r>
    </w:p>
    <w:p>
      <w:pPr>
        <w:pStyle w:val="TextBody"/>
        <w:spacing w:before="0" w:after="0"/>
        <w:jc w:val="right"/>
        <w:rPr>
          <w:rFonts w:ascii="Times New Roman" w:hAnsi="Times New Roman"/>
          <w:b/>
          <w:sz w:val="20"/>
        </w:rPr>
      </w:pPr>
      <w:bookmarkStart w:id="2" w:name="d340063dex311.htm"/>
      <w:bookmarkStart w:id="3" w:name="ksd340063dex311"/>
      <w:bookmarkEnd w:id="2"/>
      <w:bookmarkEnd w:id="3"/>
      <w:r>
        <w:rPr>
          <w:rFonts w:ascii="Times New Roman" w:hAnsi="Times New Roman"/>
          <w:b/>
          <w:sz w:val="20"/>
        </w:rPr>
        <w:t xml:space="preserve">Exhibit 31.1 </w:t>
      </w:r>
    </w:p>
    <w:p>
      <w:pPr>
        <w:pStyle w:val="TextBody"/>
        <w:spacing w:before="0" w:after="0"/>
        <w:jc w:val="center"/>
        <w:rPr>
          <w:rFonts w:ascii="Times New Roman" w:hAnsi="Times New Roman"/>
          <w:sz w:val="20"/>
        </w:rPr>
      </w:pPr>
      <w:r>
        <w:rPr>
          <w:rFonts w:ascii="Times New Roman" w:hAnsi="Times New Roman"/>
          <w:sz w:val="20"/>
        </w:rPr>
        <w:t xml:space="preserve">CERTIFICATION PURSUANT TO RULES 13a-14(a) AND 15d-14(a) </w:t>
      </w:r>
    </w:p>
    <w:p>
      <w:pPr>
        <w:pStyle w:val="TextBody"/>
        <w:spacing w:before="0" w:after="0"/>
        <w:jc w:val="center"/>
        <w:rPr>
          <w:rFonts w:ascii="Times New Roman" w:hAnsi="Times New Roman"/>
          <w:sz w:val="20"/>
        </w:rPr>
      </w:pPr>
      <w:r>
        <w:rPr>
          <w:rFonts w:ascii="Times New Roman" w:hAnsi="Times New Roman"/>
          <w:sz w:val="20"/>
        </w:rPr>
        <w:t xml:space="preserve">UNDER THE SECURITIES EXCHANGE ACT OF 1934, 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302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 Jason Wilk, certify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Quarterly Report on Form 10-Q for the quarter ended March 31, 2022 of Dave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Paragraph omitted pursuant to SEC Release Nos. 33-8238/34-47986 and 33-8392/34-49313;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controls over financial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80"/>
        <w:gridCol w:w="102"/>
        <w:gridCol w:w="406"/>
        <w:gridCol w:w="102"/>
        <w:gridCol w:w="309"/>
        <w:gridCol w:w="102"/>
        <w:gridCol w:w="4604"/>
      </w:tblGrid>
      <w:tr>
        <w:trPr/>
        <w:tc>
          <w:tcPr>
            <w:tcW w:w="458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604" w:type="dxa"/>
            <w:tcBorders/>
            <w:shd w:fill="auto" w:val="clear"/>
            <w:vAlign w:val="center"/>
          </w:tcPr>
          <w:p>
            <w:pPr>
              <w:pStyle w:val="TableContents"/>
              <w:spacing w:before="0" w:after="283"/>
              <w:rPr>
                <w:sz w:val="4"/>
                <w:szCs w:val="4"/>
              </w:rPr>
            </w:pPr>
            <w:r>
              <w:rPr>
                <w:sz w:val="4"/>
                <w:szCs w:val="4"/>
              </w:rPr>
            </w:r>
          </w:p>
        </w:tc>
      </w:tr>
      <w:tr>
        <w:trPr/>
        <w:tc>
          <w:tcPr>
            <w:tcW w:w="4580" w:type="dxa"/>
            <w:tcBorders/>
            <w:shd w:fill="auto" w:val="clear"/>
          </w:tcPr>
          <w:p>
            <w:pPr>
              <w:pStyle w:val="TableContents"/>
              <w:spacing w:before="0" w:after="283"/>
              <w:rPr/>
            </w:pPr>
            <w:r>
              <w:rPr/>
              <w:t>Date: May 13, 2022</w:t>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By:</w:t>
            </w:r>
          </w:p>
        </w:tc>
        <w:tc>
          <w:tcPr>
            <w:tcW w:w="102" w:type="dxa"/>
            <w:tcBorders/>
            <w:shd w:fill="auto" w:val="clear"/>
            <w:vAlign w:val="bottom"/>
          </w:tcPr>
          <w:p>
            <w:pPr>
              <w:pStyle w:val="TableContents"/>
              <w:spacing w:before="0" w:after="283"/>
              <w:rPr/>
            </w:pPr>
            <w:r>
              <w:rPr/>
              <w:t> </w:t>
            </w:r>
          </w:p>
        </w:tc>
        <w:tc>
          <w:tcPr>
            <w:tcW w:w="4604"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Jason Wilk</w:t>
            </w:r>
          </w:p>
        </w:tc>
      </w:tr>
      <w:tr>
        <w:trPr/>
        <w:tc>
          <w:tcPr>
            <w:tcW w:w="458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04" w:type="dxa"/>
            <w:tcBorders/>
            <w:shd w:fill="auto" w:val="clear"/>
          </w:tcPr>
          <w:p>
            <w:pPr>
              <w:pStyle w:val="TableContents"/>
              <w:spacing w:before="0" w:after="283"/>
              <w:rPr/>
            </w:pPr>
            <w:r>
              <w:rPr/>
              <w:t>Jason Wilk</w:t>
            </w:r>
          </w:p>
        </w:tc>
      </w:tr>
      <w:tr>
        <w:trPr/>
        <w:tc>
          <w:tcPr>
            <w:tcW w:w="458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04" w:type="dxa"/>
            <w:tcBorders/>
            <w:shd w:fill="auto" w:val="clear"/>
          </w:tcPr>
          <w:p>
            <w:pPr>
              <w:pStyle w:val="TableContents"/>
              <w:spacing w:before="0" w:after="283"/>
              <w:rPr/>
            </w:pPr>
            <w:r>
              <w:rPr/>
              <w:t>Chief Executive Officer and Director</w:t>
            </w:r>
          </w:p>
        </w:tc>
      </w:tr>
      <w:tr>
        <w:trPr/>
        <w:tc>
          <w:tcPr>
            <w:tcW w:w="458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04" w:type="dxa"/>
            <w:tcBorders/>
            <w:shd w:fill="auto" w:val="clear"/>
          </w:tcPr>
          <w:p>
            <w:pPr>
              <w:pStyle w:val="TableContents"/>
              <w:spacing w:before="0" w:after="283"/>
              <w:rPr/>
            </w:pPr>
            <w:r>
              <w:rPr/>
              <w:t>(Principal Executive Officer)</w:t>
            </w:r>
          </w:p>
        </w:tc>
      </w:tr>
    </w:tbl>
    <w:p>
      <w:pPr>
        <w:pStyle w:val="TextBody"/>
        <w:spacing w:before="0" w:after="0"/>
        <w:jc w:val="left"/>
        <w:rPr/>
      </w:pPr>
      <w:r>
        <w:rPr/>
        <w:t> </w:t>
      </w:r>
      <w:r>
        <w:br w:type="page"/>
      </w:r>
    </w:p>
    <w:p>
      <w:pPr>
        <w:pStyle w:val="TextBody"/>
        <w:spacing w:before="0" w:after="0"/>
        <w:jc w:val="right"/>
        <w:rPr>
          <w:rFonts w:ascii="Times New Roman" w:hAnsi="Times New Roman"/>
          <w:b/>
          <w:sz w:val="20"/>
        </w:rPr>
      </w:pPr>
      <w:bookmarkStart w:id="4" w:name="d340063dex312.htm"/>
      <w:bookmarkStart w:id="5" w:name="ksd340063dex312"/>
      <w:bookmarkEnd w:id="4"/>
      <w:bookmarkEnd w:id="5"/>
      <w:r>
        <w:rPr>
          <w:rFonts w:ascii="Times New Roman" w:hAnsi="Times New Roman"/>
          <w:b/>
          <w:sz w:val="20"/>
        </w:rPr>
        <w:t xml:space="preserve">Exhibit 31.2 </w:t>
      </w:r>
    </w:p>
    <w:p>
      <w:pPr>
        <w:pStyle w:val="TextBody"/>
        <w:spacing w:before="0" w:after="0"/>
        <w:jc w:val="center"/>
        <w:rPr>
          <w:rFonts w:ascii="Times New Roman" w:hAnsi="Times New Roman"/>
          <w:sz w:val="20"/>
        </w:rPr>
      </w:pPr>
      <w:r>
        <w:rPr>
          <w:rFonts w:ascii="Times New Roman" w:hAnsi="Times New Roman"/>
          <w:sz w:val="20"/>
        </w:rPr>
        <w:t xml:space="preserve">CERTIFICATION PURSUANT TO RULES 13a-14(a) AND 15d-14(a) </w:t>
      </w:r>
    </w:p>
    <w:p>
      <w:pPr>
        <w:pStyle w:val="TextBody"/>
        <w:spacing w:before="0" w:after="0"/>
        <w:jc w:val="center"/>
        <w:rPr>
          <w:rFonts w:ascii="Times New Roman" w:hAnsi="Times New Roman"/>
          <w:sz w:val="20"/>
        </w:rPr>
      </w:pPr>
      <w:r>
        <w:rPr>
          <w:rFonts w:ascii="Times New Roman" w:hAnsi="Times New Roman"/>
          <w:sz w:val="20"/>
        </w:rPr>
        <w:t xml:space="preserve">UNDER THE SECURITIES EXCHANGE ACT OF 1934, 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302 OF THE SARBANES-OXLEY ACT OF 2002 </w:t>
      </w:r>
    </w:p>
    <w:p>
      <w:pPr>
        <w:pStyle w:val="TextBody"/>
        <w:spacing w:before="360" w:after="0"/>
        <w:jc w:val="left"/>
        <w:rPr>
          <w:rFonts w:ascii="Times New Roman" w:hAnsi="Times New Roman"/>
          <w:sz w:val="20"/>
        </w:rPr>
      </w:pPr>
      <w:r>
        <w:rPr>
          <w:rFonts w:ascii="Times New Roman" w:hAnsi="Times New Roman"/>
          <w:sz w:val="20"/>
        </w:rPr>
        <w:t xml:space="preserve">I, Kyle Beilman, certify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Quarterly Report on Form 10-Q for the quarter ended March 31, 2022 of Dave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Paragraph omitted pursuant to SEC Release Nos. 33-8238/34-47986 and 33-8392/34-49313;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controls over financial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85"/>
        <w:gridCol w:w="102"/>
        <w:gridCol w:w="406"/>
        <w:gridCol w:w="102"/>
        <w:gridCol w:w="310"/>
        <w:gridCol w:w="102"/>
        <w:gridCol w:w="4598"/>
      </w:tblGrid>
      <w:tr>
        <w:trPr/>
        <w:tc>
          <w:tcPr>
            <w:tcW w:w="458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598" w:type="dxa"/>
            <w:tcBorders/>
            <w:shd w:fill="auto" w:val="clear"/>
            <w:vAlign w:val="center"/>
          </w:tcPr>
          <w:p>
            <w:pPr>
              <w:pStyle w:val="TableContents"/>
              <w:spacing w:before="0" w:after="283"/>
              <w:rPr>
                <w:sz w:val="4"/>
                <w:szCs w:val="4"/>
              </w:rPr>
            </w:pPr>
            <w:r>
              <w:rPr>
                <w:sz w:val="4"/>
                <w:szCs w:val="4"/>
              </w:rPr>
            </w:r>
          </w:p>
        </w:tc>
      </w:tr>
      <w:tr>
        <w:trPr/>
        <w:tc>
          <w:tcPr>
            <w:tcW w:w="4585" w:type="dxa"/>
            <w:tcBorders/>
            <w:shd w:fill="auto" w:val="clear"/>
          </w:tcPr>
          <w:p>
            <w:pPr>
              <w:pStyle w:val="TableContents"/>
              <w:spacing w:before="0" w:after="283"/>
              <w:rPr/>
            </w:pPr>
            <w:r>
              <w:rPr/>
              <w:t>Date: May 13, 2022</w:t>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rPr/>
            </w:pPr>
            <w:r>
              <w:rPr/>
              <w:t>By:</w:t>
            </w:r>
          </w:p>
        </w:tc>
        <w:tc>
          <w:tcPr>
            <w:tcW w:w="102" w:type="dxa"/>
            <w:tcBorders/>
            <w:shd w:fill="auto" w:val="clear"/>
            <w:vAlign w:val="bottom"/>
          </w:tcPr>
          <w:p>
            <w:pPr>
              <w:pStyle w:val="TableContents"/>
              <w:spacing w:before="0" w:after="283"/>
              <w:rPr/>
            </w:pPr>
            <w:r>
              <w:rPr/>
              <w:t> </w:t>
            </w:r>
          </w:p>
        </w:tc>
        <w:tc>
          <w:tcPr>
            <w:tcW w:w="459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Kyle Beilman</w:t>
            </w:r>
          </w:p>
        </w:tc>
      </w:tr>
      <w:tr>
        <w:trPr/>
        <w:tc>
          <w:tcPr>
            <w:tcW w:w="45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598" w:type="dxa"/>
            <w:tcBorders/>
            <w:shd w:fill="auto" w:val="clear"/>
          </w:tcPr>
          <w:p>
            <w:pPr>
              <w:pStyle w:val="TableContents"/>
              <w:spacing w:before="0" w:after="283"/>
              <w:rPr/>
            </w:pPr>
            <w:r>
              <w:rPr/>
              <w:t>Kyle Beilman</w:t>
            </w:r>
          </w:p>
        </w:tc>
      </w:tr>
      <w:tr>
        <w:trPr/>
        <w:tc>
          <w:tcPr>
            <w:tcW w:w="45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598" w:type="dxa"/>
            <w:tcBorders/>
            <w:shd w:fill="auto" w:val="clear"/>
          </w:tcPr>
          <w:p>
            <w:pPr>
              <w:pStyle w:val="TableContents"/>
              <w:spacing w:before="0" w:after="283"/>
              <w:rPr/>
            </w:pPr>
            <w:r>
              <w:rPr/>
              <w:t>Chief Financial Officer</w:t>
            </w:r>
          </w:p>
        </w:tc>
      </w:tr>
      <w:tr>
        <w:trPr/>
        <w:tc>
          <w:tcPr>
            <w:tcW w:w="45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598" w:type="dxa"/>
            <w:tcBorders/>
            <w:shd w:fill="auto" w:val="clear"/>
          </w:tcPr>
          <w:p>
            <w:pPr>
              <w:pStyle w:val="TableContents"/>
              <w:spacing w:before="0" w:after="283"/>
              <w:rPr/>
            </w:pPr>
            <w:r>
              <w:rPr/>
              <w:t>(Principal Financial Officer)</w:t>
            </w:r>
          </w:p>
        </w:tc>
      </w:tr>
    </w:tbl>
    <w:p>
      <w:pPr>
        <w:pStyle w:val="TextBody"/>
        <w:spacing w:before="0" w:after="0"/>
        <w:jc w:val="right"/>
        <w:rPr>
          <w:rFonts w:ascii="Times New Roman" w:hAnsi="Times New Roman"/>
          <w:b/>
          <w:sz w:val="20"/>
        </w:rPr>
      </w:pPr>
      <w:r>
        <w:br w:type="page"/>
      </w:r>
      <w:bookmarkStart w:id="6" w:name="d340063dex321.htm"/>
      <w:bookmarkStart w:id="7" w:name="ksd340063dex321"/>
      <w:bookmarkEnd w:id="6"/>
      <w:bookmarkEnd w:id="7"/>
      <w:r>
        <w:rPr>
          <w:rFonts w:ascii="Times New Roman" w:hAnsi="Times New Roman"/>
          <w:b/>
          <w:sz w:val="20"/>
        </w:rPr>
        <w:t xml:space="preserve">Exhibit 32.1 </w:t>
      </w:r>
    </w:p>
    <w:p>
      <w:pPr>
        <w:pStyle w:val="TextBody"/>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In connection with the Quarterly Report of Dave Inc. (the Company) on Form 10-Q for the period ended March 31, 2022, as filed with the Securities and Exchange Commission on the date hereof (the Report), Jason Wilk, Chief Executive Officer of the Company, and Kyle Beilman, Chief Financial Officer of the Company, do each hereby certify pursuant to 18 of U.S.C. §1350, as adopted pursuant to §906 of the Sarbanes-Oxley Act of 2002,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pPr>
            <w:r>
              <w:rPr/>
              <w:t>Date: May 13, 2022</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Jason Wilk</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Jason Wilk</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Chief Executive Officer and Director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w:t>
            </w:r>
            <w:r>
              <w:rPr>
                <w:i/>
              </w:rPr>
              <w:t>Principal Executive Officer</w:t>
            </w:r>
            <w:r>
              <w:rPr/>
              <w:t>)</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Kyle Beilman</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Kyle Beilman</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Chief Financial Officer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w:t>
            </w:r>
            <w:r>
              <w:rPr>
                <w:i/>
              </w:rPr>
              <w:t>Principal Financial Officer</w:t>
            </w:r>
            <w:r>
              <w:rPr/>
              <w:t>)</w:t>
            </w:r>
          </w:p>
        </w:tc>
      </w:tr>
    </w:tbl>
    <w:p>
      <w:pPr>
        <w:pStyle w:val="TextBody"/>
        <w:spacing w:before="0" w:after="283"/>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1408/000119312521183575/d165916dex21.htm" TargetMode="External"/><Relationship Id="rId3" Type="http://schemas.openxmlformats.org/officeDocument/2006/relationships/hyperlink" Target="http://www.sec.gov/Archives/edgar/data/1841408/000119312521183575/d165916dex21.htm" TargetMode="External"/><Relationship Id="rId4" Type="http://schemas.openxmlformats.org/officeDocument/2006/relationships/hyperlink" Target="http://www.sec.gov/Archives/edgar/data/1841408/000119312521183575/d165916dex21.htm" TargetMode="External"/><Relationship Id="rId5" Type="http://schemas.openxmlformats.org/officeDocument/2006/relationships/hyperlink" Target="http://www.sec.gov/Archives/edgar/data/1841408/000119312522006854/d253532dex31.htm" TargetMode="External"/><Relationship Id="rId6" Type="http://schemas.openxmlformats.org/officeDocument/2006/relationships/hyperlink" Target="http://www.sec.gov/Archives/edgar/data/1841408/000119312522006854/d253532dex31.htm" TargetMode="External"/><Relationship Id="rId7" Type="http://schemas.openxmlformats.org/officeDocument/2006/relationships/hyperlink" Target="http://www.sec.gov/Archives/edgar/data/1841408/000119312522006854/d253532dex31.htm" TargetMode="External"/><Relationship Id="rId8" Type="http://schemas.openxmlformats.org/officeDocument/2006/relationships/hyperlink" Target="http://www.sec.gov/Archives/edgar/data/1841408/000119312522006854/d253532dex32.htm" TargetMode="External"/><Relationship Id="rId9" Type="http://schemas.openxmlformats.org/officeDocument/2006/relationships/hyperlink" Target="http://www.sec.gov/Archives/edgar/data/1841408/000119312522006854/d253532dex32.htm" TargetMode="External"/><Relationship Id="rId10" Type="http://schemas.openxmlformats.org/officeDocument/2006/relationships/hyperlink" Target="http://www.sec.gov/Archives/edgar/data/1841408/000119312522006854/d253532dex32.htm" TargetMode="External"/><Relationship Id="rId11" Type="http://schemas.openxmlformats.org/officeDocument/2006/relationships/hyperlink" Target="http://www.sec.gov/Archives/edgar/data/1841408/000119312522080609/d325306dex41.htm" TargetMode="External"/><Relationship Id="rId12" Type="http://schemas.openxmlformats.org/officeDocument/2006/relationships/hyperlink" Target="http://www.sec.gov/Archives/edgar/data/1841408/000119312522080609/d325306dex101.htm" TargetMode="External"/><Relationship Id="rId13" Type="http://schemas.openxmlformats.org/officeDocument/2006/relationships/hyperlink" Target="http://www.sec.gov/Archives/edgar/data/1841408/000119312522080609/d325306dex101.htm" TargetMode="External"/><Relationship Id="rId14" Type="http://schemas.openxmlformats.org/officeDocument/2006/relationships/hyperlink" Target="http://www.sec.gov/Archives/edgar/data/1841408/000119312522080609/d325306d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37067</Words>
  <CharactersWithSpaces>246083</CharactersWithSpaces>
  <Paragraphs>8954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EX-32.1</dc:title>
</cp:coreProperties>
</file>