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sz w:val="20"/>
        </w:rPr>
      </w:pPr>
      <w:bookmarkStart w:id="0" w:name="dave-20240331.htm"/>
      <w:bookmarkStart w:id="1" w:name="ksdave20240331"/>
      <w:bookmarkEnd w:id="0"/>
      <w:bookmarkEnd w:id="1"/>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Washington, D.C. 20549</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March 31, 2024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For the transition period from to _______</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001-40161</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8"/>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tbl>
      <w:tblPr>
        <w:tblW w:w="3722" w:type="dxa"/>
        <w:jc w:val="left"/>
        <w:tblInd w:w="0" w:type="dxa"/>
        <w:tblLayout w:type="fixed"/>
        <w:tblCellMar>
          <w:top w:w="28" w:type="dxa"/>
          <w:left w:w="28" w:type="dxa"/>
          <w:bottom w:w="28" w:type="dxa"/>
          <w:right w:w="28" w:type="dxa"/>
        </w:tblCellMar>
      </w:tblPr>
      <w:tblGrid>
        <w:gridCol w:w="2431"/>
        <w:gridCol w:w="1291"/>
      </w:tblGrid>
      <w:tr>
        <w:trPr/>
        <w:tc>
          <w:tcPr>
            <w:tcW w:w="24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9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86-1481509</w:t>
            </w:r>
          </w:p>
        </w:tc>
      </w:tr>
      <w:tr>
        <w:trPr/>
        <w:tc>
          <w:tcPr>
            <w:tcW w:w="2431" w:type="dxa"/>
            <w:tcBorders/>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(State or other jurisdiction of</w:t>
              <w:br/>
              <w:t>incorporation or organization)</w:t>
            </w:r>
            <w:r>
              <w:rPr>
                <w:rFonts w:ascii="Times New Roman" w:hAnsi="Times New Roman"/>
                <w:color w:val="000000"/>
                <w:sz w:val="16"/>
              </w:rPr>
              <w:t xml:space="preserve"> </w:t>
            </w:r>
          </w:p>
        </w:tc>
        <w:tc>
          <w:tcPr>
            <w:tcW w:w="1291" w:type="dxa"/>
            <w:tcBorders/>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(I.R.S. Employer</w:t>
              <w:br/>
              <w:t>Identification No.)</w:t>
            </w:r>
            <w:r>
              <w:rPr>
                <w:rFonts w:ascii="Times New Roman" w:hAnsi="Times New Roman"/>
                <w:color w:val="000000"/>
                <w:sz w:val="16"/>
              </w:rPr>
              <w:t xml:space="preserve"> </w:t>
            </w:r>
          </w:p>
        </w:tc>
      </w:tr>
      <w:tr>
        <w:trPr/>
        <w:tc>
          <w:tcPr>
            <w:tcW w:w="2431" w:type="dxa"/>
            <w:tcBorders/>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20"/>
              </w:rPr>
              <w:t>1265 South Cochran Ave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Angeles, CA</w:t>
            </w:r>
          </w:p>
        </w:tc>
        <w:tc>
          <w:tcPr>
            <w:tcW w:w="129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90019</w:t>
            </w:r>
          </w:p>
        </w:tc>
      </w:tr>
      <w:tr>
        <w:trPr/>
        <w:tc>
          <w:tcPr>
            <w:tcW w:w="243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9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(844) 857-3283</w:t>
      </w:r>
      <w:r>
        <w:rPr>
          <w:rFonts w:ascii="Times New Roman" w:hAnsi="Times New Roman"/>
          <w:color w:val="000000"/>
          <w:sz w:val="20"/>
        </w:rPr>
        <w:t xml:space="preserve"> </w:t>
      </w:r>
    </w:p>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557"/>
        <w:gridCol w:w="1175"/>
        <w:gridCol w:w="2473"/>
      </w:tblGrid>
      <w:tr>
        <w:trPr/>
        <w:tc>
          <w:tcPr>
            <w:tcW w:w="655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r>
      <w:tr>
        <w:trPr/>
        <w:tc>
          <w:tcPr>
            <w:tcW w:w="6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17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247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557"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2473" w:type="dxa"/>
            <w:tcBorders/>
            <w:vAlign w:val="center"/>
          </w:tcPr>
          <w:p>
            <w:pPr>
              <w:pStyle w:val="TableContents"/>
              <w:bidi w:val="0"/>
              <w:spacing w:before="0" w:after="283"/>
              <w:jc w:val="left"/>
              <w:rPr/>
            </w:pPr>
            <w:r>
              <w:rPr/>
              <w:t> </w:t>
            </w:r>
          </w:p>
        </w:tc>
      </w:tr>
      <w:tr>
        <w:trPr/>
        <w:tc>
          <w:tcPr>
            <w:tcW w:w="6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par value $0.0001</w:t>
            </w:r>
          </w:p>
        </w:tc>
        <w:tc>
          <w:tcPr>
            <w:tcW w:w="117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t>
            </w:r>
          </w:p>
        </w:tc>
        <w:tc>
          <w:tcPr>
            <w:tcW w:w="247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warrants, each whole warrant exercisable for one share of Class A common stock, each at an exercise price of $368 per share</w:t>
            </w:r>
          </w:p>
        </w:tc>
        <w:tc>
          <w:tcPr>
            <w:tcW w:w="117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w:t>
            </w:r>
          </w:p>
        </w:tc>
        <w:tc>
          <w:tcPr>
            <w:tcW w:w="247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w:t>
      </w:r>
      <w:r>
        <w:rPr>
          <w:rFonts w:ascii="Times New Roman" w:hAnsi="Times New Roman"/>
          <w:caps/>
          <w:color w:val="000000"/>
          <w:sz w:val="18"/>
        </w:rPr>
        <w:t>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 w:hAnsi="Times New Roman"/>
          <w:caps/>
          <w:color w:val="000000"/>
          <w:sz w:val="18"/>
        </w:rPr>
        <w:t>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8"/>
        </w:rPr>
        <w:t>As of April 29, 2024, there were 10,872,286</w:t>
      </w:r>
      <w:r>
        <w:rPr>
          <w:rFonts w:ascii="Times New Roman" w:hAnsi="Times New Roman"/>
          <w:color w:val="000000"/>
          <w:sz w:val="20"/>
        </w:rPr>
        <w:t xml:space="preserve"> </w:t>
      </w:r>
      <w:r>
        <w:rPr>
          <w:rFonts w:ascii="Times New Roman" w:hAnsi="Times New Roman"/>
          <w:color w:val="000000"/>
          <w:sz w:val="18"/>
        </w:rPr>
        <w:t>shares of Class A common stock, $0.0001 par value, and 1,514,082</w:t>
      </w:r>
      <w:r>
        <w:rPr>
          <w:rFonts w:ascii="Times New Roman" w:hAnsi="Times New Roman"/>
          <w:color w:val="000000"/>
          <w:sz w:val="20"/>
        </w:rPr>
        <w:t xml:space="preserve"> </w:t>
      </w:r>
      <w:r>
        <w:rPr>
          <w:rFonts w:ascii="Times New Roman" w:hAnsi="Times New Roman"/>
          <w:color w:val="000000"/>
          <w:sz w:val="18"/>
        </w:rPr>
        <w:t>shares of Class V common stock, $0.0001 par value, issued and outstanding.</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center"/>
        <w:rPr/>
      </w:pPr>
      <w:r>
        <w:rPr/>
        <w:t> </w:t>
      </w:r>
    </w:p>
    <w:tbl>
      <w:tblPr>
        <w:tblW w:w="8853" w:type="dxa"/>
        <w:jc w:val="left"/>
        <w:tblInd w:w="0" w:type="dxa"/>
        <w:tblLayout w:type="fixed"/>
        <w:tblCellMar>
          <w:top w:w="28" w:type="dxa"/>
          <w:left w:w="28" w:type="dxa"/>
          <w:bottom w:w="28" w:type="dxa"/>
          <w:right w:w="28" w:type="dxa"/>
        </w:tblCellMar>
      </w:tblPr>
      <w:tblGrid>
        <w:gridCol w:w="976"/>
        <w:gridCol w:w="7336"/>
        <w:gridCol w:w="54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b/>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statements">
              <w:r>
                <w:rPr>
                  <w:rStyle w:val="InternetLink"/>
                  <w:rFonts w:ascii="Times New Roman" w:hAnsi="Times New Roman"/>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Times New Roman" w:hAnsi="Times New Roman"/>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_daveodfunding">
              <w:r>
                <w:rPr>
                  <w:rStyle w:val="InternetLink"/>
                  <w:rFonts w:ascii="Times New Roman" w:hAnsi="Times New Roman"/>
                  <w:color w:val="0000FF"/>
                  <w:sz w:val="20"/>
                  <w:u w:val="single"/>
                </w:rPr>
                <w:t>Condensed Consolidated Balance Sheets, Continued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7" w:after="283"/>
              <w:jc w:val="left"/>
              <w:rPr/>
            </w:pPr>
            <w:hyperlink w:anchor="statementsofoperatrions">
              <w:r>
                <w:rPr>
                  <w:rStyle w:val="InternetLink"/>
                  <w:rFonts w:ascii="Times New Roman" w:hAnsi="Times New Roman"/>
                  <w:color w:val="0000FF"/>
                  <w:sz w:val="20"/>
                  <w:u w:val="single"/>
                </w:rPr>
                <w:t>Condensed Consolidated Statements of Operations</w:t>
              </w:r>
            </w:hyperlink>
          </w:p>
        </w:tc>
        <w:tc>
          <w:tcPr>
            <w:tcW w:w="541" w:type="dxa"/>
            <w:tcBorders/>
            <w:tcMar>
              <w:top w:w="0" w:type="dxa"/>
              <w:left w:w="0" w:type="dxa"/>
              <w:bottom w:w="0" w:type="dxa"/>
              <w:right w:w="0" w:type="dxa"/>
            </w:tcMar>
            <w:vAlign w:val="center"/>
          </w:tcPr>
          <w:p>
            <w:pPr>
              <w:pStyle w:val="TableContents"/>
              <w:bidi w:val="0"/>
              <w:spacing w:before="7"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ofcomprehensiveloss">
              <w:r>
                <w:rPr>
                  <w:rStyle w:val="InternetLink"/>
                  <w:rFonts w:ascii="Times New Roman" w:hAnsi="Times New Roman"/>
                  <w:color w:val="0000FF"/>
                  <w:sz w:val="20"/>
                  <w:u w:val="single"/>
                </w:rPr>
                <w:t>Condensed Consolidated Statements of Comprehensive Income (loss)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tockholdersequity">
              <w:r>
                <w:rPr>
                  <w:rStyle w:val="InternetLink"/>
                  <w:rFonts w:ascii="Times New Roman" w:hAnsi="Times New Roman"/>
                  <w:color w:val="0000FF"/>
                  <w:sz w:val="20"/>
                  <w:u w:val="single"/>
                </w:rPr>
                <w:t>Condensed Consolidated Statement of Stockholders’ Equity</w:t>
              </w:r>
            </w:hyperlink>
            <w:hyperlink w:anchor="consolidatedstatementstockholdersequity">
              <w:r>
                <w:rPr>
                  <w:rStyle w:val="InternetLink"/>
                  <w:rFonts w:ascii="Times New Roman" w:hAnsi="Times New Roman"/>
                  <w:color w:val="0000FF"/>
                  <w:sz w:val="20"/>
                </w:rPr>
                <w:t xml:space="preserve"> </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Times New Roman" w:hAnsi="Times New Roman"/>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notestoconsolidatedfinancialstatements">
              <w:r>
                <w:rPr>
                  <w:rStyle w:val="InternetLink"/>
                  <w:rFonts w:ascii="Times New Roman" w:hAnsi="Times New Roman"/>
                  <w:color w:val="0000FF"/>
                  <w:sz w:val="20"/>
                  <w:u w:val="single"/>
                </w:rPr>
                <w:t>Notes to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quantitativeandqualitative">
              <w:r>
                <w:rPr>
                  <w:rStyle w:val="InternetLink"/>
                  <w:rFonts w:ascii="Times New Roman" w:hAnsi="Times New Roman"/>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controlsandprocedures">
              <w:r>
                <w:rPr>
                  <w:rStyle w:val="InternetLink"/>
                  <w:rFonts w:ascii="Times New Roman" w:hAnsi="Times New Roman"/>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b/>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_legalproceedings">
              <w:r>
                <w:rPr>
                  <w:rStyle w:val="InternetLink"/>
                  <w:rFonts w:ascii="Times New Roman" w:hAnsi="Times New Roman"/>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a_riskfactors">
              <w:r>
                <w:rPr>
                  <w:rStyle w:val="InternetLink"/>
                  <w:rFonts w:ascii="Times New Roman" w:hAnsi="Times New Roman"/>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unregisteredsalesofequity">
              <w:r>
                <w:rPr>
                  <w:rStyle w:val="InternetLink"/>
                  <w:rFonts w:ascii="Times New Roman" w:hAnsi="Times New Roman"/>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defaultsuponseniorsecurities">
              <w:r>
                <w:rPr>
                  <w:rStyle w:val="InternetLink"/>
                  <w:rFonts w:ascii="Times New Roman" w:hAnsi="Times New Roman"/>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minesafetydisclosures">
              <w:r>
                <w:rPr>
                  <w:rStyle w:val="InternetLink"/>
                  <w:rFonts w:ascii="Times New Roman" w:hAnsi="Times New Roman"/>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5_other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All statements contained in this Form 10-Q other than statements of historical fact, including statements regarding our future results of operations, financial position, market size and opportunity, our business strategy and plans, the factors affecting our performance, our objectives for future operations, our liquidity, borrowing capacity, our use of cash and cash requirements and the expected effects of new accounting pronouncements,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2023 filed with the Securities and Exchange Commission (the “SEC”) on March 5, 2024 (the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Dave to compete in its highly competitive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keep pace with the rapid technological developments in its industry and the larger financial services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manage risks associated with providing ExtraCash advances;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retain its current members, acquire new members and sell additional functionality and services to its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protect intellectual property and trade secrets;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the integrity of its confidential information and information systems or comply with applicable privacy and data security requirements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Dave to maintain or secure current and future key banking relationships and other third-party service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applicable laws or regulations and extensive and evolving government regulations that impact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attract or maintain a qualified workforce;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product service failures that could lead Dave members (“Members”) to use competitors’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investigations, claims, disputes, enforcement actions, litigation and/or other regulatory or legal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maintain the listing of Dave Class A Common Stock on The Nasdaq Stock Market;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that Dave may be adversely affected by other economic factors, including rising interest rates, and business, and/or competitive factors;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other risks and uncertainties described in this Form 10-Q, including those described under Part II Item 1A, “Risk Factors”.</w:t>
      </w:r>
    </w:p>
    <w:p>
      <w:pPr>
        <w:pStyle w:val="TextBody"/>
        <w:bidi w:val="0"/>
        <w:jc w:val="left"/>
        <w:rPr>
          <w:rFonts w:ascii="Times New Roman" w:hAnsi="Times New Roman"/>
          <w:color w:val="000000"/>
          <w:sz w:val="20"/>
        </w:rPr>
      </w:pPr>
      <w:r>
        <w:rPr>
          <w:rFonts w:ascii="Times New Roman" w:hAnsi="Times New Roman"/>
          <w:color w:val="000000"/>
          <w:sz w:val="20"/>
        </w:rPr>
        <w:t xml:space="preserve">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as required by law, we do not intend to update any of these forward-looking statements after the date of this report or to conform these statements to actual results or revised expectations.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 should read this report with the understanding that our actual future results, levels of activity, performance and events and circumstances may be materially different from what we expect. </w:t>
      </w:r>
    </w:p>
    <w:p>
      <w:pPr>
        <w:pStyle w:val="TextBody"/>
        <w:bidi w:val="0"/>
        <w:jc w:val="left"/>
        <w:rPr>
          <w:rFonts w:ascii="Times New Roman" w:hAnsi="Times New Roman"/>
          <w:color w:val="000000"/>
          <w:sz w:val="20"/>
        </w:rPr>
      </w:pPr>
      <w:r>
        <w:rPr>
          <w:rFonts w:ascii="Times New Roman" w:hAnsi="Times New Roman"/>
          <w:color w:val="000000"/>
          <w:sz w:val="20"/>
        </w:rPr>
        <w:t xml:space="preserve">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 </w:t>
      </w:r>
    </w:p>
    <w:p>
      <w:pPr>
        <w:pStyle w:val="TextBody"/>
        <w:bidi w:val="0"/>
        <w:jc w:val="left"/>
        <w:rPr>
          <w:rFonts w:ascii="Times New Roman" w:hAnsi="Times New Roman"/>
          <w:i/>
          <w:color w:val="000000"/>
          <w:sz w:val="20"/>
        </w:rPr>
      </w:pPr>
      <w:r>
        <w:rPr>
          <w:rFonts w:ascii="Times New Roman" w:hAnsi="Times New Roman"/>
          <w:i/>
          <w:color w:val="000000"/>
          <w:sz w:val="20"/>
        </w:rPr>
        <w:t>As used in this report, the “Company,” “Dave,” “we,” “us,” “our” and similar terms refer to Dave Inc. (f/k/a VPC Impact Acquisition Holdings III, Inc.) and its consolidated subsidiaries, unless otherwise noted or the context otherwise requires.</w:t>
      </w:r>
    </w:p>
    <w:p>
      <w:pPr>
        <w:pStyle w:val="TextBody"/>
        <w:bidi w:val="0"/>
        <w:jc w:val="left"/>
        <w:rPr>
          <w:rFonts w:ascii="Times New Roman" w:hAnsi="Times New Roman"/>
          <w:sz w:val="20"/>
        </w:rPr>
      </w:pPr>
      <w:r>
        <w:rPr>
          <w:rFonts w:ascii="Times New Roman" w:hAnsi="Times New Roman"/>
          <w:i/>
          <w:color w:val="000000"/>
          <w:sz w:val="20"/>
        </w:rPr>
        <w:br/>
      </w:r>
      <w:r>
        <w:rPr>
          <w:rFonts w:ascii="Times New Roman" w:hAnsi="Times New Roman"/>
          <w:color w:val="000000"/>
          <w:sz w:val="20"/>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I—FINANCIAL INFORMATION</w:t>
      </w:r>
    </w:p>
    <w:p>
      <w:pPr>
        <w:pStyle w:val="TextBody"/>
        <w:bidi w:val="0"/>
        <w:jc w:val="left"/>
        <w:rPr>
          <w:rFonts w:ascii="Times New Roman" w:hAnsi="Times New Roman"/>
          <w:sz w:val="20"/>
        </w:rPr>
      </w:pPr>
      <w:bookmarkStart w:id="3" w:name="item_1_financial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sheet"/>
      <w:bookmarkEnd w:id="4"/>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80"/>
        <w:gridCol w:w="146"/>
        <w:gridCol w:w="229"/>
        <w:gridCol w:w="914"/>
        <w:gridCol w:w="166"/>
        <w:gridCol w:w="146"/>
        <w:gridCol w:w="243"/>
        <w:gridCol w:w="968"/>
        <w:gridCol w:w="513"/>
      </w:tblGrid>
      <w:tr>
        <w:trPr/>
        <w:tc>
          <w:tcPr>
            <w:tcW w:w="6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68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shd w:fill="FFFFFF" w:val="cle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 of March 31,</w:t>
              <w:br/>
              <w:t>2024</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1" w:type="dxa"/>
            <w:gridSpan w:val="2"/>
            <w:tcBorders/>
            <w:shd w:fill="FFFFFF" w:val="cle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 of December 31,</w:t>
            </w:r>
          </w:p>
        </w:tc>
        <w:tc>
          <w:tcPr>
            <w:tcW w:w="513" w:type="dxa"/>
            <w:tcBorders/>
            <w:shd w:fill="FFFFFF" w:val="clear"/>
            <w:vAlign w:val="center"/>
          </w:tcPr>
          <w:p>
            <w:pPr>
              <w:pStyle w:val="TableContents"/>
              <w:bidi w:val="0"/>
              <w:spacing w:before="0" w:after="283"/>
              <w:jc w:val="center"/>
              <w:rPr/>
            </w:pPr>
            <w:r>
              <w:rPr/>
              <w:t> </w:t>
            </w:r>
          </w:p>
        </w:tc>
      </w:tr>
      <w:tr>
        <w:trPr/>
        <w:tc>
          <w:tcPr>
            <w:tcW w:w="68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9"/>
              </w:rPr>
            </w:pPr>
            <w:r>
              <w:rPr>
                <w:rFonts w:ascii="Times New Roman" w:hAnsi="Times New Roman"/>
                <w:i/>
                <w:color w:val="000000"/>
                <w:sz w:val="19"/>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2023</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0" w:type="dxa"/>
            <w:tcBorders/>
            <w:shd w:fill="B7DEE8"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B7DEE8" w:val="clear"/>
            <w:vAlign w:val="center"/>
          </w:tcPr>
          <w:p>
            <w:pPr>
              <w:pStyle w:val="TableContents"/>
              <w:bidi w:val="0"/>
              <w:spacing w:before="0" w:after="283"/>
              <w:jc w:val="left"/>
              <w:rPr/>
            </w:pPr>
            <w:r>
              <w:rPr/>
              <w:t> </w:t>
            </w:r>
          </w:p>
        </w:tc>
        <w:tc>
          <w:tcPr>
            <w:tcW w:w="1143"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11" w:type="dxa"/>
            <w:gridSpan w:val="2"/>
            <w:tcBorders/>
            <w:shd w:fill="B7DEE8" w:val="clear"/>
            <w:vAlign w:val="center"/>
          </w:tcPr>
          <w:p>
            <w:pPr>
              <w:pStyle w:val="TableContents"/>
              <w:bidi w:val="0"/>
              <w:spacing w:before="0" w:after="283"/>
              <w:jc w:val="left"/>
              <w:rPr/>
            </w:pPr>
            <w:r>
              <w:rPr/>
              <w:t> </w:t>
            </w:r>
          </w:p>
        </w:tc>
        <w:tc>
          <w:tcPr>
            <w:tcW w:w="513" w:type="dxa"/>
            <w:tcBorders/>
            <w:shd w:fill="B7DEE8" w:val="clear"/>
            <w:vAlign w:val="center"/>
          </w:tcPr>
          <w:p>
            <w:pPr>
              <w:pStyle w:val="TableContents"/>
              <w:bidi w:val="0"/>
              <w:spacing w:before="0" w:after="283"/>
              <w:jc w:val="left"/>
              <w:rPr/>
            </w:pPr>
            <w:r>
              <w:rPr/>
              <w:t> </w:t>
            </w:r>
          </w:p>
        </w:tc>
      </w:tr>
      <w:tr>
        <w:trPr/>
        <w:tc>
          <w:tcPr>
            <w:tcW w:w="6880"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assets:</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1" w:type="dxa"/>
            <w:gridSpan w:val="2"/>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55,525</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41,759</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952</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Member advances, net of allowance for credit losses of $17,328</w:t>
            </w:r>
            <w:r>
              <w:rPr>
                <w:rFonts w:ascii="Times New Roman" w:hAnsi="Times New Roman"/>
                <w:color w:val="000000"/>
                <w:sz w:val="20"/>
              </w:rPr>
              <w:t> </w:t>
            </w:r>
            <w:r>
              <w:rPr>
                <w:rFonts w:ascii="Times New Roman" w:hAnsi="Times New Roman"/>
                <w:color w:val="000000"/>
                <w:sz w:val="19"/>
              </w:rPr>
              <w:t>and $20,310</w:t>
            </w:r>
            <w:r>
              <w:rPr>
                <w:rFonts w:ascii="Times New Roman" w:hAnsi="Times New Roman"/>
                <w:color w:val="000000"/>
                <w:sz w:val="20"/>
              </w:rPr>
              <w:t> </w:t>
            </w:r>
            <w:r>
              <w:rPr>
                <w:rFonts w:ascii="Times New Roman" w:hAnsi="Times New Roman"/>
                <w:color w:val="000000"/>
                <w:sz w:val="19"/>
              </w:rPr>
              <w:t>as of March 31, 2024 and December 31, 2023, respectively</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104,923</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112,846</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Investments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113,226</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Prepaid income taxes</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80" w:type="dxa"/>
            <w:tcBorders/>
            <w:shd w:fill="B7DEE8"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current assets</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218,340</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276,886</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1,118</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Lease right-of-use assets (related-party of $707</w:t>
            </w:r>
            <w:r>
              <w:rPr>
                <w:rFonts w:ascii="Times New Roman" w:hAnsi="Times New Roman"/>
                <w:color w:val="000000"/>
                <w:sz w:val="20"/>
              </w:rPr>
              <w:t> </w:t>
            </w:r>
            <w:r>
              <w:rPr>
                <w:rFonts w:ascii="Times New Roman" w:hAnsi="Times New Roman"/>
                <w:color w:val="000000"/>
                <w:sz w:val="19"/>
              </w:rPr>
              <w:t>and $773</w:t>
            </w:r>
            <w:r>
              <w:rPr>
                <w:rFonts w:ascii="Times New Roman" w:hAnsi="Times New Roman"/>
                <w:color w:val="000000"/>
                <w:sz w:val="20"/>
              </w:rPr>
              <w:t> </w:t>
            </w:r>
            <w:r>
              <w:rPr>
                <w:rFonts w:ascii="Times New Roman" w:hAnsi="Times New Roman"/>
                <w:color w:val="000000"/>
                <w:sz w:val="19"/>
              </w:rPr>
              <w:t>as of March 31, 2024 and December 31, 2023, respectively)</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707</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773</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Intangible assets, net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13,206</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Debt facility commitment fee, long-term</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281</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318</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1,319</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B7DEE8" w:val="clear"/>
            <w:vAlign w:val="center"/>
          </w:tcPr>
          <w:p>
            <w:pPr>
              <w:pStyle w:val="TableContents"/>
              <w:bidi w:val="0"/>
              <w:spacing w:before="0" w:after="283"/>
              <w:jc w:val="left"/>
              <w:rPr/>
            </w:pPr>
            <w:r>
              <w:rPr/>
              <w:t> </w:t>
            </w:r>
          </w:p>
        </w:tc>
        <w:tc>
          <w:tcPr>
            <w:tcW w:w="22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w:t>
            </w:r>
          </w:p>
        </w:tc>
        <w:tc>
          <w:tcPr>
            <w:tcW w:w="51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80"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assets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235,599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294,023</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0" w:type="dxa"/>
            <w:tcBorders/>
            <w:shd w:fill="B7DEE8"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B7DEE8" w:val="clear"/>
            <w:vAlign w:val="center"/>
          </w:tcPr>
          <w:p>
            <w:pPr>
              <w:pStyle w:val="TableContents"/>
              <w:bidi w:val="0"/>
              <w:spacing w:before="0" w:after="283"/>
              <w:jc w:val="left"/>
              <w:rPr/>
            </w:pPr>
            <w:r>
              <w:rPr/>
              <w:t> </w:t>
            </w:r>
          </w:p>
        </w:tc>
        <w:tc>
          <w:tcPr>
            <w:tcW w:w="1143"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11" w:type="dxa"/>
            <w:gridSpan w:val="2"/>
            <w:tcBorders/>
            <w:shd w:fill="B7DEE8" w:val="clear"/>
            <w:vAlign w:val="center"/>
          </w:tcPr>
          <w:p>
            <w:pPr>
              <w:pStyle w:val="TableContents"/>
              <w:bidi w:val="0"/>
              <w:spacing w:before="0" w:after="283"/>
              <w:jc w:val="left"/>
              <w:rPr/>
            </w:pPr>
            <w:r>
              <w:rPr/>
              <w:t> </w:t>
            </w:r>
          </w:p>
        </w:tc>
        <w:tc>
          <w:tcPr>
            <w:tcW w:w="513" w:type="dxa"/>
            <w:tcBorders/>
            <w:shd w:fill="B7DEE8" w:val="clear"/>
            <w:vAlign w:val="center"/>
          </w:tcPr>
          <w:p>
            <w:pPr>
              <w:pStyle w:val="TableContents"/>
              <w:bidi w:val="0"/>
              <w:spacing w:before="0" w:after="283"/>
              <w:jc w:val="left"/>
              <w:rPr/>
            </w:pPr>
            <w:r>
              <w:rPr/>
              <w:t> </w:t>
            </w:r>
          </w:p>
        </w:tc>
      </w:tr>
      <w:tr>
        <w:trPr/>
        <w:tc>
          <w:tcPr>
            <w:tcW w:w="6880"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Current liabilities:</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1" w:type="dxa"/>
            <w:gridSpan w:val="2"/>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9,013</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5,485</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12,626</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Lease liabilities, short-term (related-party of $310</w:t>
            </w:r>
            <w:r>
              <w:rPr>
                <w:rFonts w:ascii="Times New Roman" w:hAnsi="Times New Roman"/>
                <w:color w:val="000000"/>
                <w:sz w:val="20"/>
              </w:rPr>
              <w:t> </w:t>
            </w:r>
            <w:r>
              <w:rPr>
                <w:rFonts w:ascii="Times New Roman" w:hAnsi="Times New Roman"/>
                <w:color w:val="000000"/>
                <w:sz w:val="19"/>
              </w:rPr>
              <w:t>and $298</w:t>
            </w:r>
            <w:r>
              <w:rPr>
                <w:rFonts w:ascii="Times New Roman" w:hAnsi="Times New Roman"/>
                <w:color w:val="000000"/>
                <w:sz w:val="20"/>
              </w:rPr>
              <w:t>  </w:t>
            </w:r>
            <w:r>
              <w:rPr>
                <w:rFonts w:ascii="Times New Roman" w:hAnsi="Times New Roman"/>
                <w:color w:val="000000"/>
                <w:sz w:val="19"/>
              </w:rPr>
              <w:t>as of March 31, 2024 and December 31, 2023, respectively)</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310</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Legal settlement accrual</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3,330</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Other current liabilities</w:t>
            </w:r>
          </w:p>
        </w:tc>
        <w:tc>
          <w:tcPr>
            <w:tcW w:w="146" w:type="dxa"/>
            <w:tcBorders/>
            <w:shd w:fill="B7DEE8" w:val="clear"/>
            <w:vAlign w:val="center"/>
          </w:tcPr>
          <w:p>
            <w:pPr>
              <w:pStyle w:val="TableContents"/>
              <w:bidi w:val="0"/>
              <w:spacing w:before="0" w:after="283"/>
              <w:jc w:val="left"/>
              <w:rPr/>
            </w:pPr>
            <w:r>
              <w:rPr/>
              <w:t> </w:t>
            </w:r>
          </w:p>
        </w:tc>
        <w:tc>
          <w:tcPr>
            <w:tcW w:w="22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4,164</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3,865</w:t>
            </w:r>
          </w:p>
        </w:tc>
        <w:tc>
          <w:tcPr>
            <w:tcW w:w="51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80"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current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29,246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25,604</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Lease liabilities, long-term (related-party of $460</w:t>
            </w:r>
            <w:r>
              <w:rPr>
                <w:rFonts w:ascii="Times New Roman" w:hAnsi="Times New Roman"/>
                <w:color w:val="000000"/>
                <w:sz w:val="20"/>
              </w:rPr>
              <w:t> </w:t>
            </w:r>
            <w:r>
              <w:rPr>
                <w:rFonts w:ascii="Times New Roman" w:hAnsi="Times New Roman"/>
                <w:color w:val="000000"/>
                <w:sz w:val="19"/>
              </w:rPr>
              <w:t>and $543</w:t>
            </w:r>
            <w:r>
              <w:rPr>
                <w:rFonts w:ascii="Times New Roman" w:hAnsi="Times New Roman"/>
                <w:color w:val="000000"/>
                <w:sz w:val="20"/>
              </w:rPr>
              <w:t> </w:t>
            </w:r>
            <w:r>
              <w:rPr>
                <w:rFonts w:ascii="Times New Roman" w:hAnsi="Times New Roman"/>
                <w:color w:val="000000"/>
                <w:sz w:val="19"/>
              </w:rPr>
              <w:t>as of March 31, 2024 and December 31, 2023, respectively)</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543</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Debt facility, long-term</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75,000</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Convertible debt, long-term</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105,451</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Warrant and earnout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B7DEE8" w:val="clear"/>
            <w:vAlign w:val="center"/>
          </w:tcPr>
          <w:p>
            <w:pPr>
              <w:pStyle w:val="TableContents"/>
              <w:bidi w:val="0"/>
              <w:spacing w:before="0" w:after="283"/>
              <w:jc w:val="left"/>
              <w:rPr/>
            </w:pPr>
            <w:r>
              <w:rPr/>
              <w:t> </w:t>
            </w:r>
          </w:p>
        </w:tc>
        <w:tc>
          <w:tcPr>
            <w:tcW w:w="22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w:t>
            </w:r>
          </w:p>
        </w:tc>
        <w:tc>
          <w:tcPr>
            <w:tcW w:w="513"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80"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liabilities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108,285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206,960</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Commitments and contingencies (Note 11)</w:t>
            </w:r>
          </w:p>
        </w:tc>
        <w:tc>
          <w:tcPr>
            <w:tcW w:w="146" w:type="dxa"/>
            <w:tcBorders/>
            <w:shd w:fill="B7DEE8" w:val="clear"/>
            <w:vAlign w:val="center"/>
          </w:tcPr>
          <w:p>
            <w:pPr>
              <w:pStyle w:val="TableContents"/>
              <w:bidi w:val="0"/>
              <w:spacing w:before="0" w:after="283"/>
              <w:jc w:val="left"/>
              <w:rPr/>
            </w:pPr>
            <w:r>
              <w:rPr/>
              <w:t> </w:t>
            </w:r>
          </w:p>
        </w:tc>
        <w:tc>
          <w:tcPr>
            <w:tcW w:w="1143"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11" w:type="dxa"/>
            <w:gridSpan w:val="2"/>
            <w:tcBorders/>
            <w:shd w:fill="B7DEE8" w:val="clear"/>
            <w:vAlign w:val="center"/>
          </w:tcPr>
          <w:p>
            <w:pPr>
              <w:pStyle w:val="TableContents"/>
              <w:bidi w:val="0"/>
              <w:spacing w:before="0" w:after="283"/>
              <w:jc w:val="left"/>
              <w:rPr/>
            </w:pPr>
            <w:r>
              <w:rPr/>
              <w:t> </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9"/>
              </w:rPr>
            </w:pPr>
            <w:r>
              <w:rPr>
                <w:rFonts w:ascii="Times New Roman" w:hAnsi="Times New Roman"/>
                <w:b/>
                <w:color w:val="000000"/>
                <w:sz w:val="19"/>
              </w:rPr>
              <w:t>Stockholders’ equity:</w:t>
            </w:r>
          </w:p>
        </w:tc>
        <w:tc>
          <w:tcPr>
            <w:tcW w:w="146" w:type="dxa"/>
            <w:tcBorders/>
            <w:shd w:fill="FFFFFF" w:val="clear"/>
            <w:vAlign w:val="center"/>
          </w:tcPr>
          <w:p>
            <w:pPr>
              <w:pStyle w:val="TableContents"/>
              <w:bidi w:val="0"/>
              <w:spacing w:before="0" w:after="283"/>
              <w:jc w:val="left"/>
              <w:rPr/>
            </w:pPr>
            <w:r>
              <w:rPr/>
              <w:t> </w:t>
            </w:r>
          </w:p>
        </w:tc>
        <w:tc>
          <w:tcPr>
            <w:tcW w:w="114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1" w:type="dxa"/>
            <w:gridSpan w:val="2"/>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Preferred stock, par value per share $0.0001, 10,000,000</w:t>
            </w:r>
            <w:r>
              <w:rPr>
                <w:rFonts w:ascii="Times New Roman" w:hAnsi="Times New Roman"/>
                <w:color w:val="000000"/>
                <w:sz w:val="20"/>
              </w:rPr>
              <w:t> </w:t>
            </w:r>
            <w:r>
              <w:rPr>
                <w:rFonts w:ascii="Times New Roman" w:hAnsi="Times New Roman"/>
                <w:color w:val="000000"/>
                <w:sz w:val="19"/>
              </w:rPr>
              <w:t>shares authorized; 0</w:t>
            </w:r>
            <w:r>
              <w:rPr>
                <w:rFonts w:ascii="Times New Roman" w:hAnsi="Times New Roman"/>
                <w:color w:val="000000"/>
                <w:sz w:val="20"/>
              </w:rPr>
              <w:t> </w:t>
            </w:r>
            <w:r>
              <w:rPr>
                <w:rFonts w:ascii="Times New Roman" w:hAnsi="Times New Roman"/>
                <w:color w:val="000000"/>
                <w:sz w:val="19"/>
              </w:rPr>
              <w:t>shares issued and outstanding at March 31, 2024 and December 31, 2023</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Class A common stock, par value per share $0.0001, 500,000,000</w:t>
            </w:r>
            <w:r>
              <w:rPr>
                <w:rFonts w:ascii="Times New Roman" w:hAnsi="Times New Roman"/>
                <w:color w:val="000000"/>
                <w:sz w:val="20"/>
              </w:rPr>
              <w:t> </w:t>
            </w:r>
            <w:r>
              <w:rPr>
                <w:rFonts w:ascii="Times New Roman" w:hAnsi="Times New Roman"/>
                <w:color w:val="000000"/>
                <w:sz w:val="19"/>
              </w:rPr>
              <w:t>shares authorized; 10,869,286</w:t>
            </w:r>
            <w:r>
              <w:rPr>
                <w:rFonts w:ascii="Times New Roman" w:hAnsi="Times New Roman"/>
                <w:color w:val="000000"/>
                <w:sz w:val="20"/>
              </w:rPr>
              <w:t> </w:t>
            </w:r>
            <w:r>
              <w:rPr>
                <w:rFonts w:ascii="Times New Roman" w:hAnsi="Times New Roman"/>
                <w:color w:val="000000"/>
                <w:sz w:val="19"/>
              </w:rPr>
              <w:t>and 10,683,736</w:t>
            </w:r>
            <w:r>
              <w:rPr>
                <w:rFonts w:ascii="Times New Roman" w:hAnsi="Times New Roman"/>
                <w:color w:val="000000"/>
                <w:sz w:val="20"/>
              </w:rPr>
              <w:t> </w:t>
            </w:r>
            <w:r>
              <w:rPr>
                <w:rFonts w:ascii="Times New Roman" w:hAnsi="Times New Roman"/>
                <w:color w:val="000000"/>
                <w:sz w:val="19"/>
              </w:rPr>
              <w:t>shares issued at March 31, 2024 and December 31, 2023, respectively; 10,819,723</w:t>
            </w:r>
            <w:r>
              <w:rPr>
                <w:rFonts w:ascii="Times New Roman" w:hAnsi="Times New Roman"/>
                <w:color w:val="000000"/>
                <w:sz w:val="20"/>
              </w:rPr>
              <w:t> </w:t>
            </w:r>
            <w:r>
              <w:rPr>
                <w:rFonts w:ascii="Times New Roman" w:hAnsi="Times New Roman"/>
                <w:color w:val="000000"/>
                <w:sz w:val="19"/>
              </w:rPr>
              <w:t>and 10,634,173</w:t>
            </w:r>
            <w:r>
              <w:rPr>
                <w:rFonts w:ascii="Times New Roman" w:hAnsi="Times New Roman"/>
                <w:color w:val="000000"/>
                <w:sz w:val="20"/>
              </w:rPr>
              <w:t> </w:t>
            </w:r>
            <w:r>
              <w:rPr>
                <w:rFonts w:ascii="Times New Roman" w:hAnsi="Times New Roman"/>
                <w:color w:val="000000"/>
                <w:sz w:val="19"/>
              </w:rPr>
              <w:t>shares outstanding at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9"/>
              </w:rPr>
              <w:t>Class V common stock, par value per share $0.0001, 100,000,000</w:t>
            </w:r>
            <w:r>
              <w:rPr>
                <w:rFonts w:ascii="Times New Roman" w:hAnsi="Times New Roman"/>
                <w:color w:val="000000"/>
                <w:sz w:val="20"/>
              </w:rPr>
              <w:t> </w:t>
            </w:r>
            <w:r>
              <w:rPr>
                <w:rFonts w:ascii="Times New Roman" w:hAnsi="Times New Roman"/>
                <w:color w:val="000000"/>
                <w:sz w:val="19"/>
              </w:rPr>
              <w:t>shares authorized; 1,514,082</w:t>
            </w:r>
            <w:r>
              <w:rPr>
                <w:rFonts w:ascii="Times New Roman" w:hAnsi="Times New Roman"/>
                <w:color w:val="000000"/>
                <w:sz w:val="20"/>
              </w:rPr>
              <w:t> </w:t>
            </w:r>
            <w:r>
              <w:rPr>
                <w:rFonts w:ascii="Times New Roman" w:hAnsi="Times New Roman"/>
                <w:color w:val="000000"/>
                <w:sz w:val="19"/>
              </w:rPr>
              <w:t>shares issued and outstanding at March 31, 2024 and December 31, 2023, respectively;</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296,733</w:t>
            </w:r>
          </w:p>
        </w:tc>
        <w:tc>
          <w:tcPr>
            <w:tcW w:w="513" w:type="dxa"/>
            <w:tcBorders/>
            <w:shd w:fill="FFFFFF" w:val="clear"/>
            <w:vAlign w:val="center"/>
          </w:tcPr>
          <w:p>
            <w:pPr>
              <w:pStyle w:val="TableContents"/>
              <w:bidi w:val="0"/>
              <w:spacing w:before="0" w:after="283"/>
              <w:ind w:left="0" w:right="0" w:firstLine="100"/>
              <w:jc w:val="left"/>
              <w:rPr/>
            </w:pPr>
            <w:r>
              <w:rPr/>
              <w:t> </w:t>
            </w:r>
          </w:p>
        </w:tc>
      </w:tr>
      <w:tr>
        <w:trPr/>
        <w:tc>
          <w:tcPr>
            <w:tcW w:w="6880" w:type="dxa"/>
            <w:tcBorders/>
            <w:shd w:fill="B7DEE8"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Accumulated other comprehensive gain (loss)</w:t>
            </w:r>
          </w:p>
        </w:tc>
        <w:tc>
          <w:tcPr>
            <w:tcW w:w="146" w:type="dxa"/>
            <w:tcBorders/>
            <w:shd w:fill="B7DEE8" w:val="clear"/>
            <w:vAlign w:val="center"/>
          </w:tcPr>
          <w:p>
            <w:pPr>
              <w:pStyle w:val="TableContents"/>
              <w:bidi w:val="0"/>
              <w:spacing w:before="0" w:after="283"/>
              <w:jc w:val="left"/>
              <w:rPr/>
            </w:pPr>
            <w:r>
              <w:rPr/>
              <w:t> </w:t>
            </w:r>
          </w:p>
        </w:tc>
        <w:tc>
          <w:tcPr>
            <w:tcW w:w="229" w:type="dxa"/>
            <w:tcBorders/>
            <w:shd w:fill="B7DEE8" w:val="clear"/>
            <w:vAlign w:val="center"/>
          </w:tcPr>
          <w:p>
            <w:pPr>
              <w:pStyle w:val="TableContents"/>
              <w:bidi w:val="0"/>
              <w:spacing w:before="0" w:after="283"/>
              <w:jc w:val="left"/>
              <w:rPr/>
            </w:pPr>
            <w:r>
              <w:rPr/>
              <w:t> </w:t>
            </w:r>
          </w:p>
        </w:tc>
        <w:tc>
          <w:tcPr>
            <w:tcW w:w="914"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968"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649</w:t>
            </w:r>
          </w:p>
        </w:tc>
        <w:tc>
          <w:tcPr>
            <w:tcW w:w="513" w:type="dxa"/>
            <w:tcBorders/>
            <w:shd w:fill="B7DEE8" w:val="clear"/>
            <w:vAlign w:val="center"/>
          </w:tcPr>
          <w:p>
            <w:pPr>
              <w:pStyle w:val="TableContents"/>
              <w:bidi w:val="0"/>
              <w:spacing w:before="0" w:after="283"/>
              <w:ind w:left="0" w:right="0" w:firstLine="100"/>
              <w:jc w:val="left"/>
              <w:rPr/>
            </w:pPr>
            <w:r>
              <w:rPr/>
              <w:t> </w:t>
            </w:r>
          </w:p>
        </w:tc>
      </w:tr>
      <w:tr>
        <w:trPr/>
        <w:tc>
          <w:tcPr>
            <w:tcW w:w="68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(210,320</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880" w:type="dxa"/>
            <w:tcBorders/>
            <w:shd w:fill="B7DEE8"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stockholders’ equity</w:t>
            </w:r>
          </w:p>
        </w:tc>
        <w:tc>
          <w:tcPr>
            <w:tcW w:w="146" w:type="dxa"/>
            <w:tcBorders/>
            <w:shd w:fill="B7DEE8" w:val="clear"/>
            <w:vAlign w:val="center"/>
          </w:tcPr>
          <w:p>
            <w:pPr>
              <w:pStyle w:val="TableContents"/>
              <w:bidi w:val="0"/>
              <w:spacing w:before="0" w:after="283"/>
              <w:jc w:val="left"/>
              <w:rPr/>
            </w:pPr>
            <w:r>
              <w:rPr/>
              <w:t> </w:t>
            </w:r>
          </w:p>
        </w:tc>
        <w:tc>
          <w:tcPr>
            <w:tcW w:w="22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1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127,314</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6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87,063</w:t>
            </w:r>
          </w:p>
        </w:tc>
        <w:tc>
          <w:tcPr>
            <w:tcW w:w="513" w:type="dxa"/>
            <w:tcBorders>
              <w:bottom w:val="double" w:sz="6"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80"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9"/>
              </w:rPr>
            </w:pPr>
            <w:r>
              <w:rPr>
                <w:rFonts w:ascii="Times New Roman" w:hAnsi="Times New Roman"/>
                <w:b/>
                <w:color w:val="000000"/>
                <w:sz w:val="19"/>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235,599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294,023</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b/>
          <w:color w:val="000000"/>
          <w:sz w:val="20"/>
        </w:rPr>
      </w:pPr>
      <w:bookmarkStart w:id="5" w:name="balancesheet_daveodfunding"/>
      <w:bookmarkEnd w:id="5"/>
      <w:r>
        <w:rPr>
          <w:rFonts w:ascii="Times New Roman" w:hAnsi="Times New Roman"/>
          <w:b/>
          <w:color w:val="000000"/>
          <w:sz w:val="20"/>
        </w:rPr>
        <w:t>Condensed Consolidated Balance Sheets, Continued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 </w:t>
      </w:r>
    </w:p>
    <w:p>
      <w:pPr>
        <w:pStyle w:val="TextBody"/>
        <w:bidi w:val="0"/>
        <w:jc w:val="left"/>
        <w:rPr/>
      </w:pPr>
      <w:r>
        <w:rPr/>
        <w:t> </w:t>
      </w:r>
    </w:p>
    <w:p>
      <w:pPr>
        <w:pStyle w:val="TextBody"/>
        <w:bidi w:val="0"/>
        <w:jc w:val="left"/>
        <w:rPr/>
      </w:pPr>
      <w:r>
        <w:rPr/>
        <w:t> </w:t>
      </w:r>
    </w:p>
    <w:tbl>
      <w:tblPr>
        <w:tblW w:w="9445" w:type="dxa"/>
        <w:jc w:val="left"/>
        <w:tblInd w:w="0" w:type="dxa"/>
        <w:tblLayout w:type="fixed"/>
        <w:tblCellMar>
          <w:top w:w="28" w:type="dxa"/>
          <w:left w:w="28" w:type="dxa"/>
          <w:bottom w:w="28" w:type="dxa"/>
          <w:right w:w="28" w:type="dxa"/>
        </w:tblCellMar>
      </w:tblPr>
      <w:tblGrid>
        <w:gridCol w:w="4421"/>
        <w:gridCol w:w="146"/>
        <w:gridCol w:w="405"/>
        <w:gridCol w:w="1500"/>
        <w:gridCol w:w="146"/>
        <w:gridCol w:w="146"/>
        <w:gridCol w:w="466"/>
        <w:gridCol w:w="1724"/>
        <w:gridCol w:w="491"/>
      </w:tblGrid>
      <w:tr>
        <w:trPr/>
        <w:tc>
          <w:tcPr>
            <w:tcW w:w="4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05" w:type="dxa"/>
            <w:gridSpan w:val="2"/>
            <w:tcBorders/>
            <w:shd w:fill="FFFFFF" w:val="cle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(unaudited)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442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B6DEE8" w:val="clear"/>
            <w:vAlign w:val="center"/>
          </w:tcPr>
          <w:p>
            <w:pPr>
              <w:pStyle w:val="TableContents"/>
              <w:bidi w:val="0"/>
              <w:spacing w:before="0" w:after="283"/>
              <w:jc w:val="left"/>
              <w:rPr/>
            </w:pPr>
            <w:r>
              <w:rPr/>
              <w:t> </w:t>
            </w:r>
          </w:p>
        </w:tc>
        <w:tc>
          <w:tcPr>
            <w:tcW w:w="190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90" w:type="dxa"/>
            <w:gridSpan w:val="2"/>
            <w:tcBorders/>
            <w:shd w:fill="B6DEE8" w:val="clear"/>
            <w:vAlign w:val="center"/>
          </w:tcPr>
          <w:p>
            <w:pPr>
              <w:pStyle w:val="TableContents"/>
              <w:bidi w:val="0"/>
              <w:spacing w:before="0" w:after="283"/>
              <w:jc w:val="left"/>
              <w:rPr/>
            </w:pPr>
            <w:r>
              <w:rPr/>
              <w:t> </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37,684</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4421" w:type="dxa"/>
            <w:tcBorders/>
            <w:shd w:fill="B6DEE8"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B6DEE8" w:val="clear"/>
            <w:vAlign w:val="center"/>
          </w:tcPr>
          <w:p>
            <w:pPr>
              <w:pStyle w:val="TableContents"/>
              <w:bidi w:val="0"/>
              <w:spacing w:before="0" w:after="283"/>
              <w:jc w:val="left"/>
              <w:rPr/>
            </w:pPr>
            <w:r>
              <w:rPr/>
              <w:t> </w:t>
            </w:r>
          </w:p>
        </w:tc>
        <w:tc>
          <w:tcPr>
            <w:tcW w:w="405" w:type="dxa"/>
            <w:tcBorders/>
            <w:shd w:fill="B6DEE8" w:val="clear"/>
            <w:vAlign w:val="center"/>
          </w:tcPr>
          <w:p>
            <w:pPr>
              <w:pStyle w:val="TableContents"/>
              <w:bidi w:val="0"/>
              <w:spacing w:before="0" w:after="283"/>
              <w:jc w:val="left"/>
              <w:rPr/>
            </w:pPr>
            <w:r>
              <w:rPr/>
              <w:t> </w:t>
            </w:r>
          </w:p>
        </w:tc>
        <w:tc>
          <w:tcPr>
            <w:tcW w:w="150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66" w:type="dxa"/>
            <w:tcBorders/>
            <w:shd w:fill="B6DEE8" w:val="clear"/>
            <w:vAlign w:val="center"/>
          </w:tcPr>
          <w:p>
            <w:pPr>
              <w:pStyle w:val="TableContents"/>
              <w:bidi w:val="0"/>
              <w:spacing w:before="0" w:after="283"/>
              <w:jc w:val="left"/>
              <w:rPr/>
            </w:pPr>
            <w:r>
              <w:rPr/>
              <w:t> </w:t>
            </w:r>
          </w:p>
        </w:tc>
        <w:tc>
          <w:tcPr>
            <w:tcW w:w="172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21,264</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Member advances, net of allowance for credit losses</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1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95,812</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4421" w:type="dxa"/>
            <w:tcBorders/>
            <w:shd w:fill="B6DEE8"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Debt facility commitment fee, current</w:t>
            </w:r>
          </w:p>
        </w:tc>
        <w:tc>
          <w:tcPr>
            <w:tcW w:w="146" w:type="dxa"/>
            <w:tcBorders/>
            <w:shd w:fill="B6DEE8" w:val="clear"/>
            <w:vAlign w:val="center"/>
          </w:tcPr>
          <w:p>
            <w:pPr>
              <w:pStyle w:val="TableContents"/>
              <w:bidi w:val="0"/>
              <w:spacing w:before="0" w:after="283"/>
              <w:jc w:val="left"/>
              <w:rPr/>
            </w:pPr>
            <w:r>
              <w:rPr/>
              <w:t> </w:t>
            </w:r>
          </w:p>
        </w:tc>
        <w:tc>
          <w:tcPr>
            <w:tcW w:w="405" w:type="dxa"/>
            <w:tcBorders/>
            <w:shd w:fill="B6DEE8" w:val="clear"/>
            <w:vAlign w:val="center"/>
          </w:tcPr>
          <w:p>
            <w:pPr>
              <w:pStyle w:val="TableContents"/>
              <w:bidi w:val="0"/>
              <w:spacing w:before="0" w:after="283"/>
              <w:jc w:val="left"/>
              <w:rPr/>
            </w:pPr>
            <w:r>
              <w:rPr/>
              <w:t> </w:t>
            </w:r>
          </w:p>
        </w:tc>
        <w:tc>
          <w:tcPr>
            <w:tcW w:w="150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66" w:type="dxa"/>
            <w:tcBorders/>
            <w:shd w:fill="B6DEE8" w:val="clear"/>
            <w:vAlign w:val="center"/>
          </w:tcPr>
          <w:p>
            <w:pPr>
              <w:pStyle w:val="TableContents"/>
              <w:bidi w:val="0"/>
              <w:spacing w:before="0" w:after="283"/>
              <w:jc w:val="left"/>
              <w:rPr/>
            </w:pPr>
            <w:r>
              <w:rPr/>
              <w:t> </w:t>
            </w:r>
          </w:p>
        </w:tc>
        <w:tc>
          <w:tcPr>
            <w:tcW w:w="172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Debt facility commitment fee, long-term</w:t>
            </w:r>
          </w:p>
        </w:tc>
        <w:tc>
          <w:tcPr>
            <w:tcW w:w="146" w:type="dxa"/>
            <w:tcBorders/>
            <w:shd w:fill="FFFFFF" w:val="cle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21" w:type="dxa"/>
            <w:tcBorders/>
            <w:shd w:fill="B6DEE8"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B6DEE8" w:val="clear"/>
            <w:vAlign w:val="center"/>
          </w:tcPr>
          <w:p>
            <w:pPr>
              <w:pStyle w:val="TableContents"/>
              <w:bidi w:val="0"/>
              <w:spacing w:before="0" w:after="283"/>
              <w:jc w:val="left"/>
              <w:rPr/>
            </w:pPr>
            <w:r>
              <w:rPr/>
              <w:t> </w:t>
            </w:r>
          </w:p>
        </w:tc>
        <w:tc>
          <w:tcPr>
            <w:tcW w:w="4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160,129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155,217</w:t>
            </w:r>
          </w:p>
        </w:tc>
        <w:tc>
          <w:tcPr>
            <w:tcW w:w="4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4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4421" w:type="dxa"/>
            <w:tcBorders/>
            <w:shd w:fill="B6DEE8"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B6DEE8" w:val="clear"/>
            <w:vAlign w:val="center"/>
          </w:tcPr>
          <w:p>
            <w:pPr>
              <w:pStyle w:val="TableContents"/>
              <w:bidi w:val="0"/>
              <w:spacing w:before="0" w:after="283"/>
              <w:jc w:val="left"/>
              <w:rPr/>
            </w:pPr>
            <w:r>
              <w:rPr/>
              <w:t> </w:t>
            </w:r>
          </w:p>
        </w:tc>
        <w:tc>
          <w:tcPr>
            <w:tcW w:w="405" w:type="dxa"/>
            <w:tcBorders/>
            <w:shd w:fill="B6DEE8" w:val="clear"/>
            <w:vAlign w:val="center"/>
          </w:tcPr>
          <w:p>
            <w:pPr>
              <w:pStyle w:val="TableContents"/>
              <w:bidi w:val="0"/>
              <w:spacing w:before="0" w:after="283"/>
              <w:jc w:val="left"/>
              <w:rPr/>
            </w:pPr>
            <w:r>
              <w:rPr/>
              <w:t> </w:t>
            </w:r>
          </w:p>
        </w:tc>
        <w:tc>
          <w:tcPr>
            <w:tcW w:w="150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66" w:type="dxa"/>
            <w:tcBorders/>
            <w:shd w:fill="B6DEE8" w:val="clear"/>
            <w:vAlign w:val="center"/>
          </w:tcPr>
          <w:p>
            <w:pPr>
              <w:pStyle w:val="TableContents"/>
              <w:bidi w:val="0"/>
              <w:spacing w:before="0" w:after="283"/>
              <w:jc w:val="left"/>
              <w:rPr/>
            </w:pPr>
            <w:r>
              <w:rPr/>
              <w:t> </w:t>
            </w:r>
          </w:p>
        </w:tc>
        <w:tc>
          <w:tcPr>
            <w:tcW w:w="172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debt facility</w:t>
            </w:r>
          </w:p>
        </w:tc>
        <w:tc>
          <w:tcPr>
            <w:tcW w:w="146" w:type="dxa"/>
            <w:tcBorders/>
            <w:shd w:fill="FFFFFF" w:val="cle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21" w:type="dxa"/>
            <w:tcBorders/>
            <w:shd w:fill="B6DEE8"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B6DEE8" w:val="clear"/>
            <w:vAlign w:val="center"/>
          </w:tcPr>
          <w:p>
            <w:pPr>
              <w:pStyle w:val="TableContents"/>
              <w:bidi w:val="0"/>
              <w:spacing w:before="0" w:after="283"/>
              <w:jc w:val="left"/>
              <w:rPr/>
            </w:pPr>
            <w:r>
              <w:rPr/>
              <w:t> </w:t>
            </w:r>
          </w:p>
        </w:tc>
        <w:tc>
          <w:tcPr>
            <w:tcW w:w="4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75,659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75,661</w:t>
            </w:r>
          </w:p>
        </w:tc>
        <w:tc>
          <w:tcPr>
            <w:tcW w:w="4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spacing w:before="7" w:after="283"/>
        <w:jc w:val="center"/>
        <w:rPr>
          <w:rFonts w:ascii="Times New Roman" w:hAnsi="Times New Roman"/>
          <w:b/>
          <w:color w:val="000000"/>
          <w:sz w:val="20"/>
        </w:rPr>
      </w:pPr>
      <w:bookmarkStart w:id="6" w:name="statementsofoperatrions"/>
      <w:bookmarkEnd w:id="6"/>
      <w:r>
        <w:rPr>
          <w:rFonts w:ascii="Times New Roman" w:hAnsi="Times New Roman"/>
          <w:b/>
          <w:color w:val="000000"/>
          <w:sz w:val="20"/>
        </w:rPr>
        <w:t>Condensed Consolidated Statements of Operations</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(in thousands; except per share data)</w:t>
      </w:r>
    </w:p>
    <w:p>
      <w:pPr>
        <w:pStyle w:val="TextBody"/>
        <w:bidi w:val="0"/>
        <w:spacing w:before="12" w:after="283"/>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12" w:after="283"/>
        <w:jc w:val="center"/>
        <w:rPr/>
      </w:pPr>
      <w:r>
        <w:rPr/>
        <w:t> </w:t>
      </w:r>
    </w:p>
    <w:tbl>
      <w:tblPr>
        <w:tblW w:w="9690" w:type="dxa"/>
        <w:jc w:val="left"/>
        <w:tblInd w:w="0" w:type="dxa"/>
        <w:tblLayout w:type="fixed"/>
        <w:tblCellMar>
          <w:top w:w="28" w:type="dxa"/>
          <w:left w:w="28" w:type="dxa"/>
          <w:bottom w:w="28" w:type="dxa"/>
          <w:right w:w="28" w:type="dxa"/>
        </w:tblCellMar>
      </w:tblPr>
      <w:tblGrid>
        <w:gridCol w:w="5941"/>
        <w:gridCol w:w="246"/>
        <w:gridCol w:w="243"/>
        <w:gridCol w:w="1197"/>
        <w:gridCol w:w="166"/>
        <w:gridCol w:w="146"/>
        <w:gridCol w:w="243"/>
        <w:gridCol w:w="1197"/>
        <w:gridCol w:w="311"/>
      </w:tblGrid>
      <w:tr>
        <w:trPr/>
        <w:tc>
          <w:tcPr>
            <w:tcW w:w="59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1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246" w:type="dxa"/>
            <w:tcBorders/>
            <w:shd w:fill="B7DEE8" w:val="clear"/>
            <w:vAlign w:val="center"/>
          </w:tcPr>
          <w:p>
            <w:pPr>
              <w:pStyle w:val="TableContents"/>
              <w:bidi w:val="0"/>
              <w:spacing w:before="0" w:after="283"/>
              <w:jc w:val="left"/>
              <w:rPr/>
            </w:pPr>
            <w:r>
              <w:rPr/>
              <w:t> </w:t>
            </w:r>
          </w:p>
        </w:tc>
        <w:tc>
          <w:tcPr>
            <w:tcW w:w="1440"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40" w:type="dxa"/>
            <w:gridSpan w:val="2"/>
            <w:tcBorders/>
            <w:shd w:fill="B7DEE8" w:val="clear"/>
            <w:vAlign w:val="center"/>
          </w:tcPr>
          <w:p>
            <w:pPr>
              <w:pStyle w:val="TableContents"/>
              <w:bidi w:val="0"/>
              <w:spacing w:before="0" w:after="283"/>
              <w:jc w:val="left"/>
              <w:rPr/>
            </w:pPr>
            <w:r>
              <w:rPr/>
              <w:t> </w:t>
            </w:r>
          </w:p>
        </w:tc>
        <w:tc>
          <w:tcPr>
            <w:tcW w:w="311" w:type="dxa"/>
            <w:tcBorders/>
            <w:shd w:fill="B7DEE8" w:val="clear"/>
            <w:vAlign w:val="center"/>
          </w:tcPr>
          <w:p>
            <w:pPr>
              <w:pStyle w:val="TableContents"/>
              <w:bidi w:val="0"/>
              <w:spacing w:before="0" w:after="283"/>
              <w:ind w:left="0" w:right="0" w:firstLine="100"/>
              <w:jc w:val="left"/>
              <w:rPr/>
            </w:pPr>
            <w:r>
              <w:rPr/>
              <w:t> </w:t>
            </w:r>
          </w:p>
        </w:tc>
      </w:tr>
      <w:tr>
        <w:trPr/>
        <w:tc>
          <w:tcPr>
            <w:tcW w:w="59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based revenue,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941"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based revenue, net</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revenues,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58,928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B7DEE8" w:val="clear"/>
            <w:vAlign w:val="center"/>
          </w:tcPr>
          <w:p>
            <w:pPr>
              <w:pStyle w:val="TableContents"/>
              <w:bidi w:val="0"/>
              <w:spacing w:before="0" w:after="283"/>
              <w:jc w:val="left"/>
              <w:rPr/>
            </w:pPr>
            <w:r>
              <w:rPr/>
              <w:t> </w:t>
            </w:r>
          </w:p>
        </w:tc>
        <w:tc>
          <w:tcPr>
            <w:tcW w:w="1440"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40" w:type="dxa"/>
            <w:gridSpan w:val="2"/>
            <w:tcBorders/>
            <w:shd w:fill="B7DEE8" w:val="clear"/>
            <w:vAlign w:val="center"/>
          </w:tcPr>
          <w:p>
            <w:pPr>
              <w:pStyle w:val="TableContents"/>
              <w:bidi w:val="0"/>
              <w:spacing w:before="0" w:after="283"/>
              <w:jc w:val="left"/>
              <w:rPr/>
            </w:pPr>
            <w:r>
              <w:rPr/>
              <w:t> </w:t>
            </w:r>
          </w:p>
        </w:tc>
        <w:tc>
          <w:tcPr>
            <w:tcW w:w="311" w:type="dxa"/>
            <w:tcBorders/>
            <w:shd w:fill="B7DEE8" w:val="clear"/>
            <w:vAlign w:val="center"/>
          </w:tcPr>
          <w:p>
            <w:pPr>
              <w:pStyle w:val="TableContents"/>
              <w:bidi w:val="0"/>
              <w:spacing w:before="0" w:after="283"/>
              <w:ind w:left="0" w:right="0" w:firstLine="100"/>
              <w:jc w:val="left"/>
              <w:rPr/>
            </w:pPr>
            <w:r>
              <w:rPr/>
              <w:t> </w:t>
            </w:r>
          </w:p>
        </w:tc>
      </w:tr>
      <w:tr>
        <w:trPr/>
        <w:tc>
          <w:tcPr>
            <w:tcW w:w="59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credit losses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941"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servicing costs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311" w:type="dxa"/>
            <w:tcBorders/>
            <w:shd w:fill="B7DEE8" w:val="clear"/>
            <w:vAlign w:val="center"/>
          </w:tcPr>
          <w:p>
            <w:pPr>
              <w:pStyle w:val="TableContents"/>
              <w:bidi w:val="0"/>
              <w:spacing w:before="0" w:after="283"/>
              <w:ind w:left="0" w:right="0" w:firstLine="100"/>
              <w:jc w:val="left"/>
              <w:rPr/>
            </w:pPr>
            <w:r>
              <w:rPr/>
              <w:t> </w:t>
            </w:r>
          </w:p>
        </w:tc>
      </w:tr>
      <w:tr>
        <w:trPr/>
        <w:tc>
          <w:tcPr>
            <w:tcW w:w="59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Advertising and marketing</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941"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and benefits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24,367</w:t>
            </w:r>
          </w:p>
        </w:tc>
        <w:tc>
          <w:tcPr>
            <w:tcW w:w="311" w:type="dxa"/>
            <w:tcBorders/>
            <w:shd w:fill="B7DEE8" w:val="clear"/>
            <w:vAlign w:val="center"/>
          </w:tcPr>
          <w:p>
            <w:pPr>
              <w:pStyle w:val="TableContents"/>
              <w:bidi w:val="0"/>
              <w:spacing w:before="0" w:after="283"/>
              <w:ind w:left="0" w:right="0" w:firstLine="100"/>
              <w:jc w:val="left"/>
              <w:rPr/>
            </w:pPr>
            <w:r>
              <w:rPr/>
              <w:t> </w:t>
            </w:r>
          </w:p>
        </w:tc>
      </w:tr>
      <w:tr>
        <w:trPr/>
        <w:tc>
          <w:tcPr>
            <w:tcW w:w="59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operating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B7DEE8"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68,231</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71,410</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2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941"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311"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5941"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extinguishment of convertible debt</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B7DEE8" w:val="clear"/>
            <w:vAlign w:val="center"/>
          </w:tcPr>
          <w:p>
            <w:pPr>
              <w:pStyle w:val="TableContents"/>
              <w:bidi w:val="0"/>
              <w:spacing w:before="0" w:after="283"/>
              <w:ind w:left="0" w:right="0" w:firstLine="100"/>
              <w:jc w:val="left"/>
              <w:rPr/>
            </w:pPr>
            <w:r>
              <w:rPr/>
              <w:t> </w:t>
            </w:r>
          </w:p>
        </w:tc>
      </w:tr>
      <w:tr>
        <w:trPr/>
        <w:tc>
          <w:tcPr>
            <w:tcW w:w="59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(income) expense,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before provision for income taxes</w:t>
            </w:r>
          </w:p>
        </w:tc>
        <w:tc>
          <w:tcPr>
            <w:tcW w:w="2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37,446</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center"/>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(14,017</w:t>
            </w:r>
          </w:p>
        </w:tc>
        <w:tc>
          <w:tcPr>
            <w:tcW w:w="311" w:type="dxa"/>
            <w:tcBorders/>
            <w:shd w:fill="B7DEE8"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B7DEE8"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income (loss)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4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34,243</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(14,025</w:t>
            </w:r>
          </w:p>
        </w:tc>
        <w:tc>
          <w:tcPr>
            <w:tcW w:w="3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5941"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w:t>
            </w:r>
          </w:p>
        </w:tc>
        <w:tc>
          <w:tcPr>
            <w:tcW w:w="246" w:type="dxa"/>
            <w:tcBorders/>
            <w:shd w:fill="B7DEE8" w:val="clear"/>
            <w:vAlign w:val="center"/>
          </w:tcPr>
          <w:p>
            <w:pPr>
              <w:pStyle w:val="TableContents"/>
              <w:bidi w:val="0"/>
              <w:spacing w:before="0" w:after="283"/>
              <w:jc w:val="left"/>
              <w:rPr/>
            </w:pPr>
            <w:r>
              <w:rPr/>
              <w:t> </w:t>
            </w:r>
          </w:p>
        </w:tc>
        <w:tc>
          <w:tcPr>
            <w:tcW w:w="1440"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40" w:type="dxa"/>
            <w:gridSpan w:val="2"/>
            <w:tcBorders/>
            <w:shd w:fill="B7DEE8" w:val="clear"/>
            <w:vAlign w:val="center"/>
          </w:tcPr>
          <w:p>
            <w:pPr>
              <w:pStyle w:val="TableContents"/>
              <w:bidi w:val="0"/>
              <w:spacing w:before="0" w:after="283"/>
              <w:jc w:val="left"/>
              <w:rPr/>
            </w:pPr>
            <w:r>
              <w:rPr/>
              <w:t> </w:t>
            </w:r>
          </w:p>
        </w:tc>
        <w:tc>
          <w:tcPr>
            <w:tcW w:w="311" w:type="dxa"/>
            <w:tcBorders/>
            <w:shd w:fill="B7DEE8"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1"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income (loss) per share</w:t>
            </w:r>
          </w:p>
        </w:tc>
        <w:tc>
          <w:tcPr>
            <w:tcW w:w="2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5941"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12,220,199</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1197" w:type="dxa"/>
            <w:tcBorders/>
            <w:shd w:fill="B7DEE8"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11,815,448</w:t>
            </w:r>
          </w:p>
        </w:tc>
        <w:tc>
          <w:tcPr>
            <w:tcW w:w="311" w:type="dxa"/>
            <w:tcBorders/>
            <w:shd w:fill="B7DEE8" w:val="clear"/>
            <w:vAlign w:val="center"/>
          </w:tcPr>
          <w:p>
            <w:pPr>
              <w:pStyle w:val="TableContents"/>
              <w:bidi w:val="0"/>
              <w:spacing w:before="0" w:after="283"/>
              <w:jc w:val="left"/>
              <w:rPr/>
            </w:pPr>
            <w:r>
              <w:rPr/>
              <w:t> </w:t>
            </w:r>
          </w:p>
        </w:tc>
      </w:tr>
      <w:tr>
        <w:trPr/>
        <w:tc>
          <w:tcPr>
            <w:tcW w:w="59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13,182,517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11,815,448</w:t>
            </w:r>
          </w:p>
        </w:tc>
        <w:tc>
          <w:tcPr>
            <w:tcW w:w="311" w:type="dxa"/>
            <w:tcBorders/>
            <w:shd w:fill="FFFFFF" w:val="cle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Dave Inc.</w:t>
      </w:r>
    </w:p>
    <w:p>
      <w:pPr>
        <w:pStyle w:val="TextBody"/>
        <w:bidi w:val="0"/>
        <w:jc w:val="center"/>
        <w:rPr>
          <w:rFonts w:ascii="Times New Roman" w:hAnsi="Times New Roman"/>
          <w:b/>
          <w:color w:val="000000"/>
          <w:sz w:val="18"/>
        </w:rPr>
      </w:pPr>
      <w:bookmarkStart w:id="7" w:name="consolidatedstatementofcomprehensiveloss"/>
      <w:bookmarkEnd w:id="7"/>
      <w:r>
        <w:rPr>
          <w:rFonts w:ascii="Times New Roman" w:hAnsi="Times New Roman"/>
          <w:b/>
          <w:color w:val="000000"/>
          <w:sz w:val="18"/>
        </w:rPr>
        <w:t>Condensed Consolidated Statements of Comprehensive Income (loss)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rFonts w:ascii="Times New Roman" w:hAnsi="Times New Roman"/>
          <w:sz w:val="20"/>
        </w:rPr>
      </w:pPr>
      <w:r>
        <w:rPr>
          <w:rFonts w:ascii="Times New Roman" w:hAnsi="Times New Roman"/>
          <w:i/>
          <w:color w:val="000000"/>
          <w:sz w:val="18"/>
        </w:rPr>
        <w:t>(unaudited)</w:t>
      </w:r>
      <w:r>
        <w:rPr>
          <w:rFonts w:ascii="Times New Roman" w:hAnsi="Times New Roman"/>
          <w:color w:val="000000"/>
          <w:sz w:val="20"/>
        </w:rPr>
        <w:t xml:space="preserve"> </w:t>
      </w:r>
    </w:p>
    <w:p>
      <w:pPr>
        <w:pStyle w:val="TextBody"/>
        <w:bidi w:val="0"/>
        <w:jc w:val="center"/>
        <w:rPr/>
      </w:pPr>
      <w:r>
        <w:rPr/>
        <w:t> </w:t>
      </w:r>
    </w:p>
    <w:tbl>
      <w:tblPr>
        <w:tblW w:w="8602" w:type="dxa"/>
        <w:jc w:val="left"/>
        <w:tblInd w:w="0" w:type="dxa"/>
        <w:tblLayout w:type="fixed"/>
        <w:tblCellMar>
          <w:top w:w="28" w:type="dxa"/>
          <w:left w:w="28" w:type="dxa"/>
          <w:bottom w:w="28" w:type="dxa"/>
          <w:right w:w="28" w:type="dxa"/>
        </w:tblCellMar>
      </w:tblPr>
      <w:tblGrid>
        <w:gridCol w:w="4611"/>
        <w:gridCol w:w="346"/>
        <w:gridCol w:w="342"/>
        <w:gridCol w:w="1098"/>
        <w:gridCol w:w="199"/>
        <w:gridCol w:w="175"/>
        <w:gridCol w:w="320"/>
        <w:gridCol w:w="1120"/>
        <w:gridCol w:w="391"/>
      </w:tblGrid>
      <w:tr>
        <w:trPr/>
        <w:tc>
          <w:tcPr>
            <w:tcW w:w="46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2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B6DEE8" w:val="clear"/>
            <w:vAlign w:val="center"/>
          </w:tcPr>
          <w:p>
            <w:pPr>
              <w:pStyle w:val="TableContents"/>
              <w:bidi w:val="0"/>
              <w:spacing w:before="0" w:after="283"/>
              <w:jc w:val="left"/>
              <w:rPr/>
            </w:pPr>
            <w:r>
              <w:rPr/>
              <w:t> </w:t>
            </w:r>
          </w:p>
        </w:tc>
        <w:tc>
          <w:tcPr>
            <w:tcW w:w="34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34,243</w:t>
            </w:r>
          </w:p>
        </w:tc>
        <w:tc>
          <w:tcPr>
            <w:tcW w:w="199" w:type="dxa"/>
            <w:tcBorders/>
            <w:shd w:fill="B6DEE8" w:val="clear"/>
            <w:vAlign w:val="center"/>
          </w:tcPr>
          <w:p>
            <w:pPr>
              <w:pStyle w:val="TableContents"/>
              <w:bidi w:val="0"/>
              <w:spacing w:before="0" w:after="283"/>
              <w:jc w:val="left"/>
              <w:rPr/>
            </w:pPr>
            <w:r>
              <w:rPr/>
              <w:t> </w:t>
            </w:r>
          </w:p>
        </w:tc>
        <w:tc>
          <w:tcPr>
            <w:tcW w:w="175" w:type="dxa"/>
            <w:tcBorders/>
            <w:shd w:fill="B6DEE8" w:val="clear"/>
            <w:vAlign w:val="center"/>
          </w:tcPr>
          <w:p>
            <w:pPr>
              <w:pStyle w:val="TableContents"/>
              <w:bidi w:val="0"/>
              <w:spacing w:before="0" w:after="283"/>
              <w:jc w:val="left"/>
              <w:rPr/>
            </w:pPr>
            <w:r>
              <w:rPr/>
              <w:t> </w:t>
            </w:r>
          </w:p>
        </w:tc>
        <w:tc>
          <w:tcPr>
            <w:tcW w:w="320"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(14,025</w:t>
            </w:r>
          </w:p>
        </w:tc>
        <w:tc>
          <w:tcPr>
            <w:tcW w:w="39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gain:</w:t>
            </w:r>
          </w:p>
        </w:tc>
        <w:tc>
          <w:tcPr>
            <w:tcW w:w="3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611" w:type="dxa"/>
            <w:tcBorders/>
            <w:shd w:fill="B6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available-for-sale securities</w:t>
            </w:r>
          </w:p>
        </w:tc>
        <w:tc>
          <w:tcPr>
            <w:tcW w:w="346" w:type="dxa"/>
            <w:tcBorders/>
            <w:shd w:fill="B6DEE8" w:val="clear"/>
            <w:vAlign w:val="center"/>
          </w:tcPr>
          <w:p>
            <w:pPr>
              <w:pStyle w:val="TableContents"/>
              <w:bidi w:val="0"/>
              <w:spacing w:before="0" w:after="283"/>
              <w:ind w:left="200" w:right="0" w:firstLine="200"/>
              <w:jc w:val="left"/>
              <w:rPr/>
            </w:pPr>
            <w:r>
              <w:rPr/>
              <w:t> </w:t>
            </w:r>
          </w:p>
        </w:tc>
        <w:tc>
          <w:tcPr>
            <w:tcW w:w="3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B6DEE8" w:val="clear"/>
            <w:vAlign w:val="center"/>
          </w:tcPr>
          <w:p>
            <w:pPr>
              <w:pStyle w:val="TableContents"/>
              <w:bidi w:val="0"/>
              <w:spacing w:before="0" w:after="283"/>
              <w:jc w:val="left"/>
              <w:rPr/>
            </w:pPr>
            <w:r>
              <w:rPr/>
              <w:t> </w:t>
            </w:r>
          </w:p>
        </w:tc>
        <w:tc>
          <w:tcPr>
            <w:tcW w:w="3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3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6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3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33,597</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0"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(13,242</w:t>
            </w:r>
          </w:p>
        </w:tc>
        <w:tc>
          <w:tcPr>
            <w:tcW w:w="3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statementstockholdersequity"/>
      <w:bookmarkEnd w:id="8"/>
      <w:r>
        <w:rPr>
          <w:rFonts w:ascii="Times New Roman" w:hAnsi="Times New Roman"/>
          <w:b/>
          <w:color w:val="000000"/>
          <w:sz w:val="20"/>
        </w:rPr>
        <w:t>Condensed Consolidated Statement of</w:t>
      </w:r>
      <w:r>
        <w:rPr>
          <w:rFonts w:ascii="Times New Roman" w:hAnsi="Times New Roman"/>
          <w:color w:val="000000"/>
          <w:sz w:val="20"/>
        </w:rPr>
        <w:t xml:space="preserve"> </w:t>
      </w: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623"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46"/>
        <w:gridCol w:w="146"/>
        <w:gridCol w:w="146"/>
        <w:gridCol w:w="363"/>
        <w:gridCol w:w="808"/>
        <w:gridCol w:w="166"/>
        <w:gridCol w:w="217"/>
        <w:gridCol w:w="834"/>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center"/>
              <w:rPr/>
            </w:pPr>
            <w:r>
              <w:rPr/>
              <w:t> </w:t>
            </w:r>
          </w:p>
        </w:tc>
        <w:tc>
          <w:tcPr>
            <w:tcW w:w="4000" w:type="dxa"/>
            <w:gridSpan w:val="1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income</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2024</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10,634,173</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296,733</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363" w:type="dxa"/>
            <w:tcBorders/>
            <w:shd w:fill="B7DEE8" w:val="clear"/>
            <w:vAlign w:val="center"/>
          </w:tcPr>
          <w:p>
            <w:pPr>
              <w:pStyle w:val="TableContents"/>
              <w:bidi w:val="0"/>
              <w:spacing w:before="0" w:after="283"/>
              <w:jc w:val="left"/>
              <w:rPr/>
            </w:pPr>
            <w:r>
              <w:rPr/>
              <w:t> </w:t>
            </w:r>
          </w:p>
        </w:tc>
        <w:tc>
          <w:tcPr>
            <w:tcW w:w="808"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649</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(210,320</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87,063</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in connection with stock plans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185,550</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524</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6,130</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363" w:type="dxa"/>
            <w:tcBorders/>
            <w:shd w:fill="B7DEE8" w:val="clear"/>
            <w:vAlign w:val="center"/>
          </w:tcPr>
          <w:p>
            <w:pPr>
              <w:pStyle w:val="TableContents"/>
              <w:bidi w:val="0"/>
              <w:spacing w:before="0" w:after="283"/>
              <w:jc w:val="left"/>
              <w:rPr/>
            </w:pPr>
            <w:r>
              <w:rPr/>
              <w:t> </w:t>
            </w:r>
          </w:p>
        </w:tc>
        <w:tc>
          <w:tcPr>
            <w:tcW w:w="808"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1051" w:type="dxa"/>
            <w:gridSpan w:val="2"/>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right"/>
              <w:rPr/>
            </w:pPr>
            <w:r>
              <w:rPr/>
              <w:t> </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6,130</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1"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(646</w:t>
            </w:r>
          </w:p>
        </w:tc>
        <w:tc>
          <w:tcPr>
            <w:tcW w:w="2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34,243</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34,243</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10,819,723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303,387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(176,077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127,314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643"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66"/>
        <w:gridCol w:w="146"/>
        <w:gridCol w:w="146"/>
        <w:gridCol w:w="299"/>
        <w:gridCol w:w="872"/>
        <w:gridCol w:w="166"/>
        <w:gridCol w:w="217"/>
        <w:gridCol w:w="834"/>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center"/>
              <w:rPr/>
            </w:pPr>
            <w:r>
              <w:rPr/>
              <w:t> </w:t>
            </w:r>
          </w:p>
        </w:tc>
        <w:tc>
          <w:tcPr>
            <w:tcW w:w="4000" w:type="dxa"/>
            <w:gridSpan w:val="1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5" w:type="dxa"/>
            <w:gridSpan w:val="5"/>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2023</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10,284,657</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270,037</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299"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2"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(1,675</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(161,803</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106,560</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in connection with stock plans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68,311</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for fractional shares after reverse stock split</w:t>
            </w:r>
          </w:p>
        </w:tc>
        <w:tc>
          <w:tcPr>
            <w:tcW w:w="1062" w:type="dxa"/>
            <w:gridSpan w:val="2"/>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691" w:type="dxa"/>
            <w:gridSpan w:val="2"/>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972" w:type="dxa"/>
            <w:gridSpan w:val="2"/>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691" w:type="dxa"/>
            <w:gridSpan w:val="2"/>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171" w:type="dxa"/>
            <w:gridSpan w:val="2"/>
            <w:tcBorders/>
            <w:shd w:fill="B7DEE8" w:val="clear"/>
            <w:vAlign w:val="center"/>
          </w:tcPr>
          <w:p>
            <w:pPr>
              <w:pStyle w:val="TableContents"/>
              <w:bidi w:val="0"/>
              <w:spacing w:before="0" w:after="283"/>
              <w:jc w:val="right"/>
              <w:rPr/>
            </w:pPr>
            <w:r>
              <w:rPr/>
              <w:t> </w:t>
            </w:r>
          </w:p>
        </w:tc>
        <w:tc>
          <w:tcPr>
            <w:tcW w:w="166" w:type="dxa"/>
            <w:tcBorders/>
            <w:shd w:fill="B7DEE8" w:val="clear"/>
            <w:vAlign w:val="center"/>
          </w:tcPr>
          <w:p>
            <w:pPr>
              <w:pStyle w:val="TableContents"/>
              <w:bidi w:val="0"/>
              <w:spacing w:before="0" w:after="283"/>
              <w:jc w:val="right"/>
              <w:rPr/>
            </w:pPr>
            <w:r>
              <w:rPr/>
              <w:t> </w:t>
            </w:r>
          </w:p>
        </w:tc>
        <w:tc>
          <w:tcPr>
            <w:tcW w:w="1051" w:type="dxa"/>
            <w:gridSpan w:val="2"/>
            <w:tcBorders/>
            <w:shd w:fill="B7DEE8" w:val="clear"/>
            <w:vAlign w:val="center"/>
          </w:tcPr>
          <w:p>
            <w:pPr>
              <w:pStyle w:val="TableContents"/>
              <w:bidi w:val="0"/>
              <w:spacing w:before="0" w:after="283"/>
              <w:jc w:val="right"/>
              <w:rPr/>
            </w:pPr>
            <w:r>
              <w:rPr/>
              <w:t> </w:t>
            </w:r>
          </w:p>
        </w:tc>
        <w:tc>
          <w:tcPr>
            <w:tcW w:w="166" w:type="dxa"/>
            <w:tcBorders/>
            <w:shd w:fill="B7DEE8" w:val="clear"/>
            <w:vAlign w:val="center"/>
          </w:tcPr>
          <w:p>
            <w:pPr>
              <w:pStyle w:val="TableContents"/>
              <w:bidi w:val="0"/>
              <w:spacing w:before="0" w:after="283"/>
              <w:jc w:val="right"/>
              <w:rPr/>
            </w:pPr>
            <w:r>
              <w:rPr/>
              <w:t> </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w:t>
            </w:r>
          </w:p>
        </w:tc>
        <w:tc>
          <w:tcPr>
            <w:tcW w:w="21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6,774</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 on available-for-sale securities</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299" w:type="dxa"/>
            <w:tcBorders/>
            <w:shd w:fill="B7DEE8" w:val="clear"/>
            <w:vAlign w:val="center"/>
          </w:tcPr>
          <w:p>
            <w:pPr>
              <w:pStyle w:val="TableContents"/>
              <w:bidi w:val="0"/>
              <w:spacing w:before="0" w:after="283"/>
              <w:jc w:val="left"/>
              <w:rPr/>
            </w:pPr>
            <w:r>
              <w:rPr/>
              <w:t> </w:t>
            </w:r>
          </w:p>
        </w:tc>
        <w:tc>
          <w:tcPr>
            <w:tcW w:w="872"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783</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2023</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10,352,968</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276,799</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(892</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(175,828</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100,080</w:t>
            </w:r>
          </w:p>
        </w:tc>
        <w:tc>
          <w:tcPr>
            <w:tcW w:w="2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bookmarkStart w:id="9" w:name="consolidatedstatementsofcashflows"/>
      <w:bookmarkEnd w:id="9"/>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4"/>
        <w:gridCol w:w="346"/>
        <w:gridCol w:w="247"/>
        <w:gridCol w:w="862"/>
        <w:gridCol w:w="194"/>
        <w:gridCol w:w="170"/>
        <w:gridCol w:w="247"/>
        <w:gridCol w:w="862"/>
        <w:gridCol w:w="413"/>
      </w:tblGrid>
      <w:tr>
        <w:trPr/>
        <w:tc>
          <w:tcPr>
            <w:tcW w:w="68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86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58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413" w:type="dxa"/>
            <w:tcBorders/>
            <w:shd w:fill="FFFFFF" w:val="clear"/>
            <w:vAlign w:val="center"/>
          </w:tcPr>
          <w:p>
            <w:pPr>
              <w:pStyle w:val="TableContents"/>
              <w:bidi w:val="0"/>
              <w:spacing w:before="0" w:after="283"/>
              <w:jc w:val="center"/>
              <w:rPr/>
            </w:pPr>
            <w:r>
              <w:rPr/>
              <w:t> </w:t>
            </w:r>
          </w:p>
        </w:tc>
      </w:tr>
      <w:tr>
        <w:trPr/>
        <w:tc>
          <w:tcPr>
            <w:tcW w:w="686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10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86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109" w:type="dxa"/>
            <w:gridSpan w:val="2"/>
            <w:tcBorders/>
            <w:shd w:fill="FFFFFF" w:val="clear"/>
            <w:vAlign w:val="center"/>
          </w:tcPr>
          <w:p>
            <w:pPr>
              <w:pStyle w:val="TableContents"/>
              <w:bidi w:val="0"/>
              <w:spacing w:before="0" w:after="283"/>
              <w:jc w:val="center"/>
              <w:rPr/>
            </w:pPr>
            <w:r>
              <w:rPr/>
              <w:t> </w:t>
            </w:r>
          </w:p>
        </w:tc>
        <w:tc>
          <w:tcPr>
            <w:tcW w:w="413" w:type="dxa"/>
            <w:tcBorders/>
            <w:shd w:fill="FFFFFF" w:val="clear"/>
            <w:vAlign w:val="center"/>
          </w:tcPr>
          <w:p>
            <w:pPr>
              <w:pStyle w:val="TableContents"/>
              <w:bidi w:val="0"/>
              <w:spacing w:before="0" w:after="283"/>
              <w:jc w:val="center"/>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346"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413" w:type="dxa"/>
            <w:tcBorders/>
            <w:shd w:fill="B7DEE8" w:val="clear"/>
            <w:vAlign w:val="center"/>
          </w:tcPr>
          <w:p>
            <w:pPr>
              <w:pStyle w:val="TableContents"/>
              <w:bidi w:val="0"/>
              <w:spacing w:before="0" w:after="283"/>
              <w:jc w:val="left"/>
              <w:rPr/>
            </w:pPr>
            <w:r>
              <w:rPr/>
              <w:t> </w:t>
            </w:r>
          </w:p>
        </w:tc>
      </w:tr>
      <w:tr>
        <w:trPr/>
        <w:tc>
          <w:tcPr>
            <w:tcW w:w="68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3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34,243</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(14,025</w:t>
            </w:r>
          </w:p>
        </w:tc>
        <w:tc>
          <w:tcPr>
            <w:tcW w:w="4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reconcile net income (loss) to net cash used in operating activities:</w:t>
            </w:r>
          </w:p>
        </w:tc>
        <w:tc>
          <w:tcPr>
            <w:tcW w:w="346"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413" w:type="dxa"/>
            <w:tcBorders/>
            <w:shd w:fill="B7DEE8" w:val="clear"/>
            <w:vAlign w:val="center"/>
          </w:tcPr>
          <w:p>
            <w:pPr>
              <w:pStyle w:val="TableContents"/>
              <w:bidi w:val="0"/>
              <w:spacing w:before="0" w:after="283"/>
              <w:ind w:left="0" w:right="0" w:firstLine="200"/>
              <w:jc w:val="left"/>
              <w:rPr/>
            </w:pPr>
            <w:r>
              <w:rPr/>
              <w:t> </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11,953</w:t>
            </w:r>
          </w:p>
        </w:tc>
        <w:tc>
          <w:tcPr>
            <w:tcW w:w="413" w:type="dxa"/>
            <w:tcBorders/>
            <w:shd w:fill="B7DEE8" w:val="clear"/>
            <w:vAlign w:val="center"/>
          </w:tcPr>
          <w:p>
            <w:pPr>
              <w:pStyle w:val="TableContents"/>
              <w:bidi w:val="0"/>
              <w:spacing w:before="0" w:after="283"/>
              <w:ind w:left="0" w:right="0" w:firstLine="200"/>
              <w:jc w:val="left"/>
              <w:rPr/>
            </w:pPr>
            <w:r>
              <w:rPr/>
              <w:t> </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convertible debt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413" w:type="dxa"/>
            <w:tcBorders/>
            <w:shd w:fill="B7DEE8" w:val="clear"/>
            <w:vAlign w:val="center"/>
          </w:tcPr>
          <w:p>
            <w:pPr>
              <w:pStyle w:val="TableContents"/>
              <w:bidi w:val="0"/>
              <w:spacing w:before="0" w:after="283"/>
              <w:ind w:left="0" w:right="0" w:firstLine="200"/>
              <w:jc w:val="left"/>
              <w:rPr/>
            </w:pPr>
            <w:r>
              <w:rPr/>
              <w:t> </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4"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marketable securities and investments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413" w:type="dxa"/>
            <w:tcBorders/>
            <w:shd w:fill="FFFFFF" w:val="clear"/>
            <w:vAlign w:val="center"/>
          </w:tcPr>
          <w:p>
            <w:pPr>
              <w:pStyle w:val="TableContents"/>
              <w:bidi w:val="0"/>
              <w:spacing w:before="0" w:after="283"/>
              <w:jc w:val="left"/>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346"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413" w:type="dxa"/>
            <w:tcBorders/>
            <w:shd w:fill="B7DEE8" w:val="clear"/>
            <w:vAlign w:val="center"/>
          </w:tcPr>
          <w:p>
            <w:pPr>
              <w:pStyle w:val="TableContents"/>
              <w:bidi w:val="0"/>
              <w:spacing w:before="0" w:after="283"/>
              <w:ind w:left="0" w:right="0" w:firstLine="200"/>
              <w:jc w:val="left"/>
              <w:rPr/>
            </w:pPr>
            <w:r>
              <w:rPr/>
              <w:t> </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Member advances, service based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income taxes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3" w:type="dxa"/>
            <w:tcBorders/>
            <w:shd w:fill="B7DEE8" w:val="clear"/>
            <w:vAlign w:val="center"/>
          </w:tcPr>
          <w:p>
            <w:pPr>
              <w:pStyle w:val="TableContents"/>
              <w:bidi w:val="0"/>
              <w:spacing w:before="0" w:after="283"/>
              <w:ind w:left="0" w:right="0" w:firstLine="200"/>
              <w:jc w:val="left"/>
              <w:rPr/>
            </w:pPr>
            <w:r>
              <w:rPr/>
              <w:t> </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w:t>
            </w:r>
          </w:p>
        </w:tc>
        <w:tc>
          <w:tcPr>
            <w:tcW w:w="1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w:t>
            </w:r>
          </w:p>
        </w:tc>
        <w:tc>
          <w:tcPr>
            <w:tcW w:w="41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 accrual</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94"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w:t>
            </w:r>
          </w:p>
        </w:tc>
        <w:tc>
          <w:tcPr>
            <w:tcW w:w="41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shd w:fill="B7DEE8" w:val="clear"/>
            <w:vAlign w:val="center"/>
          </w:tcPr>
          <w:p>
            <w:pPr>
              <w:pStyle w:val="TableContents"/>
              <w:bidi w:val="0"/>
              <w:spacing w:before="0" w:after="283"/>
              <w:ind w:left="0" w:right="0" w:firstLine="200"/>
              <w:jc w:val="left"/>
              <w:rPr/>
            </w:pPr>
            <w:r>
              <w:rPr/>
              <w:t> </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346" w:type="dxa"/>
            <w:tcBorders/>
            <w:shd w:fill="B7DEE8" w:val="clear"/>
            <w:vAlign w:val="center"/>
          </w:tcPr>
          <w:p>
            <w:pPr>
              <w:pStyle w:val="TableContents"/>
              <w:bidi w:val="0"/>
              <w:spacing w:before="0" w:after="283"/>
              <w:jc w:val="left"/>
              <w:rPr/>
            </w:pPr>
            <w:r>
              <w:rP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18,344</w:t>
            </w:r>
          </w:p>
        </w:tc>
        <w:tc>
          <w:tcPr>
            <w:tcW w:w="1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(6,929</w:t>
            </w:r>
          </w:p>
        </w:tc>
        <w:tc>
          <w:tcPr>
            <w:tcW w:w="4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6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346"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413" w:type="dxa"/>
            <w:tcBorders/>
            <w:shd w:fill="B7DEE8" w:val="clear"/>
            <w:vAlign w:val="center"/>
          </w:tcPr>
          <w:p>
            <w:pPr>
              <w:pStyle w:val="TableContents"/>
              <w:bidi w:val="0"/>
              <w:spacing w:before="0" w:after="283"/>
              <w:ind w:left="0" w:right="0" w:firstLine="200"/>
              <w:jc w:val="left"/>
              <w:rPr/>
            </w:pPr>
            <w:r>
              <w:rPr/>
              <w:t> </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internally developed software costs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4"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41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disbursements and collections of Member advances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1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(20,889</w:t>
            </w:r>
          </w:p>
        </w:tc>
        <w:tc>
          <w:tcPr>
            <w:tcW w:w="194"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41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and maturity of investments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90,315</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65,390</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(59,165</w:t>
            </w:r>
          </w:p>
        </w:tc>
        <w:tc>
          <w:tcPr>
            <w:tcW w:w="194"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(34,145</w:t>
            </w:r>
          </w:p>
        </w:tc>
        <w:tc>
          <w:tcPr>
            <w:tcW w:w="413"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marketable securities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investing activities</w:t>
            </w:r>
          </w:p>
        </w:tc>
        <w:tc>
          <w:tcPr>
            <w:tcW w:w="346" w:type="dxa"/>
            <w:tcBorders/>
            <w:shd w:fill="B7DEE8" w:val="clear"/>
            <w:vAlign w:val="center"/>
          </w:tcPr>
          <w:p>
            <w:pPr>
              <w:pStyle w:val="TableContents"/>
              <w:bidi w:val="0"/>
              <w:spacing w:before="0" w:after="283"/>
              <w:jc w:val="left"/>
              <w:rPr/>
            </w:pPr>
            <w:r>
              <w:rP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66,125</w:t>
            </w:r>
          </w:p>
        </w:tc>
        <w:tc>
          <w:tcPr>
            <w:tcW w:w="1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35,806</w:t>
            </w:r>
          </w:p>
        </w:tc>
        <w:tc>
          <w:tcPr>
            <w:tcW w:w="4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6864"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346"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413" w:type="dxa"/>
            <w:tcBorders/>
            <w:shd w:fill="B7DEE8" w:val="clear"/>
            <w:vAlign w:val="center"/>
          </w:tcPr>
          <w:p>
            <w:pPr>
              <w:pStyle w:val="TableContents"/>
              <w:bidi w:val="0"/>
              <w:spacing w:before="0" w:after="283"/>
              <w:ind w:left="0" w:right="0" w:firstLine="200"/>
              <w:jc w:val="left"/>
              <w:rPr/>
            </w:pPr>
            <w:r>
              <w:rPr/>
              <w:t> </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for fractional shares on reverse stock split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4" w:type="dxa"/>
            <w:tcBorders/>
            <w:shd w:fill="B7DEE8"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for stock option exercises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3" w:type="dxa"/>
            <w:tcBorders/>
            <w:shd w:fill="B7DEE8" w:val="clear"/>
            <w:vAlign w:val="center"/>
          </w:tcPr>
          <w:p>
            <w:pPr>
              <w:pStyle w:val="TableContents"/>
              <w:bidi w:val="0"/>
              <w:spacing w:before="0" w:after="283"/>
              <w:ind w:left="0" w:right="0" w:firstLine="200"/>
              <w:jc w:val="left"/>
              <w:rPr/>
            </w:pPr>
            <w:r>
              <w:rPr/>
              <w:t> </w:t>
            </w:r>
          </w:p>
        </w:tc>
      </w:tr>
      <w:tr>
        <w:trPr/>
        <w:tc>
          <w:tcPr>
            <w:tcW w:w="686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borrowings on convertible debt, long-term</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(71,000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financing activities</w:t>
            </w:r>
          </w:p>
        </w:tc>
        <w:tc>
          <w:tcPr>
            <w:tcW w:w="346" w:type="dxa"/>
            <w:tcBorders/>
            <w:shd w:fill="B7DEE8" w:val="clear"/>
            <w:vAlign w:val="center"/>
          </w:tcPr>
          <w:p>
            <w:pPr>
              <w:pStyle w:val="TableContents"/>
              <w:bidi w:val="0"/>
              <w:spacing w:before="0" w:after="283"/>
              <w:jc w:val="left"/>
              <w:rPr/>
            </w:pPr>
            <w:r>
              <w:rP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(70,476</w:t>
            </w:r>
          </w:p>
        </w:tc>
        <w:tc>
          <w:tcPr>
            <w:tcW w:w="1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shd w:fill="B7DEE8" w:val="clear"/>
            <w:vAlign w:val="center"/>
          </w:tcPr>
          <w:p>
            <w:pPr>
              <w:pStyle w:val="TableContents"/>
              <w:bidi w:val="0"/>
              <w:spacing w:before="0" w:after="283"/>
              <w:jc w:val="left"/>
              <w:rPr/>
            </w:pPr>
            <w:r>
              <w:rPr/>
              <w:t> </w:t>
            </w:r>
          </w:p>
        </w:tc>
        <w:tc>
          <w:tcPr>
            <w:tcW w:w="24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4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6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 and restricted cash</w:t>
            </w:r>
          </w:p>
        </w:tc>
        <w:tc>
          <w:tcPr>
            <w:tcW w:w="346"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13,993</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shd w:fill="B7DEE8" w:val="clear"/>
            <w:vAlign w:val="center"/>
          </w:tcPr>
          <w:p>
            <w:pPr>
              <w:pStyle w:val="TableContents"/>
              <w:bidi w:val="0"/>
              <w:spacing w:before="0" w:after="283"/>
              <w:jc w:val="left"/>
              <w:rPr/>
            </w:pPr>
            <w:r>
              <w:rPr/>
              <w:t> </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28,865</w:t>
            </w:r>
          </w:p>
        </w:tc>
        <w:tc>
          <w:tcPr>
            <w:tcW w:w="413" w:type="dxa"/>
            <w:tcBorders/>
            <w:shd w:fill="B7DEE8" w:val="clear"/>
            <w:vAlign w:val="center"/>
          </w:tcPr>
          <w:p>
            <w:pPr>
              <w:pStyle w:val="TableContents"/>
              <w:bidi w:val="0"/>
              <w:spacing w:before="0" w:after="283"/>
              <w:jc w:val="left"/>
              <w:rPr/>
            </w:pPr>
            <w:r>
              <w:rPr/>
              <w:t> </w:t>
            </w:r>
          </w:p>
        </w:tc>
      </w:tr>
      <w:tr>
        <w:trPr/>
        <w:tc>
          <w:tcPr>
            <w:tcW w:w="68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beginning of the period</w:t>
            </w:r>
          </w:p>
        </w:tc>
        <w:tc>
          <w:tcPr>
            <w:tcW w:w="3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and restricted cash, end of the period</w:t>
            </w:r>
          </w:p>
        </w:tc>
        <w:tc>
          <w:tcPr>
            <w:tcW w:w="346" w:type="dxa"/>
            <w:tcBorders/>
            <w:shd w:fill="B7DEE8" w:val="clear"/>
            <w:vAlign w:val="center"/>
          </w:tcPr>
          <w:p>
            <w:pPr>
              <w:pStyle w:val="TableContents"/>
              <w:bidi w:val="0"/>
              <w:spacing w:before="0" w:after="283"/>
              <w:jc w:val="left"/>
              <w:rPr/>
            </w:pPr>
            <w:r>
              <w:rPr/>
              <w:t> </w:t>
            </w:r>
          </w:p>
        </w:tc>
        <w:tc>
          <w:tcPr>
            <w:tcW w:w="24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57,071</w:t>
            </w:r>
          </w:p>
        </w:tc>
        <w:tc>
          <w:tcPr>
            <w:tcW w:w="19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24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52,542</w:t>
            </w:r>
          </w:p>
        </w:tc>
        <w:tc>
          <w:tcPr>
            <w:tcW w:w="41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686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346"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right"/>
              <w:rPr/>
            </w:pPr>
            <w:r>
              <w:rPr/>
              <w:t> </w:t>
            </w:r>
          </w:p>
        </w:tc>
        <w:tc>
          <w:tcPr>
            <w:tcW w:w="1109" w:type="dxa"/>
            <w:gridSpan w:val="2"/>
            <w:tcBorders/>
            <w:shd w:fill="B7DEE8" w:val="clear"/>
            <w:vAlign w:val="center"/>
          </w:tcPr>
          <w:p>
            <w:pPr>
              <w:pStyle w:val="TableContents"/>
              <w:bidi w:val="0"/>
              <w:spacing w:before="0" w:after="283"/>
              <w:jc w:val="right"/>
              <w:rPr/>
            </w:pPr>
            <w:r>
              <w:rPr/>
              <w:t> </w:t>
            </w:r>
          </w:p>
        </w:tc>
        <w:tc>
          <w:tcPr>
            <w:tcW w:w="413" w:type="dxa"/>
            <w:tcBorders/>
            <w:shd w:fill="B7DEE8" w:val="clear"/>
            <w:vAlign w:val="center"/>
          </w:tcPr>
          <w:p>
            <w:pPr>
              <w:pStyle w:val="TableContents"/>
              <w:bidi w:val="0"/>
              <w:spacing w:before="0" w:after="283"/>
              <w:ind w:left="0" w:right="0" w:firstLine="100"/>
              <w:jc w:val="right"/>
              <w:rPr/>
            </w:pPr>
            <w:r>
              <w:rPr/>
              <w:t> </w:t>
            </w:r>
          </w:p>
        </w:tc>
      </w:tr>
      <w:tr>
        <w:trPr/>
        <w:tc>
          <w:tcPr>
            <w:tcW w:w="686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purchases in accounts payable and accrued liabilities</w:t>
            </w:r>
          </w:p>
        </w:tc>
        <w:tc>
          <w:tcPr>
            <w:tcW w:w="346" w:type="dxa"/>
            <w:tcBorders/>
            <w:shd w:fill="FFFFFF" w:val="clear"/>
            <w:vAlign w:val="center"/>
          </w:tcPr>
          <w:p>
            <w:pPr>
              <w:pStyle w:val="TableContents"/>
              <w:bidi w:val="0"/>
              <w:spacing w:before="0" w:after="283"/>
              <w:ind w:left="100" w:right="0" w:firstLine="100"/>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3" w:type="dxa"/>
            <w:tcBorders/>
            <w:shd w:fill="FFFFFF" w:val="clear"/>
            <w:vAlign w:val="center"/>
          </w:tcPr>
          <w:p>
            <w:pPr>
              <w:pStyle w:val="TableContents"/>
              <w:bidi w:val="0"/>
              <w:spacing w:before="0" w:after="283"/>
              <w:jc w:val="left"/>
              <w:rPr/>
            </w:pPr>
            <w:r>
              <w:rPr/>
              <w:t> </w:t>
            </w:r>
          </w:p>
        </w:tc>
      </w:tr>
      <w:tr>
        <w:trPr/>
        <w:tc>
          <w:tcPr>
            <w:tcW w:w="6864"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righ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413" w:type="dxa"/>
            <w:tcBorders/>
            <w:shd w:fill="B7DEE8" w:val="clear"/>
            <w:vAlign w:val="center"/>
          </w:tcPr>
          <w:p>
            <w:pPr>
              <w:pStyle w:val="TableContents"/>
              <w:bidi w:val="0"/>
              <w:spacing w:before="0" w:after="283"/>
              <w:jc w:val="left"/>
              <w:rPr/>
            </w:pPr>
            <w:r>
              <w:rPr/>
              <w:t> </w:t>
            </w:r>
          </w:p>
        </w:tc>
      </w:tr>
      <w:tr>
        <w:trPr/>
        <w:tc>
          <w:tcPr>
            <w:tcW w:w="686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paid for:</w:t>
            </w:r>
          </w:p>
        </w:tc>
        <w:tc>
          <w:tcPr>
            <w:tcW w:w="3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100"/>
              <w:jc w:val="left"/>
              <w:rPr/>
            </w:pPr>
            <w:r>
              <w:rPr/>
              <w:t> </w:t>
            </w:r>
          </w:p>
        </w:tc>
      </w:tr>
      <w:tr>
        <w:trPr/>
        <w:tc>
          <w:tcPr>
            <w:tcW w:w="6864" w:type="dxa"/>
            <w:tcBorders/>
            <w:shd w:fill="B7DEE8"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w:t>
            </w:r>
          </w:p>
        </w:tc>
        <w:tc>
          <w:tcPr>
            <w:tcW w:w="346" w:type="dxa"/>
            <w:tcBorders/>
            <w:shd w:fill="B7DEE8" w:val="clear"/>
            <w:vAlign w:val="center"/>
          </w:tcPr>
          <w:p>
            <w:pPr>
              <w:pStyle w:val="TableContents"/>
              <w:bidi w:val="0"/>
              <w:spacing w:before="0" w:after="283"/>
              <w:ind w:left="100" w:right="0" w:firstLine="100"/>
              <w:jc w:val="left"/>
              <w:rPr/>
            </w:pPr>
            <w:r>
              <w:rPr/>
              <w:t> </w:t>
            </w:r>
          </w:p>
        </w:tc>
        <w:tc>
          <w:tcPr>
            <w:tcW w:w="24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right"/>
              <w:rPr/>
            </w:pPr>
            <w:r>
              <w:rPr/>
              <w:t> </w:t>
            </w:r>
          </w:p>
        </w:tc>
        <w:tc>
          <w:tcPr>
            <w:tcW w:w="24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413" w:type="dxa"/>
            <w:tcBorders/>
            <w:shd w:fill="B7DEE8" w:val="clear"/>
            <w:vAlign w:val="center"/>
          </w:tcPr>
          <w:p>
            <w:pPr>
              <w:pStyle w:val="TableContents"/>
              <w:bidi w:val="0"/>
              <w:spacing w:before="0" w:after="283"/>
              <w:jc w:val="left"/>
              <w:rPr/>
            </w:pPr>
            <w:r>
              <w:rPr/>
              <w:t> </w:t>
            </w:r>
          </w:p>
        </w:tc>
      </w:tr>
      <w:tr>
        <w:trPr/>
        <w:tc>
          <w:tcPr>
            <w:tcW w:w="686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righ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jc w:val="right"/>
              <w:rPr/>
            </w:pPr>
            <w:r>
              <w:rPr/>
              <w:t> </w:t>
            </w:r>
          </w:p>
        </w:tc>
      </w:tr>
      <w:tr>
        <w:trPr/>
        <w:tc>
          <w:tcPr>
            <w:tcW w:w="6864"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table provides a reconciliation of cash and cash equivalents, and restricted cash reported within the condensed consolidated balance sheets with the same as shown in the condensed consolidated statement of cash flows</w:t>
            </w:r>
          </w:p>
        </w:tc>
        <w:tc>
          <w:tcPr>
            <w:tcW w:w="346"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194" w:type="dxa"/>
            <w:tcBorders/>
            <w:shd w:fill="B7DEE8" w:val="clear"/>
            <w:vAlign w:val="center"/>
          </w:tcPr>
          <w:p>
            <w:pPr>
              <w:pStyle w:val="TableContents"/>
              <w:bidi w:val="0"/>
              <w:spacing w:before="0" w:after="283"/>
              <w:jc w:val="left"/>
              <w:rPr/>
            </w:pPr>
            <w:r>
              <w:rPr/>
              <w:t> </w:t>
            </w:r>
          </w:p>
        </w:tc>
        <w:tc>
          <w:tcPr>
            <w:tcW w:w="170" w:type="dxa"/>
            <w:tcBorders/>
            <w:shd w:fill="B7DEE8" w:val="clear"/>
            <w:vAlign w:val="center"/>
          </w:tcPr>
          <w:p>
            <w:pPr>
              <w:pStyle w:val="TableContents"/>
              <w:bidi w:val="0"/>
              <w:spacing w:before="0" w:after="283"/>
              <w:jc w:val="left"/>
              <w:rPr/>
            </w:pPr>
            <w:r>
              <w:rPr/>
              <w:t> </w:t>
            </w:r>
          </w:p>
        </w:tc>
        <w:tc>
          <w:tcPr>
            <w:tcW w:w="1109" w:type="dxa"/>
            <w:gridSpan w:val="2"/>
            <w:tcBorders/>
            <w:shd w:fill="B7DEE8" w:val="clear"/>
            <w:vAlign w:val="center"/>
          </w:tcPr>
          <w:p>
            <w:pPr>
              <w:pStyle w:val="TableContents"/>
              <w:bidi w:val="0"/>
              <w:spacing w:before="0" w:after="283"/>
              <w:jc w:val="left"/>
              <w:rPr/>
            </w:pPr>
            <w:r>
              <w:rPr/>
              <w:t> </w:t>
            </w:r>
          </w:p>
        </w:tc>
        <w:tc>
          <w:tcPr>
            <w:tcW w:w="413" w:type="dxa"/>
            <w:tcBorders/>
            <w:shd w:fill="B7DEE8" w:val="clear"/>
            <w:vAlign w:val="center"/>
          </w:tcPr>
          <w:p>
            <w:pPr>
              <w:pStyle w:val="TableContents"/>
              <w:bidi w:val="0"/>
              <w:spacing w:before="0" w:after="283"/>
              <w:jc w:val="left"/>
              <w:rPr/>
            </w:pPr>
            <w:r>
              <w:rPr/>
              <w:t> </w:t>
            </w:r>
          </w:p>
        </w:tc>
      </w:tr>
      <w:tr>
        <w:trPr/>
        <w:tc>
          <w:tcPr>
            <w:tcW w:w="68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55,525</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51,754</w:t>
            </w:r>
          </w:p>
        </w:tc>
        <w:tc>
          <w:tcPr>
            <w:tcW w:w="413"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59" w:type="dxa"/>
        <w:jc w:val="left"/>
        <w:tblInd w:w="0" w:type="dxa"/>
        <w:tblLayout w:type="fixed"/>
        <w:tblCellMar>
          <w:top w:w="28" w:type="dxa"/>
          <w:left w:w="28" w:type="dxa"/>
          <w:bottom w:w="28" w:type="dxa"/>
          <w:right w:w="28" w:type="dxa"/>
        </w:tblCellMar>
      </w:tblPr>
      <w:tblGrid>
        <w:gridCol w:w="5656"/>
        <w:gridCol w:w="146"/>
        <w:gridCol w:w="211"/>
        <w:gridCol w:w="676"/>
        <w:gridCol w:w="146"/>
        <w:gridCol w:w="146"/>
        <w:gridCol w:w="211"/>
        <w:gridCol w:w="676"/>
        <w:gridCol w:w="191"/>
      </w:tblGrid>
      <w:tr>
        <w:trPr/>
        <w:tc>
          <w:tcPr>
            <w:tcW w:w="5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5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B7DEE8" w:val="clear"/>
            <w:vAlign w:val="center"/>
          </w:tcPr>
          <w:p>
            <w:pPr>
              <w:pStyle w:val="TableContents"/>
              <w:bidi w:val="0"/>
              <w:spacing w:before="0" w:after="283"/>
              <w:jc w:val="left"/>
              <w:rPr/>
            </w:pPr>
            <w:r>
              <w:rPr/>
              <w:t> </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9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56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 end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52,542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notestoconsolidatedfinancialstatements"/>
      <w:bookmarkEnd w:id="10"/>
      <w:r>
        <w:rPr>
          <w:rFonts w:ascii="Times New Roman" w:hAnsi="Times New Roman"/>
          <w:b/>
          <w:color w:val="000000"/>
          <w:sz w:val="20"/>
        </w:rPr>
        <w:t>Note 1 Organization and Nature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Dave Inc. (“Dave” or the “Company”), a Delaware corporation, with headquarters located in Los Angeles, California, is a financial services company. Dave offers a suite of innovative financial products aimed at helping Members improve their financial health. To help Members avoid punitive overdraft fees and access short-term liquidity, Dave offers cash advances through its flagship 0% interest ExtraCash product. Through Dave Banking, the Company provides a digital checking account experience with valuable tools for building long-term financial health. Dave also helps Members generate extra income for spending or emergencies through Dave’s Side Hustle product and Surveys, where Dave presents Members with supplemental work and income opportunities.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ExtraCash: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Many Americans are often unable to maintain a positive balance between paychecks, driving a reliance on overdraft products, payday loans, auto title loans and other forms of expensive credit to put food on the table, gas in their car or pay for unexpected emergencies. For example, traditional banks charge up to $35 for access to as little as $5 of overdraft, and many others in the financial services sector do not allow for overdraft at all. Dave invented a short-term liquidity alternative called ExtraCash, offered through our partnership with Evolve Bank &amp; Trust, a federal reserve member bank and member of the FDIC ("Evolve"), which allows Members to receive a cash advance of up to $500 with an option to advance funds to their bank account via the automated clearing house (ACH) network (which typically takes two to five business days) and avoid fees altogether. Members also have the option to advance funds to their bank account via the debit card network (which typically takes minutes or hours) for an instant transfer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Dave Banking: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Dave offers a full-service digital checking account through our partnership with Evolve. Dave Banking accounts do not have overdraft or minimum balance fees, allow for early paycheck payment, offer a Dave debit card to facilitate everyday spending including cashback reward offers, and provide FDIC insurance on checking account balances up to $250,000. Moreover, Dave Banking Members receive features to support their financial health such as 4.00% annual percentage yield ("APY") deposit rates on both checking and savings account balances, Goals savings accounts and opt-in round-up savings on debit transactions in addition to receiving lower ExtraCash instant transfer fees.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Budget: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Leveraging our data connections to Members' bank accounts and spending activity, Dave offers a personal financial management tool to support Members with budgeting, wherever someone banks. With Budget, Dave helps Members to manage their income and expenses between paychecks and avoid liquidity jams that may cause them to overdraft. Dave tracks Members’ income and expenses, and we let them know about estimated upcoming bills and other expenses. Budget will monitor their linked bank account held at a depository institution, including a Dave Banking account, and will let them know when they are in danger of having insufficient funds in their account. This helps Members avoid overdrafts, returned transactions and bank fees.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Side Hustle and Surveys: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Dave seeks to help Members improve their financial health by offering them opportunities to generate supplemental income through two channels: Side Hustle and Surveys. Through Side Hustle, our Members can quickly submit applications to leading employers, including UberEats, Lyft, and Costco that can lead to increased income with flexible employment. Our Surveys product allows for additional earning opportunities, allowing Members to take paid surveys anytime within the Dave mobile application. These channels drive engagement within the Dave ecosystem and deepen our relationship to our Members’ financial wellbeing.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condensed consolidated financial statements have been prepared in accordance with accounting principles generally accepted in the United States of America (“U.S. GAAP”).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4, 2023, the Board approved an amendment to the Company’s certificate of incorporation to complete a 1-for-32 reverse stock split effective January 5, 2023. At a special meeting held on December 16, 2022, stockholders approved the reverse stock split. The primary goal of the reverse stock split was to bring the Company’s stock price above the share bid price requirement for continued listing on Nasdaq. The effects of the reverse stock split have been reflected in the condensed consolidated financial statements and the footnotes.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consolidated financial statements include the accounts of the Company and a variable interest entity (“VIE”). All intercompany transactions and balances have been eliminated upon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consolidated balance sheets. The assets of Dave OD are restricted and may only be used to settle obligations of Dave OD.</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these consolidated financial statements requires the Company to make estimates and assumptions that affect the reported amounts of assets and liabilities and the disclosure of contingent assets and liabilities as of the date of the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Allowance for credit losses;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results may differ from these estimates under different assumptions or conditions. </w:t>
      </w:r>
    </w:p>
    <w:p>
      <w:pPr>
        <w:pStyle w:val="TextBody"/>
        <w:bidi w:val="0"/>
        <w:spacing w:before="360" w:after="283"/>
        <w:jc w:val="left"/>
        <w:rPr/>
      </w:pPr>
      <w:r>
        <w:rPr/>
        <w:t> </w:t>
      </w:r>
    </w:p>
    <w:p>
      <w:pPr>
        <w:pStyle w:val="TextBody"/>
        <w:bidi w:val="0"/>
        <w:spacing w:before="12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Below is detail of operating revenues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201" w:type="dxa"/>
        <w:jc w:val="left"/>
        <w:tblInd w:w="0" w:type="dxa"/>
        <w:tblLayout w:type="fixed"/>
        <w:tblCellMar>
          <w:top w:w="28" w:type="dxa"/>
          <w:left w:w="28" w:type="dxa"/>
          <w:bottom w:w="28" w:type="dxa"/>
          <w:right w:w="28" w:type="dxa"/>
        </w:tblCellMar>
      </w:tblPr>
      <w:tblGrid>
        <w:gridCol w:w="2626"/>
        <w:gridCol w:w="146"/>
        <w:gridCol w:w="343"/>
        <w:gridCol w:w="1097"/>
        <w:gridCol w:w="179"/>
        <w:gridCol w:w="179"/>
        <w:gridCol w:w="343"/>
        <w:gridCol w:w="1097"/>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fees, net</w:t>
            </w:r>
          </w:p>
        </w:tc>
        <w:tc>
          <w:tcPr>
            <w:tcW w:w="146" w:type="dxa"/>
            <w:tcBorders/>
            <w:shd w:fill="B6DEE8" w:val="clear"/>
            <w:vAlign w:val="center"/>
          </w:tcPr>
          <w:p>
            <w:pPr>
              <w:pStyle w:val="TableContents"/>
              <w:bidi w:val="0"/>
              <w:spacing w:before="0" w:after="283"/>
              <w:jc w:val="left"/>
              <w:rPr/>
            </w:pPr>
            <w:r>
              <w:rPr/>
              <w:t> </w:t>
            </w:r>
          </w:p>
        </w:tc>
        <w:tc>
          <w:tcPr>
            <w:tcW w:w="343"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44,596</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343"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33,002</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14,910</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13,760</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B6DEE8" w:val="clear"/>
            <w:vAlign w:val="center"/>
          </w:tcPr>
          <w:p>
            <w:pPr>
              <w:pStyle w:val="TableContents"/>
              <w:bidi w:val="0"/>
              <w:spacing w:before="0" w:after="283"/>
              <w:jc w:val="left"/>
              <w:rPr/>
            </w:pPr>
            <w:r>
              <w:rPr/>
              <w:t> </w:t>
            </w:r>
          </w:p>
        </w:tc>
        <w:tc>
          <w:tcPr>
            <w:tcW w:w="343" w:type="dxa"/>
            <w:tcBorders/>
            <w:shd w:fill="B6DEE8" w:val="clear"/>
            <w:vAlign w:val="center"/>
          </w:tcPr>
          <w:p>
            <w:pPr>
              <w:pStyle w:val="TableContents"/>
              <w:bidi w:val="0"/>
              <w:spacing w:before="0" w:after="283"/>
              <w:jc w:val="left"/>
              <w:rPr/>
            </w:pPr>
            <w:r>
              <w:rPr/>
              <w:t> </w:t>
            </w:r>
          </w:p>
        </w:tc>
        <w:tc>
          <w:tcPr>
            <w:tcW w:w="10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343" w:type="dxa"/>
            <w:tcBorders/>
            <w:shd w:fill="B6DEE8" w:val="clear"/>
            <w:vAlign w:val="center"/>
          </w:tcPr>
          <w:p>
            <w:pPr>
              <w:pStyle w:val="TableContents"/>
              <w:bidi w:val="0"/>
              <w:spacing w:before="0" w:after="283"/>
              <w:jc w:val="left"/>
              <w:rPr/>
            </w:pPr>
            <w:r>
              <w:rPr/>
              <w:t> </w:t>
            </w:r>
          </w:p>
        </w:tc>
        <w:tc>
          <w:tcPr>
            <w:tcW w:w="10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B6DEE8" w:val="clear"/>
            <w:vAlign w:val="center"/>
          </w:tcPr>
          <w:p>
            <w:pPr>
              <w:pStyle w:val="TableContents"/>
              <w:bidi w:val="0"/>
              <w:spacing w:before="0" w:after="283"/>
              <w:jc w:val="left"/>
              <w:rPr/>
            </w:pPr>
            <w:r>
              <w:rPr/>
              <w:t> </w:t>
            </w:r>
          </w:p>
        </w:tc>
        <w:tc>
          <w:tcPr>
            <w:tcW w:w="1440" w:type="dxa"/>
            <w:gridSpan w:val="2"/>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1440" w:type="dxa"/>
            <w:gridSpan w:val="2"/>
            <w:tcBorders/>
            <w:shd w:fill="B6DEE8" w:val="clear"/>
            <w:vAlign w:val="center"/>
          </w:tcPr>
          <w:p>
            <w:pPr>
              <w:pStyle w:val="TableContents"/>
              <w:bidi w:val="0"/>
              <w:spacing w:before="0" w:after="283"/>
              <w:jc w:val="left"/>
              <w:rPr/>
            </w:pPr>
            <w:r>
              <w:rPr/>
              <w:t> </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Interchange revenue, net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ATM revenue, net</w:t>
            </w:r>
          </w:p>
        </w:tc>
        <w:tc>
          <w:tcPr>
            <w:tcW w:w="146" w:type="dxa"/>
            <w:tcBorders/>
            <w:shd w:fill="B6DEE8" w:val="clear"/>
            <w:vAlign w:val="center"/>
          </w:tcPr>
          <w:p>
            <w:pPr>
              <w:pStyle w:val="TableContents"/>
              <w:bidi w:val="0"/>
              <w:spacing w:before="0" w:after="283"/>
              <w:jc w:val="left"/>
              <w:rPr/>
            </w:pPr>
            <w:r>
              <w:rPr/>
              <w:t> </w:t>
            </w:r>
          </w:p>
        </w:tc>
        <w:tc>
          <w:tcPr>
            <w:tcW w:w="343" w:type="dxa"/>
            <w:tcBorders/>
            <w:shd w:fill="B6DEE8" w:val="clear"/>
            <w:vAlign w:val="center"/>
          </w:tcPr>
          <w:p>
            <w:pPr>
              <w:pStyle w:val="TableContents"/>
              <w:bidi w:val="0"/>
              <w:spacing w:before="0" w:after="283"/>
              <w:jc w:val="left"/>
              <w:rPr/>
            </w:pPr>
            <w:r>
              <w:rPr/>
              <w:t> </w:t>
            </w:r>
          </w:p>
        </w:tc>
        <w:tc>
          <w:tcPr>
            <w:tcW w:w="10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343" w:type="dxa"/>
            <w:tcBorders/>
            <w:shd w:fill="B6DEE8" w:val="clear"/>
            <w:vAlign w:val="center"/>
          </w:tcPr>
          <w:p>
            <w:pPr>
              <w:pStyle w:val="TableContents"/>
              <w:bidi w:val="0"/>
              <w:spacing w:before="0" w:after="283"/>
              <w:jc w:val="left"/>
              <w:rPr/>
            </w:pPr>
            <w:r>
              <w:rPr/>
              <w:t> </w:t>
            </w:r>
          </w:p>
        </w:tc>
        <w:tc>
          <w:tcPr>
            <w:tcW w:w="10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revenues, net</w:t>
            </w:r>
          </w:p>
        </w:tc>
        <w:tc>
          <w:tcPr>
            <w:tcW w:w="146" w:type="dxa"/>
            <w:tcBorders/>
            <w:shd w:fill="B6DEE8" w:val="clear"/>
            <w:vAlign w:val="center"/>
          </w:tcPr>
          <w:p>
            <w:pPr>
              <w:pStyle w:val="TableContents"/>
              <w:bidi w:val="0"/>
              <w:spacing w:before="0" w:after="283"/>
              <w:jc w:val="left"/>
              <w:rPr/>
            </w:pPr>
            <w:r>
              <w:rPr/>
              <w:t> </w:t>
            </w:r>
          </w:p>
        </w:tc>
        <w:tc>
          <w:tcPr>
            <w:tcW w:w="34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73,630</w:t>
            </w:r>
          </w:p>
        </w:tc>
        <w:tc>
          <w:tcPr>
            <w:tcW w:w="17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34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58,928</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Service Based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 based revenue, net primarily consists of optional tips, optional processing fees, and subscriptions charged to Members, net of processor costs associated with advance disbursements. Member advances are treated as financial receivables under ASC 310 Receivables (“ASC 310”) and processing fees, net and tips are also accounted for in accordance with ASC 310.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Fees,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fees apply when a Member requests an expedited cash advance. At the Member’s election, the Company expedites the funding of advance funds within eight hours of the advance approval, as opposed to the customary two or three business days. Processing fees are accounted for as nonrefundable loan origination fees and are recognized as revenues over the average expected contractual term of its advances.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incurred by the Company to fund cash advances are treated as direct loan origination costs. These direct loan origination costs are netted against advance-related income over the average expected contractual term of its advances. Direct origination costs recognized as a reduction of advance-related income during the three months ended March 31, 2024 and 2023 were approximately $0.7 million and $1.3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Tips: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encourages, but does not contractually require its Members who receive a cash advance to leave a discretionary tip. For accounting purposes, the Company treats tips as an adjustment of yield to the advances and are recognized over the average expected contractual term of its advances.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accounts for subscriptions in accordance with ASC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 fees of $1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monthly contract period.</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amounts collected from Members.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service based revenue consists of lead generation fees from the Company’s Side Hustle advertising partners and revenue share from its survey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Based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Transaction based revenue, net primarily consists of interchange and ATM revenues from the Company’s Checking Product, net of certain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the Member’s usage out-of-network reduced by related ATM transaction costs during the three months ended March 31, 2024 and 2023, were $1.3 million and $1.1 million, respectively. ATM-related fees recognized as a reduction of transaction based revenue during the three months ended March 31, 2024 and 2023 were $0.5 million and $0.3 million,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Processing and Servicing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costs consist of amounts paid to third party processors for the recovery of advances, tips, processing fees, and subscriptions. These expenses also include fees paid for services to connect Member’s bank accounts to the Company’s application. Except for processing and service fees associated with advance disbursements, which are recorded net against revenue, all other processing and service fees are expensed as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all highly liquid instruments with an original maturity of three months or less as cash equivalents.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primarily represents cash held at financial institutions that is pledged as collateral for specific accounts that may become overdrawn.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Marketable securities consist of a money market mutual fund. The fair value of marketable securities is determined by quoted prices in active markets and changes in fair value are recorded in other (income) expense in the consolidated statements of operations.</w:t>
      </w:r>
    </w:p>
    <w:p>
      <w:pPr>
        <w:pStyle w:val="TextBody"/>
        <w:bidi w:val="0"/>
        <w:spacing w:before="16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Investments</w:t>
      </w:r>
    </w:p>
    <w:p>
      <w:pPr>
        <w:pStyle w:val="TextBody"/>
        <w:bidi w:val="0"/>
        <w:jc w:val="left"/>
        <w:rPr>
          <w:rFonts w:ascii="Times New Roman" w:hAnsi="Times New Roman"/>
          <w:color w:val="000000"/>
          <w:sz w:val="20"/>
        </w:rPr>
      </w:pPr>
      <w:r>
        <w:rPr>
          <w:rFonts w:ascii="Times New Roman" w:hAnsi="Times New Roman"/>
          <w:color w:val="000000"/>
          <w:sz w:val="20"/>
        </w:rPr>
        <w:t>Investments consist of corporate bonds and notes, asset backed securities, and government securities and are classified as “available-for-sale”, as the sale of such securities may be required prior to maturity to implement the Company’s strategies. The fair value of investments is determined by quoted prices in active markets with unrealized gains and losses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consolidated statements of comprehensive loss. Any related amounts recorded in accumulated other comprehensive income are reclassified to earnings (on a pretax basis).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Member Advances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advances include ExtraCash advances, fees, and tips, net of certain direct origination costs and allowance for credit losses. Management’s intent is to hold advances until the earlier of repayment or payoff date. Members’ cash advances are treated as financial receivables under ASC 310.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Advances to Members are not interest-bearing. The Company recognizes these advances at the advanced amount and does not use discounting techniques to determine present value of advances due to their short-term 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does not provide modifications to advances and does not charge late fees.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Member advances from contracts with Members as of the balance sheet dates are recorded at their original advance amounts, inclusive of outstanding processing fees and tips, and reduced by an allowance for expected credit losses. The Company pools its Member advances, all of which are short-term (average term of approximately 11 days) in nature and arise from contracts with Members, based on shared risk characteristics to assess their risk of loss, even when that risk is remote. The Company uses an aging method and historical loss rates as a basis for estimating the percentage of current and delinquent Member advances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remained most indicative of its lifetime expected losses. The Company immediately recognizes an allowance for expected credit losses upon the origination of the advance. Adjustments to the allowance each period for changes in the estimate of lifetime expected credit losses are recognized in operating expenses—provision for credit losses in the consolidated statements of operations. </w:t>
      </w:r>
    </w:p>
    <w:p>
      <w:pPr>
        <w:pStyle w:val="TextBody"/>
        <w:bidi w:val="0"/>
        <w:jc w:val="left"/>
        <w:rPr>
          <w:rFonts w:ascii="Times New Roman" w:hAnsi="Times New Roman"/>
          <w:color w:val="000000"/>
          <w:sz w:val="20"/>
        </w:rPr>
      </w:pPr>
      <w:r>
        <w:rPr>
          <w:rFonts w:ascii="Times New Roman" w:hAnsi="Times New Roman"/>
          <w:color w:val="000000"/>
          <w:sz w:val="20"/>
        </w:rPr>
        <w:t>When the Company determines that a Member advance is not collectible, or after 120 days from origination has passed, the uncollectible amount is written-off as a reduction to both the allowance and the gross asset balance. Based on the average outstanding Member advance term of approximately 11 days, advances outstanding 12 or more days from origination may be considered past due. Subsequent recoveries are recorded when received and are recorded as a recovery of the allowance for expected credit losses. Any change in circumstances related to a specific Member advance may result in an additional allowance for expected credit losses being recognized in the period in which the change occurs.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Internally Developed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consolidated balance sheets as intangible assets, net. Other costs are expensed as incurred and included within other operating expenses in the consolidated statements of operations. Capitalized costs for the three months ended March 31, 2024 and 2023, were $1.6 million and $1.9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of internally developed software commences when the software is ready for its intended use (i.e., after all substantial testing is complete). Internally developed software is amortized over its estimated useful life of 3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period of amortization. If the estimate of an intangible asset’s remaining useful life is changed, the remaining carrying value of the intangible asset shall be amortized prospectively over that revised remaining useful life.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 820, Fair Value Measurement (“ASC 820”), provides a single definition of fair value and a common framework for measuring fair value as well as disclosure requirements for fair value measurements used in the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 of Risk</w:t>
      </w:r>
    </w:p>
    <w:p>
      <w:pPr>
        <w:pStyle w:val="TextBody"/>
        <w:bidi w:val="0"/>
        <w:spacing w:before="120" w:after="283"/>
        <w:jc w:val="left"/>
        <w:rPr>
          <w:rFonts w:ascii="Times New Roman" w:hAnsi="Times New Roman"/>
          <w:sz w:val="20"/>
        </w:rPr>
      </w:pPr>
      <w:r>
        <w:rPr>
          <w:rFonts w:ascii="Times New Roman" w:hAnsi="Times New Roman"/>
          <w:color w:val="000000"/>
          <w:sz w:val="20"/>
        </w:rPr>
        <w:t>Financial instruments, which potentially subject the Company to concentrations of credit risk, principally consist of cash and cash equivalents, restricted cash, Member advances, and accounts receivable.</w:t>
      </w:r>
      <w:r>
        <w:rPr>
          <w:rFonts w:ascii="Times New Roman" w:hAnsi="Times New Roman"/>
          <w:color w:val="FF00FF"/>
          <w:sz w:val="20"/>
        </w:rPr>
        <w:t xml:space="preserve"> </w:t>
      </w:r>
      <w:r>
        <w:rPr>
          <w:rFonts w:ascii="Times New Roman" w:hAnsi="Times New Roman"/>
          <w:color w:val="000000"/>
          <w:sz w:val="20"/>
        </w:rPr>
        <w:t>The Company’s cash and cash equivalents and restricted cash in excess of the Federal Deposit Insurance Corporation (“FDIC”) insured limits were $54.7 million at March 31,</w:t>
      </w:r>
      <w:r>
        <w:rPr>
          <w:rFonts w:ascii="Times New Roman" w:hAnsi="Times New Roman"/>
          <w:color w:val="FF00FF"/>
          <w:sz w:val="20"/>
        </w:rPr>
        <w:t xml:space="preserve"> </w:t>
      </w:r>
      <w:r>
        <w:rPr>
          <w:rFonts w:ascii="Times New Roman" w:hAnsi="Times New Roman"/>
          <w:color w:val="000000"/>
          <w:sz w:val="20"/>
        </w:rPr>
        <w:t xml:space="preserve">2024 and $40.9 million at December 31, 2023, respectively.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Member individually exceeded 10% or more of the Company’s Member advances balances as of March 31, 2024 and December 31, 2023.</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 842, Leases (“ASC 842”) requires lessees to recognize most leases on the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Awards:</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Restricted Stock Unit Awards:</w:t>
      </w:r>
    </w:p>
    <w:p>
      <w:pPr>
        <w:pStyle w:val="TextBody"/>
        <w:bidi w:val="0"/>
        <w:jc w:val="left"/>
        <w:rPr>
          <w:rFonts w:ascii="Times New Roman" w:hAnsi="Times New Roman"/>
          <w:color w:val="000000"/>
          <w:sz w:val="20"/>
        </w:rPr>
      </w:pPr>
      <w:r>
        <w:rPr>
          <w:rFonts w:ascii="Times New Roman" w:hAnsi="Times New Roman"/>
          <w:color w:val="000000"/>
          <w:sz w:val="20"/>
        </w:rPr>
        <w:t>Restricted stock units (“RSUs”) are valued on the grant date. The fair value of the RSUs that vest based solely on a service condition is equal to the estimated fair value of the Company’s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consolidated statements of operations. The Company recognizes forfeitures as they occur.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Restricted Stock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Restricted stock awards (“RSAs”) are valued on the grant date. The fair value of the RSAs is equal to the estimated fair value of the Company’s Common Stock on the grant date. This compensation cost is recognized over the requisite service period as a component of stock-based compensation expense, presented within compensation and benefits in the consolidated statements of operations. The Company recognizes forfeitures as they occur.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Advertising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costs are expensed as incurred. Advertising costs for the three months ended March 31, 2024 and 2023, were $9.1 million and $9.5 million, respectively, and are presented within advertising and marketing within the condensed consolidated statements of operations.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rFonts w:ascii="Times New Roman" w:hAnsi="Times New Roman"/>
          <w:color w:val="000000"/>
          <w:sz w:val="20"/>
        </w:rPr>
      </w:pPr>
      <w:r>
        <w:rPr>
          <w:rFonts w:ascii="Times New Roman" w:hAnsi="Times New Roman"/>
          <w:color w:val="000000"/>
          <w:sz w:val="20"/>
        </w:rPr>
        <w:t>The Company follows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$1.7 million and $1.3</w:t>
      </w:r>
      <w:r>
        <w:rPr>
          <w:rFonts w:ascii="Times New Roman" w:hAnsi="Times New Roman"/>
          <w:color w:val="000000"/>
          <w:sz w:val="20"/>
          <w:u w:val="single"/>
        </w:rPr>
        <w:t xml:space="preserve"> </w:t>
      </w:r>
      <w:r>
        <w:rPr>
          <w:rFonts w:ascii="Times New Roman" w:hAnsi="Times New Roman"/>
          <w:color w:val="000000"/>
          <w:sz w:val="20"/>
        </w:rPr>
        <w:t>million of uncertain tax positions as of March 31, 2024 and December 31, 2023, respectively, related to state income taxes. and federal and state research tax credits.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policy is to recognize interest expense and penalties accrued on any unrecognized tax benefits as a component of income tax expense within the statement of operations. The Company recognized $0.005 million and $0.002 million of interest expense and penalties as a component of income tax expense during the three months ended March 31,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reportable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Income (Loss) Per Share Attributable to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two classes of participating securities (Class A Common Stock and Class V Common Stock) issued and outstanding as of March 31, 2024. The rights, including the liquidation and dividend rights, of the holders of the Class A Common Stock and Class V Common Stock are identical, except with respect to voting.</w:t>
      </w:r>
    </w:p>
    <w:p>
      <w:pPr>
        <w:pStyle w:val="TextBody"/>
        <w:bidi w:val="0"/>
        <w:spacing w:before="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net income (loss) attributable to holders of Common Stock per share is calculated by dividing net income (loss) attributable to holders of Common Stock by the weighted-average number of shares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net income (loss) per share attributable to holders of common stock is computed by dividing net income (loss) per share attributable to stockholders and the weighted-average number of shares outstanding and the effect of potentially dilutive stock options, warrants, and restricted stock using the treasury stock method.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table sets forth the computation of the Company’s basic and diluted net income (loss) per share attributable to holders of common stock (</w:t>
      </w:r>
      <w:r>
        <w:rPr>
          <w:rFonts w:ascii="Times New Roman" w:hAnsi="Times New Roman"/>
          <w:i/>
          <w:color w:val="000000"/>
          <w:sz w:val="20"/>
        </w:rPr>
        <w:t>in thousands, except share data</w:t>
      </w:r>
      <w:r>
        <w:rPr>
          <w:rFonts w:ascii="Times New Roman" w:hAnsi="Times New Roman"/>
          <w:color w:val="000000"/>
          <w:sz w:val="20"/>
        </w:rPr>
        <w:t>):</w:t>
      </w:r>
    </w:p>
    <w:p>
      <w:pPr>
        <w:pStyle w:val="TextBody"/>
        <w:bidi w:val="0"/>
        <w:spacing w:before="240" w:after="283"/>
        <w:jc w:val="left"/>
        <w:rPr/>
      </w:pPr>
      <w:r>
        <w:rPr/>
        <w:t> </w:t>
      </w:r>
    </w:p>
    <w:tbl>
      <w:tblPr>
        <w:tblW w:w="9584" w:type="dxa"/>
        <w:jc w:val="left"/>
        <w:tblInd w:w="0" w:type="dxa"/>
        <w:tblLayout w:type="fixed"/>
        <w:tblCellMar>
          <w:top w:w="28" w:type="dxa"/>
          <w:left w:w="28" w:type="dxa"/>
          <w:bottom w:w="28" w:type="dxa"/>
          <w:right w:w="28" w:type="dxa"/>
        </w:tblCellMar>
      </w:tblPr>
      <w:tblGrid>
        <w:gridCol w:w="6001"/>
        <w:gridCol w:w="146"/>
        <w:gridCol w:w="243"/>
        <w:gridCol w:w="1197"/>
        <w:gridCol w:w="146"/>
        <w:gridCol w:w="243"/>
        <w:gridCol w:w="1197"/>
        <w:gridCol w:w="41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00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attributed to common stockholders—basic and diluted</w:t>
            </w:r>
          </w:p>
        </w:tc>
        <w:tc>
          <w:tcPr>
            <w:tcW w:w="146" w:type="dxa"/>
            <w:tcBorders/>
            <w:shd w:fill="B6DEE8" w:val="clear"/>
            <w:vAlign w:val="center"/>
          </w:tcPr>
          <w:p>
            <w:pPr>
              <w:pStyle w:val="TableContents"/>
              <w:bidi w:val="0"/>
              <w:spacing w:before="0" w:after="283"/>
              <w:jc w:val="left"/>
              <w:rPr/>
            </w:pPr>
            <w:r>
              <w:rPr/>
              <w:t> </w:t>
            </w:r>
          </w:p>
        </w:tc>
        <w:tc>
          <w:tcPr>
            <w:tcW w:w="243"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34,243</w:t>
            </w:r>
          </w:p>
        </w:tc>
        <w:tc>
          <w:tcPr>
            <w:tcW w:w="146" w:type="dxa"/>
            <w:tcBorders/>
            <w:shd w:fill="B6DEE8" w:val="clear"/>
            <w:vAlign w:val="center"/>
          </w:tcPr>
          <w:p>
            <w:pPr>
              <w:pStyle w:val="TableContents"/>
              <w:bidi w:val="0"/>
              <w:spacing w:before="0" w:after="283"/>
              <w:jc w:val="left"/>
              <w:rPr/>
            </w:pPr>
            <w:r>
              <w:rPr/>
              <w:t> </w:t>
            </w:r>
          </w:p>
        </w:tc>
        <w:tc>
          <w:tcPr>
            <w:tcW w:w="243"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(14,025</w:t>
            </w:r>
          </w:p>
        </w:tc>
        <w:tc>
          <w:tcPr>
            <w:tcW w:w="4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001" w:type="dxa"/>
            <w:tcBorders/>
            <w:shd w:fill="B6DEE8"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146" w:type="dxa"/>
            <w:tcBorders/>
            <w:shd w:fill="B6DEE8" w:val="clear"/>
            <w:vAlign w:val="center"/>
          </w:tcPr>
          <w:p>
            <w:pPr>
              <w:pStyle w:val="TableContents"/>
              <w:bidi w:val="0"/>
              <w:spacing w:before="0" w:after="283"/>
              <w:jc w:val="left"/>
              <w:rPr/>
            </w:pPr>
            <w:r>
              <w:rPr/>
              <w:t> </w:t>
            </w:r>
          </w:p>
        </w:tc>
        <w:tc>
          <w:tcPr>
            <w:tcW w:w="1440"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40" w:type="dxa"/>
            <w:gridSpan w:val="2"/>
            <w:tcBorders/>
            <w:shd w:fill="B6DEE8" w:val="clear"/>
            <w:vAlign w:val="center"/>
          </w:tcPr>
          <w:p>
            <w:pPr>
              <w:pStyle w:val="TableContents"/>
              <w:bidi w:val="0"/>
              <w:spacing w:before="0" w:after="283"/>
              <w:jc w:val="left"/>
              <w:rPr/>
            </w:pPr>
            <w:r>
              <w:rPr/>
              <w:t> </w:t>
            </w:r>
          </w:p>
        </w:tc>
        <w:tc>
          <w:tcPr>
            <w:tcW w:w="411" w:type="dxa"/>
            <w:tcBorders/>
            <w:shd w:fill="B6DEE8"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stock—basic</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12,220,199</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11,815,448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001" w:type="dxa"/>
            <w:tcBorders/>
            <w:shd w:fill="B6DEE8"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Dilutive effect of stock options</w:t>
            </w:r>
          </w:p>
        </w:tc>
        <w:tc>
          <w:tcPr>
            <w:tcW w:w="146" w:type="dxa"/>
            <w:tcBorders/>
            <w:shd w:fill="B6DEE8" w:val="clear"/>
            <w:vAlign w:val="center"/>
          </w:tcPr>
          <w:p>
            <w:pPr>
              <w:pStyle w:val="TableContents"/>
              <w:bidi w:val="0"/>
              <w:spacing w:before="0" w:after="283"/>
              <w:jc w:val="left"/>
              <w:rPr/>
            </w:pPr>
            <w:r>
              <w:rPr/>
              <w:t> </w:t>
            </w:r>
          </w:p>
        </w:tc>
        <w:tc>
          <w:tcPr>
            <w:tcW w:w="243" w:type="dxa"/>
            <w:tcBorders/>
            <w:shd w:fill="B6DEE8" w:val="clear"/>
            <w:vAlign w:val="center"/>
          </w:tcPr>
          <w:p>
            <w:pPr>
              <w:pStyle w:val="TableContents"/>
              <w:bidi w:val="0"/>
              <w:spacing w:before="0" w:after="283"/>
              <w:jc w:val="left"/>
              <w:rPr/>
            </w:pPr>
            <w:r>
              <w:rPr/>
              <w:t> </w:t>
            </w:r>
          </w:p>
        </w:tc>
        <w:tc>
          <w:tcPr>
            <w:tcW w:w="11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225,904</w:t>
            </w:r>
          </w:p>
        </w:tc>
        <w:tc>
          <w:tcPr>
            <w:tcW w:w="146" w:type="dxa"/>
            <w:tcBorders/>
            <w:shd w:fill="B6DEE8" w:val="clear"/>
            <w:vAlign w:val="center"/>
          </w:tcPr>
          <w:p>
            <w:pPr>
              <w:pStyle w:val="TableContents"/>
              <w:bidi w:val="0"/>
              <w:spacing w:before="0" w:after="283"/>
              <w:jc w:val="left"/>
              <w:rPr/>
            </w:pPr>
            <w:r>
              <w:rPr/>
              <w:t> </w:t>
            </w:r>
          </w:p>
        </w:tc>
        <w:tc>
          <w:tcPr>
            <w:tcW w:w="243" w:type="dxa"/>
            <w:tcBorders/>
            <w:shd w:fill="B6DEE8" w:val="clear"/>
            <w:vAlign w:val="center"/>
          </w:tcPr>
          <w:p>
            <w:pPr>
              <w:pStyle w:val="TableContents"/>
              <w:bidi w:val="0"/>
              <w:spacing w:before="0" w:after="283"/>
              <w:jc w:val="left"/>
              <w:rPr/>
            </w:pPr>
            <w:r>
              <w:rPr/>
              <w:t> </w:t>
            </w:r>
          </w:p>
        </w:tc>
        <w:tc>
          <w:tcPr>
            <w:tcW w:w="11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B6DEE8" w:val="clear"/>
            <w:vAlign w:val="center"/>
          </w:tcPr>
          <w:p>
            <w:pPr>
              <w:pStyle w:val="TableContents"/>
              <w:bidi w:val="0"/>
              <w:spacing w:before="0" w:after="283"/>
              <w:ind w:left="0" w:right="0" w:firstLine="200"/>
              <w:jc w:val="left"/>
              <w:rPr/>
            </w:pPr>
            <w:r>
              <w:rPr/>
              <w:t> </w:t>
            </w:r>
          </w:p>
        </w:tc>
      </w:tr>
      <w:tr>
        <w:trPr/>
        <w:tc>
          <w:tcPr>
            <w:tcW w:w="6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Dilutive effect of RSU</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0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stock—diluted</w:t>
            </w:r>
          </w:p>
        </w:tc>
        <w:tc>
          <w:tcPr>
            <w:tcW w:w="146" w:type="dxa"/>
            <w:tcBorders/>
            <w:shd w:fill="B6DEE8" w:val="clear"/>
            <w:vAlign w:val="center"/>
          </w:tcPr>
          <w:p>
            <w:pPr>
              <w:pStyle w:val="TableContents"/>
              <w:bidi w:val="0"/>
              <w:spacing w:before="0" w:after="283"/>
              <w:jc w:val="left"/>
              <w:rPr/>
            </w:pPr>
            <w:r>
              <w:rPr/>
              <w:t> </w:t>
            </w:r>
          </w:p>
        </w:tc>
        <w:tc>
          <w:tcPr>
            <w:tcW w:w="243" w:type="dxa"/>
            <w:tcBorders/>
            <w:shd w:fill="B6DEE8" w:val="clear"/>
            <w:vAlign w:val="center"/>
          </w:tcPr>
          <w:p>
            <w:pPr>
              <w:pStyle w:val="TableContents"/>
              <w:bidi w:val="0"/>
              <w:spacing w:before="0" w:after="283"/>
              <w:jc w:val="left"/>
              <w:rPr/>
            </w:pPr>
            <w:r>
              <w:rPr/>
              <w:t> </w:t>
            </w:r>
          </w:p>
        </w:tc>
        <w:tc>
          <w:tcPr>
            <w:tcW w:w="11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13,182,517</w:t>
            </w:r>
          </w:p>
        </w:tc>
        <w:tc>
          <w:tcPr>
            <w:tcW w:w="146" w:type="dxa"/>
            <w:tcBorders/>
            <w:shd w:fill="B6DEE8" w:val="clear"/>
            <w:vAlign w:val="center"/>
          </w:tcPr>
          <w:p>
            <w:pPr>
              <w:pStyle w:val="TableContents"/>
              <w:bidi w:val="0"/>
              <w:spacing w:before="0" w:after="283"/>
              <w:jc w:val="left"/>
              <w:rPr/>
            </w:pPr>
            <w:r>
              <w:rPr/>
              <w:t> </w:t>
            </w:r>
          </w:p>
        </w:tc>
        <w:tc>
          <w:tcPr>
            <w:tcW w:w="243" w:type="dxa"/>
            <w:tcBorders/>
            <w:shd w:fill="B6DEE8" w:val="clear"/>
            <w:vAlign w:val="center"/>
          </w:tcPr>
          <w:p>
            <w:pPr>
              <w:pStyle w:val="TableContents"/>
              <w:bidi w:val="0"/>
              <w:spacing w:before="0" w:after="283"/>
              <w:jc w:val="left"/>
              <w:rPr/>
            </w:pPr>
            <w:r>
              <w:rPr/>
              <w:t> </w:t>
            </w:r>
          </w:p>
        </w:tc>
        <w:tc>
          <w:tcPr>
            <w:tcW w:w="11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11,815,448</w:t>
            </w:r>
          </w:p>
        </w:tc>
        <w:tc>
          <w:tcPr>
            <w:tcW w:w="411" w:type="dxa"/>
            <w:tcBorders/>
            <w:shd w:fill="B6DEE8"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6001" w:type="dxa"/>
            <w:tcBorders/>
            <w:shd w:fill="B6DEE8"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Net income (loss) per share</w:t>
            </w:r>
          </w:p>
        </w:tc>
        <w:tc>
          <w:tcPr>
            <w:tcW w:w="146" w:type="dxa"/>
            <w:tcBorders/>
            <w:shd w:fill="B6DEE8" w:val="clear"/>
            <w:vAlign w:val="center"/>
          </w:tcPr>
          <w:p>
            <w:pPr>
              <w:pStyle w:val="TableContents"/>
              <w:bidi w:val="0"/>
              <w:spacing w:before="0" w:after="283"/>
              <w:jc w:val="left"/>
              <w:rPr/>
            </w:pPr>
            <w:r>
              <w:rPr/>
              <w:t> </w:t>
            </w:r>
          </w:p>
        </w:tc>
        <w:tc>
          <w:tcPr>
            <w:tcW w:w="1440"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40" w:type="dxa"/>
            <w:gridSpan w:val="2"/>
            <w:tcBorders/>
            <w:shd w:fill="B6DEE8" w:val="clear"/>
            <w:vAlign w:val="center"/>
          </w:tcPr>
          <w:p>
            <w:pPr>
              <w:pStyle w:val="TableContents"/>
              <w:bidi w:val="0"/>
              <w:spacing w:before="0" w:after="283"/>
              <w:jc w:val="left"/>
              <w:rPr/>
            </w:pPr>
            <w:r>
              <w:rPr/>
              <w:t> </w:t>
            </w:r>
          </w:p>
        </w:tc>
        <w:tc>
          <w:tcPr>
            <w:tcW w:w="411" w:type="dxa"/>
            <w:tcBorders/>
            <w:shd w:fill="B6DEE8" w:val="clear"/>
            <w:vAlign w:val="center"/>
          </w:tcPr>
          <w:p>
            <w:pPr>
              <w:pStyle w:val="TableContents"/>
              <w:bidi w:val="0"/>
              <w:spacing w:before="0" w:after="283"/>
              <w:ind w:left="0" w:right="0" w:firstLine="200"/>
              <w:jc w:val="left"/>
              <w:rPr/>
            </w:pPr>
            <w:r>
              <w:rPr/>
              <w:t> </w:t>
            </w:r>
          </w:p>
        </w:tc>
      </w:tr>
      <w:tr>
        <w:trPr/>
        <w:tc>
          <w:tcPr>
            <w:tcW w:w="6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01" w:type="dxa"/>
            <w:tcBorders/>
            <w:shd w:fill="B6DEE8"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B6DEE8" w:val="clear"/>
            <w:vAlign w:val="center"/>
          </w:tcPr>
          <w:p>
            <w:pPr>
              <w:pStyle w:val="TableContents"/>
              <w:bidi w:val="0"/>
              <w:spacing w:before="0" w:after="283"/>
              <w:jc w:val="left"/>
              <w:rPr/>
            </w:pPr>
            <w:r>
              <w:rPr/>
              <w:t> </w:t>
            </w:r>
          </w:p>
        </w:tc>
        <w:tc>
          <w:tcPr>
            <w:tcW w:w="243"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B6DEE8" w:val="clear"/>
            <w:vAlign w:val="center"/>
          </w:tcPr>
          <w:p>
            <w:pPr>
              <w:pStyle w:val="TableContents"/>
              <w:bidi w:val="0"/>
              <w:spacing w:before="0" w:after="283"/>
              <w:jc w:val="left"/>
              <w:rPr/>
            </w:pPr>
            <w:r>
              <w:rPr/>
              <w:t> </w:t>
            </w:r>
          </w:p>
        </w:tc>
        <w:tc>
          <w:tcPr>
            <w:tcW w:w="243"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potentially dilutive shares were excluded from the computation of diluted net income (loss) per share for the periods presented because including them would have been antidilutive:</w:t>
      </w:r>
    </w:p>
    <w:p>
      <w:pPr>
        <w:pStyle w:val="TextBody"/>
        <w:bidi w:val="0"/>
        <w:jc w:val="left"/>
        <w:rPr/>
      </w:pPr>
      <w:r>
        <w:rPr/>
        <w:t> </w:t>
      </w:r>
    </w:p>
    <w:tbl>
      <w:tblPr>
        <w:tblW w:w="5463" w:type="dxa"/>
        <w:jc w:val="left"/>
        <w:tblInd w:w="0" w:type="dxa"/>
        <w:tblLayout w:type="fixed"/>
        <w:tblCellMar>
          <w:top w:w="28" w:type="dxa"/>
          <w:left w:w="28" w:type="dxa"/>
          <w:bottom w:w="28" w:type="dxa"/>
          <w:right w:w="28" w:type="dxa"/>
        </w:tblCellMar>
      </w:tblPr>
      <w:tblGrid>
        <w:gridCol w:w="2086"/>
        <w:gridCol w:w="146"/>
        <w:gridCol w:w="194"/>
        <w:gridCol w:w="1246"/>
        <w:gridCol w:w="160"/>
        <w:gridCol w:w="194"/>
        <w:gridCol w:w="124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incentive awards</w:t>
            </w:r>
          </w:p>
        </w:tc>
        <w:tc>
          <w:tcPr>
            <w:tcW w:w="146" w:type="dxa"/>
            <w:tcBorders/>
            <w:shd w:fill="B6DEE8" w:val="clear"/>
            <w:vAlign w:val="center"/>
          </w:tcPr>
          <w:p>
            <w:pPr>
              <w:pStyle w:val="TableContents"/>
              <w:bidi w:val="0"/>
              <w:spacing w:before="0" w:after="283"/>
              <w:jc w:val="left"/>
              <w:rPr/>
            </w:pPr>
            <w:r>
              <w:rPr/>
              <w:t> </w:t>
            </w:r>
          </w:p>
        </w:tc>
        <w:tc>
          <w:tcPr>
            <w:tcW w:w="194" w:type="dxa"/>
            <w:tcBorders/>
            <w:shd w:fill="B6DEE8" w:val="clear"/>
            <w:vAlign w:val="center"/>
          </w:tcPr>
          <w:p>
            <w:pPr>
              <w:pStyle w:val="TableContents"/>
              <w:bidi w:val="0"/>
              <w:spacing w:before="0" w:after="283"/>
              <w:jc w:val="left"/>
              <w:rPr/>
            </w:pPr>
            <w:r>
              <w:rPr/>
              <w:t> </w:t>
            </w:r>
          </w:p>
        </w:tc>
        <w:tc>
          <w:tcPr>
            <w:tcW w:w="12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1,090,941</w:t>
            </w:r>
          </w:p>
        </w:tc>
        <w:tc>
          <w:tcPr>
            <w:tcW w:w="160" w:type="dxa"/>
            <w:tcBorders/>
            <w:shd w:fill="B6DEE8" w:val="clear"/>
            <w:vAlign w:val="center"/>
          </w:tcPr>
          <w:p>
            <w:pPr>
              <w:pStyle w:val="TableContents"/>
              <w:bidi w:val="0"/>
              <w:spacing w:before="0" w:after="283"/>
              <w:jc w:val="left"/>
              <w:rPr/>
            </w:pPr>
            <w:r>
              <w:rPr/>
              <w:t> </w:t>
            </w:r>
          </w:p>
        </w:tc>
        <w:tc>
          <w:tcPr>
            <w:tcW w:w="194" w:type="dxa"/>
            <w:tcBorders/>
            <w:shd w:fill="B6DEE8" w:val="clear"/>
            <w:vAlign w:val="center"/>
          </w:tcPr>
          <w:p>
            <w:pPr>
              <w:pStyle w:val="TableContents"/>
              <w:bidi w:val="0"/>
              <w:spacing w:before="0" w:after="283"/>
              <w:jc w:val="left"/>
              <w:rPr/>
            </w:pPr>
            <w:r>
              <w:rPr/>
              <w:t> </w:t>
            </w:r>
          </w:p>
        </w:tc>
        <w:tc>
          <w:tcPr>
            <w:tcW w:w="12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2,552,474</w:t>
            </w:r>
          </w:p>
        </w:tc>
        <w:tc>
          <w:tcPr>
            <w:tcW w:w="191" w:type="dxa"/>
            <w:tcBorders/>
            <w:shd w:fill="B6DEE8"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19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1,090,941</w:t>
            </w:r>
          </w:p>
        </w:tc>
        <w:tc>
          <w:tcPr>
            <w:tcW w:w="16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2,864,974</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also excluded 11,444,235 public and private warrants and 49,653 earnout shares that were potentially dilutive from the computation of diluted net income (loss) for the periods ended March 31, 2024 and 2023, respectively, as including them would have been antidilutive. Refer to Note 9 Warrant Liabilities and Note 13 Fair Value of Financial Instruments for further details.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Recently Issued Accounting Pronouncements Not Yet Adopted: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2023, the FASB issued Accounting Standards Update No. 2023-07, Segment Reporting - Improvements to Reportable Segment Disclosures. The amendments require disclosure of incremental segment information on an annual and interim basis. The amendments also require companies with a single reportable segment to provide all disclosures required by this amendment and all existing segment disclosures in Accounting Standards Codification 280, Segment Reporting. The amendments are effective for fiscal years beginning after December 15, 2023, and interim periods beginning after December 15, 2024. The Company expects the adoption of the standard to result in additional segment footnote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2023, the FASB issued Accounting Standards Update No. 2023-09, Income Taxes - Improvements to Income Tax Disclosures. The amendments require enhanced disclosures in connection with an entity's effective tax rate reconciliation, income taxes paid disaggregated by jurisdiction, and clarification on uncertain tax positions and related financial statement impacts. The amendments are effective for annual periods beginning after December 15, 2024. The Company does not expect the adoption of the amendments to have a significant impact on its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Recently Adopted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June 2016, the Financial Accounting Standards Board (“FASB”) issued Accounting Standards Update (“ASU”) 2016-13, </w:t>
      </w:r>
      <w:r>
        <w:rPr>
          <w:rFonts w:ascii="Times New Roman" w:hAnsi="Times New Roman"/>
          <w:i/>
          <w:color w:val="000000"/>
          <w:sz w:val="20"/>
        </w:rPr>
        <w:t>Financial Instruments—Credit Losses (Topic 326): Measurement of Credit Losses on Financial Instruments (“ASU 2016-13”)</w:t>
      </w:r>
      <w:r>
        <w:rPr>
          <w:rFonts w:ascii="Times New Roman" w:hAnsi="Times New Roman"/>
          <w:color w:val="000000"/>
          <w:sz w:val="20"/>
        </w:rPr>
        <w:t xml:space="preserve">. ASU 2016-13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improvements and provide additional disclosure guidance. The Company adopted this ASU on January 1, 2023 and determined that ASU 2016-13 had no material impact on the Company’s condensed consolidated financial statements and related disclosures.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In March 2020, the FASB issued ASU No. 2020-04, </w:t>
      </w:r>
      <w:r>
        <w:rPr>
          <w:rFonts w:ascii="Times New Roman" w:hAnsi="Times New Roman"/>
          <w:i/>
          <w:color w:val="000000"/>
          <w:sz w:val="20"/>
        </w:rPr>
        <w:t>Reference Rate Reform (Topic 848): Facilitation of the Effects of Reference Rate Reform on Financial Reporting</w:t>
      </w:r>
      <w:r>
        <w:rPr>
          <w:rFonts w:ascii="Times New Roman" w:hAnsi="Times New Roman"/>
          <w:color w:val="000000"/>
          <w:sz w:val="20"/>
        </w:rPr>
        <w:t>, which provides optional guidance for accounting for contracts, hedging relationships, and other transactions affected by reference rate reform, if certain criteria are met. In December 2022, the FASB issued ASU No. 2022-06, Reference Rate Reform (Topic 848), Deferral of the Sunset Date of Topic 848. The amendments in this Update defer the sunset date of Topic 848 from December 31, 2022, to December 31, 2024, after which entities will no longer be permitted to apply the relief in Topic 848.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Marketable Securities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Below is a detail of marketable securities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5655" w:type="dxa"/>
        <w:jc w:val="left"/>
        <w:tblInd w:w="0" w:type="dxa"/>
        <w:tblLayout w:type="fixed"/>
        <w:tblCellMar>
          <w:top w:w="28" w:type="dxa"/>
          <w:left w:w="28" w:type="dxa"/>
          <w:bottom w:w="28" w:type="dxa"/>
          <w:right w:w="28" w:type="dxa"/>
        </w:tblCellMar>
      </w:tblPr>
      <w:tblGrid>
        <w:gridCol w:w="1861"/>
        <w:gridCol w:w="146"/>
        <w:gridCol w:w="388"/>
        <w:gridCol w:w="1052"/>
        <w:gridCol w:w="146"/>
        <w:gridCol w:w="146"/>
        <w:gridCol w:w="574"/>
        <w:gridCol w:w="115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March 31, 2024</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December 31, 2023</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At March 31, 2024 and December 31, 2023, the Company’s marketable securities consisted of investments in a publicly traded money market mutual fund with a ticker symbol SSPXX. The underlying money market instruments were primarily comprised of certificates of deposit and financial company asset backed commercial paper. At March 31, 2024, the investment portfolio had a weighted-average maturity of 22 days. At December 31, 2023 the investment portfolio had a weighted-average maturity of 40 days. The gain recognized in connection with the investment in marketable securities for the three months ended March 31, 2024 and 2023 were $0.07 million and $0.1 million, respectively, and recorded as a component of interest income in the condensed consolidated statements of operations.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Investments</w:t>
      </w:r>
    </w:p>
    <w:p>
      <w:pPr>
        <w:pStyle w:val="TextBody"/>
        <w:bidi w:val="0"/>
        <w:spacing w:before="120" w:after="283"/>
        <w:jc w:val="left"/>
        <w:rPr>
          <w:rFonts w:ascii="Times New Roman" w:hAnsi="Times New Roman"/>
          <w:sz w:val="20"/>
        </w:rPr>
      </w:pPr>
      <w:r>
        <w:rPr>
          <w:rFonts w:ascii="Times New Roman" w:hAnsi="Times New Roman"/>
          <w:color w:val="000000"/>
          <w:sz w:val="20"/>
        </w:rPr>
        <w:t>Below is a summary of investments, which are measured at fair value as of March 31, 2024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9441" w:type="dxa"/>
        <w:jc w:val="left"/>
        <w:tblInd w:w="0" w:type="dxa"/>
        <w:tblLayout w:type="fixed"/>
        <w:tblCellMar>
          <w:top w:w="28" w:type="dxa"/>
          <w:left w:w="28" w:type="dxa"/>
          <w:bottom w:w="28" w:type="dxa"/>
          <w:right w:w="28" w:type="dxa"/>
        </w:tblCellMar>
      </w:tblPr>
      <w:tblGrid>
        <w:gridCol w:w="2011"/>
        <w:gridCol w:w="146"/>
        <w:gridCol w:w="211"/>
        <w:gridCol w:w="676"/>
        <w:gridCol w:w="146"/>
        <w:gridCol w:w="146"/>
        <w:gridCol w:w="704"/>
        <w:gridCol w:w="1411"/>
        <w:gridCol w:w="146"/>
        <w:gridCol w:w="146"/>
        <w:gridCol w:w="661"/>
        <w:gridCol w:w="1514"/>
        <w:gridCol w:w="166"/>
        <w:gridCol w:w="146"/>
        <w:gridCol w:w="242"/>
        <w:gridCol w:w="778"/>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14,761</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0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66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14,574</w:t>
            </w:r>
          </w:p>
        </w:tc>
        <w:tc>
          <w:tcPr>
            <w:tcW w:w="191" w:type="dxa"/>
            <w:tcBorders/>
            <w:shd w:fill="B6DEE8"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28,743</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Below is a summary of investments, which are measured at fair value as of December 31, 2023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9692"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569"/>
        <w:gridCol w:w="1546"/>
        <w:gridCol w:w="146"/>
        <w:gridCol w:w="146"/>
        <w:gridCol w:w="661"/>
        <w:gridCol w:w="1514"/>
        <w:gridCol w:w="166"/>
        <w:gridCol w:w="146"/>
        <w:gridCol w:w="217"/>
        <w:gridCol w:w="803"/>
        <w:gridCol w:w="14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6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66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1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69,412</w:t>
            </w:r>
          </w:p>
        </w:tc>
        <w:tc>
          <w:tcPr>
            <w:tcW w:w="146" w:type="dxa"/>
            <w:tcBorders/>
            <w:shd w:fill="B6DEE8"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left"/>
              <w:rPr/>
            </w:pPr>
            <w:r>
              <w:rPr/>
              <w:t> </w:t>
            </w:r>
          </w:p>
        </w:tc>
        <w:tc>
          <w:tcPr>
            <w:tcW w:w="15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43,177</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43,502</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gross unrealized losses and fair values of available-for-sale investment securities that were in unrealized loss positions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1"/>
        <w:gridCol w:w="146"/>
        <w:gridCol w:w="227"/>
        <w:gridCol w:w="731"/>
        <w:gridCol w:w="151"/>
        <w:gridCol w:w="151"/>
        <w:gridCol w:w="456"/>
        <w:gridCol w:w="815"/>
        <w:gridCol w:w="166"/>
        <w:gridCol w:w="146"/>
        <w:gridCol w:w="227"/>
        <w:gridCol w:w="731"/>
        <w:gridCol w:w="146"/>
        <w:gridCol w:w="146"/>
        <w:gridCol w:w="386"/>
        <w:gridCol w:w="885"/>
        <w:gridCol w:w="166"/>
        <w:gridCol w:w="146"/>
        <w:gridCol w:w="227"/>
        <w:gridCol w:w="731"/>
        <w:gridCol w:w="146"/>
        <w:gridCol w:w="146"/>
        <w:gridCol w:w="386"/>
        <w:gridCol w:w="885"/>
        <w:gridCol w:w="221"/>
      </w:tblGrid>
      <w:tr>
        <w:trPr/>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March 31, 2024</w:t>
            </w:r>
          </w:p>
        </w:tc>
        <w:tc>
          <w:tcPr>
            <w:tcW w:w="146" w:type="dxa"/>
            <w:tcBorders/>
            <w:shd w:fill="FFFFFF" w:val="clear"/>
            <w:vAlign w:val="center"/>
          </w:tcPr>
          <w:p>
            <w:pPr>
              <w:pStyle w:val="TableContents"/>
              <w:bidi w:val="0"/>
              <w:spacing w:before="0" w:after="283"/>
              <w:jc w:val="center"/>
              <w:rPr/>
            </w:pPr>
            <w:r>
              <w:rPr/>
              <w:t> </w:t>
            </w:r>
          </w:p>
        </w:tc>
        <w:tc>
          <w:tcPr>
            <w:tcW w:w="2531"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r>
      <w:tr>
        <w:trPr/>
        <w:tc>
          <w:tcPr>
            <w:tcW w:w="16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5,753</w:t>
            </w:r>
          </w:p>
        </w:tc>
        <w:tc>
          <w:tcPr>
            <w:tcW w:w="151" w:type="dxa"/>
            <w:tcBorders/>
            <w:shd w:fill="B6DEE8" w:val="clear"/>
            <w:vAlign w:val="center"/>
          </w:tcPr>
          <w:p>
            <w:pPr>
              <w:pStyle w:val="TableContents"/>
              <w:bidi w:val="0"/>
              <w:spacing w:before="0" w:after="283"/>
              <w:jc w:val="left"/>
              <w:rPr/>
            </w:pPr>
            <w:r>
              <w:rPr/>
              <w:t> </w:t>
            </w:r>
          </w:p>
        </w:tc>
        <w:tc>
          <w:tcPr>
            <w:tcW w:w="151" w:type="dxa"/>
            <w:tcBorders/>
            <w:shd w:fill="B6DEE8" w:val="clear"/>
            <w:vAlign w:val="center"/>
          </w:tcPr>
          <w:p>
            <w:pPr>
              <w:pStyle w:val="TableContents"/>
              <w:bidi w:val="0"/>
              <w:spacing w:before="0" w:after="283"/>
              <w:jc w:val="left"/>
              <w:rPr/>
            </w:pPr>
            <w:r>
              <w:rPr/>
              <w:t> </w:t>
            </w:r>
          </w:p>
        </w:tc>
        <w:tc>
          <w:tcPr>
            <w:tcW w:w="4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8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8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2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1" w:type="dxa"/>
            <w:tcBorders/>
            <w:shd w:fill="FFFFFF" w:val="clear"/>
            <w:vAlign w:val="center"/>
          </w:tcPr>
          <w:p>
            <w:pPr>
              <w:pStyle w:val="TableContents"/>
              <w:bidi w:val="0"/>
              <w:spacing w:before="0" w:after="283"/>
              <w:jc w:val="left"/>
              <w:rPr/>
            </w:pPr>
            <w:r>
              <w:rPr/>
              <w:t> </w:t>
            </w:r>
          </w:p>
        </w:tc>
      </w:tr>
      <w:tr>
        <w:trPr/>
        <w:tc>
          <w:tcPr>
            <w:tcW w:w="164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1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146" w:type="dxa"/>
            <w:tcBorders/>
            <w:shd w:fill="FFFFFF" w:val="clear"/>
            <w:vAlign w:val="center"/>
          </w:tcPr>
          <w:p>
            <w:pPr>
              <w:pStyle w:val="TableContents"/>
              <w:bidi w:val="0"/>
              <w:spacing w:before="0" w:after="283"/>
              <w:jc w:val="center"/>
              <w:rPr/>
            </w:pPr>
            <w:r>
              <w:rPr/>
              <w:t> </w:t>
            </w:r>
          </w:p>
        </w:tc>
        <w:tc>
          <w:tcPr>
            <w:tcW w:w="2531"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1" w:type="dxa"/>
            <w:gridSpan w:val="6"/>
            <w:tcBorders/>
            <w:shd w:fill="FFFFFF" w:val="cle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center"/>
              <w:rPr/>
            </w:pPr>
            <w:r>
              <w:rPr/>
              <w:t> </w:t>
            </w:r>
          </w:p>
        </w:tc>
      </w:tr>
      <w:tr>
        <w:trPr/>
        <w:tc>
          <w:tcPr>
            <w:tcW w:w="16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9,271</w:t>
            </w:r>
          </w:p>
        </w:tc>
        <w:tc>
          <w:tcPr>
            <w:tcW w:w="151" w:type="dxa"/>
            <w:tcBorders/>
            <w:shd w:fill="B6DEE8" w:val="clear"/>
            <w:vAlign w:val="center"/>
          </w:tcPr>
          <w:p>
            <w:pPr>
              <w:pStyle w:val="TableContents"/>
              <w:bidi w:val="0"/>
              <w:spacing w:before="0" w:after="283"/>
              <w:jc w:val="left"/>
              <w:rPr/>
            </w:pPr>
            <w:r>
              <w:rPr/>
              <w:t> </w:t>
            </w:r>
          </w:p>
        </w:tc>
        <w:tc>
          <w:tcPr>
            <w:tcW w:w="151" w:type="dxa"/>
            <w:tcBorders/>
            <w:shd w:fill="B6DEE8" w:val="clear"/>
            <w:vAlign w:val="center"/>
          </w:tcPr>
          <w:p>
            <w:pPr>
              <w:pStyle w:val="TableContents"/>
              <w:bidi w:val="0"/>
              <w:spacing w:before="0" w:after="283"/>
              <w:jc w:val="left"/>
              <w:rPr/>
            </w:pPr>
            <w:r>
              <w:rPr/>
              <w:t> </w:t>
            </w:r>
          </w:p>
        </w:tc>
        <w:tc>
          <w:tcPr>
            <w:tcW w:w="4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14,989</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8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24,261</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8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2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2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(359</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gain recorded in connection with the investment for the three months ended March 31, 2024 and 2023, was $0.9 million and $0.1 million, respectively, and was recorded as a component of interest income in the consolidated statements of operations. Accrued interest of $0.2 million and $1.0 million is included in investments within the condensed consolidated balance sheets for the periods ended March 31, 2024 and 2023,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Unrealized losses on the available-for-sale investment securities as of March 31, 2024 and December 31, 2023 are primarily the result of increases in interest rates as a significant portion of the investments were purchased prior to the Federal reserve commenced interest rate increases in 2022. The Company does not intend to sell nor anticipate that it will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three months ended March 31, 2024 and 2023.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 of March 31, 2024, the contractual maturities of available-for-sale investment securities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180" w:type="dxa"/>
        <w:jc w:val="left"/>
        <w:tblInd w:w="0" w:type="dxa"/>
        <w:tblLayout w:type="fixed"/>
        <w:tblCellMar>
          <w:top w:w="28" w:type="dxa"/>
          <w:left w:w="28" w:type="dxa"/>
          <w:bottom w:w="28" w:type="dxa"/>
          <w:right w:w="28" w:type="dxa"/>
        </w:tblCellMar>
      </w:tblPr>
      <w:tblGrid>
        <w:gridCol w:w="3106"/>
        <w:gridCol w:w="146"/>
        <w:gridCol w:w="338"/>
        <w:gridCol w:w="1087"/>
        <w:gridCol w:w="146"/>
        <w:gridCol w:w="146"/>
        <w:gridCol w:w="242"/>
        <w:gridCol w:w="778"/>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B6DEE8" w:val="clear"/>
            <w:vAlign w:val="center"/>
          </w:tcPr>
          <w:p>
            <w:pPr>
              <w:pStyle w:val="TableContents"/>
              <w:bidi w:val="0"/>
              <w:spacing w:before="0" w:after="283"/>
              <w:jc w:val="left"/>
              <w:rPr/>
            </w:pPr>
            <w:r>
              <w:rPr/>
              <w:t> </w:t>
            </w:r>
          </w:p>
        </w:tc>
        <w:tc>
          <w:tcPr>
            <w:tcW w:w="33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34,200</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34,371</w:t>
            </w:r>
          </w:p>
        </w:tc>
        <w:tc>
          <w:tcPr>
            <w:tcW w:w="191" w:type="dxa"/>
            <w:tcBorders/>
            <w:shd w:fill="B6DEE8" w:val="clear"/>
            <w:vAlign w:val="center"/>
          </w:tcPr>
          <w:p>
            <w:pPr>
              <w:pStyle w:val="TableContents"/>
              <w:bidi w:val="0"/>
              <w:spacing w:before="0" w:after="283"/>
              <w:jc w:val="left"/>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43,315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43,317</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Member Advances,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advances, net, represent outstanding advances, tips, and processing fees, net of direct origination costs, less an allowance for credit losses.</w:t>
      </w:r>
    </w:p>
    <w:p>
      <w:pPr>
        <w:pStyle w:val="TextBody"/>
        <w:bidi w:val="0"/>
        <w:spacing w:before="120" w:after="283"/>
        <w:jc w:val="left"/>
        <w:rPr>
          <w:rFonts w:ascii="Times New Roman" w:hAnsi="Times New Roman"/>
          <w:sz w:val="20"/>
        </w:rPr>
      </w:pPr>
      <w:r>
        <w:rPr>
          <w:rFonts w:ascii="Times New Roman" w:hAnsi="Times New Roman"/>
          <w:color w:val="000000"/>
          <w:sz w:val="20"/>
        </w:rPr>
        <w:t>Below is a detail of Member advances, net as of March 31, 2024</w:t>
      </w:r>
      <w:r>
        <w:rPr>
          <w:rFonts w:ascii="Times New Roman" w:hAnsi="Times New Roman"/>
          <w:color w:val="FF00FF"/>
          <w:sz w:val="20"/>
        </w:rPr>
        <w:t xml:space="preserve"> </w:t>
      </w:r>
      <w:r>
        <w:rPr>
          <w:rFonts w:ascii="Times New Roman" w:hAnsi="Times New Roman"/>
          <w:color w:val="000000"/>
          <w:sz w:val="20"/>
        </w:rPr>
        <w:t>(</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9807" w:type="dxa"/>
        <w:jc w:val="left"/>
        <w:tblInd w:w="0" w:type="dxa"/>
        <w:tblLayout w:type="fixed"/>
        <w:tblCellMar>
          <w:top w:w="28" w:type="dxa"/>
          <w:left w:w="28" w:type="dxa"/>
          <w:bottom w:w="28" w:type="dxa"/>
          <w:right w:w="28" w:type="dxa"/>
        </w:tblCellMar>
      </w:tblPr>
      <w:tblGrid>
        <w:gridCol w:w="2116"/>
        <w:gridCol w:w="146"/>
        <w:gridCol w:w="472"/>
        <w:gridCol w:w="1748"/>
        <w:gridCol w:w="146"/>
        <w:gridCol w:w="146"/>
        <w:gridCol w:w="549"/>
        <w:gridCol w:w="1926"/>
        <w:gridCol w:w="166"/>
        <w:gridCol w:w="146"/>
        <w:gridCol w:w="437"/>
        <w:gridCol w:w="1618"/>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vAlign w:val="center"/>
          </w:tcPr>
          <w:p>
            <w:pPr>
              <w:pStyle w:val="TableContents"/>
              <w:bidi w:val="0"/>
              <w:spacing w:before="0" w:after="283"/>
              <w:jc w:val="center"/>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Member Advances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 Advances,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92,237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3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89,971</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11,046</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pPr>
            <w:r>
              <w:rPr/>
              <w:t> </w:t>
            </w:r>
          </w:p>
        </w:tc>
        <w:tc>
          <w:tcPr>
            <w:tcW w:w="174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pPr>
            <w:r>
              <w:rPr/>
              <w:t> </w:t>
            </w:r>
          </w:p>
        </w:tc>
        <w:tc>
          <w:tcPr>
            <w:tcW w:w="19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37" w:type="dxa"/>
            <w:tcBorders/>
            <w:shd w:fill="B6DEE8" w:val="clear"/>
            <w:vAlign w:val="center"/>
          </w:tcPr>
          <w:p>
            <w:pPr>
              <w:pStyle w:val="TableContents"/>
              <w:bidi w:val="0"/>
              <w:spacing w:before="0" w:after="283"/>
              <w:jc w:val="left"/>
              <w:rPr/>
            </w:pPr>
            <w:r>
              <w:rPr/>
              <w:t> </w:t>
            </w:r>
          </w:p>
        </w:tc>
        <w:tc>
          <w:tcPr>
            <w:tcW w:w="161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1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104,923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Below is a detail of member advances, net as of December 31, 2023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9807" w:type="dxa"/>
        <w:jc w:val="left"/>
        <w:tblInd w:w="0" w:type="dxa"/>
        <w:tblLayout w:type="fixed"/>
        <w:tblCellMar>
          <w:top w:w="28" w:type="dxa"/>
          <w:left w:w="28" w:type="dxa"/>
          <w:bottom w:w="28" w:type="dxa"/>
          <w:right w:w="28" w:type="dxa"/>
        </w:tblCellMar>
      </w:tblPr>
      <w:tblGrid>
        <w:gridCol w:w="2116"/>
        <w:gridCol w:w="146"/>
        <w:gridCol w:w="472"/>
        <w:gridCol w:w="1748"/>
        <w:gridCol w:w="146"/>
        <w:gridCol w:w="146"/>
        <w:gridCol w:w="549"/>
        <w:gridCol w:w="1926"/>
        <w:gridCol w:w="166"/>
        <w:gridCol w:w="146"/>
        <w:gridCol w:w="437"/>
        <w:gridCol w:w="1618"/>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vAlign w:val="center"/>
          </w:tcPr>
          <w:p>
            <w:pPr>
              <w:pStyle w:val="TableContents"/>
              <w:bidi w:val="0"/>
              <w:spacing w:before="0" w:after="283"/>
              <w:jc w:val="center"/>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Member Advances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 Advances,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37"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95,877</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11-30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12,422</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31-60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pPr>
            <w:r>
              <w:rPr/>
              <w:t> </w:t>
            </w:r>
          </w:p>
        </w:tc>
        <w:tc>
          <w:tcPr>
            <w:tcW w:w="174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pPr>
            <w:r>
              <w:rPr/>
              <w:t> </w:t>
            </w:r>
          </w:p>
        </w:tc>
        <w:tc>
          <w:tcPr>
            <w:tcW w:w="19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37" w:type="dxa"/>
            <w:tcBorders/>
            <w:shd w:fill="B6DEE8" w:val="clear"/>
            <w:vAlign w:val="center"/>
          </w:tcPr>
          <w:p>
            <w:pPr>
              <w:pStyle w:val="TableContents"/>
              <w:bidi w:val="0"/>
              <w:spacing w:before="0" w:after="283"/>
              <w:jc w:val="left"/>
              <w:rPr/>
            </w:pPr>
            <w:r>
              <w:rPr/>
              <w:t> </w:t>
            </w:r>
          </w:p>
        </w:tc>
        <w:tc>
          <w:tcPr>
            <w:tcW w:w="161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61-90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1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The roll-forward of the allowance for credit losses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left"/>
        <w:rPr/>
      </w:pPr>
      <w:r>
        <w:rPr/>
        <w:t> </w:t>
      </w:r>
    </w:p>
    <w:tbl>
      <w:tblPr>
        <w:tblW w:w="5677" w:type="dxa"/>
        <w:jc w:val="left"/>
        <w:tblInd w:w="0" w:type="dxa"/>
        <w:tblLayout w:type="fixed"/>
        <w:tblCellMar>
          <w:top w:w="28" w:type="dxa"/>
          <w:left w:w="28" w:type="dxa"/>
          <w:bottom w:w="28" w:type="dxa"/>
          <w:right w:w="28" w:type="dxa"/>
        </w:tblCellMar>
      </w:tblPr>
      <w:tblGrid>
        <w:gridCol w:w="4081"/>
        <w:gridCol w:w="146"/>
        <w:gridCol w:w="146"/>
        <w:gridCol w:w="146"/>
        <w:gridCol w:w="211"/>
        <w:gridCol w:w="736"/>
        <w:gridCol w:w="21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20,310</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3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w:t>
            </w:r>
          </w:p>
        </w:tc>
        <w:tc>
          <w:tcPr>
            <w:tcW w:w="211" w:type="dxa"/>
            <w:tcBorders/>
            <w:shd w:fill="B6DEE8"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March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24,501</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provision for credit losses</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3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11,953</w:t>
            </w:r>
          </w:p>
        </w:tc>
        <w:tc>
          <w:tcPr>
            <w:tcW w:w="211" w:type="dxa"/>
            <w:tcBorders/>
            <w:shd w:fill="B6DEE8"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 amounts recovered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211" w:type="dxa"/>
            <w:tcBorders/>
            <w:shd w:fill="FFFFFF" w:val="clear"/>
            <w:vAlign w:val="center"/>
          </w:tcPr>
          <w:p>
            <w:pPr>
              <w:pStyle w:val="TableContents"/>
              <w:bidi w:val="0"/>
              <w:spacing w:before="0" w:after="283"/>
              <w:jc w:val="left"/>
              <w:rPr/>
            </w:pPr>
            <w:r>
              <w:rPr/>
              <w:t> </w:t>
            </w:r>
          </w:p>
        </w:tc>
      </w:tr>
      <w:tr>
        <w:trPr/>
        <w:tc>
          <w:tcPr>
            <w:tcW w:w="40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written-off</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(23,016</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March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credit losses for the period ended March 31, 2024 was lower compared to the period ended March 31, 2023, due primarily to improved collections performance throughout period. The decrease in amounts written-off for the period ended March 31, 2024 compared to the period ended March 31, 2023, was also primarily a result of improved collections performance period over period.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Intangible Assets, Net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Company’s intangible assets, net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6"/>
        <w:gridCol w:w="146"/>
        <w:gridCol w:w="1061"/>
        <w:gridCol w:w="146"/>
        <w:gridCol w:w="228"/>
        <w:gridCol w:w="732"/>
        <w:gridCol w:w="146"/>
        <w:gridCol w:w="146"/>
        <w:gridCol w:w="328"/>
        <w:gridCol w:w="982"/>
        <w:gridCol w:w="166"/>
        <w:gridCol w:w="146"/>
        <w:gridCol w:w="218"/>
        <w:gridCol w:w="698"/>
        <w:gridCol w:w="146"/>
        <w:gridCol w:w="146"/>
        <w:gridCol w:w="228"/>
        <w:gridCol w:w="732"/>
        <w:gridCol w:w="146"/>
        <w:gridCol w:w="328"/>
        <w:gridCol w:w="982"/>
        <w:gridCol w:w="166"/>
        <w:gridCol w:w="218"/>
        <w:gridCol w:w="698"/>
        <w:gridCol w:w="196"/>
      </w:tblGrid>
      <w:tr>
        <w:trPr/>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B6DEE8" w:val="clear"/>
            <w:vAlign w:val="center"/>
          </w:tcPr>
          <w:p>
            <w:pPr>
              <w:pStyle w:val="TableContents"/>
              <w:bidi w:val="0"/>
              <w:spacing w:before="0" w:after="283"/>
              <w:jc w:val="left"/>
              <w:rPr/>
            </w:pPr>
            <w:r>
              <w:rPr/>
              <w:t> </w:t>
            </w:r>
          </w:p>
        </w:tc>
        <w:tc>
          <w:tcPr>
            <w:tcW w:w="1061" w:type="dxa"/>
            <w:tcBorders/>
            <w:shd w:fill="B6DE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 Years</w:t>
            </w:r>
          </w:p>
        </w:tc>
        <w:tc>
          <w:tcPr>
            <w:tcW w:w="146" w:type="dxa"/>
            <w:tcBorders/>
            <w:shd w:fill="B6DEE8" w:val="clear"/>
            <w:vAlign w:val="center"/>
          </w:tcPr>
          <w:p>
            <w:pPr>
              <w:pStyle w:val="TableContents"/>
              <w:bidi w:val="0"/>
              <w:spacing w:before="0" w:after="283"/>
              <w:jc w:val="left"/>
              <w:rPr/>
            </w:pPr>
            <w:r>
              <w:rPr/>
              <w:t> </w:t>
            </w:r>
          </w:p>
        </w:tc>
        <w:tc>
          <w:tcPr>
            <w:tcW w:w="22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2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1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w:t>
            </w:r>
          </w:p>
        </w:tc>
        <w:tc>
          <w:tcPr>
            <w:tcW w:w="146" w:type="dxa"/>
            <w:tcBorders/>
            <w:shd w:fill="B6DEE8" w:val="clear"/>
            <w:vAlign w:val="center"/>
          </w:tcPr>
          <w:p>
            <w:pPr>
              <w:pStyle w:val="TableContents"/>
              <w:bidi w:val="0"/>
              <w:spacing w:before="0" w:after="283"/>
              <w:jc w:val="left"/>
              <w:rPr/>
            </w:pPr>
            <w:r>
              <w:rPr/>
              <w:t> </w:t>
            </w:r>
          </w:p>
        </w:tc>
        <w:tc>
          <w:tcPr>
            <w:tcW w:w="32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(8,461</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w:t>
            </w:r>
          </w:p>
        </w:tc>
        <w:tc>
          <w:tcPr>
            <w:tcW w:w="196" w:type="dxa"/>
            <w:tcBorders/>
            <w:shd w:fill="B6DEE8" w:val="clear"/>
            <w:vAlign w:val="center"/>
          </w:tcPr>
          <w:p>
            <w:pPr>
              <w:pStyle w:val="TableContents"/>
              <w:bidi w:val="0"/>
              <w:spacing w:before="0" w:after="283"/>
              <w:jc w:val="left"/>
              <w:rPr/>
            </w:pPr>
            <w:r>
              <w:rPr/>
              <w:t> </w:t>
            </w:r>
          </w:p>
        </w:tc>
      </w:tr>
      <w:tr>
        <w:trPr/>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Domain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23,314</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(9,992</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13,322</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21,722</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(8,516</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13,206</w:t>
            </w:r>
          </w:p>
        </w:tc>
        <w:tc>
          <w:tcPr>
            <w:tcW w:w="19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20"/>
        </w:rPr>
        <w:t>The future estimated amortization expenses as of March 31,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3812" w:type="dxa"/>
        <w:jc w:val="left"/>
        <w:tblInd w:w="0" w:type="dxa"/>
        <w:tblLayout w:type="fixed"/>
        <w:tblCellMar>
          <w:top w:w="28" w:type="dxa"/>
          <w:left w:w="28" w:type="dxa"/>
          <w:bottom w:w="28" w:type="dxa"/>
          <w:right w:w="28" w:type="dxa"/>
        </w:tblCellMar>
      </w:tblPr>
      <w:tblGrid>
        <w:gridCol w:w="2296"/>
        <w:gridCol w:w="146"/>
        <w:gridCol w:w="146"/>
        <w:gridCol w:w="146"/>
        <w:gridCol w:w="211"/>
        <w:gridCol w:w="67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67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w:t>
            </w:r>
          </w:p>
        </w:tc>
        <w:tc>
          <w:tcPr>
            <w:tcW w:w="191" w:type="dxa"/>
            <w:tcBorders/>
            <w:shd w:fill="B6DEE8"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w:t>
            </w:r>
          </w:p>
        </w:tc>
        <w:tc>
          <w:tcPr>
            <w:tcW w:w="191" w:type="dxa"/>
            <w:tcBorders/>
            <w:shd w:fill="FFFFFF" w:val="clear"/>
            <w:vAlign w:val="center"/>
          </w:tcPr>
          <w:p>
            <w:pPr>
              <w:pStyle w:val="TableContents"/>
              <w:bidi w:val="0"/>
              <w:spacing w:before="0" w:after="283"/>
              <w:jc w:val="left"/>
              <w:rPr/>
            </w:pPr>
            <w:r>
              <w:rPr/>
              <w:t> </w:t>
            </w:r>
          </w:p>
        </w:tc>
      </w:tr>
      <w:tr>
        <w:trPr/>
        <w:tc>
          <w:tcPr>
            <w:tcW w:w="229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67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191" w:type="dxa"/>
            <w:tcBorders/>
            <w:shd w:fill="B6DEE8"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91" w:type="dxa"/>
            <w:tcBorders/>
            <w:shd w:fill="FFFFFF" w:val="clear"/>
            <w:vAlign w:val="center"/>
          </w:tcPr>
          <w:p>
            <w:pPr>
              <w:pStyle w:val="TableContents"/>
              <w:bidi w:val="0"/>
              <w:spacing w:before="0" w:after="283"/>
              <w:jc w:val="left"/>
              <w:rPr/>
            </w:pPr>
            <w:r>
              <w:rPr/>
              <w:t> </w:t>
            </w:r>
          </w:p>
        </w:tc>
      </w:tr>
      <w:tr>
        <w:trPr/>
        <w:tc>
          <w:tcPr>
            <w:tcW w:w="229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the three months ended March 31, 2024 and 2023 was $1.5 million and $1.1 million, respectively. No impairment charges were recognized related to long-lived assets for the for the three months ended March 31, 2024 and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Amortization expense related to change in useful life of a certain definite-lived intangible asset for the three months ended March 31, 2024 and 2023, was $0 and $0.2 million,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Accrued Expenses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accrued expenses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7050" w:type="dxa"/>
        <w:jc w:val="left"/>
        <w:tblInd w:w="0" w:type="dxa"/>
        <w:tblLayout w:type="fixed"/>
        <w:tblCellMar>
          <w:top w:w="28" w:type="dxa"/>
          <w:left w:w="28" w:type="dxa"/>
          <w:bottom w:w="28" w:type="dxa"/>
          <w:right w:w="28" w:type="dxa"/>
        </w:tblCellMar>
      </w:tblPr>
      <w:tblGrid>
        <w:gridCol w:w="3256"/>
        <w:gridCol w:w="146"/>
        <w:gridCol w:w="342"/>
        <w:gridCol w:w="1098"/>
        <w:gridCol w:w="146"/>
        <w:gridCol w:w="146"/>
        <w:gridCol w:w="409"/>
        <w:gridCol w:w="1316"/>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and program fees</w:t>
            </w:r>
          </w:p>
        </w:tc>
        <w:tc>
          <w:tcPr>
            <w:tcW w:w="146" w:type="dxa"/>
            <w:tcBorders/>
            <w:shd w:fill="B6DEE8" w:val="clear"/>
            <w:vAlign w:val="center"/>
          </w:tcPr>
          <w:p>
            <w:pPr>
              <w:pStyle w:val="TableContents"/>
              <w:bidi w:val="0"/>
              <w:spacing w:before="0" w:after="283"/>
              <w:jc w:val="left"/>
              <w:rPr/>
            </w:pPr>
            <w:r>
              <w:rPr/>
              <w:t> </w:t>
            </w:r>
          </w:p>
        </w:tc>
        <w:tc>
          <w:tcPr>
            <w:tcW w:w="34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0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w:t>
            </w:r>
          </w:p>
        </w:tc>
        <w:tc>
          <w:tcPr>
            <w:tcW w:w="191" w:type="dxa"/>
            <w:tcBorders/>
            <w:shd w:fill="B6DEE8"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B6DEE8" w:val="clear"/>
            <w:vAlign w:val="center"/>
          </w:tcPr>
          <w:p>
            <w:pPr>
              <w:pStyle w:val="TableContents"/>
              <w:bidi w:val="0"/>
              <w:spacing w:before="0" w:after="283"/>
              <w:jc w:val="left"/>
              <w:rPr/>
            </w:pPr>
            <w:r>
              <w:rPr/>
              <w:t> </w:t>
            </w:r>
          </w:p>
        </w:tc>
        <w:tc>
          <w:tcPr>
            <w:tcW w:w="342" w:type="dxa"/>
            <w:tcBorders/>
            <w:shd w:fill="B6DEE8" w:val="clear"/>
            <w:vAlign w:val="center"/>
          </w:tcPr>
          <w:p>
            <w:pPr>
              <w:pStyle w:val="TableContents"/>
              <w:bidi w:val="0"/>
              <w:spacing w:before="0" w:after="283"/>
              <w:jc w:val="left"/>
              <w:rPr/>
            </w:pPr>
            <w:r>
              <w:rPr/>
              <w:t> </w:t>
            </w:r>
          </w:p>
        </w:tc>
        <w:tc>
          <w:tcPr>
            <w:tcW w:w="10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09" w:type="dxa"/>
            <w:tcBorders/>
            <w:shd w:fill="B6DEE8" w:val="clear"/>
            <w:vAlign w:val="center"/>
          </w:tcPr>
          <w:p>
            <w:pPr>
              <w:pStyle w:val="TableContents"/>
              <w:bidi w:val="0"/>
              <w:spacing w:before="0" w:after="283"/>
              <w:jc w:val="left"/>
              <w:rPr/>
            </w:pPr>
            <w:r>
              <w:rPr/>
              <w:t> </w:t>
            </w:r>
          </w:p>
        </w:tc>
        <w:tc>
          <w:tcPr>
            <w:tcW w:w="131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B6DEE8"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charitable contributions</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B6DEE8" w:val="clear"/>
            <w:vAlign w:val="center"/>
          </w:tcPr>
          <w:p>
            <w:pPr>
              <w:pStyle w:val="TableContents"/>
              <w:bidi w:val="0"/>
              <w:spacing w:before="0" w:after="283"/>
              <w:jc w:val="left"/>
              <w:rPr/>
            </w:pPr>
            <w:r>
              <w:rPr/>
              <w:t> </w:t>
            </w:r>
          </w:p>
        </w:tc>
        <w:tc>
          <w:tcPr>
            <w:tcW w:w="342" w:type="dxa"/>
            <w:tcBorders/>
            <w:shd w:fill="B6DEE8" w:val="clear"/>
            <w:vAlign w:val="center"/>
          </w:tcPr>
          <w:p>
            <w:pPr>
              <w:pStyle w:val="TableContents"/>
              <w:bidi w:val="0"/>
              <w:spacing w:before="0" w:after="283"/>
              <w:jc w:val="left"/>
              <w:rPr/>
            </w:pPr>
            <w:r>
              <w:rPr/>
              <w:t> </w:t>
            </w:r>
          </w:p>
        </w:tc>
        <w:tc>
          <w:tcPr>
            <w:tcW w:w="1098"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09" w:type="dxa"/>
            <w:tcBorders/>
            <w:shd w:fill="B6DEE8" w:val="clear"/>
            <w:vAlign w:val="center"/>
          </w:tcPr>
          <w:p>
            <w:pPr>
              <w:pStyle w:val="TableContents"/>
              <w:bidi w:val="0"/>
              <w:spacing w:before="0" w:after="283"/>
              <w:jc w:val="left"/>
              <w:rPr/>
            </w:pPr>
            <w:r>
              <w:rPr/>
              <w:t> </w:t>
            </w:r>
          </w:p>
        </w:tc>
        <w:tc>
          <w:tcPr>
            <w:tcW w:w="131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91" w:type="dxa"/>
            <w:tcBorders/>
            <w:shd w:fill="B6DEE8"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Negative balance payable</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Accrued charitable contributions includes amounts the Company has pledged related to charitable meal donations. The Company uses a portion of tips received to make a charitable cash donation to a third party who uses the funds to provide meals to those in need. For the three months ended March 31, 2024 and 2023, the Company pledged approximately $0.9 million and $2.5 million related to charitable donations, respectively. These costs are expensed as incurred and are presented within other operating expenses in the consolidated statements of operations.</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Current Liabilities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other current liabilities consisted of the following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120" w:after="283"/>
        <w:jc w:val="left"/>
        <w:rPr/>
      </w:pPr>
      <w:r>
        <w:rPr/>
        <w:t> </w:t>
      </w:r>
    </w:p>
    <w:tbl>
      <w:tblPr>
        <w:tblW w:w="6000" w:type="dxa"/>
        <w:jc w:val="left"/>
        <w:tblInd w:w="0" w:type="dxa"/>
        <w:tblLayout w:type="fixed"/>
        <w:tblCellMar>
          <w:top w:w="28" w:type="dxa"/>
          <w:left w:w="28" w:type="dxa"/>
          <w:bottom w:w="28" w:type="dxa"/>
          <w:right w:w="28" w:type="dxa"/>
        </w:tblCellMar>
      </w:tblPr>
      <w:tblGrid>
        <w:gridCol w:w="2206"/>
        <w:gridCol w:w="146"/>
        <w:gridCol w:w="388"/>
        <w:gridCol w:w="1052"/>
        <w:gridCol w:w="146"/>
        <w:gridCol w:w="146"/>
        <w:gridCol w:w="465"/>
        <w:gridCol w:w="1260"/>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center"/>
              <w:rPr/>
            </w:pPr>
            <w:r>
              <w:rPr/>
              <w:t> </w:t>
            </w:r>
          </w:p>
        </w:tc>
        <w:tc>
          <w:tcPr>
            <w:tcW w:w="1440" w:type="dxa"/>
            <w:gridSpan w:val="2"/>
            <w:tcBorders/>
            <w:shd w:fill="B6DEE8"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March 31, 2024</w:t>
            </w:r>
          </w:p>
        </w:tc>
        <w:tc>
          <w:tcPr>
            <w:tcW w:w="146" w:type="dxa"/>
            <w:tcBorders/>
            <w:shd w:fill="B6DEE8" w:val="clear"/>
            <w:vAlign w:val="center"/>
          </w:tcPr>
          <w:p>
            <w:pPr>
              <w:pStyle w:val="TableContents"/>
              <w:bidi w:val="0"/>
              <w:spacing w:before="0" w:after="283"/>
              <w:jc w:val="center"/>
              <w:rPr/>
            </w:pPr>
            <w:r>
              <w:rPr/>
              <w:t> </w:t>
            </w:r>
          </w:p>
        </w:tc>
        <w:tc>
          <w:tcPr>
            <w:tcW w:w="146" w:type="dxa"/>
            <w:tcBorders/>
            <w:shd w:fill="B6DEE8" w:val="clear"/>
            <w:vAlign w:val="center"/>
          </w:tcPr>
          <w:p>
            <w:pPr>
              <w:pStyle w:val="TableContents"/>
              <w:bidi w:val="0"/>
              <w:spacing w:before="0" w:after="283"/>
              <w:jc w:val="center"/>
              <w:rPr/>
            </w:pPr>
            <w:r>
              <w:rPr/>
              <w:t> </w:t>
            </w:r>
          </w:p>
        </w:tc>
        <w:tc>
          <w:tcPr>
            <w:tcW w:w="1725" w:type="dxa"/>
            <w:gridSpan w:val="2"/>
            <w:tcBorders/>
            <w:shd w:fill="B6DEE8"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December 31, 2023</w:t>
            </w:r>
          </w:p>
        </w:tc>
        <w:tc>
          <w:tcPr>
            <w:tcW w:w="191" w:type="dxa"/>
            <w:tcBorders/>
            <w:shd w:fill="B6DEE8" w:val="cle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transaction costs</w:t>
            </w:r>
          </w:p>
        </w:tc>
        <w:tc>
          <w:tcPr>
            <w:tcW w:w="146"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Other current liabilities includes $3.2 million in deferred transaction costs associated with the transactions consummated on January 5, 2022 as contemplated by that certain Agreement and Plan of Merger, dated as of June 7, 2021 among VPC Impact Acquisition Holdings III, Inc. (“VPCC”), Dave Inc., a Delaware corporation (“Legacy Dave”), and other entities (the “Business Combination”). These transaction costs were also capitalized and included within APIC in the condensed consolidated balance sheets. </w:t>
      </w:r>
    </w:p>
    <w:p>
      <w:pPr>
        <w:pStyle w:val="TextBody"/>
        <w:bidi w:val="0"/>
        <w:spacing w:before="360" w:after="283"/>
        <w:jc w:val="left"/>
        <w:rPr>
          <w:rFonts w:ascii="Times New Roman" w:hAnsi="Times New Roman"/>
          <w:sz w:val="20"/>
        </w:rPr>
      </w:pPr>
      <w:r>
        <w:rPr>
          <w:rFonts w:ascii="Times New Roman" w:hAnsi="Times New Roman"/>
          <w:b/>
          <w:color w:val="000000"/>
          <w:sz w:val="20"/>
        </w:rPr>
        <w:t>Note 8 Convertible Note Payable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21, 2022, the Company entered into a Convertible Note Purchase Agreement (“Purchase Agreement”) with FTX Ventures Ltd. (the “Purchaser”), owner of FTX US (“FTX”), providing for the purchase and sale of a convertible note in the initial principal amount of $100.0 million (the “Note”). The Note bore interest at a rate of 3.00% 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would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29, 2024, the Company repurchased the $105.7 million outstanding balance of the Note as of January 29, 2024 for $71.0 million. The Company reduced the net carrying amount of debt by unamortized debt issuance costs of $0.03 million at the extinguishment date. The Company also incurred third-party costs totaling $1.3 million in conjunction with the settlement of the Note. The third-party costs are included in the reacquisition price and the gain on extinguishment of $33.4 million was calculated as the difference between the net carrying amount of debt and the reacquisition price. </w:t>
      </w:r>
    </w:p>
    <w:p>
      <w:pPr>
        <w:pStyle w:val="TextBody"/>
        <w:bidi w:val="0"/>
        <w:spacing w:before="360" w:after="283"/>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2024, there were 6,344,021 public warrants (“Public Warrants”) outstanding and 5,100,214 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Public Warrants and the Private Warrants have an exercise price of $368 per share, subject to adjustments and will expire five years after the completion of the Business Combination or earlier upon redemption or liquidation.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Redemption of Public Warrants when the price per share of Class A Common Stock equals or exceeds $576.00: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 for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 whole and not in part;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at a price of $0.01 per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upon a minimum of 30 days prior written notice of redemption; and if, and only if, the closing price of Class A Common Stock equals or exceeds $576.00 per share (as adjusted) for any 20 trading days within a 30-trading day period ending on the third trading day prior to the date on which the Company sends the notice of redemption to the warrant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Redemption of Public Warrants for when the price per share of Class A Common Stock equals or exceeds $320.00: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in whole and not in part;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if, and only if, the closing price of Class A Common Stock equals or exceeds $320.00 per Public Share (as adjusted) for any 20 trading days within the 30-trading day period ending three trading days before the Company sends notice of redemption to the warrant 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Immediately prior to the close of the Business Combination, all, or 1,664,394 of the vested warrants were exercised and net settled for 14,087 shares of Legacy Dave’s Class A Common Stock after applying the exchange ratio.</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 Debt Facility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2021, Dave OD Funding I, LLC (“Borrower”) entered into a delayed draw senior secured loan facility (the “Debt Facility”) with Victory Park Management, LLC (“Agent”), and allowed the Borrower to draw up to $100 million from various lenders (the “Lenders”) associated with Victory Park Management, LLC.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a minimum cash, cash equivalents, or marketable securities balance of $8.0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13, 2023, the Company executed the Third Amendment to the Debt Facility with the existing Lenders. The Third Amendment, among other things: (i) increases the secured loan facility commitment amount by $50 million to a total of $150 million; (ii) extends the maturity date of the Debt Facility from January 2025 to December 2026; (iii) adds a liquidity trigger threshold, measured as of the last day of any calendar month, equal to the lesser of (a) the trailing six-month EBITDA as of such date, (b) the product of (A) the trailing three-month EBITDA as of such date, multiplied by (B) two (2), and (c) zero ($0); (iv) increases the minimum liquidity threshold, a requirement to maintain a minimum cash, cash equivalents, or marketable securities balance, from $8.0 million to $15 million; (v) replaces LIBOR with the secured overnight financing rate ("SOFR") and updates interest rates to the base rate (or if greater, SOFR for such date for a 3-month tenor and 3.00%) plus 5.00% per annum on that portion of the aggregate outstanding principal balance that is less than or equal to $75 million, plus the base rate plus 4.50% per annum on that portion of the aggregate outstanding principal balance, if any, that is greater than $75 million; (vi) updates prepayment premiums for early or voluntary principal repayments; and (vii) the Company's guaranty (the limited guaranty was secured by a first-priority lien against substantially all of the Company's assets) of up to $25,000,000 of the Borrower's obligations under the Debt Facility has been terminated.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Payments of the loan draws are due at the following dates: (i) within five business days after the date of receipt by the Borrower of any net cash proceeds in excess of $0.25 million in the aggregate during any fiscal year from any asset sales (other than certain permitted dispositions), Borrower must prepay the loans or remit such net cash proceeds in an aggregate amount equal to 100% of such net cash proceeds; (ii) within five business days after the date of receipt by Borrower, or the Agent as loss payee, of any net cash proceeds from any destruction or taking, the Borrower must prepay the loans or remit such net cash proceeds in an aggregate amount equal to 100% of such net cash proceeds; (iii) within three business days after the date of receipt by Borrower of any net cash proceeds from the incurrence of any indebtedness of Borrower (other than with respect to permitted borrower indebtedness), the Borrower will prepay the loans or remit such net cash proceeds in an aggregate amount equal to 100% of such net cash proceeds; and (iv) (a) if extraordinary receipts are received by Borrower in the aggregate amount in any fiscal year in excess of $0.25 million or (b) if an event of default has occurred and is continuing at any time when any extraordinary receipts are received by Borrower, then within five business days of the receipt by Borrower of any such extraordinary receipts, the Borrower must prepay the loans or remit such net cash proceeds in an aggregate amount equal to (x) 100% of such extraordinary receipts in excess of $0.25 million in respect of clause (a) above and (y) 100% of such extraordinary receipts in respect of clause (b) above.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2024 and December 31, 2023, the Company had drawn $75.0 million on the Debt Facility and had made no repayments.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Third Amendment was accounted for as a debt modification and, accordingly, the Company capitalized $0.4 million of financing costs which will be recognized within the statement of operations evenly through maturity date of the Debt Facility, no gain or loss was recognized. As of March 31, 2024, the Company was in compliance with all covenants.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11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Company is subject to various legal proceedings and claims, either asserted or unasserted, that arise in the ordinary course of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w:t>
      </w:r>
    </w:p>
    <w:p>
      <w:pPr>
        <w:pStyle w:val="TextBody"/>
        <w:bidi w:val="0"/>
        <w:spacing w:before="2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Stoffers v. Dave Inc. (filed September 16, 2020 in LA County Superior Court)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is a purported class action lawsuit filed in connection with a July 2020 data breach, asserting consumer protection and contract claims and seeking compensatory damages, punitive damages, injunctive relief and attorney's fees on behalf of a California class. The Company entered into a settlement agreement to settle this matter on a classwide basis, which received final approval in December 2023. The estimated settlement amount of approximately $3.2 million was included in the Legal settlement accrual within the consolidated balance sheets for the year ended December 31, 2023. During the quarter ended March 31, 2024, the Company paid $3.1 million of the estimated $3.2 million in legal settlement expense. The Company plans to pay any remaining amounts due during the quarter ending June 30,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an estimated legal settlement expense of $4.1 million relating to individual claims arising from the July 2020 data breach. During 2023, the Company paid $3.9 million of the estimated $4.1 million in legal settlement expense. The remaining $0.2 million was paid during the quarter ended March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2. Lopez v. Dave Inc. (filed July 15, 2022 in US District Court for the Northern District of California).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is a purported class action alleging violations of California consumer protection laws and state and federal lending laws, among other things. The complaint seeks injunctive relief, damages, restitution, non-restitutionary disgorgement, pre- and post-judgment interest and reasonable attorneys’ fees and costs. The Company recorded an estimated legal settlement amount of $0.6 million for this matter in the quarter ended March 31, 2024.</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Leases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2019, the Company entered into a lease agreement with PCJW for office space located in Los Angeles, California. The lease term is seven years, beginning January 1, 2019 and ending December 31, 2025. The current monthly lease payment is $0.02 million, subject to an annual escalation of 5%.</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2018, the Company entered into a sublease agreement with PCJW, controlled by Company’s founders (including the Company’s CEO), for general office space next to the aforementioned leased property in Los Angeles, California. The lease term was five years subject to early termination by either party, beginning November 2018 and ending October 2023. In November 2023, the Company extended the sublease for five more years ending October 2028. Under the terms of the sublease, the current monthly rent is $0.006 million, subject to an annual escalation of 4%.</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All leases were classified as operating and operating lease expenses are presented within Other operating expenses in the condensed consolidated statements of operations. The Company does not have any finance leases or sublease arrangements where the Company is the sublessor. The Company’s leasing activities are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5326" w:type="dxa"/>
        <w:jc w:val="left"/>
        <w:tblInd w:w="0" w:type="dxa"/>
        <w:tblLayout w:type="fixed"/>
        <w:tblCellMar>
          <w:top w:w="28" w:type="dxa"/>
          <w:left w:w="28" w:type="dxa"/>
          <w:bottom w:w="28" w:type="dxa"/>
          <w:right w:w="28" w:type="dxa"/>
        </w:tblCellMar>
      </w:tblPr>
      <w:tblGrid>
        <w:gridCol w:w="1801"/>
        <w:gridCol w:w="146"/>
        <w:gridCol w:w="576"/>
        <w:gridCol w:w="864"/>
        <w:gridCol w:w="308"/>
        <w:gridCol w:w="576"/>
        <w:gridCol w:w="864"/>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8"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shd w:fill="FFFFFF" w:val="clear"/>
            <w:vAlign w:val="center"/>
          </w:tcPr>
          <w:p>
            <w:pPr>
              <w:pStyle w:val="TableContents"/>
              <w:bidi w:val="0"/>
              <w:spacing w:before="0" w:after="283"/>
              <w:jc w:val="center"/>
              <w:rPr/>
            </w:pPr>
            <w:r>
              <w:rPr/>
              <w:t> </w:t>
            </w:r>
          </w:p>
        </w:tc>
      </w:tr>
      <w:tr>
        <w:trPr/>
        <w:tc>
          <w:tcPr>
            <w:tcW w:w="1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5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08" w:type="dxa"/>
            <w:tcBorders/>
            <w:shd w:fill="B6DEE8" w:val="clear"/>
            <w:vAlign w:val="center"/>
          </w:tcPr>
          <w:p>
            <w:pPr>
              <w:pStyle w:val="TableContents"/>
              <w:bidi w:val="0"/>
              <w:spacing w:before="0" w:after="283"/>
              <w:jc w:val="left"/>
              <w:rPr/>
            </w:pPr>
            <w:r>
              <w:rPr/>
              <w:t> </w:t>
            </w:r>
          </w:p>
        </w:tc>
        <w:tc>
          <w:tcPr>
            <w:tcW w:w="5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91" w:type="dxa"/>
            <w:tcBorders/>
            <w:shd w:fill="B6DEE8" w:val="clear"/>
            <w:vAlign w:val="center"/>
          </w:tcPr>
          <w:p>
            <w:pPr>
              <w:pStyle w:val="TableContents"/>
              <w:bidi w:val="0"/>
              <w:spacing w:before="0" w:after="283"/>
              <w:jc w:val="left"/>
              <w:rPr/>
            </w:pPr>
            <w:r>
              <w:rPr/>
              <w:t> </w:t>
            </w:r>
          </w:p>
        </w:tc>
      </w:tr>
      <w:tr>
        <w:trPr/>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w:t>
            </w:r>
          </w:p>
        </w:tc>
        <w:tc>
          <w:tcPr>
            <w:tcW w:w="30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475" w:type="dxa"/>
        <w:jc w:val="left"/>
        <w:tblInd w:w="0" w:type="dxa"/>
        <w:tblLayout w:type="fixed"/>
        <w:tblCellMar>
          <w:top w:w="28" w:type="dxa"/>
          <w:left w:w="28" w:type="dxa"/>
          <w:bottom w:w="28" w:type="dxa"/>
          <w:right w:w="28" w:type="dxa"/>
        </w:tblCellMar>
      </w:tblPr>
      <w:tblGrid>
        <w:gridCol w:w="4711"/>
        <w:gridCol w:w="146"/>
        <w:gridCol w:w="448"/>
        <w:gridCol w:w="992"/>
        <w:gridCol w:w="422"/>
        <w:gridCol w:w="448"/>
        <w:gridCol w:w="992"/>
        <w:gridCol w:w="316"/>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2"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16" w:type="dxa"/>
            <w:tcBorders/>
            <w:shd w:fill="FFFFFF" w:val="clear"/>
            <w:vAlign w:val="center"/>
          </w:tcPr>
          <w:p>
            <w:pPr>
              <w:pStyle w:val="TableContents"/>
              <w:bidi w:val="0"/>
              <w:spacing w:before="0" w:after="283"/>
              <w:jc w:val="center"/>
              <w:rPr/>
            </w:pPr>
            <w:r>
              <w:rPr/>
              <w:t> </w:t>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B6DEE8" w:val="clear"/>
            <w:vAlign w:val="center"/>
          </w:tcPr>
          <w:p>
            <w:pPr>
              <w:pStyle w:val="TableContents"/>
              <w:bidi w:val="0"/>
              <w:spacing w:before="0" w:after="283"/>
              <w:jc w:val="left"/>
              <w:rPr/>
            </w:pPr>
            <w:r>
              <w:rPr/>
              <w:t> </w:t>
            </w:r>
          </w:p>
        </w:tc>
        <w:tc>
          <w:tcPr>
            <w:tcW w:w="1440" w:type="dxa"/>
            <w:gridSpan w:val="2"/>
            <w:tcBorders/>
            <w:shd w:fill="B6DEE8" w:val="clear"/>
            <w:vAlign w:val="center"/>
          </w:tcPr>
          <w:p>
            <w:pPr>
              <w:pStyle w:val="TableContents"/>
              <w:bidi w:val="0"/>
              <w:spacing w:before="0" w:after="283"/>
              <w:jc w:val="left"/>
              <w:rPr/>
            </w:pPr>
            <w:r>
              <w:rPr/>
              <w:t> </w:t>
            </w:r>
          </w:p>
        </w:tc>
        <w:tc>
          <w:tcPr>
            <w:tcW w:w="422" w:type="dxa"/>
            <w:tcBorders/>
            <w:shd w:fill="B6DEE8" w:val="clear"/>
            <w:vAlign w:val="center"/>
          </w:tcPr>
          <w:p>
            <w:pPr>
              <w:pStyle w:val="TableContents"/>
              <w:bidi w:val="0"/>
              <w:spacing w:before="0" w:after="283"/>
              <w:jc w:val="left"/>
              <w:rPr/>
            </w:pPr>
            <w:r>
              <w:rPr/>
              <w:t> </w:t>
            </w:r>
          </w:p>
        </w:tc>
        <w:tc>
          <w:tcPr>
            <w:tcW w:w="1440" w:type="dxa"/>
            <w:gridSpan w:val="2"/>
            <w:tcBorders/>
            <w:shd w:fill="B6DEE8" w:val="clear"/>
            <w:vAlign w:val="center"/>
          </w:tcPr>
          <w:p>
            <w:pPr>
              <w:pStyle w:val="TableContents"/>
              <w:bidi w:val="0"/>
              <w:spacing w:before="0" w:after="283"/>
              <w:jc w:val="left"/>
              <w:rPr/>
            </w:pPr>
            <w:r>
              <w:rPr/>
              <w:t> </w:t>
            </w:r>
          </w:p>
        </w:tc>
        <w:tc>
          <w:tcPr>
            <w:tcW w:w="316" w:type="dxa"/>
            <w:tcBorders/>
            <w:shd w:fill="B6DEE8"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22"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16" w:type="dxa"/>
            <w:tcBorders/>
            <w:shd w:fill="FFFFFF" w:val="clear"/>
            <w:vAlign w:val="center"/>
          </w:tcPr>
          <w:p>
            <w:pPr>
              <w:pStyle w:val="TableContents"/>
              <w:bidi w:val="0"/>
              <w:spacing w:before="0" w:after="283"/>
              <w:jc w:val="left"/>
              <w:rPr/>
            </w:pPr>
            <w:r>
              <w:rPr/>
              <w:t> </w:t>
            </w:r>
          </w:p>
        </w:tc>
      </w:tr>
      <w:tr>
        <w:trPr/>
        <w:tc>
          <w:tcPr>
            <w:tcW w:w="47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w:t>
            </w:r>
          </w:p>
        </w:tc>
        <w:tc>
          <w:tcPr>
            <w:tcW w:w="146" w:type="dxa"/>
            <w:tcBorders/>
            <w:shd w:fill="B6DEE8" w:val="clear"/>
            <w:vAlign w:val="center"/>
          </w:tcPr>
          <w:p>
            <w:pPr>
              <w:pStyle w:val="TableContents"/>
              <w:bidi w:val="0"/>
              <w:spacing w:before="0" w:after="283"/>
              <w:jc w:val="left"/>
              <w:rPr/>
            </w:pPr>
            <w:r>
              <w:rPr/>
              <w:t> </w:t>
            </w:r>
          </w:p>
        </w:tc>
        <w:tc>
          <w:tcPr>
            <w:tcW w:w="448" w:type="dxa"/>
            <w:tcBorders/>
            <w:shd w:fill="B6DEE8" w:val="clear"/>
            <w:vAlign w:val="center"/>
          </w:tcPr>
          <w:p>
            <w:pPr>
              <w:pStyle w:val="TableContents"/>
              <w:bidi w:val="0"/>
              <w:spacing w:before="0" w:after="283"/>
              <w:jc w:val="left"/>
              <w:rPr/>
            </w:pPr>
            <w:r>
              <w:rPr/>
              <w:t> </w:t>
            </w:r>
          </w:p>
        </w:tc>
        <w:tc>
          <w:tcPr>
            <w:tcW w:w="99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422" w:type="dxa"/>
            <w:tcBorders/>
            <w:shd w:fill="B6DEE8" w:val="clear"/>
            <w:vAlign w:val="center"/>
          </w:tcPr>
          <w:p>
            <w:pPr>
              <w:pStyle w:val="TableContents"/>
              <w:bidi w:val="0"/>
              <w:spacing w:before="0" w:after="283"/>
              <w:jc w:val="left"/>
              <w:rPr/>
            </w:pPr>
            <w:r>
              <w:rPr/>
              <w:t> </w:t>
            </w:r>
          </w:p>
        </w:tc>
        <w:tc>
          <w:tcPr>
            <w:tcW w:w="448" w:type="dxa"/>
            <w:tcBorders/>
            <w:shd w:fill="B6DEE8" w:val="clear"/>
            <w:vAlign w:val="center"/>
          </w:tcPr>
          <w:p>
            <w:pPr>
              <w:pStyle w:val="TableContents"/>
              <w:bidi w:val="0"/>
              <w:spacing w:before="0" w:after="283"/>
              <w:jc w:val="left"/>
              <w:rPr/>
            </w:pPr>
            <w:r>
              <w:rPr/>
              <w:t> </w:t>
            </w:r>
          </w:p>
        </w:tc>
        <w:tc>
          <w:tcPr>
            <w:tcW w:w="992"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316" w:type="dxa"/>
            <w:tcBorders/>
            <w:shd w:fill="B6DEE8"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w:t>
            </w:r>
          </w:p>
        </w:tc>
        <w:tc>
          <w:tcPr>
            <w:tcW w:w="146"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future minimum lease payments as of March 31, 2024,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744"/>
        <w:gridCol w:w="1701"/>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w:t>
            </w:r>
          </w:p>
        </w:tc>
        <w:tc>
          <w:tcPr>
            <w:tcW w:w="146" w:type="dxa"/>
            <w:tcBorders/>
            <w:shd w:fill="FFFFFF" w:val="clear"/>
            <w:vAlign w:val="center"/>
          </w:tcPr>
          <w:p>
            <w:pPr>
              <w:pStyle w:val="TableContents"/>
              <w:bidi w:val="0"/>
              <w:spacing w:before="0" w:after="283"/>
              <w:jc w:val="left"/>
              <w:rPr/>
            </w:pPr>
            <w:r>
              <w:rPr/>
              <w:t> </w:t>
            </w:r>
          </w:p>
        </w:tc>
        <w:tc>
          <w:tcPr>
            <w:tcW w:w="74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left"/>
              <w:rPr/>
            </w:pPr>
            <w:r>
              <w:rPr/>
              <w:t> </w:t>
            </w:r>
          </w:p>
        </w:tc>
        <w:tc>
          <w:tcPr>
            <w:tcW w:w="1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744" w:type="dxa"/>
            <w:tcBorders/>
            <w:shd w:fill="B6DEE8" w:val="clear"/>
            <w:vAlign w:val="center"/>
          </w:tcPr>
          <w:p>
            <w:pPr>
              <w:pStyle w:val="TableContents"/>
              <w:bidi w:val="0"/>
              <w:spacing w:before="0" w:after="283"/>
              <w:jc w:val="left"/>
              <w:rPr/>
            </w:pPr>
            <w:r>
              <w:rPr/>
              <w:t> </w:t>
            </w:r>
          </w:p>
        </w:tc>
        <w:tc>
          <w:tcPr>
            <w:tcW w:w="170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13 Fair Value of Financial Instruments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following are the major categories of assets and liabilities measured at fair value on a recurring basis as of March 31, 2024 and December 31, 2023, using quoted prices in active markets for identical assets (Level 1), significant other observable inputs (Level 2), and significant unobservable inputs (Level 3)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815"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676"/>
        <w:gridCol w:w="146"/>
        <w:gridCol w:w="146"/>
        <w:gridCol w:w="245"/>
        <w:gridCol w:w="490"/>
        <w:gridCol w:w="146"/>
        <w:gridCol w:w="146"/>
        <w:gridCol w:w="211"/>
        <w:gridCol w:w="676"/>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March 31, 2024</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vAlign w:val="center"/>
          </w:tcPr>
          <w:p>
            <w:pPr>
              <w:pStyle w:val="TableContents"/>
              <w:bidi w:val="0"/>
              <w:spacing w:before="0" w:after="283"/>
              <w:jc w:val="left"/>
              <w:rPr/>
            </w:pPr>
            <w:r>
              <w:rPr/>
              <w:t> </w:t>
            </w:r>
          </w:p>
        </w:tc>
        <w:tc>
          <w:tcPr>
            <w:tcW w:w="78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887"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887"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43,317</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43,317</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44,400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B6DEE8" w:val="clear"/>
            <w:vAlign w:val="center"/>
          </w:tcPr>
          <w:p>
            <w:pPr>
              <w:pStyle w:val="TableContents"/>
              <w:bidi w:val="0"/>
              <w:spacing w:before="0" w:after="283"/>
              <w:jc w:val="left"/>
              <w:rPr/>
            </w:pPr>
            <w:r>
              <w:rPr/>
              <w:t> </w:t>
            </w:r>
          </w:p>
        </w:tc>
        <w:tc>
          <w:tcPr>
            <w:tcW w:w="78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887"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887"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public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private warrants</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57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676" w:type="dxa"/>
            <w:tcBorders/>
            <w:shd w:fill="B6DEE8" w:val="clear"/>
            <w:vAlign w:val="center"/>
          </w:tcPr>
          <w:p>
            <w:pPr>
              <w:pStyle w:val="TableContents"/>
              <w:bidi w:val="0"/>
              <w:spacing w:before="0" w:after="283"/>
              <w:jc w:val="right"/>
              <w:rPr>
                <w:color w:val="000000"/>
              </w:rPr>
            </w:pPr>
            <w:r>
              <w:rPr>
                <w:color w:val="00000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shd w:fill="B6DEE8" w:val="clear"/>
            <w:vAlign w:val="center"/>
          </w:tcPr>
          <w:p>
            <w:pPr>
              <w:pStyle w:val="TableContents"/>
              <w:bidi w:val="0"/>
              <w:spacing w:before="0" w:after="283"/>
              <w:jc w:val="left"/>
              <w:rPr/>
            </w:pPr>
            <w:r>
              <w:rPr/>
              <w:t> </w:t>
            </w:r>
          </w:p>
        </w:tc>
        <w:tc>
          <w:tcPr>
            <w:tcW w:w="49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67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91" w:type="dxa"/>
            <w:tcBorders/>
            <w:shd w:fill="B6DEE8" w:val="clear"/>
            <w:vAlign w:val="center"/>
          </w:tcPr>
          <w:p>
            <w:pPr>
              <w:pStyle w:val="TableContents"/>
              <w:bidi w:val="0"/>
              <w:spacing w:before="0" w:after="283"/>
              <w:ind w:left="0" w:right="0" w:firstLine="100"/>
              <w:jc w:val="left"/>
              <w:rPr/>
            </w:pPr>
            <w:r>
              <w:rPr/>
              <w:t> </w:t>
            </w:r>
          </w:p>
        </w:tc>
      </w:tr>
      <w:tr>
        <w:trPr/>
        <w:tc>
          <w:tcPr>
            <w:tcW w:w="321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Earnout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907</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7978" w:type="dxa"/>
        <w:jc w:val="left"/>
        <w:tblInd w:w="0" w:type="dxa"/>
        <w:tblLayout w:type="fixed"/>
        <w:tblCellMar>
          <w:top w:w="28" w:type="dxa"/>
          <w:left w:w="28" w:type="dxa"/>
          <w:bottom w:w="28" w:type="dxa"/>
          <w:right w:w="28" w:type="dxa"/>
        </w:tblCellMar>
      </w:tblPr>
      <w:tblGrid>
        <w:gridCol w:w="3211"/>
        <w:gridCol w:w="146"/>
        <w:gridCol w:w="245"/>
        <w:gridCol w:w="490"/>
        <w:gridCol w:w="146"/>
        <w:gridCol w:w="146"/>
        <w:gridCol w:w="211"/>
        <w:gridCol w:w="781"/>
        <w:gridCol w:w="146"/>
        <w:gridCol w:w="146"/>
        <w:gridCol w:w="245"/>
        <w:gridCol w:w="490"/>
        <w:gridCol w:w="146"/>
        <w:gridCol w:w="146"/>
        <w:gridCol w:w="211"/>
        <w:gridCol w:w="781"/>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2023</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Investments</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113,226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113,226</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114,178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public warrants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 liabilities - private warrants</w:t>
            </w:r>
          </w:p>
        </w:tc>
        <w:tc>
          <w:tcPr>
            <w:tcW w:w="146" w:type="dxa"/>
            <w:tcBorders/>
            <w:shd w:fill="B6DEE8" w:val="clear"/>
            <w:vAlign w:val="center"/>
          </w:tcPr>
          <w:p>
            <w:pPr>
              <w:pStyle w:val="TableContents"/>
              <w:bidi w:val="0"/>
              <w:spacing w:before="0" w:after="283"/>
              <w:jc w:val="left"/>
              <w:rPr/>
            </w:pPr>
            <w:r>
              <w:rPr/>
              <w:t> </w:t>
            </w:r>
          </w:p>
        </w:tc>
        <w:tc>
          <w:tcPr>
            <w:tcW w:w="245" w:type="dxa"/>
            <w:tcBorders/>
            <w:shd w:fill="B6DEE8" w:val="clear"/>
            <w:vAlign w:val="center"/>
          </w:tcPr>
          <w:p>
            <w:pPr>
              <w:pStyle w:val="TableContents"/>
              <w:bidi w:val="0"/>
              <w:spacing w:before="0" w:after="283"/>
              <w:jc w:val="left"/>
              <w:rPr/>
            </w:pPr>
            <w:r>
              <w:rPr/>
              <w:t> </w:t>
            </w:r>
          </w:p>
        </w:tc>
        <w:tc>
          <w:tcPr>
            <w:tcW w:w="49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color w:val="000000"/>
              </w:rPr>
            </w:pPr>
            <w:r>
              <w:rPr>
                <w:color w:val="00000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shd w:fill="B6DEE8" w:val="clear"/>
            <w:vAlign w:val="center"/>
          </w:tcPr>
          <w:p>
            <w:pPr>
              <w:pStyle w:val="TableContents"/>
              <w:bidi w:val="0"/>
              <w:spacing w:before="0" w:after="283"/>
              <w:jc w:val="left"/>
              <w:rPr/>
            </w:pPr>
            <w:r>
              <w:rPr/>
              <w:t> </w:t>
            </w:r>
          </w:p>
        </w:tc>
        <w:tc>
          <w:tcPr>
            <w:tcW w:w="490"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91" w:type="dxa"/>
            <w:tcBorders/>
            <w:shd w:fill="B6DEE8" w:val="clear"/>
            <w:vAlign w:val="center"/>
          </w:tcPr>
          <w:p>
            <w:pPr>
              <w:pStyle w:val="TableContents"/>
              <w:bidi w:val="0"/>
              <w:spacing w:before="0" w:after="283"/>
              <w:ind w:left="0" w:right="0" w:firstLine="100"/>
              <w:jc w:val="left"/>
              <w:rPr/>
            </w:pPr>
            <w:r>
              <w:rPr/>
              <w:t> </w:t>
            </w:r>
          </w:p>
        </w:tc>
      </w:tr>
      <w:tr>
        <w:trPr/>
        <w:tc>
          <w:tcPr>
            <w:tcW w:w="321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Earnout liabilities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had no assets or liabilities measured at fair value on a non-recurring basis as of March 31, 2024 and December 31,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also has financial instruments not measured at fair value. The Company has evaluated cash (Level 1), restricted cash (Level 1), accounts payable (Level 2), accrued expenses (Level 2) and Member advances (Level 3) and believes the carrying value approximates the fair value due to the short-term nature of these balances. The fair value of the debt facility (Level 2) and convertible note payable (Level 2) approximates their carrying values.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describes the valuation techniques used by the Company to measure the fair value of investments held as of March 31, 2024 and March 31, 2023.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U.S. Government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U.S. government securities is estimated by independent pricing services who use computerized valuation formulas to calculate current values. U.S. government securities are categorized in Level 2 of the fair value hierarchy.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Corporate Bonds and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Asset-Backed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Public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further in Note 9,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loss related to the change in fair value of the public warrant liability for the three months ended March 31, 2024, was $0.3 million, which is presented within changes in fair value of public warrant liability in the consolidated statements of operations.</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 roll-forward of the Level 1 public warrant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477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2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Private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further in Note 9, Warrant Liabilities, in January 2022, upon completion of the Business Combination, private warrants were automatically converted to warrants to purchase Class A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condensed consolidated statement of operations. The derivative liability was subsequently recorded at fair value at each reporting period, with changes in fair value reflected in earnings. The (loss)/gain related to the change in fair value of the private warrant liability for the three months ended March 31, 2024 and 2023, were ($0.2) million and $0.08 million, respectively, which is presented within changes in fair value of private warrant liabilities in the consolidated statements of operations.</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 roll-forward of the Level 3 private warrant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477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2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used a Black-Scholes option pricing model to determine the fair value of the private warrant liability. The following table presents the assumptions used to value the private warrant liability for the three months ended March 31, 2024: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tbl>
      <w:tblPr>
        <w:tblW w:w="3823"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21"/>
        <w:gridCol w:w="710"/>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316" w:type="dxa"/>
            <w:tcBorders/>
            <w:shd w:fill="FFFFFF" w:val="clear"/>
            <w:vAlign w:val="center"/>
          </w:tcPr>
          <w:p>
            <w:pPr>
              <w:pStyle w:val="TableContents"/>
              <w:bidi w:val="0"/>
              <w:spacing w:before="0" w:after="283"/>
              <w:jc w:val="left"/>
              <w:rPr/>
            </w:pPr>
            <w:r>
              <w:rPr/>
              <w:t> </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1" w:type="dxa"/>
            <w:tcBorders/>
            <w:shd w:fill="B7DEE8" w:val="clear"/>
            <w:vAlign w:val="center"/>
          </w:tcPr>
          <w:p>
            <w:pPr>
              <w:pStyle w:val="TableContents"/>
              <w:bidi w:val="0"/>
              <w:spacing w:before="0" w:after="283"/>
              <w:jc w:val="left"/>
              <w:rPr/>
            </w:pPr>
            <w:r>
              <w:rPr/>
              <w:t> </w:t>
            </w:r>
          </w:p>
        </w:tc>
        <w:tc>
          <w:tcPr>
            <w:tcW w:w="710"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931"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 years</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Earnout Shares Liability: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reverse recapitalization, 49,563 shares of Class A Common Stock held by founders of VPCC are subject to forfeiture if the vesting condition is not met over the five year term following the closing date of the Business Combination (“Founder Holder Earnout Shares”). These Founder Holder Earnout Shares were initially recorded as a liability at fair value and subsequently recorded at fair value at each reporting period, with changes in fair value reflected in earnings. The (loss)/gain related to the change in fair value of the Founder Holder Earnout Shares liabilities for the three months ended March 31, 2024 and 2023 were ($0.2) million and $0.03 million, respectively, which are presented within changes in fair value of earnout liabilities in the consolidated statements of operations.</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A roll-forward of the Level 3 Founder Holder Earnout Shares liability is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40" w:after="283"/>
        <w:jc w:val="left"/>
        <w:rPr/>
      </w:pPr>
      <w:r>
        <w:rPr/>
        <w:t> </w:t>
      </w:r>
    </w:p>
    <w:tbl>
      <w:tblPr>
        <w:tblW w:w="477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2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w:t>
            </w:r>
          </w:p>
        </w:tc>
        <w:tc>
          <w:tcPr>
            <w:tcW w:w="191" w:type="dxa"/>
            <w:tcBorders/>
            <w:shd w:fill="FFFFFF" w:val="clear"/>
            <w:vAlign w:val="center"/>
          </w:tcPr>
          <w:p>
            <w:pPr>
              <w:pStyle w:val="TableContents"/>
              <w:bidi w:val="0"/>
              <w:spacing w:before="0" w:after="283"/>
              <w:jc w:val="left"/>
              <w:rPr/>
            </w:pPr>
            <w:r>
              <w:rPr/>
              <w:t> </w:t>
            </w:r>
          </w:p>
        </w:tc>
      </w:tr>
      <w:tr>
        <w:trPr/>
        <w:tc>
          <w:tcPr>
            <w:tcW w:w="322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a Monte Carlo Simulation Method to determine the fair value of the Founder Holder Earnout Shares liability. The following table presents the assumptions used to value the Founder Holder Earnout Shares liability for the three months ended March 31, 2024:</w:t>
      </w:r>
    </w:p>
    <w:p>
      <w:pPr>
        <w:pStyle w:val="TextBody"/>
        <w:bidi w:val="0"/>
        <w:jc w:val="left"/>
        <w:rPr/>
      </w:pPr>
      <w:r>
        <w:rPr/>
        <w:t> </w:t>
      </w:r>
    </w:p>
    <w:tbl>
      <w:tblPr>
        <w:tblW w:w="389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39"/>
        <w:gridCol w:w="7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005"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$400-$480</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39" w:type="dxa"/>
            <w:tcBorders/>
            <w:shd w:fill="B7DEE8" w:val="clear"/>
            <w:vAlign w:val="center"/>
          </w:tcPr>
          <w:p>
            <w:pPr>
              <w:pStyle w:val="TableContents"/>
              <w:bidi w:val="0"/>
              <w:spacing w:before="0" w:after="283"/>
              <w:jc w:val="left"/>
              <w:rPr/>
            </w:pPr>
            <w:r>
              <w:rPr/>
              <w:t> </w:t>
            </w:r>
          </w:p>
        </w:tc>
        <w:tc>
          <w:tcPr>
            <w:tcW w:w="76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 years</w:t>
            </w:r>
          </w:p>
        </w:tc>
        <w:tc>
          <w:tcPr>
            <w:tcW w:w="316" w:type="dxa"/>
            <w:tcBorders/>
            <w:shd w:fill="FFFFFF" w:val="clear"/>
            <w:vAlign w:val="center"/>
          </w:tcPr>
          <w:p>
            <w:pPr>
              <w:pStyle w:val="TableContents"/>
              <w:bidi w:val="0"/>
              <w:spacing w:before="0" w:after="283"/>
              <w:jc w:val="right"/>
              <w:rPr/>
            </w:pPr>
            <w:r>
              <w:rPr/>
              <w:t> </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239" w:type="dxa"/>
            <w:tcBorders/>
            <w:shd w:fill="B7DEE8" w:val="clear"/>
            <w:vAlign w:val="center"/>
          </w:tcPr>
          <w:p>
            <w:pPr>
              <w:pStyle w:val="TableContents"/>
              <w:bidi w:val="0"/>
              <w:spacing w:before="0" w:after="283"/>
              <w:jc w:val="left"/>
              <w:rPr/>
            </w:pPr>
            <w:r>
              <w:rPr/>
              <w:t> </w:t>
            </w:r>
          </w:p>
        </w:tc>
        <w:tc>
          <w:tcPr>
            <w:tcW w:w="76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other assets or liabilities that were required to be measured at fair value on a recurring basis as of March 31, 2024 and December 31, 2023.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14 Stockholders’ Equity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2024, no shares of preferred stock were outstanding, and the Company has no present plans to issue any shares of preferred stock.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Class A and Class V Common Stock:</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will at all times vote together as a single class on all matters (including the election of directors) submitted to a vote of the Company’s stockholders. Shares of Class V Common Stock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are convertible into shares of Class A Common Stock on a one-to-one basis at the option of the holders of Class V Common Stock at any time upon written notice to the Company. As of March 31, 2024, the Company had 10,869,286 and 1,514,082 shares of Class A Common Stock and Class V Common Stock issued, respectively. As of March 31, 2024, the Company had 10,819,723 and 1,514,082 shares of Class A Common Stock and Class V Common Stock outstanding,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approximately $6.1 million and $6.8 million of stock-based compensation expense arising from stock option and restricted stock unit grants which is recorded as a component of compensation and benefits in the condensed consolidated statements of operations for the three months ended March 31, 2024 and 2023,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Option Repricing:</w:t>
        <w:br/>
        <w:t> </w:t>
      </w:r>
    </w:p>
    <w:p>
      <w:pPr>
        <w:pStyle w:val="TextBody"/>
        <w:bidi w:val="0"/>
        <w:jc w:val="left"/>
        <w:rPr>
          <w:rFonts w:ascii="Times New Roman" w:hAnsi="Times New Roman"/>
          <w:color w:val="000000"/>
          <w:sz w:val="20"/>
        </w:rPr>
      </w:pPr>
      <w:r>
        <w:rPr>
          <w:rFonts w:ascii="Times New Roman" w:hAnsi="Times New Roman"/>
          <w:color w:val="000000"/>
          <w:sz w:val="20"/>
        </w:rPr>
        <w:t>In April 2023, the Company’s Board of Directors approved a repricing of certain previously granted and still outstanding vested and unvested stock option awards held by eligible employees, which was approved by stockholders on June 9, 2023. As a result, the exercise price for these awards was lowered to $5.18 per share, which was the average per share closing price of the Company’s Class A Common Stock as reported on the Nasdaq Global Stock Market for the 30 trading days ending on and including June 9, 2023. No other terms of the repriced stock options were modified, and the repriced stock options will continue to vest according to their original vesting schedules and will retain their original expiration dates. As a result of the repricing, 134,931 vested and unvested stock options outstanding as of June 9, 2023, with original exercise prices ranging from $22.09 to $23.18, were repriced.</w:t>
      </w:r>
    </w:p>
    <w:p>
      <w:pPr>
        <w:pStyle w:val="TextBody"/>
        <w:bidi w:val="0"/>
        <w:jc w:val="left"/>
        <w:rPr>
          <w:rFonts w:ascii="Times New Roman" w:hAnsi="Times New Roman"/>
          <w:color w:val="000000"/>
          <w:sz w:val="20"/>
        </w:rPr>
      </w:pPr>
      <w:r>
        <w:rPr>
          <w:rFonts w:ascii="Times New Roman" w:hAnsi="Times New Roman"/>
          <w:color w:val="000000"/>
          <w:sz w:val="20"/>
        </w:rPr>
        <w:br/>
        <w:t>The repricing on June 9, 2023 resulted in incremental stock-based compensation expense of $0.2 million, of which $0.14 million related to vested stock option awards was expensed on the repricing date. The remaining $0.06 million related to unvested stock option awards is being amortized on a straight-line basis over the weighted-average vesting period of those awards of approximately 1.3 years as of June 9,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2023, the Company’s Board of Directors approved a repricing of certain previously granted and still outstanding vested and unvested stock option awards held by eight remaining eligible employees excluded from the aforementioned June 9th repricing. As a result, the exercise price for these awards was lowered to $7.23 per share, which was the average per share closing price of the Company’s Class A Common Stock as reported on the Nasdaq Global Stock Market for the 30 trading days ending on and including September 13, 2023. No other terms of the repriced stock options were modified, and the repriced stock options will continue to vest according to their original vesting schedules and will retain their original expiration dates. As a result of the repricing, 200,571 vested and unvested stock options outstanding as of September 13, 2023, with original exercise prices ranging from $22.09 to $23.18, were repriced.</w:t>
      </w:r>
    </w:p>
    <w:p>
      <w:pPr>
        <w:pStyle w:val="TextBody"/>
        <w:bidi w:val="0"/>
        <w:jc w:val="left"/>
        <w:rPr>
          <w:rFonts w:ascii="Times New Roman" w:hAnsi="Times New Roman"/>
          <w:color w:val="000000"/>
          <w:sz w:val="20"/>
        </w:rPr>
      </w:pPr>
      <w:r>
        <w:rPr>
          <w:rFonts w:ascii="Times New Roman" w:hAnsi="Times New Roman"/>
          <w:color w:val="000000"/>
          <w:sz w:val="20"/>
        </w:rPr>
        <w:br/>
        <w:t>The repricing on September 13, 2023 resulted in incremental stock-based compensation expense of $0.2 million, of which $0.17 million related to vested stock option awards was expensed on the repricing date. The remaining $0.07 million related to unvested stock option awards is being amortized on a straight-line basis over the weighted-average vesting period of those awards of approximately 1.0 years as of September 13, 2023.</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Stock Options: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Risk free interest rate</w:t>
      </w:r>
      <w:r>
        <w:rPr>
          <w:rFonts w:ascii="Times New Roman" w:hAnsi="Times New Roman"/>
          <w:color w:val="000000"/>
          <w:sz w:val="20"/>
        </w:rPr>
        <w:t>—The risk-free interest rate is based on the implied yield available on U.S. Treasury issues with an equivalent term approximating the expected life of the options depending on the date of the grant and expected life of the options.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—The Company bases the expected dividend yield assumption on the fact that it has never paid cash dividends and has no present intention to pay cash dividends.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—Due to the Company’s limited operating history and lack of company-specific historical or implied volatility, the expected volatility 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with respect to stock options is summarized as follows:</w:t>
      </w:r>
    </w:p>
    <w:p>
      <w:pPr>
        <w:pStyle w:val="TextBody"/>
        <w:bidi w:val="0"/>
        <w:spacing w:before="240" w:after="283"/>
        <w:jc w:val="left"/>
        <w:rPr/>
      </w:pPr>
      <w:r>
        <w:rPr/>
        <w:t> </w:t>
      </w:r>
    </w:p>
    <w:tbl>
      <w:tblPr>
        <w:tblW w:w="10202" w:type="dxa"/>
        <w:jc w:val="left"/>
        <w:tblInd w:w="0" w:type="dxa"/>
        <w:tblLayout w:type="fixed"/>
        <w:tblCellMar>
          <w:top w:w="28" w:type="dxa"/>
          <w:left w:w="28" w:type="dxa"/>
          <w:bottom w:w="28" w:type="dxa"/>
          <w:right w:w="28" w:type="dxa"/>
        </w:tblCellMar>
      </w:tblPr>
      <w:tblGrid>
        <w:gridCol w:w="3466"/>
        <w:gridCol w:w="146"/>
        <w:gridCol w:w="146"/>
        <w:gridCol w:w="781"/>
        <w:gridCol w:w="166"/>
        <w:gridCol w:w="146"/>
        <w:gridCol w:w="457"/>
        <w:gridCol w:w="1239"/>
        <w:gridCol w:w="146"/>
        <w:gridCol w:w="146"/>
        <w:gridCol w:w="349"/>
        <w:gridCol w:w="866"/>
        <w:gridCol w:w="146"/>
        <w:gridCol w:w="146"/>
        <w:gridCol w:w="323"/>
        <w:gridCol w:w="1042"/>
        <w:gridCol w:w="4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 Value</w:t>
              <w:br/>
              <w:t>(in thousands)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January 1,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766,829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466" w:type="dxa"/>
            <w:tcBorders/>
            <w:shd w:fill="B7DEE8"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781"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15"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365" w:type="dxa"/>
            <w:gridSpan w:val="2"/>
            <w:tcBorders/>
            <w:shd w:fill="B7DEE8" w:val="clear"/>
            <w:vAlign w:val="center"/>
          </w:tcPr>
          <w:p>
            <w:pPr>
              <w:pStyle w:val="TableContents"/>
              <w:bidi w:val="0"/>
              <w:spacing w:before="0" w:after="283"/>
              <w:jc w:val="left"/>
              <w:rPr/>
            </w:pPr>
            <w:r>
              <w:rPr/>
              <w:t> </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46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466" w:type="dxa"/>
            <w:tcBorders/>
            <w:shd w:fill="B7DEE8"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781"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15"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365" w:type="dxa"/>
            <w:gridSpan w:val="2"/>
            <w:tcBorders/>
            <w:shd w:fill="B7DEE8" w:val="clear"/>
            <w:vAlign w:val="center"/>
          </w:tcPr>
          <w:p>
            <w:pPr>
              <w:pStyle w:val="TableContents"/>
              <w:bidi w:val="0"/>
              <w:spacing w:before="0" w:after="283"/>
              <w:jc w:val="left"/>
              <w:rPr/>
            </w:pPr>
            <w:r>
              <w:rPr/>
              <w:t> </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46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r>
      <w:tr>
        <w:trPr/>
        <w:tc>
          <w:tcPr>
            <w:tcW w:w="3466"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March 31, 2024</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781" w:type="dxa"/>
            <w:tcBorders/>
            <w:shd w:fill="B7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668,451</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349" w:type="dxa"/>
            <w:tcBorders/>
            <w:shd w:fill="B7DEE8" w:val="clear"/>
            <w:vAlign w:val="center"/>
          </w:tcPr>
          <w:p>
            <w:pPr>
              <w:pStyle w:val="TableContents"/>
              <w:bidi w:val="0"/>
              <w:spacing w:before="0" w:after="283"/>
              <w:jc w:val="left"/>
              <w:rPr/>
            </w:pPr>
            <w:r>
              <w:rPr/>
              <w:t> </w:t>
            </w:r>
          </w:p>
        </w:tc>
        <w:tc>
          <w:tcPr>
            <w:tcW w:w="86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323"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14,589</w:t>
            </w:r>
          </w:p>
        </w:tc>
        <w:tc>
          <w:tcPr>
            <w:tcW w:w="491" w:type="dxa"/>
            <w:tcBorders/>
            <w:shd w:fill="B7DEE8"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options,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9"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w:t>
            </w:r>
          </w:p>
        </w:tc>
        <w:tc>
          <w:tcPr>
            <w:tcW w:w="491" w:type="dxa"/>
            <w:tcBorders/>
            <w:shd w:fill="FFFFFF" w:val="clear"/>
            <w:vAlign w:val="center"/>
          </w:tcPr>
          <w:p>
            <w:pPr>
              <w:pStyle w:val="TableContents"/>
              <w:bidi w:val="0"/>
              <w:spacing w:before="0" w:after="283"/>
              <w:jc w:val="left"/>
              <w:rPr/>
            </w:pPr>
            <w:r>
              <w:rPr/>
              <w:t> </w:t>
            </w:r>
          </w:p>
        </w:tc>
      </w:tr>
      <w:tr>
        <w:trPr/>
        <w:tc>
          <w:tcPr>
            <w:tcW w:w="3466"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exercisable, March 31, 2024</w:t>
            </w:r>
          </w:p>
        </w:tc>
        <w:tc>
          <w:tcPr>
            <w:tcW w:w="146" w:type="dxa"/>
            <w:tcBorders/>
            <w:shd w:fill="B7DEE8" w:val="cle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277,446</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349" w:type="dxa"/>
            <w:tcBorders/>
            <w:shd w:fill="B7DEE8" w:val="clear"/>
            <w:vAlign w:val="center"/>
          </w:tcPr>
          <w:p>
            <w:pPr>
              <w:pStyle w:val="TableContents"/>
              <w:bidi w:val="0"/>
              <w:spacing w:before="0" w:after="283"/>
              <w:jc w:val="left"/>
              <w:rPr/>
            </w:pPr>
            <w:r>
              <w:rPr/>
              <w:t> </w:t>
            </w:r>
          </w:p>
        </w:tc>
        <w:tc>
          <w:tcPr>
            <w:tcW w:w="866"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323"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w:t>
            </w:r>
          </w:p>
        </w:tc>
        <w:tc>
          <w:tcPr>
            <w:tcW w:w="491" w:type="dxa"/>
            <w:tcBorders/>
            <w:shd w:fill="B7DEE8"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March 31, 2024, total estimated unrecognized stock-based compensation cost related to unvested stock options prior to that date was approximately $5.2 million, which is expected to be recognized over a weighted-average remaining period of 3.1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allowed certain stock option holders to exercise unvested options to purchase shares of Common Stock. Shares received from such early exercises are subject to repurchase in the event of the optionee’s employment termination, at the original issuance price, until the options are fully vested. As of March 31, 2024 and March 31, 2023, 0 and 2,777 shares of Common Stock were subject to repurchase at a weighted-average prices of $22.09 per share, respectively. The shares issued pursuant to unvested options have been included in shares issued and outstanding on the condensed consolidated balance sheets as such shares are considered legally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 million. The options have a strike price of $23.18 per share. The Company determined the fair value of the options on the grant date to be $10.5 million using a Monte Carlo simulation with key inputs and assumptions such as stock price, term, dividend yield, risk-free interest rate, and volatility. The derived service periods determined by the valuation for each of the nine tranches range from approximately three years to approximately seven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options granted to the Chief Executive Officer on the grant date:</w:t>
      </w:r>
    </w:p>
    <w:p>
      <w:pPr>
        <w:pStyle w:val="TextBody"/>
        <w:bidi w:val="0"/>
        <w:spacing w:before="240" w:after="283"/>
        <w:jc w:val="left"/>
        <w:rPr/>
      </w:pPr>
      <w:r>
        <w:rPr/>
        <w:t> </w:t>
      </w:r>
    </w:p>
    <w:tbl>
      <w:tblPr>
        <w:tblW w:w="3524" w:type="dxa"/>
        <w:jc w:val="left"/>
        <w:tblInd w:w="0" w:type="dxa"/>
        <w:tblLayout w:type="fixed"/>
        <w:tblCellMar>
          <w:top w:w="28" w:type="dxa"/>
          <w:left w:w="28" w:type="dxa"/>
          <w:bottom w:w="28" w:type="dxa"/>
          <w:right w:w="28" w:type="dxa"/>
        </w:tblCellMar>
      </w:tblPr>
      <w:tblGrid>
        <w:gridCol w:w="2131"/>
        <w:gridCol w:w="146"/>
        <w:gridCol w:w="222"/>
        <w:gridCol w:w="70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931"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 years</w:t>
            </w:r>
          </w:p>
        </w:tc>
        <w:tc>
          <w:tcPr>
            <w:tcW w:w="316" w:type="dxa"/>
            <w:tcBorders/>
            <w:shd w:fill="B7DEE8" w:val="clear"/>
            <w:vAlign w:val="center"/>
          </w:tcPr>
          <w:p>
            <w:pPr>
              <w:pStyle w:val="TableContents"/>
              <w:bidi w:val="0"/>
              <w:spacing w:before="0" w:after="283"/>
              <w:jc w:val="righ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70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RSUs is summarized as follows:</w:t>
      </w:r>
    </w:p>
    <w:p>
      <w:pPr>
        <w:pStyle w:val="TextBody"/>
        <w:bidi w:val="0"/>
        <w:spacing w:before="120" w:after="283"/>
        <w:jc w:val="left"/>
        <w:rPr/>
      </w:pPr>
      <w:r>
        <w:rPr/>
        <w:t> </w:t>
      </w:r>
    </w:p>
    <w:tbl>
      <w:tblPr>
        <w:tblW w:w="6993" w:type="dxa"/>
        <w:jc w:val="left"/>
        <w:tblInd w:w="0" w:type="dxa"/>
        <w:tblLayout w:type="fixed"/>
        <w:tblCellMar>
          <w:top w:w="28" w:type="dxa"/>
          <w:left w:w="28" w:type="dxa"/>
          <w:bottom w:w="28" w:type="dxa"/>
          <w:right w:w="28" w:type="dxa"/>
        </w:tblCellMar>
      </w:tblPr>
      <w:tblGrid>
        <w:gridCol w:w="3271"/>
        <w:gridCol w:w="146"/>
        <w:gridCol w:w="146"/>
        <w:gridCol w:w="931"/>
        <w:gridCol w:w="166"/>
        <w:gridCol w:w="146"/>
        <w:gridCol w:w="457"/>
        <w:gridCol w:w="1239"/>
        <w:gridCol w:w="4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Nonvested shares at January 1, 2024</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931" w:type="dxa"/>
            <w:tcBorders/>
            <w:shd w:fill="B7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1,726,639</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27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271" w:type="dxa"/>
            <w:tcBorders/>
            <w:shd w:fill="B7DEE8"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Vested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931"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(95,176</w:t>
            </w:r>
          </w:p>
        </w:tc>
        <w:tc>
          <w:tcPr>
            <w:tcW w:w="16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27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491" w:type="dxa"/>
            <w:tcBorders/>
            <w:shd w:fill="FFFFFF" w:val="clear"/>
            <w:vAlign w:val="center"/>
          </w:tcPr>
          <w:p>
            <w:pPr>
              <w:pStyle w:val="TableContents"/>
              <w:bidi w:val="0"/>
              <w:spacing w:before="0" w:after="283"/>
              <w:jc w:val="left"/>
              <w:rPr/>
            </w:pPr>
            <w:r>
              <w:rPr/>
              <w:t> </w:t>
            </w:r>
          </w:p>
        </w:tc>
      </w:tr>
      <w:tr>
        <w:trPr/>
        <w:tc>
          <w:tcPr>
            <w:tcW w:w="3271"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Nonvested shares at March 31, 2024</w:t>
            </w:r>
          </w:p>
        </w:tc>
        <w:tc>
          <w:tcPr>
            <w:tcW w:w="146" w:type="dxa"/>
            <w:tcBorders/>
            <w:shd w:fill="B7DEE8" w:val="cle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1,665,099</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491" w:type="dxa"/>
            <w:tcBorders/>
            <w:shd w:fill="B7DEE8"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March 31, 2024, total estimated unrecognized stock-based compensation cost related to nonvested RSUs was approximately $33.5 million, which is expected to be recognized over a weighted-average period of 1.9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quarter ended March 31, 2023, the Company granted 629,454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$3.0 million using a Monte Carlo simulation with key inputs and assumptions such as stock price, term, risk-free interest rate, and volatility. The derived service periods determined by the valuation for each of the six tranches range from approximately two years 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RSUs that contain service and market conditions on the grant date:</w:t>
      </w:r>
    </w:p>
    <w:p>
      <w:pPr>
        <w:pStyle w:val="TextBody"/>
        <w:bidi w:val="0"/>
        <w:jc w:val="left"/>
        <w:rPr/>
      </w:pPr>
      <w:r>
        <w:rPr/>
        <w:t> </w:t>
      </w:r>
    </w:p>
    <w:tbl>
      <w:tblPr>
        <w:tblW w:w="3134" w:type="dxa"/>
        <w:jc w:val="left"/>
        <w:tblInd w:w="0" w:type="dxa"/>
        <w:tblLayout w:type="fixed"/>
        <w:tblCellMar>
          <w:top w:w="28" w:type="dxa"/>
          <w:left w:w="28" w:type="dxa"/>
          <w:bottom w:w="28" w:type="dxa"/>
          <w:right w:w="28" w:type="dxa"/>
        </w:tblCellMar>
      </w:tblPr>
      <w:tblGrid>
        <w:gridCol w:w="1846"/>
        <w:gridCol w:w="146"/>
        <w:gridCol w:w="197"/>
        <w:gridCol w:w="62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826"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 years</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vAlign w:val="center"/>
          </w:tcPr>
          <w:p>
            <w:pPr>
              <w:pStyle w:val="TableContents"/>
              <w:bidi w:val="0"/>
              <w:spacing w:before="0" w:after="283"/>
              <w:jc w:val="left"/>
              <w:rPr/>
            </w:pPr>
            <w:r>
              <w:rPr/>
              <w:t> </w:t>
            </w:r>
          </w:p>
        </w:tc>
        <w:tc>
          <w:tcPr>
            <w:tcW w:w="197" w:type="dxa"/>
            <w:tcBorders/>
            <w:shd w:fill="B7DEE8" w:val="clear"/>
            <w:vAlign w:val="center"/>
          </w:tcPr>
          <w:p>
            <w:pPr>
              <w:pStyle w:val="TableContents"/>
              <w:bidi w:val="0"/>
              <w:spacing w:before="0" w:after="283"/>
              <w:jc w:val="left"/>
              <w:rPr/>
            </w:pPr>
            <w:r>
              <w:rPr/>
              <w:t> </w:t>
            </w:r>
          </w:p>
        </w:tc>
        <w:tc>
          <w:tcPr>
            <w:tcW w:w="62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October 2023, the Company granted 71,844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$0.2 million using a Monte Carlo simulation with key inputs and assumptions such as stock price, term, risk-free interest rate, and volatility. The derived service periods determined by the valuation ranges from approximately two years to approximately three years. Each grant will be expensed monthly over the derived service period unless vesting conditions for a particular grant are met, at which point all remaining compensation charges related to that particular grant will be expensed in the period in which the vesting conditions were met.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key inputs and assumptions used to value the RSUs granted during October 2023 that contain service and market conditions on the grant date:</w:t>
      </w:r>
    </w:p>
    <w:tbl>
      <w:tblPr>
        <w:tblW w:w="3134" w:type="dxa"/>
        <w:jc w:val="left"/>
        <w:tblInd w:w="0" w:type="dxa"/>
        <w:tblLayout w:type="fixed"/>
        <w:tblCellMar>
          <w:top w:w="28" w:type="dxa"/>
          <w:left w:w="28" w:type="dxa"/>
          <w:bottom w:w="28" w:type="dxa"/>
          <w:right w:w="28" w:type="dxa"/>
        </w:tblCellMar>
      </w:tblPr>
      <w:tblGrid>
        <w:gridCol w:w="1846"/>
        <w:gridCol w:w="146"/>
        <w:gridCol w:w="197"/>
        <w:gridCol w:w="62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826" w:type="dxa"/>
            <w:gridSpan w:val="2"/>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 years</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B7DEE8" w:val="clear"/>
            <w:vAlign w:val="center"/>
          </w:tcPr>
          <w:p>
            <w:pPr>
              <w:pStyle w:val="TableContents"/>
              <w:bidi w:val="0"/>
              <w:spacing w:before="0" w:after="283"/>
              <w:jc w:val="left"/>
              <w:rPr/>
            </w:pPr>
            <w:r>
              <w:rPr/>
              <w:t> </w:t>
            </w:r>
          </w:p>
        </w:tc>
        <w:tc>
          <w:tcPr>
            <w:tcW w:w="197" w:type="dxa"/>
            <w:tcBorders/>
            <w:shd w:fill="B7DEE8" w:val="clear"/>
            <w:vAlign w:val="center"/>
          </w:tcPr>
          <w:p>
            <w:pPr>
              <w:pStyle w:val="TableContents"/>
              <w:bidi w:val="0"/>
              <w:spacing w:before="0" w:after="283"/>
              <w:jc w:val="left"/>
              <w:rPr/>
            </w:pPr>
            <w:r>
              <w:rPr/>
              <w:t> </w:t>
            </w:r>
          </w:p>
        </w:tc>
        <w:tc>
          <w:tcPr>
            <w:tcW w:w="629" w:type="dxa"/>
            <w:tcBorders/>
            <w:shd w:fill="B7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316" w:type="dxa"/>
            <w:tcBorders/>
            <w:shd w:fill="B7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16 Related-Party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each of the three months ended March 31, 2024 and 2023, the Company paid $0.09 million under lease agreements with PCJW, which is controlled by the Company's founders (including the Company's current CEO), for general office space in Los Angeles, California.</w:t>
      </w:r>
    </w:p>
    <w:p>
      <w:pPr>
        <w:pStyle w:val="TextBody"/>
        <w:bidi w:val="0"/>
        <w:spacing w:before="2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following is a schedule of future minimum rental payments as of March 31, 2024 under Company’s sub-lease for the properties located in Los Angeles, California signed with PCJW (</w:t>
      </w:r>
      <w:r>
        <w:rPr>
          <w:rFonts w:ascii="Times New Roman" w:hAnsi="Times New Roman"/>
          <w:i/>
          <w:color w:val="000000"/>
          <w:sz w:val="20"/>
        </w:rPr>
        <w:t>in thousands</w:t>
      </w:r>
      <w:r>
        <w:rPr>
          <w:rFonts w:ascii="Times New Roman" w:hAnsi="Times New Roman"/>
          <w:color w:val="000000"/>
          <w:sz w:val="20"/>
        </w:rPr>
        <w:t>):</w:t>
      </w:r>
    </w:p>
    <w:p>
      <w:pPr>
        <w:pStyle w:val="TextBody"/>
        <w:bidi w:val="0"/>
        <w:spacing w:before="240" w:after="283"/>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744"/>
        <w:gridCol w:w="1701"/>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(remaining)</w:t>
            </w:r>
          </w:p>
        </w:tc>
        <w:tc>
          <w:tcPr>
            <w:tcW w:w="146" w:type="dxa"/>
            <w:tcBorders/>
            <w:shd w:fill="FFFFFF" w:val="clear"/>
            <w:vAlign w:val="center"/>
          </w:tcPr>
          <w:p>
            <w:pPr>
              <w:pStyle w:val="TableContents"/>
              <w:bidi w:val="0"/>
              <w:spacing w:before="0" w:after="283"/>
              <w:jc w:val="left"/>
              <w:rPr/>
            </w:pPr>
            <w:r>
              <w:rPr/>
              <w:t> </w:t>
            </w:r>
          </w:p>
        </w:tc>
        <w:tc>
          <w:tcPr>
            <w:tcW w:w="744"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left"/>
              <w:rPr/>
            </w:pPr>
            <w:r>
              <w:rPr/>
              <w:t> </w:t>
            </w:r>
          </w:p>
        </w:tc>
        <w:tc>
          <w:tcPr>
            <w:tcW w:w="17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744" w:type="dxa"/>
            <w:tcBorders/>
            <w:shd w:fill="B6DEE8" w:val="clear"/>
            <w:vAlign w:val="center"/>
          </w:tcPr>
          <w:p>
            <w:pPr>
              <w:pStyle w:val="TableContents"/>
              <w:bidi w:val="0"/>
              <w:spacing w:before="0" w:after="283"/>
              <w:jc w:val="left"/>
              <w:rPr/>
            </w:pPr>
            <w:r>
              <w:rPr/>
              <w:t> </w:t>
            </w:r>
          </w:p>
        </w:tc>
        <w:tc>
          <w:tcPr>
            <w:tcW w:w="170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related-party components of the lease right-of-use assets, lease liabilities, short-term, and lease liabilities, long-term are presented as part of the right-of-use asset and lease liability on the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Debt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Brendan Carroll, a Senior Partner at Victory Park Capital Advisors, LLC ("VPC"), joined the board of directors of the Company upon closing of the Business Combination. Interest expense related to the Debt Facility totaled $2.0 million for the three months ended March 31, 2024. For more information about the Debt Facility with VPC, refer to Note 10, Debt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Legal Services</w:t>
      </w:r>
    </w:p>
    <w:p>
      <w:pPr>
        <w:pStyle w:val="TextBody"/>
        <w:bidi w:val="0"/>
        <w:jc w:val="left"/>
        <w:rPr>
          <w:rFonts w:ascii="Times New Roman" w:hAnsi="Times New Roman"/>
          <w:color w:val="000000"/>
          <w:sz w:val="20"/>
        </w:rPr>
      </w:pPr>
      <w:r>
        <w:rPr>
          <w:rFonts w:ascii="Times New Roman" w:hAnsi="Times New Roman"/>
          <w:color w:val="000000"/>
          <w:sz w:val="20"/>
        </w:rPr>
        <w:t xml:space="preserve">The law firm of Mitchell Sandler LLC, of which the Company's director Andrea Mitchell is a partner, provided legal services to the Company, which totaled $0.1 million for the three months ended March 31, 2024. </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17 401(k) Savings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$0.6 million and $0.5 million for the three months ended March 31, 2024 and 2023,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18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Subsequent events are events or transactions that occur after the condensed consolidated balance sheet date, but before the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2_mda"/>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the Company’s financial condition and results of operations should be read in conjunction with our condensed consolidated financial statements and the notes related thereto which are included elsewhere in this report.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our Annual Report on Form 10-K.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story of David vs. Goliath, the small underdog is able to outsmart and defeat his larger adversary. This is the spirit behind the name “Dave.” We have built an integrated financial services online platform that provides millions of Americans with seamless access to a variety of intuitive financial products at a fraction of the cost and with much higher speed to value than that of the legacy financial services incumbents, such as traditional banks and other financial institutions. Our mission is to build products that level the financial playing field. Our near-term strategy is focused on delivering a superior banking experience for anyone living paycheck to paycheck.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our observation and analysis of Member data, legacy financial institutions charge high fees for consumer banking and other financial services products, which disproportionately burdens tens of millions of Americans who can least afford them. We see this dynamic playing out with our Members who we believe are on average paying between $300-$400 in overdraft, maintenance and other fees to their existing bank for basic checking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we see a significant opportunity to address the broader short-term credit market. According to a 2023 report by The Financial Health Network ("FHN"), legacy financial institutions charge approximately $40 billion in fees annually. The FHN estimates that financially “coping” and “vulnerable” populations pay over $160 billion a year in fees and interest for access to short-term credit. Our prospective Member opportunity is also significant. We estimate that our total addressable market consists of between 160 million to 180 million Americans who are in need of financial stability and are either not served or underserved by legacy financial institutions.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Dave offers a suite of innovative financial products aimed at helping our Members improve their financial health. To help Members avoid punitive overdraft fees and access short-term liquidity, Dave offers cash advances through its flagship 0% interest ExtraCash product. Through Dave Banking, we provide a digital checking account experience, seamlessly integrated with ExtraCash advances, with no hidden fees. With a Dave Banking account, Members have access to valuable tools for building long-term financial health, such as Goals savings accounts and customizable automatic round-up savings on debit spend transactions. We also help Members generate extra income for spending or emergencies through high APY savings rates, our Side Hustle product, where we present Members with supplemental work opportunities, and through our Surveys product, where Members can earn supplemental income by taking surveys. Our budgeting tool helps Members manage their upcoming bills to avoid overspending.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xml:space="preserve">We have only begun to address the many inequities in financial services, but our progress to date demonstrates the demand for Dave to improve the financial system for the everyday person. Since inception and through the date of this report, over 14 million Members have registered on the Dave app and over 11 million Members have used at least one of our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Comparability of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results of operations and financial position may not be comparable to historical results as a result of the consummation of the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operating results and cash flows are dependent upon a number of opportunities, challenges and other factors, including Member growth and activity, product expansion, competition, industry trends and general economic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Growth and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made significant investments in our platform, and our business is dependent on continued Member growth, as well as our ability to offer new products and services and generate additional revenues from our existing Members using such additional products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pStyle w:val="TextBody"/>
        <w:bidi w:val="0"/>
        <w:jc w:val="left"/>
        <w:rPr>
          <w:rFonts w:ascii="Times New Roman" w:hAnsi="Times New Roman"/>
          <w:color w:val="000000"/>
          <w:sz w:val="20"/>
        </w:rPr>
      </w:pPr>
      <w:r>
        <w:rPr>
          <w:rFonts w:ascii="Times New Roman" w:hAnsi="Times New Roman"/>
          <w:color w:val="000000"/>
          <w:sz w:val="20"/>
        </w:rPr>
        <w:t>Product Expansion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Components of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Currently, we conduct business through one operating segment which constitutes a single reportable segment. For more information about our basis of presentation, refer to Note 2 in the accompanying condensed consolidated financial statements of Dave included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 based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 based revenue, net primarily consists of optional tips, optional express processing fees and subscriptions charged to Members, net of processor-related costs associated with advance disbursements. Service based revenue, net also consists of lead generation fees from our Side Hustle advertising partners and revenue share from our surveys partner.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Transaction based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Transaction based revenue, net primarily consists of interchange and ATM revenues from our Checking Product, net of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 fees and are recognized at the point in time the transactions occur, as the performance obligations are satisfied and the variable consideration is not constrained.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classify our operating expenses into the following five categories: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Provision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credit losses primarily consists of an allowance for expected credit losses at a level estimated to be adequate to absorb credit losses inherent in the outstanding advances receivable, inclusive of outstanding processing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consolidated statement of operations. We consider advances aged more than 120 days or which become uncollectible based on information available to us as impaired. All impaired advances are deemed uncollectible and subsequently written off and are a direct reduction to the allowance for credit losses. Subsequent recoveries, if any, of Member advances written-off are recorded as a reduction to Member advances, resulting in a reduction to the allowance for credit losses and a corresponding reduction to the provision for credit losses in the consolidated statements of operations when collected.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Processing and Servicing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and servicing fees consist of fees paid to our processing partners for the recovery of advances, optional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Advertising and Marketing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Advertising and marketing expenses consist primarily of fees we pay to our advertising and marketing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Compensation and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handle routine customer service inquiries and support.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Operating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operating expenses consist primarily of technology and infrastructure (third-party Software as a Service or “SaaS”), commitments to charity, transaction based costs (program expenses, association fees, processor fees, losses from Member-disputed transactions, bank card fees and fraud), depreciation and amortization of property and equipment and intangible assets, legal fees, rent, certain sales tax related costs, office related expenses, public relations costs, professional services fees, travel and entertainment, and insurance. Costs associated with technology and infrastructure (third-party SaaS), depreciation and amortization of property and equipment and intangible assets, legal fees, rent, office related expenses, public relations costs, professional services fees, travel and entertainment, and insurance vary based upon our investment in infrastructure, business development, risk management and internal controls and are generally not correlated with our operating revenues or other transaction metrics.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expenses consist of interest income, interest expense, other strategic financing and transactional expenses, earnout liabilities fair value adjustments, derivative asset fair value adjustments, and changes in fair value of warrant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Provision for income taxes consists of the federal and state corporate income taxes accrued on income resulting from the sale of our services.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Months Ended March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revenues</w:t>
      </w:r>
    </w:p>
    <w:p>
      <w:pPr>
        <w:pStyle w:val="TextBody"/>
        <w:bidi w:val="0"/>
        <w:jc w:val="left"/>
        <w:rPr/>
      </w:pPr>
      <w:r>
        <w:rPr/>
        <w:t> </w:t>
      </w:r>
    </w:p>
    <w:tbl>
      <w:tblPr>
        <w:tblW w:w="8851" w:type="dxa"/>
        <w:jc w:val="left"/>
        <w:tblInd w:w="0" w:type="dxa"/>
        <w:tblLayout w:type="fixed"/>
        <w:tblCellMar>
          <w:top w:w="28" w:type="dxa"/>
          <w:left w:w="28" w:type="dxa"/>
          <w:bottom w:w="28" w:type="dxa"/>
          <w:right w:w="28" w:type="dxa"/>
        </w:tblCellMar>
      </w:tblPr>
      <w:tblGrid>
        <w:gridCol w:w="3241"/>
        <w:gridCol w:w="146"/>
        <w:gridCol w:w="259"/>
        <w:gridCol w:w="829"/>
        <w:gridCol w:w="179"/>
        <w:gridCol w:w="179"/>
        <w:gridCol w:w="259"/>
        <w:gridCol w:w="829"/>
        <w:gridCol w:w="146"/>
        <w:gridCol w:w="146"/>
        <w:gridCol w:w="239"/>
        <w:gridCol w:w="766"/>
        <w:gridCol w:w="166"/>
        <w:gridCol w:w="146"/>
        <w:gridCol w:w="279"/>
        <w:gridCol w:w="726"/>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based revenue, net</w:t>
            </w:r>
          </w:p>
        </w:tc>
        <w:tc>
          <w:tcPr>
            <w:tcW w:w="146" w:type="dxa"/>
            <w:tcBorders/>
            <w:shd w:fill="B6DEE8" w:val="clear"/>
            <w:vAlign w:val="center"/>
          </w:tcPr>
          <w:p>
            <w:pPr>
              <w:pStyle w:val="TableContents"/>
              <w:bidi w:val="0"/>
              <w:spacing w:before="0" w:after="283"/>
              <w:jc w:val="left"/>
              <w:rPr/>
            </w:pPr>
            <w:r>
              <w:rPr/>
              <w:t> </w:t>
            </w:r>
          </w:p>
        </w:tc>
        <w:tc>
          <w:tcPr>
            <w:tcW w:w="1088" w:type="dxa"/>
            <w:gridSpan w:val="2"/>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1088"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05"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05" w:type="dxa"/>
            <w:gridSpan w:val="2"/>
            <w:tcBorders/>
            <w:shd w:fill="B6DEE8" w:val="clear"/>
            <w:vAlign w:val="center"/>
          </w:tcPr>
          <w:p>
            <w:pPr>
              <w:pStyle w:val="TableContents"/>
              <w:bidi w:val="0"/>
              <w:spacing w:before="0" w:after="283"/>
              <w:jc w:val="left"/>
              <w:rPr/>
            </w:pPr>
            <w:r>
              <w:rPr/>
              <w:t> </w:t>
            </w:r>
          </w:p>
        </w:tc>
        <w:tc>
          <w:tcPr>
            <w:tcW w:w="316" w:type="dxa"/>
            <w:tcBorders/>
            <w:shd w:fill="B6DEE8"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Processing fees, net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44,596</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Tips</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14,910</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13,760</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Subscriptions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based revenue, net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25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73,630</w:t>
            </w:r>
          </w:p>
        </w:tc>
        <w:tc>
          <w:tcPr>
            <w:tcW w:w="17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58,928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14,702</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Service based revenue, net—</w:t>
      </w:r>
      <w:r>
        <w:rPr>
          <w:rFonts w:ascii="Times New Roman" w:hAnsi="Times New Roman"/>
          <w:color w:val="000000"/>
          <w:sz w:val="20"/>
        </w:rPr>
        <w:t xml:space="preserv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Processing fees,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Processing fees, net of processor costs associated with advance disbursements, for the three months ended March 31, 2024 were $44.6 million, an increase of $11.6 million, or 35%, from $33.0 million for the three months ended March 31, 2023. The increase was primarily attributable to increases in transacting Members, increases in total advance volume from approximately $798.5 million to approximately $1,050 million period over period and average advance amounts that increased from $154 to $159 as of the three months ended March 31, 2023 and 2024, respectively. Processing fees tend to increase as advance volume increases, but may not always trend ratably, as historically, prior to the implementation of percentage-based fees in late 2023, processing fees varied depending on the total amount of the advance. The percentage of Members that chose to pay a processing fee to expedite an advance decreased slightly for the three months ended March 31, 2024 and 2023. The average processing fees Members paid to expedite these advances increased slightly for the three months ended March 31, 2024 as compared to the three months ended March 31,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Tips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Tips for the three months ended March 31, 2024 were $14.9 million, an increase of $1.1 million, or 8%, from $13.8 million for the three months ended March 31, 2023. The increase was primarily attributable to higher tip engagement from Members, increases in total advance volume from approximately $798.5 million to approximately $1,050 million year over year and average advance amounts increased from $154 to $159 for the three months ended March 31, 2023 and 2024, respectively. Tip amounts may not always trend ratably as tips often vary depending on the total amount of the advance and number of Members who leave a tip. The average tip Members chose to leave increased slightly while the percentage of Members that chose to leave a tip decreased for the three months ended March 31, 2024 as compared to the three months ended March 31, 2023.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Subscriptions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Subscriptions for the three months ended March 31, 2024 were $5.9 million, an increase of $0.3 million, or 6%, from $5.6 million for the three months ended March 31, 2023. The increase was primarily attributable to an increase in paying Members on our platform.</w:t>
      </w:r>
    </w:p>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service based revenue for the three months ended March 31, 2024 were $0.1 million, a decrease of $0.1 million, or 42% from $0.2 million, for the three months ended March 31, 2023. The decrease was primarily attributable to decreases in average revenue per lead related to amounts received from our Side Hustle advertising partners.</w:t>
      </w:r>
    </w:p>
    <w:p>
      <w:pPr>
        <w:pStyle w:val="TextBody"/>
        <w:bidi w:val="0"/>
        <w:spacing w:before="360" w:after="283"/>
        <w:jc w:val="left"/>
        <w:rPr>
          <w:rFonts w:ascii="Times New Roman" w:hAnsi="Times New Roman"/>
          <w:sz w:val="20"/>
        </w:rPr>
      </w:pPr>
      <w:r>
        <w:rPr>
          <w:rFonts w:ascii="Times New Roman" w:hAnsi="Times New Roman"/>
          <w:i/>
          <w:color w:val="000000"/>
          <w:sz w:val="20"/>
        </w:rPr>
        <w:t>Transaction based revenue, net</w:t>
      </w:r>
      <w:r>
        <w:rPr>
          <w:rFonts w:ascii="Times New Roman" w:hAnsi="Times New Roman"/>
          <w:color w:val="000000"/>
          <w:sz w:val="20"/>
        </w:rPr>
        <w:t>—Transaction based revenue, net for the three months ended March 31, 2024 were $8.1 million, an increase of $1.7 million, or 27%, from $6.4 million for the three months ended March 31, 2024. The increase was primarily attributable to interchange revenue earned from the growth in Members engaging with our Checking Product and card spend of $394 million for the three months ended March 31, 2024, an increase of 34%, from $294 million for the three months ended March 31, 2023, offset by $0.4 million in interest due to Members during the three months ended March 31, 2024.</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Operating expenses</w:t>
      </w:r>
    </w:p>
    <w:p>
      <w:pPr>
        <w:pStyle w:val="TextBody"/>
        <w:bidi w:val="0"/>
        <w:jc w:val="left"/>
        <w:rPr/>
      </w:pPr>
      <w:r>
        <w:rPr/>
        <w:t> </w:t>
      </w:r>
    </w:p>
    <w:tbl>
      <w:tblPr>
        <w:tblW w:w="8851" w:type="dxa"/>
        <w:jc w:val="left"/>
        <w:tblInd w:w="0" w:type="dxa"/>
        <w:tblLayout w:type="fixed"/>
        <w:tblCellMar>
          <w:top w:w="28" w:type="dxa"/>
          <w:left w:w="28" w:type="dxa"/>
          <w:bottom w:w="28" w:type="dxa"/>
          <w:right w:w="28" w:type="dxa"/>
        </w:tblCellMar>
      </w:tblPr>
      <w:tblGrid>
        <w:gridCol w:w="3241"/>
        <w:gridCol w:w="146"/>
        <w:gridCol w:w="259"/>
        <w:gridCol w:w="829"/>
        <w:gridCol w:w="179"/>
        <w:gridCol w:w="179"/>
        <w:gridCol w:w="259"/>
        <w:gridCol w:w="829"/>
        <w:gridCol w:w="146"/>
        <w:gridCol w:w="146"/>
        <w:gridCol w:w="252"/>
        <w:gridCol w:w="753"/>
        <w:gridCol w:w="166"/>
        <w:gridCol w:w="146"/>
        <w:gridCol w:w="279"/>
        <w:gridCol w:w="726"/>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9,943</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5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and servicing costs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7,723</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and marketing</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52" w:type="dxa"/>
            <w:tcBorders/>
            <w:shd w:fill="B6DEE8" w:val="clear"/>
            <w:vAlign w:val="center"/>
          </w:tcPr>
          <w:p>
            <w:pPr>
              <w:pStyle w:val="TableContents"/>
              <w:bidi w:val="0"/>
              <w:spacing w:before="0" w:after="283"/>
              <w:jc w:val="left"/>
              <w:rPr/>
            </w:pPr>
            <w:r>
              <w:rPr/>
              <w:t> </w:t>
            </w:r>
          </w:p>
        </w:tc>
        <w:tc>
          <w:tcPr>
            <w:tcW w:w="75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24,552</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B6DEE8" w:val="cle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16,916</w:t>
            </w:r>
          </w:p>
        </w:tc>
        <w:tc>
          <w:tcPr>
            <w:tcW w:w="17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5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68,231</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Provision for credit losses</w:t>
      </w:r>
      <w:r>
        <w:rPr>
          <w:rFonts w:ascii="Times New Roman" w:hAnsi="Times New Roman"/>
          <w:color w:val="000000"/>
          <w:sz w:val="20"/>
        </w:rPr>
        <w:t xml:space="preserve">—The provision for credit losses totaled $9.9 million for the three months ended March 31, 2024, compared to $12.0 million for the three months ended March 31, 2023. The decrease of $2.0 million, or 17%, was primarily attributable to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decrease in provision expense of $6.2 million related to Member advances aged over 120 days and those that have become uncollectible based on information available to us, offset by an increase in provision expense of $4.2 million related to Member advances aged 120 days and under.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provision expense of $6.2 million related to Member advances aged over 120 days and those which have become uncollectible based on information available to us, period over period, was attributed to improved collections performance due primarily to underwriting modifications related to advance eligibility requirements, advance stability, new Member conversion and risk detection, despite increases in transacting Members, average advance amounts from $154 to $159 and total advance volume from $798 million to $1,050 million for the three months ended March 31, 2023 and 2024, respectively. All impaired advances deemed uncollectible are subsequently written-off and are a direct reduction to the 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provision expense of $4.2 million related to Member advances aged 120 days and under was primarily attributed to a 24% increase in advance volume during the period ended March 31, 2024 compared to the period ended March 31, 2023 with a corresponding increase in amounts outstanding as of the three months ended March 31, 2024 as compared to March 31, 2023. This resulted in an increase to the allowance for credit losses and corresponding increase in provision expense during the three months ended March 31, 2024 as compared to March 31, 2023. We anticipate volatility in Member advances outstanding each period as they are directly correlated with the timing and volume of Member advance activity during the last 120 days prior to the end of the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2024, loss and collections experience of Member advances continued to improve as discussed above, due primarily to underwriting modifications related to advance eligibility requirements, advance stability, new Member conversion and risk detection. Historical loss and collections rates utilized in the calculation of the provision for credit losses decreased slightly when compared to historical rates due to continued improvement in historical collections performance. Any changes to our historical loss and collections experience directly affect the historical loss rates utilized in the calculation of the allowance for uncollectible advances. The changes in the allowance for credit losses, period over period, have a direct impact on the provision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information on the aging of Member advances and a roll-forward of the allowance for credit losses, refer to the tables in Note 5 Member Advances, Net in the accompanying consolidated financial statements of Dave included in this report.</w:t>
      </w:r>
    </w:p>
    <w:p>
      <w:pPr>
        <w:pStyle w:val="TextBody"/>
        <w:bidi w:val="0"/>
        <w:spacing w:before="240" w:after="283"/>
        <w:jc w:val="left"/>
        <w:rPr>
          <w:rFonts w:ascii="Times New Roman" w:hAnsi="Times New Roman"/>
          <w:sz w:val="20"/>
        </w:rPr>
      </w:pPr>
      <w:r>
        <w:rPr>
          <w:rFonts w:ascii="Times New Roman" w:hAnsi="Times New Roman"/>
          <w:i/>
          <w:color w:val="000000"/>
          <w:sz w:val="20"/>
        </w:rPr>
        <w:t>Processing and service costs</w:t>
      </w:r>
      <w:r>
        <w:rPr>
          <w:rFonts w:ascii="Times New Roman" w:hAnsi="Times New Roman"/>
          <w:color w:val="000000"/>
          <w:sz w:val="20"/>
        </w:rPr>
        <w:t>—Processing and servicing costs totaled $7.7 million for the three months ended March 31, 2024, compared to $7.1 million for the three months ended March 31, 2023. The increase of $0.6 million, or 8%, was primarily driven by increases in advance volume from $798 million to $1,050 million, offset by, technology enhancements made to our ExtraCash payments structure along with discounts and cost savings due to price reductions from our processors.</w:t>
      </w:r>
    </w:p>
    <w:p>
      <w:pPr>
        <w:pStyle w:val="TextBody"/>
        <w:bidi w:val="0"/>
        <w:spacing w:before="240" w:after="283"/>
        <w:jc w:val="left"/>
        <w:rPr>
          <w:rFonts w:ascii="Times New Roman" w:hAnsi="Times New Roman"/>
          <w:sz w:val="20"/>
        </w:rPr>
      </w:pPr>
      <w:r>
        <w:rPr>
          <w:rFonts w:ascii="Times New Roman" w:hAnsi="Times New Roman"/>
          <w:i/>
          <w:color w:val="000000"/>
          <w:sz w:val="20"/>
        </w:rPr>
        <w:t>Advertising and marketing</w:t>
      </w:r>
      <w:r>
        <w:rPr>
          <w:rFonts w:ascii="Times New Roman" w:hAnsi="Times New Roman"/>
          <w:color w:val="000000"/>
          <w:sz w:val="20"/>
        </w:rPr>
        <w:t>—Advertising and marketing expenses totaled $9.1 million for the three months ended March 31, 2024, compared to $9.5 million for the three months ended March 31, 2023. The decrease of $0.4 million, or 4%, was primarily attributable to a more targeted, conversion-focused spend approach on our advertising campaigns, production and promotions across various social media platforms and television. Additionally, channel and creative optimization, long-tail marketing investments made during the second quarter of 2023 and ongoing improvements to our measurement and reporting infrastructure allowed us to invest more intelligently across our marketing mix.</w:t>
      </w:r>
    </w:p>
    <w:p>
      <w:pPr>
        <w:pStyle w:val="TextBody"/>
        <w:bidi w:val="0"/>
        <w:spacing w:before="240" w:after="283"/>
        <w:jc w:val="left"/>
        <w:rPr>
          <w:rFonts w:ascii="Times New Roman" w:hAnsi="Times New Roman"/>
          <w:sz w:val="20"/>
        </w:rPr>
      </w:pPr>
      <w:r>
        <w:rPr>
          <w:rFonts w:ascii="Times New Roman" w:hAnsi="Times New Roman"/>
          <w:i/>
          <w:color w:val="000000"/>
          <w:sz w:val="20"/>
        </w:rPr>
        <w:t>Compensation and benefits</w:t>
      </w:r>
      <w:r>
        <w:rPr>
          <w:rFonts w:ascii="Times New Roman" w:hAnsi="Times New Roman"/>
          <w:color w:val="000000"/>
          <w:sz w:val="20"/>
        </w:rPr>
        <w:t>—Compensation and benefits expenses totaled $24.6 million for the three months ended March 31, 2024, compared to $24.4 million for the three months ended March 31, 2023. The increase of $0.2 million, or 0.8%,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stock-based compensation of $0.6 million, primarily due to larger amounts of restricted stock units granted during the three months ended March 31, 2023 compared to the three months ended March 31, 2024 and stock options granted in prior years that have fully vested;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contractor and consulting fees of $0.6 million due to the average increase in employee headcount and corresponding reduction in external support for IT security, finance, marketing, design and customer service resources;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payroll and related costs of $1.4 million, primarily due to average headcount and salary increases, bonuses and severance payments.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Other operating expenses</w:t>
      </w:r>
      <w:r>
        <w:rPr>
          <w:rFonts w:ascii="Times New Roman" w:hAnsi="Times New Roman"/>
          <w:color w:val="000000"/>
          <w:sz w:val="20"/>
        </w:rPr>
        <w:t>—Other operating expenses totaled $16.9 million for the three months ended March 31, 2024, compared to $18.5 million for the three months ended March 31, 2023. The decrease of $1.6 million, or 9.0%,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expenses related to our Checking Product of $0.1 million, primarily attributable to processing fees, card fees and fraud related costs associated with the growth in Members and the number of transactions processed;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charitable contribution expenses of $1.6 million, primarily due to amounts pledged to charitable meal donations related to Members' tips;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in insurance related costs of $0.3 million, primarily related to lower director and officer, general liability and cyber insurance premiums;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accounting costs of $0.3 million, primarily related to various audit, tax, and Sarbanes-Oxley compliance readiness 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increase in technology and infrastructure expenses of $0.2 million, primarily due to increased costs to support the growth of our business and development of new products and features;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depreciation and amortization of $0.5 million, primarily due to increased amortization of other internally capitalized project costs and depreciation related to leasehold improvements and equipment purchases.</w:t>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Other (income) expense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58"/>
        <w:gridCol w:w="146"/>
        <w:gridCol w:w="249"/>
        <w:gridCol w:w="871"/>
        <w:gridCol w:w="196"/>
        <w:gridCol w:w="172"/>
        <w:gridCol w:w="249"/>
        <w:gridCol w:w="746"/>
        <w:gridCol w:w="166"/>
        <w:gridCol w:w="146"/>
        <w:gridCol w:w="222"/>
        <w:gridCol w:w="776"/>
        <w:gridCol w:w="166"/>
        <w:gridCol w:w="146"/>
        <w:gridCol w:w="194"/>
        <w:gridCol w:w="781"/>
        <w:gridCol w:w="321"/>
      </w:tblGrid>
      <w:tr>
        <w:trPr/>
        <w:tc>
          <w:tcPr>
            <w:tcW w:w="4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6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8"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4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B6DEE8" w:val="clear"/>
            <w:vAlign w:val="center"/>
          </w:tcPr>
          <w:p>
            <w:pPr>
              <w:pStyle w:val="TableContents"/>
              <w:bidi w:val="0"/>
              <w:spacing w:before="0" w:after="283"/>
              <w:jc w:val="left"/>
              <w:rPr/>
            </w:pPr>
            <w:r>
              <w:rPr/>
              <w:t> </w:t>
            </w:r>
          </w:p>
        </w:tc>
        <w:tc>
          <w:tcPr>
            <w:tcW w:w="24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9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B6DEE8" w:val="clear"/>
            <w:vAlign w:val="center"/>
          </w:tcPr>
          <w:p>
            <w:pPr>
              <w:pStyle w:val="TableContents"/>
              <w:bidi w:val="0"/>
              <w:spacing w:before="0" w:after="283"/>
              <w:jc w:val="left"/>
              <w:rPr/>
            </w:pPr>
            <w:r>
              <w:rPr/>
              <w:t> </w:t>
            </w:r>
          </w:p>
        </w:tc>
        <w:tc>
          <w:tcPr>
            <w:tcW w:w="24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94"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2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9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convertible debt</w:t>
            </w:r>
          </w:p>
        </w:tc>
        <w:tc>
          <w:tcPr>
            <w:tcW w:w="146" w:type="dxa"/>
            <w:tcBorders/>
            <w:shd w:fill="B6DEE8" w:val="clear"/>
            <w:vAlign w:val="center"/>
          </w:tcPr>
          <w:p>
            <w:pPr>
              <w:pStyle w:val="TableContents"/>
              <w:bidi w:val="0"/>
              <w:spacing w:before="0" w:after="283"/>
              <w:jc w:val="left"/>
              <w:rPr/>
            </w:pPr>
            <w:r>
              <w:rPr/>
              <w:t> </w:t>
            </w:r>
          </w:p>
        </w:tc>
        <w:tc>
          <w:tcPr>
            <w:tcW w:w="249" w:type="dxa"/>
            <w:tcBorders/>
            <w:shd w:fill="B6DEE8" w:val="clear"/>
            <w:vAlign w:val="center"/>
          </w:tcPr>
          <w:p>
            <w:pPr>
              <w:pStyle w:val="TableContents"/>
              <w:bidi w:val="0"/>
              <w:spacing w:before="0" w:after="283"/>
              <w:jc w:val="left"/>
              <w:rPr/>
            </w:pPr>
            <w:r>
              <w:rPr/>
              <w:t> </w:t>
            </w:r>
          </w:p>
        </w:tc>
        <w:tc>
          <w:tcPr>
            <w:tcW w:w="87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9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B6DEE8" w:val="clear"/>
            <w:vAlign w:val="center"/>
          </w:tcPr>
          <w:p>
            <w:pPr>
              <w:pStyle w:val="TableContents"/>
              <w:bidi w:val="0"/>
              <w:spacing w:before="0" w:after="283"/>
              <w:jc w:val="left"/>
              <w:rPr/>
            </w:pPr>
            <w:r>
              <w:rPr/>
              <w:t> </w:t>
            </w:r>
          </w:p>
        </w:tc>
        <w:tc>
          <w:tcPr>
            <w:tcW w:w="249" w:type="dxa"/>
            <w:tcBorders/>
            <w:shd w:fill="B6DEE8" w:val="clear"/>
            <w:vAlign w:val="center"/>
          </w:tcPr>
          <w:p>
            <w:pPr>
              <w:pStyle w:val="TableContents"/>
              <w:bidi w:val="0"/>
              <w:spacing w:before="0" w:after="283"/>
              <w:jc w:val="left"/>
              <w:rPr/>
            </w:pPr>
            <w:r>
              <w:rPr/>
              <w:t> </w:t>
            </w:r>
          </w:p>
        </w:tc>
        <w:tc>
          <w:tcPr>
            <w:tcW w:w="7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2" w:type="dxa"/>
            <w:tcBorders/>
            <w:shd w:fill="B6DEE8" w:val="clear"/>
            <w:vAlign w:val="center"/>
          </w:tcPr>
          <w:p>
            <w:pPr>
              <w:pStyle w:val="TableContents"/>
              <w:bidi w:val="0"/>
              <w:spacing w:before="0" w:after="283"/>
              <w:jc w:val="left"/>
              <w:rPr/>
            </w:pPr>
            <w:r>
              <w:rPr/>
              <w:t> </w:t>
            </w:r>
          </w:p>
        </w:tc>
        <w:tc>
          <w:tcPr>
            <w:tcW w:w="77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6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94"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2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8"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B6DEE8" w:val="clear"/>
            <w:vAlign w:val="center"/>
          </w:tcPr>
          <w:p>
            <w:pPr>
              <w:pStyle w:val="TableContents"/>
              <w:bidi w:val="0"/>
              <w:spacing w:before="0" w:after="283"/>
              <w:jc w:val="left"/>
              <w:rPr/>
            </w:pPr>
            <w:r>
              <w:rPr/>
              <w:t> </w:t>
            </w:r>
          </w:p>
        </w:tc>
        <w:tc>
          <w:tcPr>
            <w:tcW w:w="2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9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2" w:type="dxa"/>
            <w:tcBorders/>
            <w:shd w:fill="B6DEE8" w:val="clear"/>
            <w:vAlign w:val="center"/>
          </w:tcPr>
          <w:p>
            <w:pPr>
              <w:pStyle w:val="TableContents"/>
              <w:bidi w:val="0"/>
              <w:spacing w:before="0" w:after="283"/>
              <w:jc w:val="left"/>
              <w:rPr/>
            </w:pPr>
            <w:r>
              <w:rPr/>
              <w:t> </w:t>
            </w:r>
          </w:p>
        </w:tc>
        <w:tc>
          <w:tcPr>
            <w:tcW w:w="2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94"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2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(32,047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Interest income totaled $1.5 million for the three months ended March 31, 2024, compared to $1.2 million for three months ended March 31, 2023. The increase of $0.3 million, or 25%, was primarily attributable to gains from the sales of investments during the quarter ended March 31, 2024 as compared to the quarter ended March 31, 2023.</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Interest expense totaled $2.2 million for the three months ended March 31, 2024, compared to $2.9 million for the three months ended March 31, 2023. The decrease of $0.7 million, or 23%, was primarily attributable to the repurchase of the convertible note with FTX Ventures Ltd. in January 2024.</w:t>
      </w:r>
    </w:p>
    <w:p>
      <w:pPr>
        <w:pStyle w:val="TextBody"/>
        <w:bidi w:val="0"/>
        <w:spacing w:before="240" w:after="283"/>
        <w:jc w:val="left"/>
        <w:rPr>
          <w:rFonts w:ascii="Times New Roman" w:hAnsi="Times New Roman"/>
          <w:sz w:val="20"/>
        </w:rPr>
      </w:pPr>
      <w:r>
        <w:rPr>
          <w:rFonts w:ascii="Times New Roman" w:hAnsi="Times New Roman"/>
          <w:i/>
          <w:color w:val="000000"/>
          <w:sz w:val="20"/>
        </w:rPr>
        <w:t>Gain on extinguishment of convertible debt</w:t>
      </w:r>
      <w:r>
        <w:rPr>
          <w:rFonts w:ascii="Times New Roman" w:hAnsi="Times New Roman"/>
          <w:color w:val="000000"/>
          <w:sz w:val="20"/>
        </w:rPr>
        <w:t xml:space="preserve">— The gain on extinguishment of convertible debt totaled $33.4 million for the three months ended March 31, 2024, compared to $0 for the three months ended March 31, 2023. The increase was primarily attributable to the repurchase of the $105.7 million outstanding balance of the convertible note with FTX Ventures Ltd. for $71.0 million. The gain was reduced by unamortized debt issuance costs of $0.03 million at the extinguishment date and third-party costs totaling $1.3 million in conjunction with the settlement of the convertible note.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Changes in fair value of earnout liability</w:t>
      </w:r>
      <w:r>
        <w:rPr>
          <w:rFonts w:ascii="Times New Roman" w:hAnsi="Times New Roman"/>
          <w:color w:val="000000"/>
          <w:sz w:val="20"/>
        </w:rPr>
        <w:t>—Changes in fair value of earnout liabilities totaled a expense of $0.2 million for the three months ended March 31, 2024, compared to a loss of $0.03 million for the three months ended March 31, 2023. The increase of $0.2 million, or 884%, was primarily attributable to fair value adjustments associated with our earnout shares liability due to increases in our underlying Class A Common Stock price over the last 12 months.</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fair value of warrant liability</w:t>
      </w:r>
      <w:r>
        <w:rPr>
          <w:rFonts w:ascii="Times New Roman" w:hAnsi="Times New Roman"/>
          <w:color w:val="000000"/>
          <w:sz w:val="20"/>
        </w:rPr>
        <w:t>—Changes in fair value of warrant liability totaled an expense of $0.5 million for the three months ended March 31, 2024, compared to a gain of $0.1 million for the three months ended March 31, 2023. The increase of $0.6 million, or 427%, was primarily attributable to fair value adjustments associated with our public and private warrant liabilities due to increases in our underlying Class A Common Stock price over the last 12 months.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 for income taxes</w:t>
      </w:r>
    </w:p>
    <w:p>
      <w:pPr>
        <w:pStyle w:val="TextBody"/>
        <w:bidi w:val="0"/>
        <w:jc w:val="left"/>
        <w:rPr/>
      </w:pPr>
      <w:r>
        <w:rPr/>
        <w:t> </w:t>
      </w:r>
    </w:p>
    <w:tbl>
      <w:tblPr>
        <w:tblW w:w="8829" w:type="dxa"/>
        <w:jc w:val="left"/>
        <w:tblInd w:w="0" w:type="dxa"/>
        <w:tblLayout w:type="fixed"/>
        <w:tblCellMar>
          <w:top w:w="28" w:type="dxa"/>
          <w:left w:w="28" w:type="dxa"/>
          <w:bottom w:w="28" w:type="dxa"/>
          <w:right w:w="28" w:type="dxa"/>
        </w:tblCellMar>
      </w:tblPr>
      <w:tblGrid>
        <w:gridCol w:w="3241"/>
        <w:gridCol w:w="146"/>
        <w:gridCol w:w="357"/>
        <w:gridCol w:w="967"/>
        <w:gridCol w:w="247"/>
        <w:gridCol w:w="247"/>
        <w:gridCol w:w="357"/>
        <w:gridCol w:w="357"/>
        <w:gridCol w:w="146"/>
        <w:gridCol w:w="146"/>
        <w:gridCol w:w="271"/>
        <w:gridCol w:w="734"/>
        <w:gridCol w:w="146"/>
        <w:gridCol w:w="146"/>
        <w:gridCol w:w="189"/>
        <w:gridCol w:w="816"/>
        <w:gridCol w:w="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vAlign w:val="center"/>
          </w:tcPr>
          <w:p>
            <w:pPr>
              <w:pStyle w:val="TableContents"/>
              <w:bidi w:val="0"/>
              <w:spacing w:before="0" w:after="283"/>
              <w:jc w:val="center"/>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vAlign w:val="center"/>
          </w:tcPr>
          <w:p>
            <w:pPr>
              <w:pStyle w:val="TableContents"/>
              <w:bidi w:val="0"/>
              <w:spacing w:before="0" w:after="283"/>
              <w:jc w:val="left"/>
              <w:rPr/>
            </w:pPr>
            <w:r>
              <w:rPr/>
              <w:t> </w:t>
            </w:r>
          </w:p>
        </w:tc>
        <w:tc>
          <w:tcPr>
            <w:tcW w:w="35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24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47" w:type="dxa"/>
            <w:tcBorders/>
            <w:shd w:fill="B6DEE8" w:val="clear"/>
            <w:vAlign w:val="center"/>
          </w:tcPr>
          <w:p>
            <w:pPr>
              <w:pStyle w:val="TableContents"/>
              <w:bidi w:val="0"/>
              <w:spacing w:before="0" w:after="283"/>
              <w:jc w:val="left"/>
              <w:rPr/>
            </w:pPr>
            <w:r>
              <w:rPr/>
              <w:t> </w:t>
            </w:r>
          </w:p>
        </w:tc>
        <w:tc>
          <w:tcPr>
            <w:tcW w:w="35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89" w:type="dxa"/>
            <w:tcBorders/>
            <w:shd w:fill="B6DEE8" w:val="clear"/>
            <w:vAlign w:val="center"/>
          </w:tcPr>
          <w:p>
            <w:pPr>
              <w:pStyle w:val="TableContents"/>
              <w:bidi w:val="0"/>
              <w:spacing w:before="0" w:after="283"/>
              <w:jc w:val="left"/>
              <w:rPr/>
            </w:pPr>
            <w:r>
              <w:rPr/>
              <w:t> </w:t>
            </w:r>
          </w:p>
        </w:tc>
        <w:tc>
          <w:tcPr>
            <w:tcW w:w="81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39938</w:t>
            </w:r>
          </w:p>
        </w:tc>
        <w:tc>
          <w:tcPr>
            <w:tcW w:w="31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3,203</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4" w:type="dxa"/>
            <w:gridSpan w:val="2"/>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1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income taxes for the three months ended March 31, 2024 increased by approximately $3.2 million compared to the three months ended March 31, 2023. This increase was primarily due to a significant increase in income for the three months ended March 31, 2024, including a discrete gain on extinguishment of convertible debt of $33.4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Adjusted EBITDA” is defined as net income (loss) adjusted for interest expense, net, provision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income (loss) to Adjusted EBITDA below should be reviewed, and no single financial measure should be relied upon to evaluate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net income (loss) to Adjusted EBITDA for the three months ended March 31, 2024 and 2023, respectively:</w:t>
      </w:r>
    </w:p>
    <w:p>
      <w:pPr>
        <w:pStyle w:val="TextBody"/>
        <w:bidi w:val="0"/>
        <w:jc w:val="left"/>
        <w:rPr/>
      </w:pPr>
      <w:r>
        <w:rPr/>
        <w:t> </w:t>
      </w:r>
    </w:p>
    <w:tbl>
      <w:tblPr>
        <w:tblW w:w="7946" w:type="dxa"/>
        <w:jc w:val="left"/>
        <w:tblInd w:w="0" w:type="dxa"/>
        <w:tblLayout w:type="fixed"/>
        <w:tblCellMar>
          <w:top w:w="28" w:type="dxa"/>
          <w:left w:w="28" w:type="dxa"/>
          <w:bottom w:w="28" w:type="dxa"/>
          <w:right w:w="28" w:type="dxa"/>
        </w:tblCellMar>
      </w:tblPr>
      <w:tblGrid>
        <w:gridCol w:w="5056"/>
        <w:gridCol w:w="146"/>
        <w:gridCol w:w="242"/>
        <w:gridCol w:w="846"/>
        <w:gridCol w:w="190"/>
        <w:gridCol w:w="167"/>
        <w:gridCol w:w="242"/>
        <w:gridCol w:w="846"/>
        <w:gridCol w:w="2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11" w:type="dxa"/>
            <w:tcBorders/>
            <w:shd w:fill="FFFFFF" w:val="cle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34,243</w:t>
            </w:r>
          </w:p>
        </w:tc>
        <w:tc>
          <w:tcPr>
            <w:tcW w:w="190" w:type="dxa"/>
            <w:tcBorders/>
            <w:shd w:fill="B6DEE8" w:val="clear"/>
            <w:vAlign w:val="center"/>
          </w:tcPr>
          <w:p>
            <w:pPr>
              <w:pStyle w:val="TableContents"/>
              <w:bidi w:val="0"/>
              <w:spacing w:before="0" w:after="283"/>
              <w:jc w:val="left"/>
              <w:rPr/>
            </w:pPr>
            <w:r>
              <w:rPr/>
              <w:t> </w:t>
            </w:r>
          </w:p>
        </w:tc>
        <w:tc>
          <w:tcPr>
            <w:tcW w:w="167"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(14,025</w:t>
            </w:r>
          </w:p>
        </w:tc>
        <w:tc>
          <w:tcPr>
            <w:tcW w:w="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190" w:type="dxa"/>
            <w:tcBorders/>
            <w:shd w:fill="B6DEE8" w:val="clear"/>
            <w:vAlign w:val="center"/>
          </w:tcPr>
          <w:p>
            <w:pPr>
              <w:pStyle w:val="TableContents"/>
              <w:bidi w:val="0"/>
              <w:spacing w:before="0" w:after="283"/>
              <w:jc w:val="left"/>
              <w:rPr/>
            </w:pPr>
            <w:r>
              <w:rPr/>
              <w:t> </w:t>
            </w:r>
          </w:p>
        </w:tc>
        <w:tc>
          <w:tcPr>
            <w:tcW w:w="167"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B6DEE8"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w:t>
            </w:r>
          </w:p>
        </w:tc>
        <w:tc>
          <w:tcPr>
            <w:tcW w:w="190" w:type="dxa"/>
            <w:tcBorders/>
            <w:shd w:fill="B6DEE8" w:val="clear"/>
            <w:vAlign w:val="center"/>
          </w:tcPr>
          <w:p>
            <w:pPr>
              <w:pStyle w:val="TableContents"/>
              <w:bidi w:val="0"/>
              <w:spacing w:before="0" w:after="283"/>
              <w:jc w:val="left"/>
              <w:rPr/>
            </w:pPr>
            <w:r>
              <w:rPr/>
              <w:t> </w:t>
            </w:r>
          </w:p>
        </w:tc>
        <w:tc>
          <w:tcPr>
            <w:tcW w:w="167"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211" w:type="dxa"/>
            <w:tcBorders/>
            <w:shd w:fill="B6DEE8"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convertible debt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(33,442</w:t>
            </w:r>
          </w:p>
        </w:tc>
        <w:tc>
          <w:tcPr>
            <w:tcW w:w="1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earnout liabilities</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0" w:type="dxa"/>
            <w:tcBorders/>
            <w:shd w:fill="B6DEE8" w:val="clear"/>
            <w:vAlign w:val="center"/>
          </w:tcPr>
          <w:p>
            <w:pPr>
              <w:pStyle w:val="TableContents"/>
              <w:bidi w:val="0"/>
              <w:spacing w:before="0" w:after="283"/>
              <w:jc w:val="left"/>
              <w:rPr/>
            </w:pPr>
            <w:r>
              <w:rPr/>
              <w:t> </w:t>
            </w:r>
          </w:p>
        </w:tc>
        <w:tc>
          <w:tcPr>
            <w:tcW w:w="167"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public and private warrant liabilities</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B6DEE8" w:val="clear"/>
            <w:vAlign w:val="center"/>
          </w:tcPr>
          <w:p>
            <w:pPr>
              <w:pStyle w:val="TableContents"/>
              <w:bidi w:val="0"/>
              <w:spacing w:before="0" w:after="283"/>
              <w:jc w:val="left"/>
              <w:rPr/>
            </w:pPr>
            <w:r>
              <w:rP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13,179</w:t>
            </w:r>
          </w:p>
        </w:tc>
        <w:tc>
          <w:tcPr>
            <w:tcW w:w="1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7" w:type="dxa"/>
            <w:tcBorders/>
            <w:shd w:fill="B6DEE8" w:val="clear"/>
            <w:vAlign w:val="center"/>
          </w:tcPr>
          <w:p>
            <w:pPr>
              <w:pStyle w:val="TableContents"/>
              <w:bidi w:val="0"/>
              <w:spacing w:before="0" w:after="283"/>
              <w:jc w:val="left"/>
              <w:rPr/>
            </w:pPr>
            <w:r>
              <w:rPr/>
              <w:t> </w:t>
            </w:r>
          </w:p>
        </w:tc>
        <w:tc>
          <w:tcPr>
            <w:tcW w:w="24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(4,526</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we have financed our operations primarily from cash receipts from service and transaction based revenues, equity financings, borrowings under the Debt Facility, issuances of convertible notes and funds received as a result of the business combination. As of March 31, 2024 and December 31, 2023, our cash and cash equivalents, marketable securities, investments and restricted cash balance was $101.5 million and $157.3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early-stage company, the expenses we have incurred since inception are consistent with our strategy and approach to capital allocation. We may continue to incur net losses in accordance with our operating plan as we continue to expand and improve upon our financial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our cash on hand should be sufficient to meet our working capital and capital expenditure requirements and fund our operations for a period of at least 12 months from the date of this report.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We do not have any “off-balance sheet arrangements,” as defined by the SEC regulations.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Although we have fully implemented our remote employee workforce strategy in the U.S., we have not closed our leased office locations. We are required to continue making our contractual payments until our operating leases are formally terminated or expire. Our remaining leases have terms of approximately 2 to 5 years as of March 31, 2024, and we had a total lease liability of $0.8 million. See Note 12, Leases in the notes to our consolidated financial statements for additional information regarding our lease liabilities as of March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near term, we expect to continue to generate ExtraCash originations relying primarily on our balance sheet cash and Debt Facility, as needed. Interest payments on term loan borrowings under the Debt Facility are required to be made on a monthly basis. At March 31, 2024, $75.0 million of term loans under the Debt Facility were outstanding. See Note 10, Debt Facility in the notes to our condensed consolidated financial statements in this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we also had certain contractual payment obligations for interest owed under the $100.0 million Note we issued and sold pursuant to the Note Purchase Agreement entered into with FTX Ventures Ltd. Interest payments relating to the Note were required to be made or added to the outstanding principal on a semi-annual basis. On January 29, 2024, we repurchased the $105.5 million outstanding balance of the Note for $71.0 million. For more information on the Note Purchase Agreement with FTX Ventures Ltd., see Note 8, Convertible Note Payable.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use cash to acquire businesses and technologies. The nature of these transactions, however, makes it difficult to predict the amount and timing of such cash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 Summary</w:t>
      </w:r>
    </w:p>
    <w:p>
      <w:pPr>
        <w:pStyle w:val="TextBody"/>
        <w:bidi w:val="0"/>
        <w:jc w:val="left"/>
        <w:rPr/>
      </w:pPr>
      <w:r>
        <w:rPr/>
        <w:t> </w:t>
      </w:r>
    </w:p>
    <w:tbl>
      <w:tblPr>
        <w:tblW w:w="9011" w:type="dxa"/>
        <w:jc w:val="left"/>
        <w:tblInd w:w="0" w:type="dxa"/>
        <w:tblLayout w:type="fixed"/>
        <w:tblCellMar>
          <w:top w:w="28" w:type="dxa"/>
          <w:left w:w="28" w:type="dxa"/>
          <w:bottom w:w="28" w:type="dxa"/>
          <w:right w:w="28" w:type="dxa"/>
        </w:tblCellMar>
      </w:tblPr>
      <w:tblGrid>
        <w:gridCol w:w="5206"/>
        <w:gridCol w:w="146"/>
        <w:gridCol w:w="339"/>
        <w:gridCol w:w="1183"/>
        <w:gridCol w:w="266"/>
        <w:gridCol w:w="234"/>
        <w:gridCol w:w="339"/>
        <w:gridCol w:w="1087"/>
        <w:gridCol w:w="21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34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provided by (used in):</w:t>
            </w:r>
          </w:p>
        </w:tc>
        <w:tc>
          <w:tcPr>
            <w:tcW w:w="146" w:type="dxa"/>
            <w:tcBorders/>
            <w:shd w:fill="FFFFFF" w:val="clear"/>
            <w:vAlign w:val="center"/>
          </w:tcPr>
          <w:p>
            <w:pPr>
              <w:pStyle w:val="TableContents"/>
              <w:bidi w:val="0"/>
              <w:spacing w:before="0" w:after="283"/>
              <w:jc w:val="left"/>
              <w:rPr/>
            </w:pPr>
            <w:r>
              <w:rPr/>
              <w:t> </w:t>
            </w:r>
          </w:p>
        </w:tc>
        <w:tc>
          <w:tcPr>
            <w:tcW w:w="1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B6DEE8" w:val="clear"/>
            <w:vAlign w:val="center"/>
          </w:tcPr>
          <w:p>
            <w:pPr>
              <w:pStyle w:val="TableContents"/>
              <w:bidi w:val="0"/>
              <w:spacing w:before="0" w:after="283"/>
              <w:jc w:val="left"/>
              <w:rPr/>
            </w:pPr>
            <w:r>
              <w:rPr/>
              <w:t> </w:t>
            </w:r>
          </w:p>
        </w:tc>
        <w:tc>
          <w:tcPr>
            <w:tcW w:w="33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18,344</w:t>
            </w:r>
          </w:p>
        </w:tc>
        <w:tc>
          <w:tcPr>
            <w:tcW w:w="266" w:type="dxa"/>
            <w:tcBorders/>
            <w:shd w:fill="B6DEE8" w:val="clear"/>
            <w:vAlign w:val="center"/>
          </w:tcPr>
          <w:p>
            <w:pPr>
              <w:pStyle w:val="TableContents"/>
              <w:bidi w:val="0"/>
              <w:spacing w:before="0" w:after="283"/>
              <w:jc w:val="left"/>
              <w:rPr/>
            </w:pPr>
            <w:r>
              <w:rPr/>
              <w:t> </w:t>
            </w:r>
          </w:p>
        </w:tc>
        <w:tc>
          <w:tcPr>
            <w:tcW w:w="234" w:type="dxa"/>
            <w:tcBorders/>
            <w:shd w:fill="B6DEE8" w:val="clear"/>
            <w:vAlign w:val="center"/>
          </w:tcPr>
          <w:p>
            <w:pPr>
              <w:pStyle w:val="TableContents"/>
              <w:bidi w:val="0"/>
              <w:spacing w:before="0" w:after="283"/>
              <w:jc w:val="left"/>
              <w:rPr/>
            </w:pPr>
            <w:r>
              <w:rPr/>
              <w:t> </w:t>
            </w:r>
          </w:p>
        </w:tc>
        <w:tc>
          <w:tcPr>
            <w:tcW w:w="339"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B6DEE8"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211"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66,125</w:t>
            </w:r>
          </w:p>
        </w:tc>
        <w:tc>
          <w:tcPr>
            <w:tcW w:w="26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35,806</w:t>
            </w:r>
          </w:p>
        </w:tc>
        <w:tc>
          <w:tcPr>
            <w:tcW w:w="211" w:type="dxa"/>
            <w:tcBorders/>
            <w:shd w:fill="FFFFFF" w:val="clear"/>
            <w:vAlign w:val="center"/>
          </w:tcPr>
          <w:p>
            <w:pPr>
              <w:pStyle w:val="TableContents"/>
              <w:bidi w:val="0"/>
              <w:spacing w:before="0" w:after="283"/>
              <w:jc w:val="left"/>
              <w:rPr/>
            </w:pPr>
            <w:r>
              <w:rPr/>
              <w:t> </w:t>
            </w:r>
          </w:p>
        </w:tc>
      </w:tr>
      <w:tr>
        <w:trPr/>
        <w:tc>
          <w:tcPr>
            <w:tcW w:w="5206" w:type="dxa"/>
            <w:tcBorders/>
            <w:shd w:fill="B6DEE8"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B6DEE8" w:val="clear"/>
            <w:vAlign w:val="center"/>
          </w:tcPr>
          <w:p>
            <w:pPr>
              <w:pStyle w:val="TableContents"/>
              <w:bidi w:val="0"/>
              <w:spacing w:before="0" w:after="283"/>
              <w:jc w:val="left"/>
              <w:rPr/>
            </w:pPr>
            <w:r>
              <w:rPr/>
              <w:t> </w:t>
            </w:r>
          </w:p>
        </w:tc>
        <w:tc>
          <w:tcPr>
            <w:tcW w:w="3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8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(70,476</w:t>
            </w:r>
          </w:p>
        </w:tc>
        <w:tc>
          <w:tcPr>
            <w:tcW w:w="2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4" w:type="dxa"/>
            <w:tcBorders/>
            <w:shd w:fill="B6DEE8" w:val="clear"/>
            <w:vAlign w:val="center"/>
          </w:tcPr>
          <w:p>
            <w:pPr>
              <w:pStyle w:val="TableContents"/>
              <w:bidi w:val="0"/>
              <w:spacing w:before="0" w:after="283"/>
              <w:jc w:val="left"/>
              <w:rPr/>
            </w:pPr>
            <w:r>
              <w:rPr/>
              <w:t> </w:t>
            </w:r>
          </w:p>
        </w:tc>
        <w:tc>
          <w:tcPr>
            <w:tcW w:w="33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13,993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22" w:type="dxa"/>
            <w:gridSpan w:val="2"/>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426"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Cash Flows From Operating Activities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net cash provided by operating activities increased compared to the three months ended March 31, 2023 due to increases in operating revenues, offset primarily by increases in compensation and other operating expenses to support the growth of the business. Net cash provided by operating activities for the three months ended March 31, 2024 included net income of $34.2 million, and excluding non-cash impacts, included increase in accounts payable of $2.7 million and an increase in other current liabilities of $2.7 million. These changes were offset primarily by an increase in prepaid expenses and other current assets of $5.6 million, a decrease in a legal settlement accrual of $2.6 million, decrease in accrued expenses of $1.9 million, and an increase in Member advances, service based revenue of $0.5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2023, net cash used in operating activities decreased compared to the three months ended March 31, 2022 due to increases in operating revenues, offset primarily by increases in compensation and other operating expenses to support the growth of the business. Net cash used in operating activities for the three months ended March 31, 2023 included a net loss of $14.0 million, and excluding non-cash impacts, included an increase in prepaid expenses and other current assets of $4.1 million, a decrease in accounts payable of $6.9 million and a decrease in a legal settlement accrual of $5.7 million. These changes were offset primarily by an increase in accrued expenses of $2.6 million.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Cash Flows From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2024, net cash provided by investing activities was $66.1 million. This included the sale and maturity of investments of $90.3 million and sale of marketable securities of $59.0 million, offset by purchases of marketable securities of $59.2 million, purchases of investments of $20.9 million, net disbursements and collections of Member advances of $1.6 million, and payments related to internally developed software costs of $1.6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2023, net cash provided by investing activities was $35.8 million. This included the sale and maturity of investments of $65.4 million and net disbursements and collections of Member advances of $11.9 million, offset by payments for internally developed software costs of $1.9 million, the purchase of property and equipment of $0.3 million, the purchase of investments of $5.1 million, and the purchase of marketable securities of $34.1 million.</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Cash Flows From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net cash used in financing activities was $70.5 million, which consisted of the $71.0 million paydown of the FTX Ventures Ltd. convertible note, offset by $0.5 million received for stock option exercises.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2023, net cash used in financing activities was $0.01 million, which primarily consisted of payments for fractional shares that resulted from a reverse stock split.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U.S. GAAP. The preparation of these consolidated financial statements requires us to make estimates and assumptions that affect the reported amounts of assets and liabilities and the disclosure of contingent assets and liabilities as of the date of the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Allowance for credit losses;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For further details, please refer to Note 2 in our accompanying condensed consolidated financial statements for the three months ended March 31, 2024 and 2023 included in this Form 10-Q.</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our significant accounting estimates are described in the notes to our consolidated financial statements, we believe that the following accounting estimates require a greater degree of judgment and complexity and are the most critical to understanding our financial condition and historical and future results of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Member advances from contracts with Members as of the balance sheet dates are recorded at their original advance amounts reduced by an allowance for expected credit losses. We pool our Member advances,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Member advances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we determined that our historical loss rates remained most indicative of our lifetime expected losses. We immediately recognize an allowance for expected credit losses upon the origination of the advance. Adjustments to the allowance each period for changes in the estimate of lifetime expected credit losses are recognized in operating expenses—provision for credit losses in the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When we determine that a Member advance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Member advance may result in an additional allowance for expected credit losses being recognized in the period in which the change occurs.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follow ASC 740, Income Taxes (“ASC 740”),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our estimated annual pre-tax income in each tax jurisdiction in which it operates, and the development of tax planning strategies during the year. In addition, our tax expense can be impacted by changes in tax rates or laws and other factors that cannot be predicted with certainty. As such, there can be significant volatility in interim tax provisions.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$1.7 million and $1.0 million of uncertain tax positions as of March 31, 2024 and 2023, respectively, related to state income taxes and federal and state R&amp;D tax credits.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policy is to recognize interest and penalties accrued on any unrecognized tax benefits as a component of income tax expense within the statement of operations.</w:t>
      </w:r>
    </w:p>
    <w:p>
      <w:pPr>
        <w:pStyle w:val="TextBody"/>
        <w:bidi w:val="0"/>
        <w:jc w:val="left"/>
        <w:rPr>
          <w:rFonts w:ascii="Times New Roman" w:hAnsi="Times New Roman"/>
          <w:color w:val="000000"/>
          <w:sz w:val="20"/>
        </w:rPr>
      </w:pPr>
      <w:r>
        <w:rPr>
          <w:rFonts w:ascii="Times New Roman" w:hAnsi="Times New Roman"/>
          <w:color w:val="000000"/>
          <w:sz w:val="20"/>
        </w:rPr>
        <w:t>We are subject to income tax in jurisdictions in which we operate, including the United States. For U.S. income tax purposes, we are taxed as a Subchapter C corporation.</w:t>
      </w:r>
    </w:p>
    <w:p>
      <w:pPr>
        <w:pStyle w:val="TextBody"/>
        <w:bidi w:val="0"/>
        <w:jc w:val="left"/>
        <w:rPr>
          <w:rFonts w:ascii="Times New Roman" w:hAnsi="Times New Roman"/>
          <w:color w:val="000000"/>
          <w:sz w:val="20"/>
        </w:rPr>
      </w:pPr>
      <w:r>
        <w:rPr>
          <w:rFonts w:ascii="Times New Roman" w:hAnsi="Times New Roman"/>
          <w:color w:val="000000"/>
          <w:sz w:val="20"/>
        </w:rPr>
        <w:t>We recognize deferred taxes for temporary differences between the basis of assets and liabilities for financial statement and income tax purposes. We recorded a valuation allowance against our deferred tax assets, net of certain deferred tax liabilities, at March 31, 2024 and December 31, 2023. Based upon management’s assessment of all available evidence, we have concluded that it is more-likely-than-not that the deferred tax assets, net of certain deferred tax liabilities, will not be realized.</w:t>
      </w:r>
    </w:p>
    <w:p>
      <w:pPr>
        <w:pStyle w:val="TextBody"/>
        <w:bidi w:val="0"/>
        <w:spacing w:before="36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an “emerging growth company” as defined in Section 2(a) of the Securities Act of 1933, as amended, and have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condensed consolidated financial statements included in this report for the recent accounting pronouncements adopted and the recent accounting pronouncements not yet adopted for the three months ended March 31, 2024 and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remain an emerging growth company under the JOBS Act until the earliest of (1) the last day of the fiscal year (a) following March 4, 2026, (b) in which we have total annual gross revenue of at least $1.235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“Significant Accounting Policies,” of our condensed consolidated financial statements included in this report for a discussion of the impact of recent accounting pronouncements.</w:t>
      </w:r>
    </w:p>
    <w:p>
      <w:pPr>
        <w:pStyle w:val="TextBody"/>
        <w:bidi w:val="0"/>
        <w:spacing w:before="360" w:after="283"/>
        <w:jc w:val="left"/>
        <w:rPr>
          <w:rFonts w:ascii="Times New Roman" w:hAnsi="Times New Roman"/>
          <w:sz w:val="20"/>
        </w:rPr>
      </w:pPr>
      <w:bookmarkStart w:id="12" w:name="item3_quantitativeandqualitative"/>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required for smaller reporting companies. </w:t>
      </w:r>
    </w:p>
    <w:p>
      <w:pPr>
        <w:pStyle w:val="TextBody"/>
        <w:bidi w:val="0"/>
        <w:spacing w:before="360" w:after="283"/>
        <w:jc w:val="left"/>
        <w:rPr>
          <w:rFonts w:ascii="Times New Roman" w:hAnsi="Times New Roman"/>
          <w:b/>
          <w:color w:val="000000"/>
          <w:sz w:val="20"/>
        </w:rPr>
      </w:pPr>
      <w:bookmarkStart w:id="13" w:name="item4_controlsand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by Rules 13a-15 and 15d-15 under the Exchange Act, our Chief Executive Officer and Chief Financial Officer carried out an evaluation of the effectiveness of the design and operation of our disclosure controls and procedures as of March 31, 2024. Based on this evaluation, our Chief Executive Officer and Chief Financial Officer have concluded that our disclosure controls and procedures were not effective, due to the material weaknesses in our internal control over financial reporting described below. As a result, we performed additional analysis as deemed necessary to ensure that our financial statements were prepared in accordance with U.S. generally accepted accounting principles. Accordingly, management believes that the financial statements included in this Quarterly Report on Form 10-Q present fairly in all material respects our financial position, results of operations and cash flows for the period presented.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Previously Identified Material Weaknesses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in Part II, Item 9A in our Annual Report, we identified material weaknesses in our internal control over financial reporting for the years ended December 31, 2023 because: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maintain sufficient evidence of the performance and/or review of certain internal controls or complete remediation testing for certain internal controls over the period-end financial reporting process addressing financial statement and footnote presentation and disclosures;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maintain sufficient evidence of the performance and/or review of certain IT application controls for information systems that are relevant to the preparation of our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Remediation Plan and Status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2023, we made significant progress enhancing our internal control environment by completing an enterprise-wide risk assessment, process narratives, risk and control matrices, a subsequent gap analysis and performed targeted testing of the design and operating effectiveness of our internal control over financial reporting in efforts to remediate previously disclosed material weaknesses. These efforts also include, but are not limited to: adding additional resources in accounting and finance departments, utilizing third party specialists to assist with complex accounting matters and reduce risks associated with the lack of segregation of duties; implementing a segregation of duties monitoring tool; formalizing accounting policies and procedures; implementing a new enterprise resource planning system to enhance the journal entry review and approval processes; performing bank and balance sheet account reconciliations on a monthly basis; implementing a SOX compliance and audit management platform; and designing and implementing both IT general controls and IT application controls around our product platform and core applications, including controls over: change management, access security and IT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continue to implement our plan to remediate the material weaknesses described above. Those remediation measures are ongoing and include (i) ensuring our enterprise-wide risk assessment, risk and control matrices, process narratives and gap analysis continue to be updated to reflect our current accounting processes and internal control environment and (ii) ensuring internal control over financial reporting is adequately performed; and (iii) ensuring sufficient testing is performed and the testing-related support and documentation are complete and accurate for the design and operating effectiveness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further details on our material weaknesses that existed during the years ended December 31, 2023 and 2022, please refer to our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described above,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ii_other_information"/>
      <w:bookmarkEnd w:id="14"/>
      <w:r>
        <w:rPr>
          <w:rFonts w:ascii="Times New Roman" w:hAnsi="Times New Roman"/>
          <w:b/>
          <w:color w:val="000000"/>
          <w:sz w:val="20"/>
        </w:rPr>
        <w:t>PART II —OTHER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1_legalproceedings"/>
      <w:bookmarkEnd w:id="15"/>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 description of our material pending legal proceedings, please see Note 11, “Commitments and Contingencies,” to the condensed consolidated financial statements included elsewhere in this report.</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business. We are not currently a party to any such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w:t>
      </w:r>
    </w:p>
    <w:p>
      <w:pPr>
        <w:pStyle w:val="TextBody"/>
        <w:bidi w:val="0"/>
        <w:spacing w:before="360" w:after="283"/>
        <w:jc w:val="left"/>
        <w:rPr>
          <w:rFonts w:ascii="Times New Roman" w:hAnsi="Times New Roman"/>
          <w:sz w:val="20"/>
        </w:rPr>
      </w:pPr>
      <w:bookmarkStart w:id="16" w:name="item1a_risk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the date of this Form 10-Q, there have been no material changes to the risk factors disclosed in in our Annual Report for the year ended December 31, 2023 filed with the SEC on March 5, 2024.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item2_unregisteredsalesofequity"/>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8" w:name="item3_defaultsuponsenior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9" w:name="item4_minesafetydisclosures"/>
      <w:bookmarkEnd w:id="19"/>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0" w:name="item5_other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22222"/>
          <w:sz w:val="20"/>
        </w:rPr>
      </w:pPr>
      <w:r>
        <w:rPr>
          <w:rFonts w:ascii="Times New Roman" w:hAnsi="Times New Roman"/>
          <w:color w:val="222222"/>
          <w:sz w:val="20"/>
        </w:rPr>
        <w:t>On March 8, 2024, Michael Pope, a member of our Board of Directors, entered into a pre-arranged stock trading plan that is intended to satisfy the affirmative defense conditions of Rule 10b5-1 under the Exchange Act. Mr. Pope’s plan provides for the potential sale of up to 15,702 shares of Dave Class A Common Stock. Mr. Pope’s plan is scheduled to commence on June 10, 2024 and expire on December 15, 2024, subject to the plan's earlier expiration or completion in accordance with its terms.</w:t>
      </w:r>
    </w:p>
    <w:p>
      <w:pPr>
        <w:pStyle w:val="TextBody"/>
        <w:bidi w:val="0"/>
        <w:spacing w:before="240" w:after="283"/>
        <w:jc w:val="left"/>
        <w:rPr>
          <w:rFonts w:ascii="Times New Roman" w:hAnsi="Times New Roman"/>
          <w:sz w:val="20"/>
        </w:rPr>
      </w:pPr>
      <w:bookmarkStart w:id="21" w:name="item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4"/>
        <w:gridCol w:w="9441"/>
      </w:tblGrid>
      <w:tr>
        <w:trPr/>
        <w:tc>
          <w:tcPr>
            <w:tcW w:w="764" w:type="dxa"/>
            <w:tcBorders/>
            <w:vAlign w:val="center"/>
          </w:tcPr>
          <w:p>
            <w:pPr>
              <w:pStyle w:val="TableContents"/>
              <w:bidi w:val="0"/>
              <w:spacing w:before="0" w:after="283"/>
              <w:jc w:val="left"/>
              <w:rPr>
                <w:sz w:val="4"/>
                <w:szCs w:val="4"/>
              </w:rPr>
            </w:pPr>
            <w:r>
              <w:rPr>
                <w:sz w:val="4"/>
                <w:szCs w:val="4"/>
              </w:rPr>
            </w:r>
          </w:p>
        </w:tc>
        <w:tc>
          <w:tcPr>
            <w:tcW w:w="9441" w:type="dxa"/>
            <w:tcBorders/>
            <w:vAlign w:val="center"/>
          </w:tcPr>
          <w:p>
            <w:pPr>
              <w:pStyle w:val="TableContents"/>
              <w:bidi w:val="0"/>
              <w:spacing w:before="0" w:after="283"/>
              <w:jc w:val="left"/>
              <w:rPr>
                <w:sz w:val="4"/>
                <w:szCs w:val="4"/>
              </w:rPr>
            </w:pPr>
            <w:r>
              <w:rPr>
                <w:sz w:val="4"/>
                <w:szCs w:val="4"/>
              </w:rPr>
            </w:r>
          </w:p>
        </w:tc>
      </w:tr>
      <w:tr>
        <w:trPr/>
        <w:tc>
          <w:tcPr>
            <w:tcW w:w="764"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w:t>
              <w:br/>
            </w:r>
            <w:r>
              <w:rPr>
                <w:rFonts w:ascii="Times New Roman" w:hAnsi="Times New Roman"/>
                <w:b/>
                <w:color w:val="000000"/>
                <w:sz w:val="20"/>
                <w:u w:val="single"/>
              </w:rPr>
              <w:t>No.</w:t>
            </w:r>
          </w:p>
        </w:tc>
        <w:tc>
          <w:tcPr>
            <w:tcW w:w="9441" w:type="dxa"/>
            <w:tcBorders/>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764" w:type="dxa"/>
            <w:tcBorders/>
            <w:vAlign w:val="center"/>
          </w:tcPr>
          <w:p>
            <w:pPr>
              <w:pStyle w:val="TableContents"/>
              <w:bidi w:val="0"/>
              <w:spacing w:before="0" w:after="283"/>
              <w:jc w:val="left"/>
              <w:rPr/>
            </w:pPr>
            <w:r>
              <w:rPr/>
              <w:t> </w:t>
            </w:r>
          </w:p>
        </w:tc>
        <w:tc>
          <w:tcPr>
            <w:tcW w:w="9441" w:type="dxa"/>
            <w:tcBorders/>
            <w:vAlign w:val="center"/>
          </w:tcPr>
          <w:p>
            <w:pPr>
              <w:pStyle w:val="TableContents"/>
              <w:bidi w:val="0"/>
              <w:spacing w:before="0" w:after="283"/>
              <w:jc w:val="center"/>
              <w:rPr/>
            </w:pPr>
            <w:r>
              <w:rPr/>
              <w:t> </w:t>
            </w:r>
          </w:p>
        </w:tc>
      </w:tr>
      <w:tr>
        <w:trPr/>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9441"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Amended and Restated Certificate of Incorporation of Dave Inc. (incorporated by reference to Exhibit 3.1 to the Company’s Current Report on Form 8-K filed with the Commission on January 11, 2022)</w:t>
              </w:r>
            </w:hyperlink>
          </w:p>
        </w:tc>
      </w:tr>
      <w:tr>
        <w:trPr/>
        <w:tc>
          <w:tcPr>
            <w:tcW w:w="764" w:type="dxa"/>
            <w:tcBorders/>
            <w:vAlign w:val="center"/>
          </w:tcPr>
          <w:p>
            <w:pPr>
              <w:pStyle w:val="TableContents"/>
              <w:bidi w:val="0"/>
              <w:spacing w:before="0" w:after="283"/>
              <w:jc w:val="left"/>
              <w:rPr/>
            </w:pPr>
            <w:r>
              <w:rPr/>
              <w:t> </w:t>
            </w:r>
          </w:p>
        </w:tc>
        <w:tc>
          <w:tcPr>
            <w:tcW w:w="9441"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441"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Dave Inc. (incorporated by reference to Exhibit 3.2 to the Company’s Current Report on Form 8-K filed with the Commission on January 11, 2022)</w:t>
              </w:r>
            </w:hyperlink>
          </w:p>
        </w:tc>
      </w:tr>
      <w:tr>
        <w:trPr/>
        <w:tc>
          <w:tcPr>
            <w:tcW w:w="764" w:type="dxa"/>
            <w:tcBorders/>
            <w:vAlign w:val="center"/>
          </w:tcPr>
          <w:p>
            <w:pPr>
              <w:pStyle w:val="TableContents"/>
              <w:bidi w:val="0"/>
              <w:spacing w:before="0" w:after="283"/>
              <w:jc w:val="left"/>
              <w:rPr/>
            </w:pPr>
            <w:r>
              <w:rPr/>
              <w:t> </w:t>
            </w:r>
          </w:p>
        </w:tc>
        <w:tc>
          <w:tcPr>
            <w:tcW w:w="9441"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441"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Purchase and Sale Agreement, dated January 4, 2024, by and between Dave Inc. and FTX Ventures Ltd. (incorporated by reference to Exhibit 10.1 to the Company’s Current Report on Form 8-K filed with the Commission on January 5, 2024)</w:t>
              </w:r>
            </w:hyperlink>
          </w:p>
        </w:tc>
      </w:tr>
      <w:tr>
        <w:trPr/>
        <w:tc>
          <w:tcPr>
            <w:tcW w:w="764" w:type="dxa"/>
            <w:tcBorders/>
            <w:vAlign w:val="center"/>
          </w:tcPr>
          <w:p>
            <w:pPr>
              <w:pStyle w:val="TableContents"/>
              <w:bidi w:val="0"/>
              <w:spacing w:before="0" w:after="283"/>
              <w:jc w:val="left"/>
              <w:rPr/>
            </w:pPr>
            <w:r>
              <w:rPr/>
              <w:t> </w:t>
            </w:r>
          </w:p>
        </w:tc>
        <w:tc>
          <w:tcPr>
            <w:tcW w:w="9441"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441" w:type="dxa"/>
            <w:tcBorders/>
            <w:vAlign w:val="center"/>
          </w:tcPr>
          <w:p>
            <w:pPr>
              <w:pStyle w:val="TableContents"/>
              <w:bidi w:val="0"/>
              <w:spacing w:before="0" w:after="283"/>
              <w:jc w:val="left"/>
              <w:rPr/>
            </w:pPr>
            <w:hyperlink w:anchor="dave-ex31_1.htm">
              <w:r>
                <w:rPr>
                  <w:rStyle w:val="InternetLink"/>
                  <w:rFonts w:ascii="Times New Roman" w:hAnsi="Times New Roman"/>
                  <w:color w:val="0000FF"/>
                  <w:sz w:val="20"/>
                  <w:u w:val="single"/>
                </w:rPr>
                <w:t>Certification of the Chief Executive Officer pursuant to Rule 13a-14(a) under the Securities Exchange Act of 1934, as adopted pursuant to §302 of the Sarbanes-Oxley Act of 2002</w:t>
              </w:r>
            </w:hyperlink>
          </w:p>
        </w:tc>
      </w:tr>
      <w:tr>
        <w:trPr/>
        <w:tc>
          <w:tcPr>
            <w:tcW w:w="764" w:type="dxa"/>
            <w:tcBorders/>
            <w:vAlign w:val="center"/>
          </w:tcPr>
          <w:p>
            <w:pPr>
              <w:pStyle w:val="TableContents"/>
              <w:bidi w:val="0"/>
              <w:spacing w:before="0" w:after="283"/>
              <w:jc w:val="left"/>
              <w:rPr/>
            </w:pPr>
            <w:r>
              <w:rPr/>
              <w:t> </w:t>
            </w:r>
          </w:p>
        </w:tc>
        <w:tc>
          <w:tcPr>
            <w:tcW w:w="9441"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441" w:type="dxa"/>
            <w:tcBorders/>
            <w:vAlign w:val="center"/>
          </w:tcPr>
          <w:p>
            <w:pPr>
              <w:pStyle w:val="TableContents"/>
              <w:bidi w:val="0"/>
              <w:spacing w:before="0" w:after="283"/>
              <w:jc w:val="left"/>
              <w:rPr/>
            </w:pPr>
            <w:hyperlink w:anchor="dave-ex31_2.htm">
              <w:r>
                <w:rPr>
                  <w:rStyle w:val="InternetLink"/>
                  <w:rFonts w:ascii="Times New Roman" w:hAnsi="Times New Roman"/>
                  <w:color w:val="0000FF"/>
                  <w:sz w:val="20"/>
                  <w:u w:val="single"/>
                </w:rPr>
                <w:t>Certification of the Chief Financial Officer pursuant to Rule 13a-14(a) under the Securities Exchange Act of 1934, as adopted pursuant to §302 of the Sarbanes-Oxley Act of 2002</w:t>
              </w:r>
            </w:hyperlink>
          </w:p>
        </w:tc>
      </w:tr>
      <w:tr>
        <w:trPr/>
        <w:tc>
          <w:tcPr>
            <w:tcW w:w="764" w:type="dxa"/>
            <w:tcBorders/>
            <w:vAlign w:val="center"/>
          </w:tcPr>
          <w:p>
            <w:pPr>
              <w:pStyle w:val="TableContents"/>
              <w:bidi w:val="0"/>
              <w:spacing w:before="0" w:after="283"/>
              <w:jc w:val="left"/>
              <w:rPr/>
            </w:pPr>
            <w:r>
              <w:rPr/>
              <w:t> </w:t>
            </w:r>
          </w:p>
        </w:tc>
        <w:tc>
          <w:tcPr>
            <w:tcW w:w="9441"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441" w:type="dxa"/>
            <w:tcBorders/>
            <w:vAlign w:val="center"/>
          </w:tcPr>
          <w:p>
            <w:pPr>
              <w:pStyle w:val="TableContents"/>
              <w:bidi w:val="0"/>
              <w:spacing w:before="0" w:after="283"/>
              <w:jc w:val="left"/>
              <w:rPr/>
            </w:pPr>
            <w:hyperlink w:anchor="dave-ex32_1.htm">
              <w:r>
                <w:rPr>
                  <w:rStyle w:val="InternetLink"/>
                  <w:rFonts w:ascii="Times New Roman" w:hAnsi="Times New Roman"/>
                  <w:color w:val="0000FF"/>
                  <w:sz w:val="20"/>
                  <w:u w:val="single"/>
                </w:rPr>
                <w:t>Certification of the Chief Executive Officer and Chief Financial Officer pursuant to 18 U.S.C. §1350, as adopted pursuant to §906 of the Sarbanes-Oxley Act of 2002</w:t>
              </w:r>
            </w:hyperlink>
          </w:p>
        </w:tc>
      </w:tr>
      <w:tr>
        <w:trPr/>
        <w:tc>
          <w:tcPr>
            <w:tcW w:w="764" w:type="dxa"/>
            <w:tcBorders/>
            <w:vAlign w:val="center"/>
          </w:tcPr>
          <w:p>
            <w:pPr>
              <w:pStyle w:val="TableContents"/>
              <w:bidi w:val="0"/>
              <w:spacing w:before="0" w:after="283"/>
              <w:jc w:val="left"/>
              <w:rPr/>
            </w:pPr>
            <w:r>
              <w:rPr/>
              <w:t> </w:t>
            </w:r>
          </w:p>
        </w:tc>
        <w:tc>
          <w:tcPr>
            <w:tcW w:w="9441" w:type="dxa"/>
            <w:tcBorders/>
            <w:vAlign w:val="center"/>
          </w:tcPr>
          <w:p>
            <w:pPr>
              <w:pStyle w:val="TableContents"/>
              <w:bidi w:val="0"/>
              <w:spacing w:before="0" w:after="283"/>
              <w:jc w:val="left"/>
              <w:rPr/>
            </w:pPr>
            <w:r>
              <w:rPr/>
              <w:t> </w:t>
            </w:r>
          </w:p>
        </w:tc>
      </w:tr>
      <w:tr>
        <w:trPr/>
        <w:tc>
          <w:tcPr>
            <w:tcW w:w="76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82" w:type="dxa"/>
        <w:jc w:val="left"/>
        <w:tblInd w:w="0" w:type="dxa"/>
        <w:tblLayout w:type="fixed"/>
        <w:tblCellMar>
          <w:top w:w="28" w:type="dxa"/>
          <w:left w:w="28" w:type="dxa"/>
          <w:bottom w:w="28" w:type="dxa"/>
          <w:right w:w="28" w:type="dxa"/>
        </w:tblCellMar>
      </w:tblPr>
      <w:tblGrid>
        <w:gridCol w:w="856"/>
        <w:gridCol w:w="7726"/>
      </w:tblGrid>
      <w:tr>
        <w:trPr/>
        <w:tc>
          <w:tcPr>
            <w:tcW w:w="856" w:type="dxa"/>
            <w:tcBorders/>
            <w:vAlign w:val="center"/>
          </w:tcPr>
          <w:p>
            <w:pPr>
              <w:pStyle w:val="TableContents"/>
              <w:bidi w:val="0"/>
              <w:spacing w:before="0" w:after="283"/>
              <w:jc w:val="left"/>
              <w:rPr>
                <w:sz w:val="4"/>
                <w:szCs w:val="4"/>
              </w:rPr>
            </w:pPr>
            <w:r>
              <w:rPr>
                <w:sz w:val="4"/>
                <w:szCs w:val="4"/>
              </w:rPr>
            </w:r>
          </w:p>
        </w:tc>
        <w:tc>
          <w:tcPr>
            <w:tcW w:w="7726" w:type="dxa"/>
            <w:tcBorders/>
            <w:vAlign w:val="center"/>
          </w:tcPr>
          <w:p>
            <w:pPr>
              <w:pStyle w:val="TableContents"/>
              <w:bidi w:val="0"/>
              <w:spacing w:before="0" w:after="283"/>
              <w:jc w:val="left"/>
              <w:rPr>
                <w:sz w:val="4"/>
                <w:szCs w:val="4"/>
              </w:rPr>
            </w:pPr>
            <w:r>
              <w:rPr>
                <w:sz w:val="4"/>
                <w:szCs w:val="4"/>
              </w:rPr>
            </w:r>
          </w:p>
        </w:tc>
      </w:tr>
      <w:tr>
        <w:trPr/>
        <w:tc>
          <w:tcPr>
            <w:tcW w:w="856" w:type="dxa"/>
            <w:tcBorders/>
            <w:vAlign w:val="center"/>
          </w:tcPr>
          <w:p>
            <w:pPr>
              <w:pStyle w:val="TableContents"/>
              <w:bidi w:val="0"/>
              <w:spacing w:before="0" w:after="283"/>
              <w:jc w:val="left"/>
              <w:rPr/>
            </w:pPr>
            <w:r>
              <w:rPr/>
              <w:t> </w:t>
            </w:r>
          </w:p>
        </w:tc>
        <w:tc>
          <w:tcPr>
            <w:tcW w:w="7726" w:type="dxa"/>
            <w:tcBorders/>
            <w:vAlign w:val="center"/>
          </w:tcPr>
          <w:p>
            <w:pPr>
              <w:pStyle w:val="TableContents"/>
              <w:bidi w:val="0"/>
              <w:spacing w:before="0" w:after="283"/>
              <w:jc w:val="left"/>
              <w:rPr/>
            </w:pPr>
            <w:r>
              <w:rPr/>
              <w:t> </w:t>
            </w:r>
          </w:p>
        </w:tc>
      </w:tr>
      <w:tr>
        <w:trPr/>
        <w:tc>
          <w:tcPr>
            <w:tcW w:w="8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7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856" w:type="dxa"/>
            <w:tcBorders/>
            <w:vAlign w:val="center"/>
          </w:tcPr>
          <w:p>
            <w:pPr>
              <w:pStyle w:val="TableContents"/>
              <w:bidi w:val="0"/>
              <w:spacing w:before="0" w:after="283"/>
              <w:jc w:val="left"/>
              <w:rPr/>
            </w:pPr>
            <w:r>
              <w:rPr/>
              <w:t> </w:t>
            </w:r>
          </w:p>
        </w:tc>
        <w:tc>
          <w:tcPr>
            <w:tcW w:w="7726" w:type="dxa"/>
            <w:tcBorders/>
            <w:vAlign w:val="center"/>
          </w:tcPr>
          <w:p>
            <w:pPr>
              <w:pStyle w:val="TableContents"/>
              <w:bidi w:val="0"/>
              <w:spacing w:before="0" w:after="283"/>
              <w:jc w:val="left"/>
              <w:rPr/>
            </w:pPr>
            <w:r>
              <w:rPr/>
              <w:t> </w:t>
            </w:r>
          </w:p>
        </w:tc>
      </w:tr>
      <w:tr>
        <w:trPr/>
        <w:tc>
          <w:tcPr>
            <w:tcW w:w="8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7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Furnished and not filed.</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859" w:type="dxa"/>
        <w:jc w:val="left"/>
        <w:tblInd w:w="0" w:type="dxa"/>
        <w:tblLayout w:type="fixed"/>
        <w:tblCellMar>
          <w:top w:w="28" w:type="dxa"/>
          <w:left w:w="28" w:type="dxa"/>
          <w:bottom w:w="28" w:type="dxa"/>
          <w:right w:w="28" w:type="dxa"/>
        </w:tblCellMar>
      </w:tblPr>
      <w:tblGrid>
        <w:gridCol w:w="1741"/>
        <w:gridCol w:w="146"/>
        <w:gridCol w:w="406"/>
        <w:gridCol w:w="25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7,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Wilk</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Wilk</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spacing w:before="240" w:after="283"/>
        <w:jc w:val="center"/>
        <w:rPr/>
      </w:pPr>
      <w:r>
        <w:rPr/>
        <w:t> </w:t>
      </w:r>
    </w:p>
    <w:tbl>
      <w:tblPr>
        <w:tblW w:w="4799" w:type="dxa"/>
        <w:jc w:val="left"/>
        <w:tblInd w:w="0" w:type="dxa"/>
        <w:tblLayout w:type="fixed"/>
        <w:tblCellMar>
          <w:top w:w="28" w:type="dxa"/>
          <w:left w:w="28" w:type="dxa"/>
          <w:bottom w:w="28" w:type="dxa"/>
          <w:right w:w="28" w:type="dxa"/>
        </w:tblCellMar>
      </w:tblPr>
      <w:tblGrid>
        <w:gridCol w:w="1741"/>
        <w:gridCol w:w="146"/>
        <w:gridCol w:w="406"/>
        <w:gridCol w:w="250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7,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Beilman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Beilman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righ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270" w:after="283"/>
        <w:jc w:val="left"/>
        <w:rPr/>
      </w:pPr>
      <w:bookmarkStart w:id="23" w:name="dave-ex31_1.htm"/>
      <w:bookmarkStart w:id="24" w:name="ksdave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Jason Wilk,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March 31, 2024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
        </w:rPr>
      </w:pPr>
      <w:r>
        <w:rPr>
          <w:rFonts w:ascii="Times New Roman" w:hAnsi="Times New Roman"/>
          <w:color w:val="000000"/>
          <w:sz w:val="2"/>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7, 2024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rPr/>
        <w:tc>
          <w:tcPr>
            <w:tcW w:w="24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43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dave-ex31_2.htm"/>
      <w:bookmarkStart w:id="26" w:name="ksdaveex31_2"/>
      <w:bookmarkEnd w:id="25"/>
      <w:bookmarkEnd w:id="26"/>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Kyle Beilman,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for the quarter ended March 31, 2024 of Dave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7, 2024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283"/>
              <w:jc w:val="left"/>
              <w:rPr/>
            </w:pPr>
            <w:r>
              <w:rPr/>
              <w:t> </w:t>
            </w:r>
          </w:p>
        </w:tc>
      </w:tr>
      <w:tr>
        <w:trPr/>
        <w:tc>
          <w:tcPr>
            <w:tcW w:w="235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rPr/>
        <w:tc>
          <w:tcPr>
            <w:tcW w:w="23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35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dave-ex32_1.htm"/>
      <w:bookmarkStart w:id="28" w:name="ksdaveex32_1"/>
      <w:bookmarkEnd w:id="27"/>
      <w:bookmarkEnd w:id="28"/>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center"/>
        <w:rPr>
          <w:rFonts w:ascii="Times New Roman" w:hAnsi="Times New Roman"/>
          <w:sz w:val="20"/>
        </w:rPr>
      </w:pPr>
      <w:r>
        <w:rPr>
          <w:rFonts w:ascii="Times New Roman" w:hAnsi="Times New Roman"/>
          <w:b/>
          <w:color w:val="000000"/>
          <w:sz w:val="20"/>
        </w:rPr>
        <w:t>CERTIFICATIONS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undersigned, Jason Wilk, Chief Executive Officer, and Kyle Beilman, Chief Financial Officer of Dave Inc. (the “Company”), hereby certify as of the date hereof, solely for the purposes of 18 U.S.C. §1350,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March 31, 2024 of the Company (the “Report”) fully complies with the requirements of Section 13(a) or 15(d), as applicable,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at the dates and for the periods indicated. </w:t>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Date: May 7, 2024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Wilk</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Beilman</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pursuant to 18 U.S.C. Section 1350 and is not being filed as part of the Report or as a separate disclosure document.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408/000119312522006854/d253532dex31.htm" TargetMode="External"/><Relationship Id="rId3" Type="http://schemas.openxmlformats.org/officeDocument/2006/relationships/hyperlink" Target="https://www.sec.gov/Archives/edgar/data/1841408/000119312522006854/d253532dex32.htm" TargetMode="External"/><Relationship Id="rId4" Type="http://schemas.openxmlformats.org/officeDocument/2006/relationships/hyperlink" Target="https://www.sec.gov/ix?doc=/Archives/edgar/data/0001841408/000119312524002933/d845437d8k.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26946</Words>
  <Characters>146788</Characters>
  <CharactersWithSpaces>174812</CharactersWithSpaces>
  <Paragraphs>5779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