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449932d8k.htm"/>
      <w:bookmarkStart w:id="1" w:name="ksd449932d8k"/>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UNITED STATES</w:t>
      </w:r>
    </w:p>
    <w:p>
      <w:pPr>
        <w:pStyle w:val="TextBody"/>
        <w:spacing w:before="0" w:after="0"/>
        <w:jc w:val="center"/>
        <w:rPr>
          <w:rFonts w:ascii="Times New Roman" w:hAnsi="Times New Roman"/>
          <w:b/>
          <w:sz w:val="36"/>
        </w:rPr>
      </w:pPr>
      <w:r>
        <w:rPr>
          <w:rFonts w:ascii="Times New Roman" w:hAnsi="Times New Roman"/>
          <w:b/>
          <w:sz w:val="36"/>
        </w:rPr>
        <w:t>SECURITIES AND EXCHANGE COMMISSION</w:t>
      </w:r>
    </w:p>
    <w:p>
      <w:pPr>
        <w:pStyle w:val="TextBody"/>
        <w:spacing w:before="0" w:after="0"/>
        <w:jc w:val="center"/>
        <w:rPr>
          <w:rFonts w:ascii="Times New Roman" w:hAnsi="Times New Roman"/>
          <w:b/>
          <w:sz w:val="24"/>
        </w:rPr>
      </w:pPr>
      <w:r>
        <w:rPr>
          <w:rFonts w:ascii="Times New Roman" w:hAnsi="Times New Roman"/>
          <w:b/>
          <w:sz w:val="24"/>
        </w:rPr>
        <w:t>Washington, D.C. 20549</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36"/>
        </w:rPr>
      </w:pPr>
      <w:r>
        <w:rPr>
          <w:rFonts w:ascii="Times New Roman" w:hAnsi="Times New Roman"/>
          <w:b/>
          <w:sz w:val="36"/>
        </w:rPr>
        <w:t>FORM 8-K</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24"/>
        </w:rPr>
      </w:pPr>
      <w:r>
        <w:rPr>
          <w:rFonts w:ascii="Times New Roman" w:hAnsi="Times New Roman"/>
          <w:b/>
          <w:sz w:val="24"/>
        </w:rPr>
        <w:t>CURRENT REPORT</w:t>
      </w:r>
    </w:p>
    <w:p>
      <w:pPr>
        <w:pStyle w:val="TextBody"/>
        <w:spacing w:before="0" w:after="0"/>
        <w:jc w:val="center"/>
        <w:rPr>
          <w:rFonts w:ascii="Times New Roman" w:hAnsi="Times New Roman"/>
          <w:b/>
          <w:sz w:val="24"/>
        </w:rPr>
      </w:pPr>
      <w:r>
        <w:rPr>
          <w:rFonts w:ascii="Times New Roman" w:hAnsi="Times New Roman"/>
          <w:b/>
          <w:sz w:val="24"/>
        </w:rPr>
        <w:t>Pursuant to Section 13 or 15(d)</w:t>
      </w:r>
    </w:p>
    <w:p>
      <w:pPr>
        <w:pStyle w:val="TextBody"/>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spacing w:before="200" w:after="0"/>
        <w:jc w:val="center"/>
        <w:rPr>
          <w:rFonts w:ascii="Times New Roman" w:hAnsi="Times New Roman"/>
          <w:b/>
          <w:sz w:val="24"/>
        </w:rPr>
      </w:pPr>
      <w:r>
        <w:rPr>
          <w:rFonts w:ascii="Times New Roman" w:hAnsi="Times New Roman"/>
          <w:b/>
          <w:sz w:val="24"/>
        </w:rPr>
        <w:t>Date of Report (Date of earliest event reported): May 9, 2023</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48"/>
        </w:rPr>
      </w:pPr>
      <w:r>
        <w:rPr>
          <w:rFonts w:ascii="Times New Roman" w:hAnsi="Times New Roman"/>
          <w:b/>
          <w:sz w:val="48"/>
        </w:rPr>
        <w:t xml:space="preserve">DAVE INC. </w:t>
      </w:r>
    </w:p>
    <w:p>
      <w:pPr>
        <w:pStyle w:val="TextBody"/>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4530" w:type="dxa"/>
        <w:jc w:val="left"/>
        <w:tblInd w:w="0" w:type="dxa"/>
        <w:tblCellMar>
          <w:top w:w="0" w:type="dxa"/>
          <w:left w:w="0" w:type="dxa"/>
          <w:bottom w:w="0" w:type="dxa"/>
          <w:right w:w="0" w:type="dxa"/>
        </w:tblCellMar>
      </w:tblPr>
      <w:tblGrid>
        <w:gridCol w:w="1985"/>
        <w:gridCol w:w="60"/>
        <w:gridCol w:w="1055"/>
        <w:gridCol w:w="60"/>
        <w:gridCol w:w="1370"/>
      </w:tblGrid>
      <w:tr>
        <w:trPr/>
        <w:tc>
          <w:tcPr>
            <w:tcW w:w="19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r>
      <w:tr>
        <w:trPr/>
        <w:tc>
          <w:tcPr>
            <w:tcW w:w="1985" w:type="dxa"/>
            <w:tcBorders/>
            <w:shd w:fill="auto" w:val="clear"/>
            <w:vAlign w:val="center"/>
          </w:tcPr>
          <w:p>
            <w:pPr>
              <w:pStyle w:val="TableContents"/>
              <w:spacing w:before="0" w:after="283"/>
              <w:jc w:val="center"/>
              <w:rPr>
                <w:b/>
              </w:rPr>
            </w:pPr>
            <w:r>
              <w:rPr>
                <w:b/>
              </w:rPr>
              <w:t>Delaware</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center"/>
              <w:rPr>
                <w:b/>
              </w:rPr>
            </w:pPr>
            <w:r>
              <w:rPr>
                <w:b/>
              </w:rPr>
              <w:t>001-40161</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283"/>
              <w:jc w:val="center"/>
              <w:rPr>
                <w:b/>
              </w:rPr>
            </w:pPr>
            <w:r>
              <w:rPr>
                <w:b/>
              </w:rPr>
              <w:t>86-1481509</w:t>
            </w:r>
          </w:p>
        </w:tc>
      </w:tr>
      <w:tr>
        <w:trPr/>
        <w:tc>
          <w:tcPr>
            <w:tcW w:w="198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(State or other jurisdiction</w:t>
            </w:r>
          </w:p>
          <w:p>
            <w:pPr>
              <w:pStyle w:val="TableContents"/>
              <w:spacing w:before="0" w:after="20"/>
              <w:jc w:val="center"/>
              <w:rPr>
                <w:rFonts w:ascii="Times New Roman" w:hAnsi="Times New Roman"/>
                <w:b/>
                <w:sz w:val="16"/>
              </w:rPr>
            </w:pPr>
            <w:r>
              <w:rPr>
                <w:rFonts w:ascii="Times New Roman" w:hAnsi="Times New Roman"/>
                <w:b/>
                <w:sz w:val="16"/>
              </w:rPr>
              <w:t>of incorporation)</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(Commission</w:t>
            </w:r>
          </w:p>
          <w:p>
            <w:pPr>
              <w:pStyle w:val="TableContents"/>
              <w:spacing w:before="0" w:after="20"/>
              <w:jc w:val="center"/>
              <w:rPr>
                <w:rFonts w:ascii="Times New Roman" w:hAnsi="Times New Roman"/>
                <w:b/>
                <w:sz w:val="16"/>
              </w:rPr>
            </w:pPr>
            <w:r>
              <w:rPr>
                <w:rFonts w:ascii="Times New Roman" w:hAnsi="Times New Roman"/>
                <w:b/>
                <w:sz w:val="16"/>
              </w:rPr>
              <w:t>File Number)</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No.)</w:t>
            </w:r>
          </w:p>
        </w:tc>
      </w:tr>
    </w:tbl>
    <w:p>
      <w:pPr>
        <w:pStyle w:val="TextBody"/>
        <w:spacing w:before="200" w:after="0"/>
        <w:jc w:val="center"/>
        <w:rPr>
          <w:rFonts w:ascii="Times New Roman" w:hAnsi="Times New Roman"/>
          <w:b/>
          <w:sz w:val="20"/>
        </w:rPr>
      </w:pPr>
      <w:r>
        <w:rPr>
          <w:rFonts w:ascii="Times New Roman" w:hAnsi="Times New Roman"/>
          <w:b/>
          <w:sz w:val="20"/>
        </w:rPr>
        <w:t>1265 South Cochran Avenue</w:t>
      </w:r>
    </w:p>
    <w:p>
      <w:pPr>
        <w:pStyle w:val="TextBody"/>
        <w:spacing w:before="0" w:after="0"/>
        <w:jc w:val="center"/>
        <w:rPr>
          <w:rFonts w:ascii="Times New Roman" w:hAnsi="Times New Roman"/>
          <w:b/>
          <w:sz w:val="20"/>
        </w:rPr>
      </w:pPr>
      <w:r>
        <w:rPr>
          <w:rFonts w:ascii="Times New Roman" w:hAnsi="Times New Roman"/>
          <w:b/>
          <w:sz w:val="20"/>
        </w:rPr>
        <w:t>Los Angeles, CA 90019</w:t>
      </w:r>
    </w:p>
    <w:p>
      <w:pPr>
        <w:pStyle w:val="TextBody"/>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spacing w:before="200" w:after="0"/>
        <w:jc w:val="center"/>
        <w:rPr>
          <w:rFonts w:ascii="Times New Roman" w:hAnsi="Times New Roman"/>
          <w:b/>
          <w:sz w:val="20"/>
        </w:rPr>
      </w:pPr>
      <w:r>
        <w:rPr>
          <w:rFonts w:ascii="Times New Roman" w:hAnsi="Times New Roman"/>
          <w:b/>
          <w:sz w:val="20"/>
        </w:rPr>
        <w:t>Registrant’s telephone number, including area code: (844) 857-3283</w:t>
      </w:r>
    </w:p>
    <w:p>
      <w:pPr>
        <w:pStyle w:val="TextBody"/>
        <w:spacing w:before="200" w:after="0"/>
        <w:jc w:val="center"/>
        <w:rPr>
          <w:rFonts w:ascii="Times New Roman" w:hAnsi="Times New Roman"/>
          <w:b/>
          <w:sz w:val="20"/>
        </w:rPr>
      </w:pPr>
      <w:r>
        <w:rPr>
          <w:rFonts w:ascii="Times New Roman" w:hAnsi="Times New Roman"/>
          <w:b/>
          <w:sz w:val="20"/>
        </w:rPr>
        <w:t>N/A</w:t>
      </w:r>
    </w:p>
    <w:p>
      <w:pPr>
        <w:pStyle w:val="TextBody"/>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spacing w:before="0" w:after="0"/>
        <w:jc w:val="left"/>
        <w:rPr/>
      </w:pPr>
      <w:r>
        <w:rPr/>
        <w:t> </w:t>
      </w:r>
    </w:p>
    <w:tbl>
      <w:tblPr>
        <w:tblW w:w="7540" w:type="dxa"/>
        <w:jc w:val="left"/>
        <w:tblInd w:w="0" w:type="dxa"/>
        <w:tblCellMar>
          <w:top w:w="0" w:type="dxa"/>
          <w:left w:w="0" w:type="dxa"/>
          <w:bottom w:w="0" w:type="dxa"/>
          <w:right w:w="0" w:type="dxa"/>
        </w:tblCellMar>
      </w:tblPr>
      <w:tblGrid>
        <w:gridCol w:w="245"/>
        <w:gridCol w:w="7295"/>
      </w:tblGrid>
      <w:tr>
        <w:trPr/>
        <w:tc>
          <w:tcPr>
            <w:tcW w:w="245" w:type="dxa"/>
            <w:tcBorders/>
            <w:shd w:fill="auto" w:val="clear"/>
            <w:vAlign w:val="center"/>
          </w:tcPr>
          <w:p>
            <w:pPr>
              <w:pStyle w:val="TableContents"/>
              <w:spacing w:before="0" w:after="283"/>
              <w:rPr/>
            </w:pPr>
            <w:r>
              <w:rPr/>
              <w:t>☐</w:t>
            </w:r>
          </w:p>
        </w:tc>
        <w:tc>
          <w:tcPr>
            <w:tcW w:w="72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spacing w:before="0" w:after="0"/>
        <w:jc w:val="left"/>
        <w:rPr/>
      </w:pPr>
      <w:r>
        <w:rPr/>
        <w:t> </w:t>
      </w:r>
    </w:p>
    <w:tbl>
      <w:tblPr>
        <w:tblW w:w="7570" w:type="dxa"/>
        <w:jc w:val="left"/>
        <w:tblInd w:w="0" w:type="dxa"/>
        <w:tblCellMar>
          <w:top w:w="0" w:type="dxa"/>
          <w:left w:w="0" w:type="dxa"/>
          <w:bottom w:w="0" w:type="dxa"/>
          <w:right w:w="0" w:type="dxa"/>
        </w:tblCellMar>
      </w:tblPr>
      <w:tblGrid>
        <w:gridCol w:w="245"/>
        <w:gridCol w:w="7325"/>
      </w:tblGrid>
      <w:tr>
        <w:trPr/>
        <w:tc>
          <w:tcPr>
            <w:tcW w:w="245" w:type="dxa"/>
            <w:tcBorders/>
            <w:shd w:fill="auto" w:val="clear"/>
            <w:vAlign w:val="center"/>
          </w:tcPr>
          <w:p>
            <w:pPr>
              <w:pStyle w:val="TableContents"/>
              <w:spacing w:before="0" w:after="283"/>
              <w:rPr/>
            </w:pPr>
            <w:r>
              <w:rPr/>
              <w:t>☐</w:t>
            </w:r>
          </w:p>
        </w:tc>
        <w:tc>
          <w:tcPr>
            <w:tcW w:w="73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spacing w:before="0" w:after="0"/>
        <w:jc w:val="left"/>
        <w:rPr/>
      </w:pPr>
      <w:r>
        <w:rPr/>
        <w:t> </w:t>
      </w:r>
    </w:p>
    <w:tbl>
      <w:tblPr>
        <w:tblW w:w="9310" w:type="dxa"/>
        <w:jc w:val="left"/>
        <w:tblInd w:w="0" w:type="dxa"/>
        <w:tblCellMar>
          <w:top w:w="0" w:type="dxa"/>
          <w:left w:w="0" w:type="dxa"/>
          <w:bottom w:w="0" w:type="dxa"/>
          <w:right w:w="0" w:type="dxa"/>
        </w:tblCellMar>
      </w:tblPr>
      <w:tblGrid>
        <w:gridCol w:w="245"/>
        <w:gridCol w:w="9065"/>
      </w:tblGrid>
      <w:tr>
        <w:trPr/>
        <w:tc>
          <w:tcPr>
            <w:tcW w:w="245" w:type="dxa"/>
            <w:tcBorders/>
            <w:shd w:fill="auto" w:val="clear"/>
            <w:vAlign w:val="center"/>
          </w:tcPr>
          <w:p>
            <w:pPr>
              <w:pStyle w:val="TableContents"/>
              <w:spacing w:before="0" w:after="283"/>
              <w:rPr/>
            </w:pPr>
            <w:r>
              <w:rPr/>
              <w:t>☐</w:t>
            </w:r>
          </w:p>
        </w:tc>
        <w:tc>
          <w:tcPr>
            <w:tcW w:w="90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spacing w:before="0" w:after="0"/>
        <w:jc w:val="left"/>
        <w:rPr/>
      </w:pPr>
      <w:r>
        <w:rPr/>
        <w:t> </w:t>
      </w:r>
    </w:p>
    <w:tbl>
      <w:tblPr>
        <w:tblW w:w="9250" w:type="dxa"/>
        <w:jc w:val="left"/>
        <w:tblInd w:w="0" w:type="dxa"/>
        <w:tblCellMar>
          <w:top w:w="0" w:type="dxa"/>
          <w:left w:w="0" w:type="dxa"/>
          <w:bottom w:w="0" w:type="dxa"/>
          <w:right w:w="0" w:type="dxa"/>
        </w:tblCellMar>
      </w:tblPr>
      <w:tblGrid>
        <w:gridCol w:w="245"/>
        <w:gridCol w:w="9005"/>
      </w:tblGrid>
      <w:tr>
        <w:trPr/>
        <w:tc>
          <w:tcPr>
            <w:tcW w:w="245" w:type="dxa"/>
            <w:tcBorders/>
            <w:shd w:fill="auto" w:val="clear"/>
            <w:vAlign w:val="center"/>
          </w:tcPr>
          <w:p>
            <w:pPr>
              <w:pStyle w:val="TableContents"/>
              <w:spacing w:before="0" w:after="283"/>
              <w:rPr/>
            </w:pPr>
            <w:r>
              <w:rPr/>
              <w:t>☐</w:t>
            </w:r>
          </w:p>
        </w:tc>
        <w:tc>
          <w:tcPr>
            <w:tcW w:w="90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80" w:after="0"/>
        <w:jc w:val="left"/>
        <w:rPr>
          <w:rFonts w:ascii="Times New Roman" w:hAnsi="Times New Roman"/>
          <w:color w:val="FFFFFF"/>
          <w:sz w:val="2"/>
        </w:rPr>
      </w:pPr>
      <w:r>
        <w:rPr>
          <w:rFonts w:ascii="Times New Roman" w:hAnsi="Times New Roman"/>
          <w:color w:val="FFFFFF"/>
          <w:sz w:val="2"/>
        </w:rPr>
        <w:t xml:space="preserve">Securities registered pursuant to Section 12(b) of the Act: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6518"/>
        <w:gridCol w:w="60"/>
        <w:gridCol w:w="935"/>
        <w:gridCol w:w="60"/>
        <w:gridCol w:w="2632"/>
      </w:tblGrid>
      <w:tr>
        <w:trPr/>
        <w:tc>
          <w:tcPr>
            <w:tcW w:w="651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32" w:type="dxa"/>
            <w:tcBorders/>
            <w:shd w:fill="auto" w:val="clear"/>
            <w:vAlign w:val="center"/>
          </w:tcPr>
          <w:p>
            <w:pPr>
              <w:pStyle w:val="TableContents"/>
              <w:spacing w:before="0" w:after="283"/>
              <w:rPr>
                <w:sz w:val="4"/>
                <w:szCs w:val="4"/>
              </w:rPr>
            </w:pPr>
            <w:r>
              <w:rPr>
                <w:sz w:val="4"/>
                <w:szCs w:val="4"/>
              </w:rPr>
            </w:r>
          </w:p>
        </w:tc>
      </w:tr>
      <w:tr>
        <w:trPr/>
        <w:tc>
          <w:tcPr>
            <w:tcW w:w="6518"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Title of each class</w:t>
            </w:r>
          </w:p>
        </w:tc>
        <w:tc>
          <w:tcPr>
            <w:tcW w:w="60" w:type="dxa"/>
            <w:tcBorders/>
            <w:shd w:fill="auto" w:val="clear"/>
            <w:vAlign w:val="center"/>
          </w:tcPr>
          <w:p>
            <w:pPr>
              <w:pStyle w:val="TableContents"/>
              <w:spacing w:before="0" w:after="283"/>
              <w:rPr/>
            </w:pPr>
            <w:r>
              <w:rPr/>
              <w:t> </w:t>
            </w:r>
          </w:p>
        </w:tc>
        <w:tc>
          <w:tcPr>
            <w:tcW w:w="935"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Trading</w:t>
              <w:br/>
              <w:t>Symbol</w:t>
            </w:r>
          </w:p>
        </w:tc>
        <w:tc>
          <w:tcPr>
            <w:tcW w:w="60" w:type="dxa"/>
            <w:tcBorders/>
            <w:shd w:fill="auto" w:val="clear"/>
            <w:vAlign w:val="center"/>
          </w:tcPr>
          <w:p>
            <w:pPr>
              <w:pStyle w:val="TableContents"/>
              <w:spacing w:before="0" w:after="283"/>
              <w:rPr/>
            </w:pPr>
            <w:r>
              <w:rPr/>
              <w:t> </w:t>
            </w:r>
          </w:p>
        </w:tc>
        <w:tc>
          <w:tcPr>
            <w:tcW w:w="2632"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Name of each exchange</w:t>
            </w:r>
          </w:p>
          <w:p>
            <w:pPr>
              <w:pStyle w:val="TableContents"/>
              <w:spacing w:before="0" w:after="20"/>
              <w:jc w:val="center"/>
              <w:rPr>
                <w:rFonts w:ascii="Times New Roman" w:hAnsi="Times New Roman"/>
                <w:b/>
                <w:sz w:val="16"/>
              </w:rPr>
            </w:pPr>
            <w:r>
              <w:rPr>
                <w:rFonts w:ascii="Times New Roman" w:hAnsi="Times New Roman"/>
                <w:b/>
                <w:sz w:val="16"/>
              </w:rPr>
              <w:t>on which registered</w:t>
            </w:r>
          </w:p>
        </w:tc>
      </w:tr>
      <w:tr>
        <w:trPr/>
        <w:tc>
          <w:tcPr>
            <w:tcW w:w="6518" w:type="dxa"/>
            <w:tcBorders/>
            <w:shd w:fill="auto" w:val="clear"/>
            <w:vAlign w:val="center"/>
          </w:tcPr>
          <w:p>
            <w:pPr>
              <w:pStyle w:val="TableContents"/>
              <w:spacing w:before="0" w:after="283"/>
              <w:jc w:val="center"/>
              <w:rPr/>
            </w:pPr>
            <w:r>
              <w:rPr/>
              <w:t>Common Stock, par value of $0.0001 per share</w:t>
            </w:r>
          </w:p>
        </w:tc>
        <w:tc>
          <w:tcPr>
            <w:tcW w:w="6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center"/>
              <w:rPr/>
            </w:pPr>
            <w:r>
              <w:rPr/>
              <w:t>DAVE</w:t>
            </w:r>
          </w:p>
        </w:tc>
        <w:tc>
          <w:tcPr>
            <w:tcW w:w="60" w:type="dxa"/>
            <w:tcBorders/>
            <w:shd w:fill="auto" w:val="clear"/>
            <w:vAlign w:val="center"/>
          </w:tcPr>
          <w:p>
            <w:pPr>
              <w:pStyle w:val="TableContents"/>
              <w:spacing w:before="0" w:after="283"/>
              <w:rPr/>
            </w:pPr>
            <w:r>
              <w:rPr/>
              <w:t> </w:t>
            </w:r>
          </w:p>
        </w:tc>
        <w:tc>
          <w:tcPr>
            <w:tcW w:w="2632" w:type="dxa"/>
            <w:tcBorders/>
            <w:shd w:fill="auto" w:val="clear"/>
            <w:vAlign w:val="center"/>
          </w:tcPr>
          <w:p>
            <w:pPr>
              <w:pStyle w:val="TableContents"/>
              <w:spacing w:before="0" w:after="283"/>
              <w:jc w:val="center"/>
              <w:rPr/>
            </w:pPr>
            <w:r>
              <w:rPr/>
              <w:t>The Nasdaq Stock Market LLC</w:t>
            </w:r>
          </w:p>
        </w:tc>
      </w:tr>
      <w:tr>
        <w:trPr/>
        <w:tc>
          <w:tcPr>
            <w:tcW w:w="6518" w:type="dxa"/>
            <w:tcBorders/>
            <w:shd w:fill="auto" w:val="clear"/>
            <w:vAlign w:val="center"/>
          </w:tcPr>
          <w:p>
            <w:pPr>
              <w:pStyle w:val="TableContents"/>
              <w:spacing w:before="0" w:after="283"/>
              <w:jc w:val="center"/>
              <w:rPr/>
            </w:pPr>
            <w:r>
              <w:rPr/>
              <w:t>Warrants, each exercisable for one share of Common Stock for $368.00 per share</w:t>
            </w:r>
          </w:p>
        </w:tc>
        <w:tc>
          <w:tcPr>
            <w:tcW w:w="6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center"/>
              <w:rPr/>
            </w:pPr>
            <w:r>
              <w:rPr/>
              <w:t>DAVEW</w:t>
            </w:r>
          </w:p>
        </w:tc>
        <w:tc>
          <w:tcPr>
            <w:tcW w:w="60" w:type="dxa"/>
            <w:tcBorders/>
            <w:shd w:fill="auto" w:val="clear"/>
            <w:vAlign w:val="center"/>
          </w:tcPr>
          <w:p>
            <w:pPr>
              <w:pStyle w:val="TableContents"/>
              <w:spacing w:before="0" w:after="283"/>
              <w:rPr/>
            </w:pPr>
            <w:r>
              <w:rPr/>
              <w:t> </w:t>
            </w:r>
          </w:p>
        </w:tc>
        <w:tc>
          <w:tcPr>
            <w:tcW w:w="2632" w:type="dxa"/>
            <w:tcBorders/>
            <w:shd w:fill="auto" w:val="clear"/>
            <w:vAlign w:val="center"/>
          </w:tcPr>
          <w:p>
            <w:pPr>
              <w:pStyle w:val="TableContents"/>
              <w:spacing w:before="0" w:after="283"/>
              <w:jc w:val="center"/>
              <w:rPr/>
            </w:pPr>
            <w:r>
              <w:rPr/>
              <w:t>The Nasdaq Stock Market LLC</w:t>
            </w:r>
          </w:p>
        </w:tc>
      </w:tr>
    </w:tbl>
    <w:p>
      <w:pPr>
        <w:pStyle w:val="TextBody"/>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200" w:after="0"/>
        <w:jc w:val="left"/>
        <w:rPr>
          <w:rFonts w:ascii="Times New Roman" w:hAnsi="Times New Roman"/>
          <w:sz w:val="20"/>
        </w:rPr>
      </w:pPr>
      <w:r>
        <w:rPr>
          <w:rFonts w:ascii="Times New Roman" w:hAnsi="Times New Roman"/>
          <w:sz w:val="20"/>
        </w:rPr>
        <w:t>Emerging growth company  ☒</w:t>
      </w:r>
    </w:p>
    <w:p>
      <w:pPr>
        <w:pStyle w:val="TextBody"/>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rPr/>
      </w:pPr>
      <w:r>
        <w:rPr/>
      </w:r>
    </w:p>
    <w:tbl>
      <w:tblPr>
        <w:tblW w:w="5005" w:type="dxa"/>
        <w:jc w:val="left"/>
        <w:tblInd w:w="0" w:type="dxa"/>
        <w:tblCellMar>
          <w:top w:w="0" w:type="dxa"/>
          <w:left w:w="0" w:type="dxa"/>
          <w:bottom w:w="0" w:type="dxa"/>
          <w:right w:w="0" w:type="dxa"/>
        </w:tblCellMar>
      </w:tblPr>
      <w:tblGrid>
        <w:gridCol w:w="980"/>
        <w:gridCol w:w="4025"/>
      </w:tblGrid>
      <w:tr>
        <w:trPr/>
        <w:tc>
          <w:tcPr>
            <w:tcW w:w="980" w:type="dxa"/>
            <w:tcBorders/>
            <w:shd w:fill="auto" w:val="clear"/>
            <w:vAlign w:val="center"/>
          </w:tcPr>
          <w:p>
            <w:pPr>
              <w:pStyle w:val="TableContents"/>
              <w:spacing w:before="0" w:after="283"/>
              <w:jc w:val="left"/>
              <w:rPr>
                <w:b/>
              </w:rPr>
            </w:pPr>
            <w:r>
              <w:rPr>
                <w:b/>
              </w:rPr>
              <w:t>Item 2.02</w:t>
            </w:r>
          </w:p>
        </w:tc>
        <w:tc>
          <w:tcPr>
            <w:tcW w:w="402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spacing w:before="120" w:after="0"/>
        <w:jc w:val="left"/>
        <w:rPr>
          <w:rFonts w:ascii="Times New Roman" w:hAnsi="Times New Roman"/>
          <w:sz w:val="20"/>
        </w:rPr>
      </w:pPr>
      <w:r>
        <w:rPr>
          <w:rFonts w:ascii="Times New Roman" w:hAnsi="Times New Roman"/>
          <w:sz w:val="20"/>
        </w:rPr>
        <w:t xml:space="preserve">On May 9, 2023, Dave Inc. (the “Company”) issued a press release announcing its financial results for the quarter ended March 31, 2023. The press release is furnished as Exhibit 99.1 to this Current Report on Form 8-K and is incorporated herein by reference. </w:t>
      </w:r>
    </w:p>
    <w:p>
      <w:pPr>
        <w:pStyle w:val="TextBody"/>
        <w:spacing w:before="240" w:after="0"/>
        <w:jc w:val="left"/>
        <w:rPr>
          <w:rFonts w:ascii="Times New Roman" w:hAnsi="Times New Roman"/>
          <w:sz w:val="20"/>
        </w:rPr>
      </w:pPr>
      <w:r>
        <w:rPr>
          <w:rFonts w:ascii="Times New Roman" w:hAnsi="Times New Roman"/>
          <w:sz w:val="20"/>
        </w:rPr>
        <w:t xml:space="preserve">The information furnished under this Item 2.02, including Exhibit 99.1, will not be deemed “filed” for purposes of Section 18 of the Securities Exchange Act of 1934, as amended (the “Exchange Act”) or otherwise subject to the liabilities of that section, and will not be deemed incorporated by reference into any filing under the Securities Act of 1933, as amended, or the Exchange Act, except as expressly set forth by specific reference in such a filing. </w:t>
      </w:r>
    </w:p>
    <w:p>
      <w:pPr>
        <w:pStyle w:val="TextBody"/>
        <w:spacing w:before="0" w:after="0"/>
        <w:jc w:val="left"/>
        <w:rPr/>
      </w:pPr>
      <w:r>
        <w:rPr/>
        <w:t> </w:t>
      </w:r>
    </w:p>
    <w:tbl>
      <w:tblPr>
        <w:tblW w:w="3985" w:type="dxa"/>
        <w:jc w:val="left"/>
        <w:tblInd w:w="0" w:type="dxa"/>
        <w:tblCellMar>
          <w:top w:w="0" w:type="dxa"/>
          <w:left w:w="0" w:type="dxa"/>
          <w:bottom w:w="0" w:type="dxa"/>
          <w:right w:w="0" w:type="dxa"/>
        </w:tblCellMar>
      </w:tblPr>
      <w:tblGrid>
        <w:gridCol w:w="980"/>
        <w:gridCol w:w="3005"/>
      </w:tblGrid>
      <w:tr>
        <w:trPr/>
        <w:tc>
          <w:tcPr>
            <w:tcW w:w="980" w:type="dxa"/>
            <w:tcBorders/>
            <w:shd w:fill="auto" w:val="clear"/>
            <w:vAlign w:val="center"/>
          </w:tcPr>
          <w:p>
            <w:pPr>
              <w:pStyle w:val="TableContents"/>
              <w:spacing w:before="0" w:after="283"/>
              <w:jc w:val="left"/>
              <w:rPr>
                <w:b/>
              </w:rPr>
            </w:pPr>
            <w:r>
              <w:rPr>
                <w:b/>
              </w:rPr>
              <w:t>Item 9.01</w:t>
            </w:r>
          </w:p>
        </w:tc>
        <w:tc>
          <w:tcPr>
            <w:tcW w:w="300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120" w:after="0"/>
        <w:jc w:val="left"/>
        <w:rPr>
          <w:rFonts w:ascii="Times New Roman" w:hAnsi="Times New Roman"/>
          <w:sz w:val="20"/>
        </w:rPr>
      </w:pPr>
      <w:r>
        <w:rPr>
          <w:rFonts w:ascii="Times New Roman" w:hAnsi="Times New Roman"/>
          <w:sz w:val="20"/>
        </w:rPr>
        <w:t xml:space="preserve">(d) Exhibits. </w:t>
      </w:r>
    </w:p>
    <w:p>
      <w:pPr>
        <w:pStyle w:val="TextBody"/>
        <w:spacing w:before="0" w:after="0"/>
        <w:jc w:val="left"/>
        <w:rPr/>
      </w:pPr>
      <w:r>
        <w:rPr/>
        <w:t> </w:t>
      </w:r>
    </w:p>
    <w:tbl>
      <w:tblPr>
        <w:tblW w:w="6700" w:type="dxa"/>
        <w:jc w:val="left"/>
        <w:tblInd w:w="0" w:type="dxa"/>
        <w:tblCellMar>
          <w:top w:w="0" w:type="dxa"/>
          <w:left w:w="0" w:type="dxa"/>
          <w:bottom w:w="0" w:type="dxa"/>
          <w:right w:w="0" w:type="dxa"/>
        </w:tblCellMar>
      </w:tblPr>
      <w:tblGrid>
        <w:gridCol w:w="785"/>
        <w:gridCol w:w="120"/>
        <w:gridCol w:w="5795"/>
      </w:tblGrid>
      <w:tr>
        <w:trPr/>
        <w:tc>
          <w:tcPr>
            <w:tcW w:w="7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795" w:type="dxa"/>
            <w:tcBorders/>
            <w:shd w:fill="auto" w:val="clear"/>
            <w:vAlign w:val="center"/>
          </w:tcPr>
          <w:p>
            <w:pPr>
              <w:pStyle w:val="TableContents"/>
              <w:spacing w:before="0" w:after="283"/>
              <w:rPr>
                <w:sz w:val="4"/>
                <w:szCs w:val="4"/>
              </w:rPr>
            </w:pPr>
            <w:r>
              <w:rPr>
                <w:sz w:val="4"/>
                <w:szCs w:val="4"/>
              </w:rPr>
            </w:r>
          </w:p>
        </w:tc>
      </w:tr>
      <w:tr>
        <w:trPr/>
        <w:tc>
          <w:tcPr>
            <w:tcW w:w="785" w:type="dxa"/>
            <w:tcBorders/>
            <w:shd w:fill="auto" w:val="clear"/>
            <w:vAlign w:val="center"/>
          </w:tcPr>
          <w:p>
            <w:pPr>
              <w:pStyle w:val="TableContents"/>
              <w:spacing w:before="0" w:after="283"/>
              <w:jc w:val="center"/>
              <w:rPr>
                <w:b/>
              </w:rPr>
            </w:pPr>
            <w:r>
              <w:rPr>
                <w:b/>
              </w:rPr>
              <w:t>Exhibit</w:t>
              <w:br/>
              <w:t>No.</w:t>
            </w:r>
          </w:p>
        </w:tc>
        <w:tc>
          <w:tcPr>
            <w:tcW w:w="120" w:type="dxa"/>
            <w:tcBorders/>
            <w:shd w:fill="auto" w:val="clear"/>
            <w:vAlign w:val="center"/>
          </w:tcPr>
          <w:p>
            <w:pPr>
              <w:pStyle w:val="TableContents"/>
              <w:spacing w:before="0" w:after="283"/>
              <w:rPr/>
            </w:pPr>
            <w:r>
              <w:rPr/>
              <w:t>  </w:t>
            </w:r>
          </w:p>
        </w:tc>
        <w:tc>
          <w:tcPr>
            <w:tcW w:w="5795" w:type="dxa"/>
            <w:tcBorders/>
            <w:shd w:fill="auto" w:val="clear"/>
            <w:vAlign w:val="center"/>
          </w:tcPr>
          <w:p>
            <w:pPr>
              <w:pStyle w:val="TableContents"/>
              <w:spacing w:before="0" w:after="283"/>
              <w:rPr>
                <w:b/>
              </w:rPr>
            </w:pPr>
            <w:r>
              <w:rPr>
                <w:b/>
              </w:rPr>
              <w:t>Description</w:t>
            </w:r>
          </w:p>
        </w:tc>
      </w:tr>
      <w:tr>
        <w:trPr/>
        <w:tc>
          <w:tcPr>
            <w:tcW w:w="785" w:type="dxa"/>
            <w:tcBorders/>
            <w:shd w:fill="auto" w:val="clear"/>
            <w:vAlign w:val="center"/>
          </w:tcPr>
          <w:p>
            <w:pPr>
              <w:pStyle w:val="TableContents"/>
              <w:spacing w:before="0" w:after="283"/>
              <w:rPr>
                <w:sz w:val="4"/>
                <w:szCs w:val="4"/>
              </w:rPr>
            </w:pPr>
            <w:r>
              <w:rPr>
                <w:sz w:val="4"/>
                <w:szCs w:val="4"/>
              </w:rPr>
            </w:r>
          </w:p>
        </w:tc>
        <w:tc>
          <w:tcPr>
            <w:tcW w:w="5915" w:type="dxa"/>
            <w:gridSpan w:val="2"/>
            <w:tcBorders/>
            <w:shd w:fill="auto" w:val="clear"/>
            <w:vAlign w:val="center"/>
          </w:tcPr>
          <w:p>
            <w:pPr>
              <w:pStyle w:val="TableContents"/>
              <w:spacing w:before="0" w:after="283"/>
              <w:rPr>
                <w:sz w:val="4"/>
                <w:szCs w:val="4"/>
              </w:rPr>
            </w:pPr>
            <w:r>
              <w:rPr>
                <w:sz w:val="4"/>
                <w:szCs w:val="4"/>
              </w:rPr>
            </w:r>
          </w:p>
        </w:tc>
      </w:tr>
      <w:tr>
        <w:trPr/>
        <w:tc>
          <w:tcPr>
            <w:tcW w:w="785" w:type="dxa"/>
            <w:tcBorders/>
            <w:shd w:fill="auto" w:val="clear"/>
            <w:vAlign w:val="center"/>
          </w:tcPr>
          <w:p>
            <w:pPr>
              <w:pStyle w:val="TableContents"/>
              <w:spacing w:before="0" w:after="283"/>
              <w:rPr/>
            </w:pPr>
            <w:r>
              <w:rPr/>
              <w:t>99.1</w:t>
            </w:r>
          </w:p>
        </w:tc>
        <w:tc>
          <w:tcPr>
            <w:tcW w:w="120" w:type="dxa"/>
            <w:tcBorders/>
            <w:shd w:fill="auto" w:val="clear"/>
            <w:vAlign w:val="center"/>
          </w:tcPr>
          <w:p>
            <w:pPr>
              <w:pStyle w:val="TableContents"/>
              <w:spacing w:before="0" w:after="283"/>
              <w:rPr/>
            </w:pPr>
            <w:r>
              <w:rPr/>
              <w:t>  </w:t>
            </w:r>
          </w:p>
        </w:tc>
        <w:tc>
          <w:tcPr>
            <w:tcW w:w="5795" w:type="dxa"/>
            <w:tcBorders/>
            <w:shd w:fill="auto" w:val="clear"/>
            <w:vAlign w:val="center"/>
          </w:tcPr>
          <w:p>
            <w:pPr>
              <w:pStyle w:val="TableContents"/>
              <w:spacing w:before="0" w:after="283"/>
              <w:rPr/>
            </w:pPr>
            <w:hyperlink w:anchor="d449932dex991.htm">
              <w:r>
                <w:rPr>
                  <w:rStyle w:val="InternetLink"/>
                </w:rPr>
                <w:t xml:space="preserve">Press Release dated May 9, 2023 </w:t>
              </w:r>
            </w:hyperlink>
          </w:p>
        </w:tc>
      </w:tr>
      <w:tr>
        <w:trPr/>
        <w:tc>
          <w:tcPr>
            <w:tcW w:w="785" w:type="dxa"/>
            <w:tcBorders/>
            <w:shd w:fill="auto" w:val="clear"/>
            <w:vAlign w:val="center"/>
          </w:tcPr>
          <w:p>
            <w:pPr>
              <w:pStyle w:val="TableContents"/>
              <w:spacing w:before="0" w:after="283"/>
              <w:rPr>
                <w:sz w:val="4"/>
                <w:szCs w:val="4"/>
              </w:rPr>
            </w:pPr>
            <w:r>
              <w:rPr>
                <w:sz w:val="4"/>
                <w:szCs w:val="4"/>
              </w:rPr>
            </w:r>
          </w:p>
        </w:tc>
        <w:tc>
          <w:tcPr>
            <w:tcW w:w="5915" w:type="dxa"/>
            <w:gridSpan w:val="2"/>
            <w:tcBorders/>
            <w:shd w:fill="auto" w:val="clear"/>
            <w:vAlign w:val="center"/>
          </w:tcPr>
          <w:p>
            <w:pPr>
              <w:pStyle w:val="TableContents"/>
              <w:spacing w:before="0" w:after="283"/>
              <w:rPr>
                <w:sz w:val="4"/>
                <w:szCs w:val="4"/>
              </w:rPr>
            </w:pPr>
            <w:r>
              <w:rPr>
                <w:sz w:val="4"/>
                <w:szCs w:val="4"/>
              </w:rPr>
            </w:r>
          </w:p>
        </w:tc>
      </w:tr>
      <w:tr>
        <w:trPr/>
        <w:tc>
          <w:tcPr>
            <w:tcW w:w="785" w:type="dxa"/>
            <w:tcBorders/>
            <w:shd w:fill="auto" w:val="clear"/>
            <w:vAlign w:val="center"/>
          </w:tcPr>
          <w:p>
            <w:pPr>
              <w:pStyle w:val="TableContents"/>
              <w:spacing w:before="0" w:after="283"/>
              <w:rPr/>
            </w:pPr>
            <w:r>
              <w:rPr/>
              <w:t>104</w:t>
            </w:r>
          </w:p>
        </w:tc>
        <w:tc>
          <w:tcPr>
            <w:tcW w:w="120" w:type="dxa"/>
            <w:tcBorders/>
            <w:shd w:fill="auto" w:val="clear"/>
            <w:vAlign w:val="center"/>
          </w:tcPr>
          <w:p>
            <w:pPr>
              <w:pStyle w:val="TableContents"/>
              <w:spacing w:before="0" w:after="283"/>
              <w:rPr/>
            </w:pPr>
            <w:r>
              <w:rPr/>
              <w:t>  </w:t>
            </w:r>
          </w:p>
        </w:tc>
        <w:tc>
          <w:tcPr>
            <w:tcW w:w="5795" w:type="dxa"/>
            <w:tcBorders/>
            <w:shd w:fill="auto" w:val="clear"/>
            <w:vAlign w:val="center"/>
          </w:tcPr>
          <w:p>
            <w:pPr>
              <w:pStyle w:val="TableContents"/>
              <w:spacing w:before="0" w:after="283"/>
              <w:rPr/>
            </w:pPr>
            <w:r>
              <w:rPr/>
              <w:t>Cover Page Interactive Data File (formatted as inline XBRL)</w:t>
            </w:r>
          </w:p>
        </w:tc>
      </w:tr>
    </w:tbl>
    <w:p>
      <w:pPr>
        <w:pStyle w:val="TextBody"/>
        <w:spacing w:before="0" w:after="0"/>
        <w:jc w:val="left"/>
        <w:rPr/>
      </w:pPr>
      <w:r>
        <w:rPr/>
        <w:t> </w:t>
      </w:r>
      <w:r>
        <w:br w:type="page"/>
      </w:r>
    </w:p>
    <w:p>
      <w:pPr>
        <w:pStyle w:val="HorizontalLine"/>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jc w:val="left"/>
        <w:rPr/>
      </w:pPr>
      <w:r>
        <w:rPr/>
        <w:t> </w:t>
      </w:r>
    </w:p>
    <w:tbl>
      <w:tblPr>
        <w:tblW w:w="4814" w:type="dxa"/>
        <w:jc w:val="left"/>
        <w:tblInd w:w="0" w:type="dxa"/>
        <w:tblCellMar>
          <w:top w:w="0" w:type="dxa"/>
          <w:left w:w="0" w:type="dxa"/>
          <w:bottom w:w="0" w:type="dxa"/>
          <w:right w:w="0" w:type="dxa"/>
        </w:tblCellMar>
      </w:tblPr>
      <w:tblGrid>
        <w:gridCol w:w="571"/>
        <w:gridCol w:w="901"/>
        <w:gridCol w:w="347"/>
        <w:gridCol w:w="60"/>
        <w:gridCol w:w="650"/>
        <w:gridCol w:w="60"/>
        <w:gridCol w:w="2225"/>
      </w:tblGrid>
      <w:tr>
        <w:trPr/>
        <w:tc>
          <w:tcPr>
            <w:tcW w:w="57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25" w:type="dxa"/>
            <w:tcBorders/>
            <w:shd w:fill="auto" w:val="clear"/>
            <w:vAlign w:val="center"/>
          </w:tcPr>
          <w:p>
            <w:pPr>
              <w:pStyle w:val="TableContents"/>
              <w:spacing w:before="0" w:after="283"/>
              <w:rPr>
                <w:sz w:val="4"/>
                <w:szCs w:val="4"/>
              </w:rPr>
            </w:pPr>
            <w:r>
              <w:rPr>
                <w:sz w:val="4"/>
                <w:szCs w:val="4"/>
              </w:rPr>
            </w:r>
          </w:p>
        </w:tc>
      </w:tr>
      <w:tr>
        <w:trPr/>
        <w:tc>
          <w:tcPr>
            <w:tcW w:w="1819" w:type="dxa"/>
            <w:gridSpan w:val="3"/>
            <w:tcBorders/>
            <w:shd w:fill="auto" w:val="clear"/>
            <w:vAlign w:val="center"/>
          </w:tcPr>
          <w:p>
            <w:pPr>
              <w:pStyle w:val="TableContents"/>
              <w:spacing w:before="0" w:after="283"/>
              <w:rPr/>
            </w:pPr>
            <w:r>
              <w:rPr/>
              <w:t>Date: May 9, 2023</w:t>
            </w:r>
          </w:p>
        </w:tc>
        <w:tc>
          <w:tcPr>
            <w:tcW w:w="60" w:type="dxa"/>
            <w:tcBorders/>
            <w:shd w:fill="auto" w:val="clear"/>
            <w:vAlign w:val="center"/>
          </w:tcPr>
          <w:p>
            <w:pPr>
              <w:pStyle w:val="TableContents"/>
              <w:spacing w:before="0" w:after="283"/>
              <w:rPr/>
            </w:pPr>
            <w:r>
              <w:rPr/>
              <w:t> </w:t>
            </w:r>
          </w:p>
        </w:tc>
        <w:tc>
          <w:tcPr>
            <w:tcW w:w="2935" w:type="dxa"/>
            <w:gridSpan w:val="3"/>
            <w:tcBorders/>
            <w:shd w:fill="auto" w:val="clear"/>
            <w:vAlign w:val="center"/>
          </w:tcPr>
          <w:p>
            <w:pPr>
              <w:pStyle w:val="TableContents"/>
              <w:spacing w:before="0" w:after="283"/>
              <w:rPr>
                <w:b/>
              </w:rPr>
            </w:pPr>
            <w:r>
              <w:rPr>
                <w:b/>
              </w:rPr>
              <w:t>Dave Inc.</w:t>
            </w:r>
          </w:p>
        </w:tc>
      </w:tr>
      <w:tr>
        <w:trPr/>
        <w:tc>
          <w:tcPr>
            <w:tcW w:w="571" w:type="dxa"/>
            <w:tcBorders/>
            <w:shd w:fill="auto" w:val="clear"/>
            <w:vAlign w:val="center"/>
          </w:tcPr>
          <w:p>
            <w:pPr>
              <w:pStyle w:val="TableContents"/>
              <w:spacing w:before="0" w:after="283"/>
              <w:rPr>
                <w:sz w:val="4"/>
                <w:szCs w:val="4"/>
              </w:rPr>
            </w:pPr>
            <w:r>
              <w:rPr>
                <w:sz w:val="4"/>
                <w:szCs w:val="4"/>
              </w:rPr>
            </w:r>
          </w:p>
        </w:tc>
        <w:tc>
          <w:tcPr>
            <w:tcW w:w="1248" w:type="dxa"/>
            <w:gridSpan w:val="2"/>
            <w:tcBorders/>
            <w:shd w:fill="auto" w:val="clear"/>
            <w:vAlign w:val="center"/>
          </w:tcPr>
          <w:p>
            <w:pPr>
              <w:pStyle w:val="TableContents"/>
              <w:spacing w:before="0" w:after="283"/>
              <w:rPr>
                <w:sz w:val="4"/>
                <w:szCs w:val="4"/>
              </w:rPr>
            </w:pPr>
            <w:r>
              <w:rPr>
                <w:sz w:val="4"/>
                <w:szCs w:val="4"/>
              </w:rPr>
            </w:r>
          </w:p>
        </w:tc>
        <w:tc>
          <w:tcPr>
            <w:tcW w:w="710" w:type="dxa"/>
            <w:gridSpan w:val="2"/>
            <w:tcBorders/>
            <w:shd w:fill="auto" w:val="clear"/>
            <w:vAlign w:val="center"/>
          </w:tcPr>
          <w:p>
            <w:pPr>
              <w:pStyle w:val="TableContents"/>
              <w:spacing w:before="0" w:after="283"/>
              <w:rPr>
                <w:sz w:val="4"/>
                <w:szCs w:val="4"/>
              </w:rPr>
            </w:pPr>
            <w:r>
              <w:rPr>
                <w:sz w:val="4"/>
                <w:szCs w:val="4"/>
              </w:rPr>
            </w:r>
          </w:p>
        </w:tc>
        <w:tc>
          <w:tcPr>
            <w:tcW w:w="2285" w:type="dxa"/>
            <w:gridSpan w:val="2"/>
            <w:tcBorders/>
            <w:shd w:fill="auto" w:val="clear"/>
            <w:vAlign w:val="center"/>
          </w:tcPr>
          <w:p>
            <w:pPr>
              <w:pStyle w:val="TableContents"/>
              <w:spacing w:before="0" w:after="283"/>
              <w:rPr>
                <w:sz w:val="4"/>
                <w:szCs w:val="4"/>
              </w:rPr>
            </w:pPr>
            <w:r>
              <w:rPr>
                <w:sz w:val="4"/>
                <w:szCs w:val="4"/>
              </w:rPr>
            </w:r>
          </w:p>
        </w:tc>
      </w:tr>
      <w:tr>
        <w:trPr/>
        <w:tc>
          <w:tcPr>
            <w:tcW w:w="57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By:</w:t>
            </w:r>
          </w:p>
        </w:tc>
        <w:tc>
          <w:tcPr>
            <w:tcW w:w="6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Kyle Beilman</w:t>
            </w:r>
          </w:p>
        </w:tc>
      </w:tr>
      <w:tr>
        <w:trPr/>
        <w:tc>
          <w:tcPr>
            <w:tcW w:w="57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Name:</w:t>
            </w:r>
          </w:p>
        </w:tc>
        <w:tc>
          <w:tcPr>
            <w:tcW w:w="6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283"/>
              <w:rPr/>
            </w:pPr>
            <w:r>
              <w:rPr/>
              <w:t>Kyle Beilman</w:t>
            </w:r>
          </w:p>
        </w:tc>
      </w:tr>
      <w:tr>
        <w:trPr/>
        <w:tc>
          <w:tcPr>
            <w:tcW w:w="57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Title:</w:t>
            </w:r>
          </w:p>
        </w:tc>
        <w:tc>
          <w:tcPr>
            <w:tcW w:w="6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283"/>
              <w:rPr/>
            </w:pPr>
            <w:r>
              <w:rPr/>
              <w:t>Chief Financial Officer</w:t>
            </w:r>
          </w:p>
        </w:tc>
      </w:tr>
    </w:tbl>
    <w:p>
      <w:pPr>
        <w:pStyle w:val="TextBody"/>
        <w:spacing w:before="0" w:after="0"/>
        <w:jc w:val="right"/>
        <w:rPr>
          <w:rFonts w:ascii="Times New Roman" w:hAnsi="Times New Roman"/>
          <w:b/>
          <w:sz w:val="20"/>
        </w:rPr>
      </w:pPr>
      <w:r>
        <w:br w:type="page"/>
      </w:r>
      <w:bookmarkStart w:id="2" w:name="d449932dex991.htm"/>
      <w:bookmarkStart w:id="3" w:name="ksd449932dex991"/>
      <w:bookmarkEnd w:id="2"/>
      <w:bookmarkEnd w:id="3"/>
      <w:r>
        <w:rPr>
          <w:rFonts w:ascii="Times New Roman" w:hAnsi="Times New Roman"/>
          <w:b/>
          <w:sz w:val="20"/>
        </w:rPr>
        <w:t xml:space="preserve">Exhibit 99.1 </w:t>
      </w:r>
    </w:p>
    <w:p>
      <w:pPr>
        <w:pStyle w:val="TextBody"/>
        <w:spacing w:before="0" w:after="0"/>
        <w:jc w:val="left"/>
        <w:rPr/>
      </w:pPr>
      <w:r>
        <w:rPr/>
        <w:t> </w:t>
      </w:r>
    </w:p>
    <w:p>
      <w:pPr>
        <w:pStyle w:val="TextBody"/>
        <w:spacing w:before="0" w:after="0"/>
        <w:jc w:val="left"/>
        <w:rPr/>
      </w:pPr>
      <w:r>
        <w:rPr/>
        <w:drawing>
          <wp:inline distT="0" distB="0" distL="0" distR="0">
            <wp:extent cx="1676400"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76400" cy="581025"/>
                    </a:xfrm>
                    <a:prstGeom prst="rect">
                      <a:avLst/>
                    </a:prstGeom>
                  </pic:spPr>
                </pic:pic>
              </a:graphicData>
            </a:graphic>
          </wp:inline>
        </w:drawing>
      </w:r>
      <w:r>
        <w:rPr/>
        <w:t xml:space="preserve"> </w:t>
      </w:r>
    </w:p>
    <w:p>
      <w:pPr>
        <w:pStyle w:val="TextBody"/>
        <w:spacing w:before="240" w:after="0"/>
        <w:jc w:val="center"/>
        <w:rPr>
          <w:rFonts w:ascii="Times New Roman" w:hAnsi="Times New Roman"/>
          <w:b/>
          <w:sz w:val="20"/>
        </w:rPr>
      </w:pPr>
      <w:r>
        <w:rPr>
          <w:rFonts w:ascii="Times New Roman" w:hAnsi="Times New Roman"/>
          <w:b/>
          <w:sz w:val="20"/>
        </w:rPr>
        <w:t xml:space="preserve">Dave Announces First Quarter 2023 Results </w:t>
      </w:r>
    </w:p>
    <w:p>
      <w:pPr>
        <w:pStyle w:val="TextBody"/>
        <w:spacing w:before="120" w:after="0"/>
        <w:jc w:val="center"/>
        <w:rPr>
          <w:rFonts w:ascii="Times New Roman" w:hAnsi="Times New Roman"/>
          <w:i/>
          <w:sz w:val="20"/>
        </w:rPr>
      </w:pPr>
      <w:r>
        <w:rPr>
          <w:rFonts w:ascii="Times New Roman" w:hAnsi="Times New Roman"/>
          <w:i/>
          <w:sz w:val="20"/>
        </w:rPr>
        <w:t xml:space="preserve">Q1 GAAP Revenue up 38% Year Over Year to $58.9 Million; Transaction-Based Revenue up 91% </w:t>
      </w:r>
    </w:p>
    <w:p>
      <w:pPr>
        <w:pStyle w:val="TextBody"/>
        <w:spacing w:before="120" w:after="0"/>
        <w:jc w:val="center"/>
        <w:rPr>
          <w:rFonts w:ascii="Times New Roman" w:hAnsi="Times New Roman"/>
          <w:i/>
          <w:sz w:val="20"/>
        </w:rPr>
      </w:pPr>
      <w:r>
        <w:rPr>
          <w:rFonts w:ascii="Times New Roman" w:hAnsi="Times New Roman"/>
          <w:i/>
          <w:sz w:val="20"/>
        </w:rPr>
        <w:t xml:space="preserve">Q1 Net Loss Improves by 57% Year Over Year; Adj. EBITDA Loss Reduced 75% to $4.5 Million </w:t>
      </w:r>
    </w:p>
    <w:p>
      <w:pPr>
        <w:pStyle w:val="TextBody"/>
        <w:spacing w:before="120" w:after="0"/>
        <w:jc w:val="center"/>
        <w:rPr>
          <w:rFonts w:ascii="Times New Roman" w:hAnsi="Times New Roman"/>
          <w:i/>
          <w:sz w:val="20"/>
        </w:rPr>
      </w:pPr>
      <w:r>
        <w:rPr>
          <w:rFonts w:ascii="Times New Roman" w:hAnsi="Times New Roman"/>
          <w:i/>
          <w:sz w:val="20"/>
        </w:rPr>
        <w:t xml:space="preserve">Reiterates 2023 Financial Outlook and Maintains Nearly $200 Million Available Liquidity </w:t>
      </w:r>
    </w:p>
    <w:p>
      <w:pPr>
        <w:pStyle w:val="TextBody"/>
        <w:spacing w:before="240" w:after="0"/>
        <w:jc w:val="left"/>
        <w:rPr>
          <w:rFonts w:ascii="Times New Roman" w:hAnsi="Times New Roman"/>
          <w:sz w:val="20"/>
        </w:rPr>
      </w:pPr>
      <w:r>
        <w:rPr>
          <w:rFonts w:ascii="Times New Roman" w:hAnsi="Times New Roman"/>
          <w:b/>
          <w:sz w:val="20"/>
        </w:rPr>
        <w:t>LOS ANGELES, CA  May</w:t>
      </w:r>
      <w:r>
        <w:rPr>
          <w:rFonts w:ascii="Times New Roman" w:hAnsi="Times New Roman"/>
          <w:sz w:val="20"/>
        </w:rPr>
        <w:t> </w:t>
      </w:r>
      <w:r>
        <w:rPr>
          <w:rFonts w:ascii="Times New Roman" w:hAnsi="Times New Roman"/>
          <w:b/>
          <w:sz w:val="20"/>
        </w:rPr>
        <w:t>9, 2023 </w:t>
      </w:r>
      <w:r>
        <w:rPr>
          <w:rFonts w:ascii="Times New Roman" w:hAnsi="Times New Roman"/>
          <w:sz w:val="20"/>
        </w:rPr>
        <w:t xml:space="preserve"> Dave Inc. (the Company) (Nasdaq: DAVE, DAVEW), one of the leading U.S. neobanks, today reported its financial results for the first quarter ended March 31, 2023. </w:t>
      </w:r>
    </w:p>
    <w:p>
      <w:pPr>
        <w:pStyle w:val="TextBody"/>
        <w:spacing w:before="240" w:after="0"/>
        <w:jc w:val="left"/>
        <w:rPr>
          <w:rFonts w:ascii="Times New Roman" w:hAnsi="Times New Roman"/>
          <w:sz w:val="20"/>
        </w:rPr>
      </w:pPr>
      <w:r>
        <w:rPr>
          <w:rFonts w:ascii="Times New Roman" w:hAnsi="Times New Roman"/>
          <w:sz w:val="20"/>
        </w:rPr>
        <w:t xml:space="preserve">We made significant progress on our path to profitability, as reflected by another quarter of improved variable margin, Adjusted EBITDA and net loss, said Jason Wilk, Founder and Chief Executive Officer of Dave. Q1 revenue was in-line with our expectations as demand for ExtraCash is typically softest in the first quarter due to tax refunds. As a result, we moderated marketing investment, which, in combination with the sequential variable margin expansion, allowed us to more than halve our Adjusted EBITDA loss for the second consecutive quarter. Our outlook remains positive, and we look forward to delivering on our 2023 revenue and profitability targets supported by normalized seasonal demand, increased marketing investment and ongoing product enhancements in the quarters ahead. </w:t>
      </w:r>
    </w:p>
    <w:p>
      <w:pPr>
        <w:pStyle w:val="TextBody"/>
        <w:spacing w:before="240" w:after="0"/>
        <w:jc w:val="left"/>
        <w:rPr>
          <w:rFonts w:ascii="Times New Roman" w:hAnsi="Times New Roman"/>
          <w:sz w:val="20"/>
        </w:rPr>
      </w:pPr>
      <w:r>
        <w:rPr>
          <w:rFonts w:ascii="Times New Roman" w:hAnsi="Times New Roman"/>
          <w:b/>
          <w:sz w:val="20"/>
        </w:rPr>
        <w:t xml:space="preserve">Quarterly Financial Highlights </w:t>
      </w:r>
      <w:r>
        <w:rPr>
          <w:rFonts w:ascii="Times New Roman" w:hAnsi="Times New Roman"/>
          <w:i/>
          <w:sz w:val="20"/>
        </w:rPr>
        <w:t>($ in millions unless otherwise noted)</w:t>
      </w:r>
      <w:r>
        <w:rPr>
          <w:rFonts w:ascii="Times New Roman" w:hAnsi="Times New Roman"/>
          <w:sz w:val="20"/>
        </w:rPr>
        <w:t xml:space="preserv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629"/>
        <w:gridCol w:w="185"/>
        <w:gridCol w:w="215"/>
        <w:gridCol w:w="440"/>
        <w:gridCol w:w="275"/>
        <w:gridCol w:w="185"/>
        <w:gridCol w:w="215"/>
        <w:gridCol w:w="440"/>
        <w:gridCol w:w="275"/>
        <w:gridCol w:w="185"/>
        <w:gridCol w:w="215"/>
        <w:gridCol w:w="440"/>
        <w:gridCol w:w="275"/>
        <w:gridCol w:w="185"/>
        <w:gridCol w:w="215"/>
        <w:gridCol w:w="440"/>
        <w:gridCol w:w="275"/>
        <w:gridCol w:w="185"/>
        <w:gridCol w:w="215"/>
        <w:gridCol w:w="440"/>
        <w:gridCol w:w="276"/>
      </w:tblGrid>
      <w:tr>
        <w:trPr/>
        <w:tc>
          <w:tcPr>
            <w:tcW w:w="4629"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r>
      <w:tr>
        <w:trPr/>
        <w:tc>
          <w:tcPr>
            <w:tcW w:w="4629"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6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1Q22</w:t>
            </w:r>
          </w:p>
        </w:tc>
        <w:tc>
          <w:tcPr>
            <w:tcW w:w="27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6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2Q22</w:t>
            </w:r>
          </w:p>
        </w:tc>
        <w:tc>
          <w:tcPr>
            <w:tcW w:w="27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6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3Q22</w:t>
            </w:r>
          </w:p>
        </w:tc>
        <w:tc>
          <w:tcPr>
            <w:tcW w:w="27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6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4Q22</w:t>
            </w:r>
          </w:p>
        </w:tc>
        <w:tc>
          <w:tcPr>
            <w:tcW w:w="27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6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1Q23</w:t>
            </w:r>
          </w:p>
        </w:tc>
        <w:tc>
          <w:tcPr>
            <w:tcW w:w="276" w:type="dxa"/>
            <w:tcBorders/>
            <w:shd w:fill="auto" w:val="clear"/>
            <w:vAlign w:val="bottom"/>
          </w:tcPr>
          <w:p>
            <w:pPr>
              <w:pStyle w:val="TableContents"/>
              <w:spacing w:before="0" w:after="283"/>
              <w:rPr/>
            </w:pPr>
            <w:r>
              <w:rPr/>
              <w:t> </w:t>
            </w:r>
          </w:p>
        </w:tc>
      </w:tr>
      <w:tr>
        <w:trPr/>
        <w:tc>
          <w:tcPr>
            <w:tcW w:w="4629" w:type="dxa"/>
            <w:tcBorders/>
            <w:shd w:fill="CCEEFF" w:val="clear"/>
          </w:tcPr>
          <w:p>
            <w:pPr>
              <w:pStyle w:val="TableContents"/>
              <w:spacing w:before="0" w:after="0"/>
              <w:rPr>
                <w:rFonts w:ascii="Times New Roman" w:hAnsi="Times New Roman"/>
                <w:b/>
                <w:sz w:val="20"/>
              </w:rPr>
            </w:pPr>
            <w:r>
              <w:rPr>
                <w:rFonts w:ascii="Times New Roman" w:hAnsi="Times New Roman"/>
                <w:b/>
                <w:sz w:val="20"/>
              </w:rPr>
              <w:t>GAAP Operating Revenues, Net</w:t>
            </w:r>
          </w:p>
        </w:tc>
        <w:tc>
          <w:tcPr>
            <w:tcW w:w="18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w:t>
            </w:r>
          </w:p>
        </w:tc>
        <w:tc>
          <w:tcPr>
            <w:tcW w:w="440" w:type="dxa"/>
            <w:tcBorders/>
            <w:shd w:fill="CCEEFF" w:val="clear"/>
            <w:vAlign w:val="bottom"/>
          </w:tcPr>
          <w:p>
            <w:pPr>
              <w:pStyle w:val="TableContents"/>
              <w:spacing w:before="0" w:after="283"/>
              <w:jc w:val="right"/>
              <w:rPr/>
            </w:pPr>
            <w:r>
              <w:rPr/>
              <w:t>42.6</w:t>
            </w:r>
          </w:p>
        </w:tc>
        <w:tc>
          <w:tcPr>
            <w:tcW w:w="27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w:t>
            </w:r>
          </w:p>
        </w:tc>
        <w:tc>
          <w:tcPr>
            <w:tcW w:w="440" w:type="dxa"/>
            <w:tcBorders/>
            <w:shd w:fill="CCEEFF" w:val="clear"/>
            <w:vAlign w:val="bottom"/>
          </w:tcPr>
          <w:p>
            <w:pPr>
              <w:pStyle w:val="TableContents"/>
              <w:spacing w:before="0" w:after="283"/>
              <w:jc w:val="right"/>
              <w:rPr/>
            </w:pPr>
            <w:r>
              <w:rPr/>
              <w:t>45.8</w:t>
            </w:r>
          </w:p>
        </w:tc>
        <w:tc>
          <w:tcPr>
            <w:tcW w:w="27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w:t>
            </w:r>
          </w:p>
        </w:tc>
        <w:tc>
          <w:tcPr>
            <w:tcW w:w="440" w:type="dxa"/>
            <w:tcBorders/>
            <w:shd w:fill="CCEEFF" w:val="clear"/>
            <w:vAlign w:val="bottom"/>
          </w:tcPr>
          <w:p>
            <w:pPr>
              <w:pStyle w:val="TableContents"/>
              <w:spacing w:before="0" w:after="283"/>
              <w:jc w:val="right"/>
              <w:rPr/>
            </w:pPr>
            <w:r>
              <w:rPr/>
              <w:t>56.8</w:t>
            </w:r>
          </w:p>
        </w:tc>
        <w:tc>
          <w:tcPr>
            <w:tcW w:w="27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w:t>
            </w:r>
          </w:p>
        </w:tc>
        <w:tc>
          <w:tcPr>
            <w:tcW w:w="440" w:type="dxa"/>
            <w:tcBorders/>
            <w:shd w:fill="CCEEFF" w:val="clear"/>
            <w:vAlign w:val="bottom"/>
          </w:tcPr>
          <w:p>
            <w:pPr>
              <w:pStyle w:val="TableContents"/>
              <w:spacing w:before="0" w:after="283"/>
              <w:jc w:val="right"/>
              <w:rPr/>
            </w:pPr>
            <w:r>
              <w:rPr/>
              <w:t>59.6</w:t>
            </w:r>
          </w:p>
        </w:tc>
        <w:tc>
          <w:tcPr>
            <w:tcW w:w="27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w:t>
            </w:r>
          </w:p>
        </w:tc>
        <w:tc>
          <w:tcPr>
            <w:tcW w:w="440" w:type="dxa"/>
            <w:tcBorders/>
            <w:shd w:fill="CCEEFF" w:val="clear"/>
            <w:vAlign w:val="bottom"/>
          </w:tcPr>
          <w:p>
            <w:pPr>
              <w:pStyle w:val="TableContents"/>
              <w:spacing w:before="0" w:after="283"/>
              <w:jc w:val="right"/>
              <w:rPr/>
            </w:pPr>
            <w:r>
              <w:rPr/>
              <w:t>58.9</w:t>
            </w:r>
          </w:p>
        </w:tc>
        <w:tc>
          <w:tcPr>
            <w:tcW w:w="276" w:type="dxa"/>
            <w:tcBorders/>
            <w:shd w:fill="CCEEFF" w:val="clear"/>
            <w:vAlign w:val="bottom"/>
          </w:tcPr>
          <w:p>
            <w:pPr>
              <w:pStyle w:val="TableContents"/>
              <w:spacing w:before="0" w:after="283"/>
              <w:rPr/>
            </w:pPr>
            <w:r>
              <w:rPr/>
              <w:t> </w:t>
            </w:r>
          </w:p>
        </w:tc>
      </w:tr>
      <w:tr>
        <w:trPr/>
        <w:tc>
          <w:tcPr>
            <w:tcW w:w="4629" w:type="dxa"/>
            <w:tcBorders/>
            <w:shd w:fill="auto" w:val="clear"/>
          </w:tcPr>
          <w:p>
            <w:pPr>
              <w:pStyle w:val="TableContents"/>
              <w:spacing w:before="0" w:after="0"/>
              <w:rPr>
                <w:rFonts w:ascii="Times New Roman" w:hAnsi="Times New Roman"/>
                <w:sz w:val="20"/>
              </w:rPr>
            </w:pPr>
            <w:r>
              <w:rPr>
                <w:rFonts w:ascii="Times New Roman" w:hAnsi="Times New Roman"/>
                <w:sz w:val="20"/>
              </w:rPr>
              <w:t>% Change vs. prior year period</w:t>
            </w:r>
          </w:p>
        </w:tc>
        <w:tc>
          <w:tcPr>
            <w:tcW w:w="18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pPr>
            <w:r>
              <w:rPr/>
              <w:t>24</w:t>
            </w:r>
          </w:p>
        </w:tc>
        <w:tc>
          <w:tcPr>
            <w:tcW w:w="27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pPr>
            <w:r>
              <w:rPr/>
              <w:t>23</w:t>
            </w:r>
          </w:p>
        </w:tc>
        <w:tc>
          <w:tcPr>
            <w:tcW w:w="27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pPr>
            <w:r>
              <w:rPr/>
              <w:t>41</w:t>
            </w:r>
          </w:p>
        </w:tc>
        <w:tc>
          <w:tcPr>
            <w:tcW w:w="27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pPr>
            <w:r>
              <w:rPr/>
              <w:t>45</w:t>
            </w:r>
          </w:p>
        </w:tc>
        <w:tc>
          <w:tcPr>
            <w:tcW w:w="27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pPr>
            <w:r>
              <w:rPr/>
              <w:t>38</w:t>
            </w:r>
          </w:p>
        </w:tc>
        <w:tc>
          <w:tcPr>
            <w:tcW w:w="276" w:type="dxa"/>
            <w:tcBorders/>
            <w:shd w:fill="auto" w:val="clear"/>
            <w:vAlign w:val="bottom"/>
          </w:tcPr>
          <w:p>
            <w:pPr>
              <w:pStyle w:val="TableContents"/>
              <w:spacing w:before="0" w:after="283"/>
              <w:rPr/>
            </w:pPr>
            <w:r>
              <w:rPr/>
              <w:t>% </w:t>
            </w:r>
          </w:p>
        </w:tc>
      </w:tr>
      <w:tr>
        <w:trPr/>
        <w:tc>
          <w:tcPr>
            <w:tcW w:w="4629" w:type="dxa"/>
            <w:tcBorders/>
            <w:shd w:fill="CCEEFF" w:val="clear"/>
          </w:tcPr>
          <w:p>
            <w:pPr>
              <w:pStyle w:val="TableContents"/>
              <w:spacing w:before="0" w:after="0"/>
              <w:rPr>
                <w:rFonts w:ascii="Times New Roman" w:hAnsi="Times New Roman"/>
                <w:b/>
                <w:sz w:val="20"/>
              </w:rPr>
            </w:pPr>
            <w:r>
              <w:rPr>
                <w:rFonts w:ascii="Times New Roman" w:hAnsi="Times New Roman"/>
                <w:b/>
                <w:sz w:val="20"/>
              </w:rPr>
              <w:t>Non-GAAP Operating Revenues*</w:t>
            </w:r>
          </w:p>
        </w:tc>
        <w:tc>
          <w:tcPr>
            <w:tcW w:w="18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w:t>
            </w:r>
          </w:p>
        </w:tc>
        <w:tc>
          <w:tcPr>
            <w:tcW w:w="440" w:type="dxa"/>
            <w:tcBorders/>
            <w:shd w:fill="CCEEFF" w:val="clear"/>
            <w:vAlign w:val="bottom"/>
          </w:tcPr>
          <w:p>
            <w:pPr>
              <w:pStyle w:val="TableContents"/>
              <w:spacing w:before="0" w:after="283"/>
              <w:jc w:val="right"/>
              <w:rPr/>
            </w:pPr>
            <w:r>
              <w:rPr/>
              <w:t>43.7</w:t>
            </w:r>
          </w:p>
        </w:tc>
        <w:tc>
          <w:tcPr>
            <w:tcW w:w="27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w:t>
            </w:r>
          </w:p>
        </w:tc>
        <w:tc>
          <w:tcPr>
            <w:tcW w:w="440" w:type="dxa"/>
            <w:tcBorders/>
            <w:shd w:fill="CCEEFF" w:val="clear"/>
            <w:vAlign w:val="bottom"/>
          </w:tcPr>
          <w:p>
            <w:pPr>
              <w:pStyle w:val="TableContents"/>
              <w:spacing w:before="0" w:after="283"/>
              <w:jc w:val="right"/>
              <w:rPr/>
            </w:pPr>
            <w:r>
              <w:rPr/>
              <w:t>47.0</w:t>
            </w:r>
          </w:p>
        </w:tc>
        <w:tc>
          <w:tcPr>
            <w:tcW w:w="27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w:t>
            </w:r>
          </w:p>
        </w:tc>
        <w:tc>
          <w:tcPr>
            <w:tcW w:w="440" w:type="dxa"/>
            <w:tcBorders/>
            <w:shd w:fill="CCEEFF" w:val="clear"/>
            <w:vAlign w:val="bottom"/>
          </w:tcPr>
          <w:p>
            <w:pPr>
              <w:pStyle w:val="TableContents"/>
              <w:spacing w:before="0" w:after="283"/>
              <w:jc w:val="right"/>
              <w:rPr/>
            </w:pPr>
            <w:r>
              <w:rPr/>
              <w:t>58.6</w:t>
            </w:r>
          </w:p>
        </w:tc>
        <w:tc>
          <w:tcPr>
            <w:tcW w:w="27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w:t>
            </w:r>
          </w:p>
        </w:tc>
        <w:tc>
          <w:tcPr>
            <w:tcW w:w="440" w:type="dxa"/>
            <w:tcBorders/>
            <w:shd w:fill="CCEEFF" w:val="clear"/>
            <w:vAlign w:val="bottom"/>
          </w:tcPr>
          <w:p>
            <w:pPr>
              <w:pStyle w:val="TableContents"/>
              <w:spacing w:before="0" w:after="283"/>
              <w:jc w:val="right"/>
              <w:rPr/>
            </w:pPr>
            <w:r>
              <w:rPr/>
              <w:t>61.8</w:t>
            </w:r>
          </w:p>
        </w:tc>
        <w:tc>
          <w:tcPr>
            <w:tcW w:w="27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w:t>
            </w:r>
          </w:p>
        </w:tc>
        <w:tc>
          <w:tcPr>
            <w:tcW w:w="440" w:type="dxa"/>
            <w:tcBorders/>
            <w:shd w:fill="CCEEFF" w:val="clear"/>
            <w:vAlign w:val="bottom"/>
          </w:tcPr>
          <w:p>
            <w:pPr>
              <w:pStyle w:val="TableContents"/>
              <w:spacing w:before="0" w:after="283"/>
              <w:jc w:val="right"/>
              <w:rPr/>
            </w:pPr>
            <w:r>
              <w:rPr/>
              <w:t>60.6</w:t>
            </w:r>
          </w:p>
        </w:tc>
        <w:tc>
          <w:tcPr>
            <w:tcW w:w="276" w:type="dxa"/>
            <w:tcBorders/>
            <w:shd w:fill="CCEEFF" w:val="clear"/>
            <w:vAlign w:val="bottom"/>
          </w:tcPr>
          <w:p>
            <w:pPr>
              <w:pStyle w:val="TableContents"/>
              <w:spacing w:before="0" w:after="283"/>
              <w:rPr/>
            </w:pPr>
            <w:r>
              <w:rPr/>
              <w:t> </w:t>
            </w:r>
          </w:p>
        </w:tc>
      </w:tr>
      <w:tr>
        <w:trPr/>
        <w:tc>
          <w:tcPr>
            <w:tcW w:w="4629" w:type="dxa"/>
            <w:tcBorders/>
            <w:shd w:fill="auto" w:val="clear"/>
          </w:tcPr>
          <w:p>
            <w:pPr>
              <w:pStyle w:val="TableContents"/>
              <w:spacing w:before="0" w:after="0"/>
              <w:rPr>
                <w:rFonts w:ascii="Times New Roman" w:hAnsi="Times New Roman"/>
                <w:sz w:val="20"/>
              </w:rPr>
            </w:pPr>
            <w:r>
              <w:rPr>
                <w:rFonts w:ascii="Times New Roman" w:hAnsi="Times New Roman"/>
                <w:sz w:val="20"/>
              </w:rPr>
              <w:t>% Change vs. prior year period</w:t>
            </w:r>
          </w:p>
        </w:tc>
        <w:tc>
          <w:tcPr>
            <w:tcW w:w="18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pPr>
            <w:r>
              <w:rPr/>
              <w:t>23</w:t>
            </w:r>
          </w:p>
        </w:tc>
        <w:tc>
          <w:tcPr>
            <w:tcW w:w="27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pPr>
            <w:r>
              <w:rPr/>
              <w:t>22</w:t>
            </w:r>
          </w:p>
        </w:tc>
        <w:tc>
          <w:tcPr>
            <w:tcW w:w="27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pPr>
            <w:r>
              <w:rPr/>
              <w:t>41</w:t>
            </w:r>
          </w:p>
        </w:tc>
        <w:tc>
          <w:tcPr>
            <w:tcW w:w="27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pPr>
            <w:r>
              <w:rPr/>
              <w:t>46</w:t>
            </w:r>
          </w:p>
        </w:tc>
        <w:tc>
          <w:tcPr>
            <w:tcW w:w="27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pPr>
            <w:r>
              <w:rPr/>
              <w:t>39</w:t>
            </w:r>
          </w:p>
        </w:tc>
        <w:tc>
          <w:tcPr>
            <w:tcW w:w="276" w:type="dxa"/>
            <w:tcBorders/>
            <w:shd w:fill="auto" w:val="clear"/>
            <w:vAlign w:val="bottom"/>
          </w:tcPr>
          <w:p>
            <w:pPr>
              <w:pStyle w:val="TableContents"/>
              <w:spacing w:before="0" w:after="283"/>
              <w:rPr/>
            </w:pPr>
            <w:r>
              <w:rPr/>
              <w:t>% </w:t>
            </w:r>
          </w:p>
        </w:tc>
      </w:tr>
      <w:tr>
        <w:trPr/>
        <w:tc>
          <w:tcPr>
            <w:tcW w:w="4629" w:type="dxa"/>
            <w:tcBorders/>
            <w:shd w:fill="CCEEFF" w:val="clear"/>
          </w:tcPr>
          <w:p>
            <w:pPr>
              <w:pStyle w:val="TableContents"/>
              <w:spacing w:before="0" w:after="0"/>
              <w:rPr>
                <w:rFonts w:ascii="Times New Roman" w:hAnsi="Times New Roman"/>
                <w:b/>
                <w:sz w:val="20"/>
              </w:rPr>
            </w:pPr>
            <w:r>
              <w:rPr>
                <w:rFonts w:ascii="Times New Roman" w:hAnsi="Times New Roman"/>
                <w:b/>
                <w:sz w:val="20"/>
              </w:rPr>
              <w:t>Non-GAAP Variable Profit Margin*</w:t>
            </w:r>
          </w:p>
        </w:tc>
        <w:tc>
          <w:tcPr>
            <w:tcW w:w="18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pPr>
            <w:r>
              <w:rPr/>
              <w:t>41</w:t>
            </w:r>
          </w:p>
        </w:tc>
        <w:tc>
          <w:tcPr>
            <w:tcW w:w="27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pPr>
            <w:r>
              <w:rPr/>
              <w:t>39</w:t>
            </w:r>
          </w:p>
        </w:tc>
        <w:tc>
          <w:tcPr>
            <w:tcW w:w="27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pPr>
            <w:r>
              <w:rPr/>
              <w:t>42</w:t>
            </w:r>
          </w:p>
        </w:tc>
        <w:tc>
          <w:tcPr>
            <w:tcW w:w="27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pPr>
            <w:r>
              <w:rPr/>
              <w:t>41</w:t>
            </w:r>
          </w:p>
        </w:tc>
        <w:tc>
          <w:tcPr>
            <w:tcW w:w="27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pPr>
            <w:r>
              <w:rPr/>
              <w:t>56</w:t>
            </w:r>
          </w:p>
        </w:tc>
        <w:tc>
          <w:tcPr>
            <w:tcW w:w="276" w:type="dxa"/>
            <w:tcBorders/>
            <w:shd w:fill="CCEEFF" w:val="clear"/>
            <w:vAlign w:val="bottom"/>
          </w:tcPr>
          <w:p>
            <w:pPr>
              <w:pStyle w:val="TableContents"/>
              <w:spacing w:before="0" w:after="283"/>
              <w:rPr/>
            </w:pPr>
            <w:r>
              <w:rPr/>
              <w:t>% </w:t>
            </w:r>
          </w:p>
        </w:tc>
      </w:tr>
      <w:tr>
        <w:trPr/>
        <w:tc>
          <w:tcPr>
            <w:tcW w:w="4629" w:type="dxa"/>
            <w:tcBorders/>
            <w:shd w:fill="auto" w:val="clear"/>
          </w:tcPr>
          <w:p>
            <w:pPr>
              <w:pStyle w:val="TableContents"/>
              <w:spacing w:before="0" w:after="0"/>
              <w:rPr>
                <w:rFonts w:ascii="Times New Roman" w:hAnsi="Times New Roman"/>
                <w:b/>
                <w:sz w:val="20"/>
              </w:rPr>
            </w:pPr>
            <w:r>
              <w:rPr>
                <w:rFonts w:ascii="Times New Roman" w:hAnsi="Times New Roman"/>
                <w:b/>
                <w:sz w:val="20"/>
              </w:rPr>
              <w:t>GAAP Net Loss</w:t>
            </w:r>
          </w:p>
        </w:tc>
        <w:tc>
          <w:tcPr>
            <w:tcW w:w="18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w:t>
            </w:r>
          </w:p>
        </w:tc>
        <w:tc>
          <w:tcPr>
            <w:tcW w:w="440" w:type="dxa"/>
            <w:tcBorders/>
            <w:shd w:fill="auto" w:val="clear"/>
            <w:vAlign w:val="bottom"/>
          </w:tcPr>
          <w:p>
            <w:pPr>
              <w:pStyle w:val="TableContents"/>
              <w:spacing w:before="0" w:after="283"/>
              <w:jc w:val="right"/>
              <w:rPr/>
            </w:pPr>
            <w:r>
              <w:rPr/>
              <w:t>32.8</w:t>
            </w:r>
          </w:p>
        </w:tc>
        <w:tc>
          <w:tcPr>
            <w:tcW w:w="27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w:t>
            </w:r>
          </w:p>
        </w:tc>
        <w:tc>
          <w:tcPr>
            <w:tcW w:w="440" w:type="dxa"/>
            <w:tcBorders/>
            <w:shd w:fill="auto" w:val="clear"/>
            <w:vAlign w:val="bottom"/>
          </w:tcPr>
          <w:p>
            <w:pPr>
              <w:pStyle w:val="TableContents"/>
              <w:spacing w:before="0" w:after="283"/>
              <w:jc w:val="right"/>
              <w:rPr/>
            </w:pPr>
            <w:r>
              <w:rPr/>
              <w:t>27.1</w:t>
            </w:r>
          </w:p>
        </w:tc>
        <w:tc>
          <w:tcPr>
            <w:tcW w:w="27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w:t>
            </w:r>
          </w:p>
        </w:tc>
        <w:tc>
          <w:tcPr>
            <w:tcW w:w="440" w:type="dxa"/>
            <w:tcBorders/>
            <w:shd w:fill="auto" w:val="clear"/>
            <w:vAlign w:val="bottom"/>
          </w:tcPr>
          <w:p>
            <w:pPr>
              <w:pStyle w:val="TableContents"/>
              <w:spacing w:before="0" w:after="283"/>
              <w:jc w:val="right"/>
              <w:rPr/>
            </w:pPr>
            <w:r>
              <w:rPr/>
              <w:t>47.5</w:t>
            </w:r>
          </w:p>
        </w:tc>
        <w:tc>
          <w:tcPr>
            <w:tcW w:w="27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w:t>
            </w:r>
          </w:p>
        </w:tc>
        <w:tc>
          <w:tcPr>
            <w:tcW w:w="440" w:type="dxa"/>
            <w:tcBorders/>
            <w:shd w:fill="auto" w:val="clear"/>
            <w:vAlign w:val="bottom"/>
          </w:tcPr>
          <w:p>
            <w:pPr>
              <w:pStyle w:val="TableContents"/>
              <w:spacing w:before="0" w:after="283"/>
              <w:jc w:val="right"/>
              <w:rPr/>
            </w:pPr>
            <w:r>
              <w:rPr/>
              <w:t>21.5</w:t>
            </w:r>
          </w:p>
        </w:tc>
        <w:tc>
          <w:tcPr>
            <w:tcW w:w="27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w:t>
            </w:r>
          </w:p>
        </w:tc>
        <w:tc>
          <w:tcPr>
            <w:tcW w:w="440" w:type="dxa"/>
            <w:tcBorders/>
            <w:shd w:fill="auto" w:val="clear"/>
            <w:vAlign w:val="bottom"/>
          </w:tcPr>
          <w:p>
            <w:pPr>
              <w:pStyle w:val="TableContents"/>
              <w:spacing w:before="0" w:after="283"/>
              <w:jc w:val="right"/>
              <w:rPr/>
            </w:pPr>
            <w:r>
              <w:rPr/>
              <w:t>14.0</w:t>
            </w:r>
          </w:p>
        </w:tc>
        <w:tc>
          <w:tcPr>
            <w:tcW w:w="276" w:type="dxa"/>
            <w:tcBorders/>
            <w:shd w:fill="auto" w:val="clear"/>
            <w:vAlign w:val="bottom"/>
          </w:tcPr>
          <w:p>
            <w:pPr>
              <w:pStyle w:val="TableContents"/>
              <w:spacing w:before="0" w:after="283"/>
              <w:rPr/>
            </w:pPr>
            <w:r>
              <w:rPr/>
              <w:t>) </w:t>
            </w:r>
          </w:p>
        </w:tc>
      </w:tr>
      <w:tr>
        <w:trPr/>
        <w:tc>
          <w:tcPr>
            <w:tcW w:w="4629" w:type="dxa"/>
            <w:tcBorders/>
            <w:shd w:fill="CCEEFF" w:val="clear"/>
          </w:tcPr>
          <w:p>
            <w:pPr>
              <w:pStyle w:val="TableContents"/>
              <w:spacing w:before="0" w:after="0"/>
              <w:rPr>
                <w:rFonts w:ascii="Times New Roman" w:hAnsi="Times New Roman"/>
                <w:b/>
                <w:sz w:val="20"/>
              </w:rPr>
            </w:pPr>
            <w:r>
              <w:rPr>
                <w:rFonts w:ascii="Times New Roman" w:hAnsi="Times New Roman"/>
                <w:b/>
                <w:sz w:val="20"/>
              </w:rPr>
              <w:t>Adjusted EBITDA (Loss)*</w:t>
            </w:r>
          </w:p>
        </w:tc>
        <w:tc>
          <w:tcPr>
            <w:tcW w:w="18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w:t>
            </w:r>
          </w:p>
        </w:tc>
        <w:tc>
          <w:tcPr>
            <w:tcW w:w="440" w:type="dxa"/>
            <w:tcBorders/>
            <w:shd w:fill="CCEEFF" w:val="clear"/>
            <w:vAlign w:val="bottom"/>
          </w:tcPr>
          <w:p>
            <w:pPr>
              <w:pStyle w:val="TableContents"/>
              <w:spacing w:before="0" w:after="283"/>
              <w:jc w:val="right"/>
              <w:rPr/>
            </w:pPr>
            <w:r>
              <w:rPr/>
              <w:t>18.3</w:t>
            </w:r>
          </w:p>
        </w:tc>
        <w:tc>
          <w:tcPr>
            <w:tcW w:w="27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w:t>
            </w:r>
          </w:p>
        </w:tc>
        <w:tc>
          <w:tcPr>
            <w:tcW w:w="440" w:type="dxa"/>
            <w:tcBorders/>
            <w:shd w:fill="CCEEFF" w:val="clear"/>
            <w:vAlign w:val="bottom"/>
          </w:tcPr>
          <w:p>
            <w:pPr>
              <w:pStyle w:val="TableContents"/>
              <w:spacing w:before="0" w:after="283"/>
              <w:jc w:val="right"/>
              <w:rPr/>
            </w:pPr>
            <w:r>
              <w:rPr/>
              <w:t>28.5</w:t>
            </w:r>
          </w:p>
        </w:tc>
        <w:tc>
          <w:tcPr>
            <w:tcW w:w="27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w:t>
            </w:r>
          </w:p>
        </w:tc>
        <w:tc>
          <w:tcPr>
            <w:tcW w:w="440" w:type="dxa"/>
            <w:tcBorders/>
            <w:shd w:fill="CCEEFF" w:val="clear"/>
            <w:vAlign w:val="bottom"/>
          </w:tcPr>
          <w:p>
            <w:pPr>
              <w:pStyle w:val="TableContents"/>
              <w:spacing w:before="0" w:after="283"/>
              <w:jc w:val="right"/>
              <w:rPr/>
            </w:pPr>
            <w:r>
              <w:rPr/>
              <w:t>28.5</w:t>
            </w:r>
          </w:p>
        </w:tc>
        <w:tc>
          <w:tcPr>
            <w:tcW w:w="27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w:t>
            </w:r>
          </w:p>
        </w:tc>
        <w:tc>
          <w:tcPr>
            <w:tcW w:w="440" w:type="dxa"/>
            <w:tcBorders/>
            <w:shd w:fill="CCEEFF" w:val="clear"/>
            <w:vAlign w:val="bottom"/>
          </w:tcPr>
          <w:p>
            <w:pPr>
              <w:pStyle w:val="TableContents"/>
              <w:spacing w:before="0" w:after="283"/>
              <w:jc w:val="right"/>
              <w:rPr/>
            </w:pPr>
            <w:r>
              <w:rPr/>
              <w:t>11.8</w:t>
            </w:r>
          </w:p>
        </w:tc>
        <w:tc>
          <w:tcPr>
            <w:tcW w:w="27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w:t>
            </w:r>
          </w:p>
        </w:tc>
        <w:tc>
          <w:tcPr>
            <w:tcW w:w="440" w:type="dxa"/>
            <w:tcBorders/>
            <w:shd w:fill="CCEEFF" w:val="clear"/>
            <w:vAlign w:val="bottom"/>
          </w:tcPr>
          <w:p>
            <w:pPr>
              <w:pStyle w:val="TableContents"/>
              <w:spacing w:before="0" w:after="283"/>
              <w:jc w:val="right"/>
              <w:rPr/>
            </w:pPr>
            <w:r>
              <w:rPr/>
              <w:t>4.5</w:t>
            </w:r>
          </w:p>
        </w:tc>
        <w:tc>
          <w:tcPr>
            <w:tcW w:w="276" w:type="dxa"/>
            <w:tcBorders/>
            <w:shd w:fill="CCEEFF"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pPr>
            <w:r>
              <w:rPr/>
              <w:t>*</w:t>
            </w:r>
          </w:p>
        </w:tc>
        <w:tc>
          <w:tcPr>
            <w:tcW w:w="1000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See reconciliation of the non-GAAP measures at the end of the press release.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First Quarter 2023 Operating Highlights (vs. Q1 2022)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Added 587,000 New Members while reducing customer acquisition cost by ~39%.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Monthly Transacting Members (MTMs) increased 34% to 2.0 million. Transactions per MTM increased 19% to 5.4.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ExtraCash originations increased 46% to $798 million, while the 28-Day delinquency rate improved 67 basis points to 2.60%.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Dave Debit Card spend increased 62% to $295 million compared to $182 million.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a full review of the Companys KPIs, please refer to the Companys Q1 2023 Earnings Presentation which can be found at https://investors.dave.com/news-events/presentations. </w:t>
            </w:r>
          </w:p>
        </w:tc>
      </w:tr>
    </w:tbl>
    <w:p>
      <w:pPr>
        <w:pStyle w:val="TextBody"/>
        <w:spacing w:before="360" w:after="0"/>
        <w:jc w:val="left"/>
        <w:rPr>
          <w:rFonts w:ascii="Times New Roman" w:hAnsi="Times New Roman"/>
          <w:b/>
          <w:sz w:val="20"/>
        </w:rPr>
      </w:pPr>
      <w:r>
        <w:rPr>
          <w:rFonts w:ascii="Times New Roman" w:hAnsi="Times New Roman"/>
          <w:b/>
          <w:sz w:val="20"/>
        </w:rPr>
        <w:t xml:space="preserve">Liquidity Summary </w:t>
      </w:r>
    </w:p>
    <w:p>
      <w:pPr>
        <w:pStyle w:val="TextBody"/>
        <w:spacing w:before="120" w:after="0"/>
        <w:jc w:val="left"/>
        <w:rPr>
          <w:rFonts w:ascii="Times New Roman" w:hAnsi="Times New Roman"/>
          <w:sz w:val="20"/>
        </w:rPr>
      </w:pPr>
      <w:r>
        <w:rPr>
          <w:rFonts w:ascii="Times New Roman" w:hAnsi="Times New Roman"/>
          <w:sz w:val="20"/>
        </w:rPr>
        <w:t xml:space="preserve">The Company had $196 million of cash and cash equivalents, marketable securities, short-term investments and restricted cash as of March 31, 2023. This compares to $193 million at December 31, 2022. This increase in available liquidity was driven by the operating performance of the business, including greater ExtraCash settlements associated with strong credit performance and the seasonally-driven reduction of ExtraCash originations. The Company did not increase utilization of its debt facility in the quarter. </w:t>
      </w:r>
    </w:p>
    <w:p>
      <w:pPr>
        <w:pStyle w:val="TextBody"/>
        <w:spacing w:before="360" w:after="0"/>
        <w:jc w:val="left"/>
        <w:rPr>
          <w:rFonts w:ascii="Times New Roman" w:hAnsi="Times New Roman"/>
          <w:b/>
          <w:sz w:val="20"/>
        </w:rPr>
      </w:pPr>
      <w:r>
        <w:rPr>
          <w:rFonts w:ascii="Times New Roman" w:hAnsi="Times New Roman"/>
          <w:b/>
          <w:sz w:val="20"/>
        </w:rPr>
        <w:t xml:space="preserve">2023 Financial Outlook </w:t>
      </w:r>
    </w:p>
    <w:p>
      <w:pPr>
        <w:pStyle w:val="TextBody"/>
        <w:spacing w:before="120" w:after="0"/>
        <w:jc w:val="left"/>
        <w:rPr>
          <w:rFonts w:ascii="Times New Roman" w:hAnsi="Times New Roman"/>
          <w:sz w:val="20"/>
        </w:rPr>
      </w:pPr>
      <w:r>
        <w:rPr>
          <w:rFonts w:ascii="Times New Roman" w:hAnsi="Times New Roman"/>
          <w:sz w:val="20"/>
        </w:rPr>
        <w:t xml:space="preserve">For fiscal year 2023, the Company continues to expect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Non-GAAP operating revenue between $235 million - $260 million, reflecting annual growth of 11% - 23%;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Non-GAAP variable margin to expand to 43% - 47%, representing approximately 200 bps - 600 bps improvement from 2022;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Adjusted EBITDA (Loss) between ($50) million - ($35) million, improving approximately 43% - 60% from 2022. </w:t>
            </w:r>
          </w:p>
        </w:tc>
      </w:tr>
    </w:tbl>
    <w:p>
      <w:pPr>
        <w:pStyle w:val="TextBody"/>
        <w:spacing w:before="240" w:after="0"/>
        <w:jc w:val="left"/>
        <w:rPr>
          <w:rFonts w:ascii="Times New Roman" w:hAnsi="Times New Roman"/>
          <w:sz w:val="20"/>
        </w:rPr>
      </w:pPr>
      <w:r>
        <w:rPr>
          <w:rFonts w:ascii="Times New Roman" w:hAnsi="Times New Roman"/>
          <w:sz w:val="20"/>
        </w:rPr>
        <w:t xml:space="preserve">Dave CFO Kyle Beilman commented: We are on track to achieve our revenue, variable margin and Adjusted EBITDA guidance in 2023. We plan to prudently scale marketing investments over the coming two quarters to accelerate growth, which, in combination with normalized variable margin, will increase Adjusted EBITDA losses in those two periods. With the expected additional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scale from those marketing investments, in conjunction with the improvements weve achieved on our unit economics to date, were well positioned to achieve our target of turning Adjusted EBITDA profitable in 2024. We continue to believe we have ample liquidity to deliver on our growth plan without the need to raise equity capital. </w:t>
      </w:r>
    </w:p>
    <w:p>
      <w:pPr>
        <w:pStyle w:val="TextBody"/>
        <w:spacing w:before="360" w:after="0"/>
        <w:jc w:val="left"/>
        <w:rPr>
          <w:rFonts w:ascii="Times New Roman" w:hAnsi="Times New Roman"/>
          <w:b/>
          <w:sz w:val="20"/>
        </w:rPr>
      </w:pPr>
      <w:r>
        <w:rPr>
          <w:rFonts w:ascii="Times New Roman" w:hAnsi="Times New Roman"/>
          <w:b/>
          <w:sz w:val="20"/>
        </w:rPr>
        <w:t>Conference Call</w:t>
      </w:r>
    </w:p>
    <w:p>
      <w:pPr>
        <w:pStyle w:val="TextBody"/>
        <w:spacing w:before="120" w:after="0"/>
        <w:jc w:val="left"/>
        <w:rPr>
          <w:rFonts w:ascii="Times New Roman" w:hAnsi="Times New Roman"/>
          <w:sz w:val="20"/>
        </w:rPr>
      </w:pPr>
      <w:r>
        <w:rPr>
          <w:rFonts w:ascii="Times New Roman" w:hAnsi="Times New Roman"/>
          <w:sz w:val="20"/>
        </w:rPr>
        <w:t xml:space="preserve">The Company will host a conference call at 4:30 p.m. Eastern time on Tuesday, May 9, 2023, to discuss the results for its first quarter ended March 31, 2023. </w:t>
      </w:r>
    </w:p>
    <w:p>
      <w:pPr>
        <w:pStyle w:val="TextBody"/>
        <w:spacing w:before="240" w:after="0"/>
        <w:jc w:val="left"/>
        <w:rPr>
          <w:rFonts w:ascii="Times New Roman" w:hAnsi="Times New Roman"/>
          <w:sz w:val="20"/>
        </w:rPr>
      </w:pPr>
      <w:r>
        <w:rPr>
          <w:rFonts w:ascii="Times New Roman" w:hAnsi="Times New Roman"/>
          <w:sz w:val="20"/>
        </w:rPr>
        <w:t xml:space="preserve">Dave management will host the conference call, followed by a question-and-answer period. The conference call details are as follows: </w:t>
      </w:r>
    </w:p>
    <w:p>
      <w:pPr>
        <w:pStyle w:val="TextBody"/>
        <w:spacing w:before="120" w:after="0"/>
        <w:jc w:val="left"/>
        <w:rPr>
          <w:rFonts w:ascii="Times New Roman" w:hAnsi="Times New Roman"/>
          <w:sz w:val="20"/>
        </w:rPr>
      </w:pPr>
      <w:r>
        <w:rPr>
          <w:rFonts w:ascii="Times New Roman" w:hAnsi="Times New Roman"/>
          <w:sz w:val="20"/>
        </w:rPr>
        <w:t xml:space="preserve">Date: Tuesday, May 9, 2023 </w:t>
      </w:r>
    </w:p>
    <w:p>
      <w:pPr>
        <w:pStyle w:val="TextBody"/>
        <w:spacing w:before="0" w:after="0"/>
        <w:jc w:val="left"/>
        <w:rPr>
          <w:rFonts w:ascii="Times New Roman" w:hAnsi="Times New Roman"/>
          <w:sz w:val="20"/>
        </w:rPr>
      </w:pPr>
      <w:r>
        <w:rPr>
          <w:rFonts w:ascii="Times New Roman" w:hAnsi="Times New Roman"/>
          <w:sz w:val="20"/>
        </w:rPr>
        <w:t xml:space="preserve">Time: 4:30 p.m. Eastern time </w:t>
      </w:r>
    </w:p>
    <w:p>
      <w:pPr>
        <w:pStyle w:val="TextBody"/>
        <w:spacing w:before="0" w:after="0"/>
        <w:jc w:val="left"/>
        <w:rPr>
          <w:rFonts w:ascii="Times New Roman" w:hAnsi="Times New Roman"/>
          <w:sz w:val="20"/>
        </w:rPr>
      </w:pPr>
      <w:r>
        <w:rPr>
          <w:rFonts w:ascii="Times New Roman" w:hAnsi="Times New Roman"/>
          <w:sz w:val="20"/>
        </w:rPr>
        <w:t xml:space="preserve">Dial-in number: (800) 715-9871 </w:t>
      </w:r>
    </w:p>
    <w:p>
      <w:pPr>
        <w:pStyle w:val="TextBody"/>
        <w:spacing w:before="0" w:after="0"/>
        <w:jc w:val="left"/>
        <w:rPr>
          <w:rFonts w:ascii="Times New Roman" w:hAnsi="Times New Roman"/>
          <w:sz w:val="20"/>
        </w:rPr>
      </w:pPr>
      <w:r>
        <w:rPr>
          <w:rFonts w:ascii="Times New Roman" w:hAnsi="Times New Roman"/>
          <w:sz w:val="20"/>
        </w:rPr>
        <w:t xml:space="preserve">Live webcast registration link: </w:t>
      </w:r>
      <w:r>
        <w:rPr>
          <w:rFonts w:ascii="Times New Roman" w:hAnsi="Times New Roman"/>
          <w:sz w:val="20"/>
          <w:u w:val="single"/>
        </w:rPr>
        <w:t>here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The conference call will also be available for replay in the Events section of the Companys website, along with the transcript, at </w:t>
      </w:r>
      <w:r>
        <w:rPr>
          <w:rFonts w:ascii="Times New Roman" w:hAnsi="Times New Roman"/>
          <w:sz w:val="20"/>
          <w:u w:val="single"/>
        </w:rPr>
        <w:t>https://investors.dave.com</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If you have any difficulty registering for or connecting to the conference call, please contact Elevate IR at DAVE@elevate-ir.com. </w:t>
      </w:r>
    </w:p>
    <w:p>
      <w:pPr>
        <w:pStyle w:val="TextBody"/>
        <w:spacing w:before="360" w:after="0"/>
        <w:jc w:val="left"/>
        <w:rPr>
          <w:rFonts w:ascii="Times New Roman" w:hAnsi="Times New Roman"/>
          <w:b/>
          <w:sz w:val="20"/>
        </w:rPr>
      </w:pPr>
      <w:r>
        <w:rPr>
          <w:rFonts w:ascii="Times New Roman" w:hAnsi="Times New Roman"/>
          <w:b/>
          <w:sz w:val="20"/>
        </w:rPr>
        <w:t xml:space="preserve">About Dave </w:t>
      </w:r>
    </w:p>
    <w:p>
      <w:pPr>
        <w:pStyle w:val="TextBody"/>
        <w:spacing w:before="120" w:after="0"/>
        <w:jc w:val="left"/>
        <w:rPr>
          <w:rFonts w:ascii="Times New Roman" w:hAnsi="Times New Roman"/>
          <w:sz w:val="20"/>
        </w:rPr>
      </w:pPr>
      <w:r>
        <w:rPr>
          <w:rFonts w:ascii="Times New Roman" w:hAnsi="Times New Roman"/>
          <w:sz w:val="20"/>
        </w:rPr>
        <w:t xml:space="preserve">Dave (NASDAQ: </w:t>
      </w:r>
      <w:r>
        <w:rPr>
          <w:rFonts w:ascii="Times New Roman" w:hAnsi="Times New Roman"/>
          <w:sz w:val="20"/>
          <w:u w:val="single"/>
        </w:rPr>
        <w:t>DAVE</w:t>
      </w:r>
      <w:r>
        <w:rPr>
          <w:rFonts w:ascii="Times New Roman" w:hAnsi="Times New Roman"/>
          <w:sz w:val="20"/>
        </w:rPr>
        <w:t xml:space="preserve">) is one of the leading U.S. neobanks and a pioneer in financial services, using disruptive technology to provide best in class banking services to millions of members, at a fraction of the cost compared to incumbents. The anchor of our banking value proposition, </w:t>
      </w:r>
      <w:r>
        <w:rPr>
          <w:rFonts w:ascii="Times New Roman" w:hAnsi="Times New Roman"/>
          <w:i/>
          <w:sz w:val="20"/>
        </w:rPr>
        <w:t>ExtraCash</w:t>
      </w:r>
      <w:r>
        <w:rPr>
          <w:rFonts w:ascii="Times New Roman" w:hAnsi="Times New Roman"/>
          <w:sz w:val="20"/>
        </w:rPr>
        <w:t xml:space="preserve"> </w:t>
      </w:r>
      <w:r>
        <w:rPr>
          <w:rFonts w:ascii="Times New Roman" w:hAnsi="Times New Roman"/>
          <w:i/>
          <w:sz w:val="20"/>
        </w:rPr>
        <w:t>Account</w:t>
      </w:r>
      <w:r>
        <w:rPr>
          <w:rFonts w:ascii="Times New Roman" w:hAnsi="Times New Roman"/>
          <w:sz w:val="20"/>
        </w:rPr>
        <w:t xml:space="preserve">, provides up to $500 of short term, interest free overdraft advances to members within minutes of joining. To learn more, visit: </w:t>
      </w:r>
      <w:r>
        <w:rPr>
          <w:rFonts w:ascii="Times New Roman" w:hAnsi="Times New Roman"/>
          <w:sz w:val="20"/>
          <w:u w:val="single"/>
        </w:rPr>
        <w:t>www.dave.com</w:t>
      </w:r>
    </w:p>
    <w:p>
      <w:pPr>
        <w:pStyle w:val="TextBody"/>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spacing w:before="120" w:after="0"/>
        <w:jc w:val="left"/>
        <w:rPr>
          <w:rFonts w:ascii="Times New Roman" w:hAnsi="Times New Roman"/>
          <w:sz w:val="20"/>
        </w:rPr>
      </w:pPr>
      <w:r>
        <w:rPr>
          <w:rFonts w:ascii="Times New Roman" w:hAnsi="Times New Roman"/>
          <w:sz w:val="20"/>
        </w:rPr>
        <w:t xml:space="preserve">This press release includes forward-looking statements, which are subject to the safe harbor provisions of the U.S. Private Securities Litigation Reform Act of 1995. These statements may be identified by words such as feel, believes, expects, estimates, projects, intends, should, is to be, or the negative of such terms, or other comparable terminology and include, among other things, the quotations of our Chief Executive Officer and Chief Financial Officer relating to Daves future performance and growth, fiscal year 2023 guidance, expected timing of meeting Adjusted EBITDA profitability, plans for marketing spend and other statements about future events. Such forward-looking statements are not guarantees of future performance and are subject to risks and uncertainties, which could cause actual results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differ materially from the forward-looking statements contained herein due to many factors, including, but not limited to: the ability of Dave to compete in its highly competitive industry; the ability of Dave to keep pace with the rapid technological developments in its industry and the larger financial services industry; the ability of Dave to manage its growth as a public company; disruptions to Daves operations as a result of becoming a public company; the ability of Dave to remediate material weaknesses in Daves internal controls over financial reporting and maintain an effective system of internal control over financial reporting; the ability of Dave to protect intellectual property and trade secrets; changes in applicable laws or regulations and extensive and evolving government regulations that impact operations and business; the ability to attract or maintain a qualified workforce; level of product service failures that could lead Dave members to use competitors services; investigations, claims, disputes, enforcement actions, litigation and/or other regulatory or legal proceedings; the possibility that Dave may be adversely affected by other economic, business, and/or competitive factors; and those factors discussed in Daves Annual Report on Form 10-K filed with the Securities and Exchange Commission (the SEC) on March 13, 2023 and subsequent Quarterly Reports on Form 10-Q under the heading Risk Factors, filed with the SEC and other reports and documents Dave files from time to time with the SEC. Any forward-looking statements speak only as of the date on which they are made, and Dave undertakes no obligation to update any forward-looking statement to reflect events or circumstances after the date of this press release. </w:t>
      </w:r>
    </w:p>
    <w:p>
      <w:pPr>
        <w:pStyle w:val="TextBody"/>
        <w:spacing w:before="360" w:after="0"/>
        <w:jc w:val="left"/>
        <w:rPr>
          <w:rFonts w:ascii="Times New Roman" w:hAnsi="Times New Roman"/>
          <w:b/>
          <w:sz w:val="20"/>
        </w:rPr>
      </w:pPr>
      <w:r>
        <w:rPr>
          <w:rFonts w:ascii="Times New Roman" w:hAnsi="Times New Roman"/>
          <w:b/>
          <w:sz w:val="20"/>
        </w:rPr>
        <w:t xml:space="preserve">Non-GAAP Financial Information </w:t>
      </w:r>
    </w:p>
    <w:p>
      <w:pPr>
        <w:pStyle w:val="TextBody"/>
        <w:spacing w:before="120" w:after="0"/>
        <w:jc w:val="left"/>
        <w:rPr>
          <w:rFonts w:ascii="Times New Roman" w:hAnsi="Times New Roman"/>
          <w:sz w:val="20"/>
        </w:rPr>
      </w:pPr>
      <w:r>
        <w:rPr>
          <w:rFonts w:ascii="Times New Roman" w:hAnsi="Times New Roman"/>
          <w:sz w:val="20"/>
        </w:rPr>
        <w:t xml:space="preserve">This press release contains references to Adjusted EBITDA, non-GAAP operating revenues, non-GAAP variable operating expenses, non-GAAP variable profit and non-GAAP variable profit margin of Dave, which are adjusted from results based on generally accepted accounting principles in the United States (GAAP) and exclude certain expenses, gains and losses. The Company defines and calculates Adjusted EBITDA as net loss attributable to Dave before the impact of interest income or expense, provision/(benefit) for income taxes, depreciation and amortization, and adjusted to exclude legal settlement and litigation expenses, other non-recurring strategic financing and transaction expenses, stock-based compensation expense, and certain other non-core items. The Company defines and calculates non-GAAP operating revenues as operating revenues, net excluding direct loan origination costs, ATM fees, and interchange fees. The Company defines and calculates non-GAAP variable operating expenses as operating expenses excluding non-variable operating expenses. The Company defines non-variable operating expenses as all advertising and marketing operating expenses, compensation and benefits operating expenses, and certain operating expenses (legal, rent, technology/infrastructure, depreciation, amortization, charitable contributions, other operating expenses, upfront Member account activation costs and upfront Dave Banking expenses). The Company defines and calculates non-GAAP variable profit as non-GAAP operating revenues excluding non-GAAP operating expenses. The Company defines and calculates non-GAAP variable profit margin as non-GAAP variable profit as a percent of non-GAAP operating revenues.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These non-GAAP financial measures may be helpful to the user in assessing our operating performance and facilitates an alternative comparison among fiscal periods. The Companys management team uses these non-GAAP financial measures in assessing performance, as well as in planning and forecasting future periods. These non-GAAP financial measures are not computed according to GAAP and the methods the Company uses to compute them may differ from the methods used by other companies. Non-GAAP financial measures are supplemental, should not be considered a substitute for financial information presented in accordance with GAAP and should be read only in conjunction with our consolidated financial statements prepared in accordance with GAAP. </w:t>
      </w:r>
    </w:p>
    <w:p>
      <w:pPr>
        <w:pStyle w:val="TextBody"/>
        <w:spacing w:before="240" w:after="0"/>
        <w:jc w:val="left"/>
        <w:rPr>
          <w:rFonts w:ascii="Times New Roman" w:hAnsi="Times New Roman"/>
          <w:sz w:val="20"/>
        </w:rPr>
      </w:pPr>
      <w:r>
        <w:rPr>
          <w:rFonts w:ascii="Times New Roman" w:hAnsi="Times New Roman"/>
          <w:sz w:val="20"/>
        </w:rPr>
        <w:t xml:space="preserve">Refer to the section further below for a reconciliation of these non-GAAP financial measures to their most directly comparable GAAP measures for the three months ended March 31, 2023 and 2022. </w:t>
      </w:r>
    </w:p>
    <w:p>
      <w:pPr>
        <w:pStyle w:val="TextBody"/>
        <w:spacing w:before="360" w:after="0"/>
        <w:jc w:val="left"/>
        <w:rPr>
          <w:rFonts w:ascii="Times New Roman" w:hAnsi="Times New Roman"/>
          <w:b/>
          <w:sz w:val="20"/>
        </w:rPr>
      </w:pPr>
      <w:r>
        <w:rPr>
          <w:rFonts w:ascii="Times New Roman" w:hAnsi="Times New Roman"/>
          <w:b/>
          <w:sz w:val="20"/>
        </w:rPr>
        <w:t xml:space="preserve">Certain Other Terms </w:t>
      </w:r>
    </w:p>
    <w:p>
      <w:pPr>
        <w:pStyle w:val="TextBody"/>
        <w:spacing w:before="120" w:after="0"/>
        <w:jc w:val="left"/>
        <w:rPr>
          <w:rFonts w:ascii="Times New Roman" w:hAnsi="Times New Roman"/>
          <w:sz w:val="20"/>
        </w:rPr>
      </w:pPr>
      <w:r>
        <w:rPr>
          <w:rFonts w:ascii="Times New Roman" w:hAnsi="Times New Roman"/>
          <w:sz w:val="20"/>
        </w:rPr>
        <w:t xml:space="preserve">Dave defines Net New Members as the number of new Members who join the Dave platform in a given period by connecting an existing bank account to the Dave service or by opening a new Dave Banking account, net of the number of accounts deleted by Members or closed by the Company in the same period. Total Members is defined as the number of unique Members that have either connected an existing bank account to the Dave service or have opened a Dave Banking account, less the number of accounts deleted by Members or closed by Dave, as measured at the end of a period. The number of Monthly Transacting Members represents the unique number of Members who have made a funding, spending, ExtraCash or subscription transaction within a particular month, measured as the average over a given period. Transactions Per Monthly Transacting Member measures the average number of transactions initiated per Monthly Transacting Member in each month, measured as the average over a given period. </w:t>
      </w:r>
    </w:p>
    <w:p>
      <w:pPr>
        <w:pStyle w:val="TextBody"/>
        <w:spacing w:before="360" w:after="0"/>
        <w:jc w:val="left"/>
        <w:rPr>
          <w:rFonts w:ascii="Times New Roman" w:hAnsi="Times New Roman"/>
          <w:b/>
          <w:sz w:val="20"/>
        </w:rPr>
      </w:pPr>
      <w:r>
        <w:rPr>
          <w:rFonts w:ascii="Times New Roman" w:hAnsi="Times New Roman"/>
          <w:b/>
          <w:sz w:val="20"/>
        </w:rPr>
        <w:t xml:space="preserve">Investor Relations Contact </w:t>
      </w:r>
    </w:p>
    <w:p>
      <w:pPr>
        <w:pStyle w:val="TextBody"/>
        <w:spacing w:before="120" w:after="0"/>
        <w:jc w:val="left"/>
        <w:rPr>
          <w:rFonts w:ascii="Times New Roman" w:hAnsi="Times New Roman"/>
          <w:sz w:val="20"/>
        </w:rPr>
      </w:pPr>
      <w:r>
        <w:rPr>
          <w:rFonts w:ascii="Times New Roman" w:hAnsi="Times New Roman"/>
          <w:sz w:val="20"/>
        </w:rPr>
        <w:t xml:space="preserve">Sean Mansouri, CFA </w:t>
      </w:r>
    </w:p>
    <w:p>
      <w:pPr>
        <w:pStyle w:val="TextBody"/>
        <w:spacing w:before="0" w:after="0"/>
        <w:jc w:val="left"/>
        <w:rPr>
          <w:rFonts w:ascii="Times New Roman" w:hAnsi="Times New Roman"/>
          <w:sz w:val="20"/>
        </w:rPr>
      </w:pPr>
      <w:r>
        <w:rPr>
          <w:rFonts w:ascii="Times New Roman" w:hAnsi="Times New Roman"/>
          <w:sz w:val="20"/>
        </w:rPr>
        <w:t xml:space="preserve">Elevate IR </w:t>
      </w:r>
    </w:p>
    <w:p>
      <w:pPr>
        <w:pStyle w:val="TextBody"/>
        <w:spacing w:before="0" w:after="0"/>
        <w:jc w:val="left"/>
        <w:rPr>
          <w:rFonts w:ascii="Times New Roman" w:hAnsi="Times New Roman"/>
          <w:sz w:val="20"/>
        </w:rPr>
      </w:pPr>
      <w:r>
        <w:rPr>
          <w:rFonts w:ascii="Times New Roman" w:hAnsi="Times New Roman"/>
          <w:sz w:val="20"/>
          <w:u w:val="single"/>
        </w:rPr>
        <w:t>DAVE@elevate-ir.com</w:t>
      </w:r>
      <w:r>
        <w:rPr>
          <w:rFonts w:ascii="Times New Roman" w:hAnsi="Times New Roman"/>
          <w:sz w:val="20"/>
        </w:rPr>
        <w:t xml:space="preserve"> </w:t>
      </w:r>
    </w:p>
    <w:p>
      <w:pPr>
        <w:pStyle w:val="TextBody"/>
        <w:spacing w:before="360" w:after="0"/>
        <w:jc w:val="left"/>
        <w:rPr>
          <w:rFonts w:ascii="Times New Roman" w:hAnsi="Times New Roman"/>
          <w:b/>
          <w:sz w:val="20"/>
        </w:rPr>
      </w:pPr>
      <w:r>
        <w:rPr>
          <w:rFonts w:ascii="Times New Roman" w:hAnsi="Times New Roman"/>
          <w:b/>
          <w:sz w:val="20"/>
        </w:rPr>
        <w:t xml:space="preserve">Media Contact </w:t>
      </w:r>
    </w:p>
    <w:p>
      <w:pPr>
        <w:pStyle w:val="TextBody"/>
        <w:spacing w:before="120" w:after="0"/>
        <w:jc w:val="left"/>
        <w:rPr>
          <w:rFonts w:ascii="Times New Roman" w:hAnsi="Times New Roman"/>
          <w:sz w:val="20"/>
        </w:rPr>
      </w:pPr>
      <w:r>
        <w:rPr>
          <w:rFonts w:ascii="Times New Roman" w:hAnsi="Times New Roman"/>
          <w:sz w:val="20"/>
        </w:rPr>
        <w:t xml:space="preserve">Kira Sarkisian </w:t>
      </w:r>
    </w:p>
    <w:p>
      <w:pPr>
        <w:pStyle w:val="TextBody"/>
        <w:spacing w:before="0" w:after="0"/>
        <w:jc w:val="left"/>
        <w:rPr>
          <w:rFonts w:ascii="Times New Roman" w:hAnsi="Times New Roman"/>
          <w:sz w:val="20"/>
        </w:rPr>
      </w:pPr>
      <w:r>
        <w:rPr>
          <w:rFonts w:ascii="Times New Roman" w:hAnsi="Times New Roman"/>
          <w:sz w:val="20"/>
          <w:u w:val="single"/>
        </w:rPr>
        <w:t>press@dave.com</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DAVE INC. </w:t>
      </w:r>
    </w:p>
    <w:p>
      <w:pPr>
        <w:pStyle w:val="TextBody"/>
        <w:spacing w:before="0" w:after="0"/>
        <w:jc w:val="center"/>
        <w:rPr>
          <w:rFonts w:ascii="Times New Roman" w:hAnsi="Times New Roman"/>
          <w:b/>
          <w:sz w:val="20"/>
        </w:rPr>
      </w:pPr>
      <w:r>
        <w:rPr>
          <w:rFonts w:ascii="Times New Roman" w:hAnsi="Times New Roman"/>
          <w:b/>
          <w:sz w:val="20"/>
        </w:rPr>
        <w:t xml:space="preserve">CONDENSED CONSOLIDATED STATEMENTS OF OPERATIONS </w:t>
      </w:r>
    </w:p>
    <w:p>
      <w:pPr>
        <w:pStyle w:val="TextBody"/>
        <w:spacing w:before="0" w:after="0"/>
        <w:jc w:val="center"/>
        <w:rPr>
          <w:rFonts w:ascii="Times New Roman" w:hAnsi="Times New Roman"/>
          <w:sz w:val="20"/>
        </w:rPr>
      </w:pPr>
      <w:r>
        <w:rPr>
          <w:rFonts w:ascii="Times New Roman" w:hAnsi="Times New Roman"/>
          <w:sz w:val="20"/>
        </w:rPr>
        <w:t xml:space="preserve">(in millions)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736"/>
        <w:gridCol w:w="551"/>
        <w:gridCol w:w="395"/>
        <w:gridCol w:w="1466"/>
        <w:gridCol w:w="438"/>
        <w:gridCol w:w="597"/>
        <w:gridCol w:w="395"/>
        <w:gridCol w:w="1469"/>
        <w:gridCol w:w="158"/>
      </w:tblGrid>
      <w:tr>
        <w:trPr/>
        <w:tc>
          <w:tcPr>
            <w:tcW w:w="4736"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1466"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146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736" w:type="dxa"/>
            <w:tcBorders/>
            <w:shd w:fill="auto" w:val="clear"/>
            <w:vAlign w:val="bottom"/>
          </w:tcPr>
          <w:p>
            <w:pPr>
              <w:pStyle w:val="TableContents"/>
              <w:spacing w:before="0" w:after="283"/>
              <w:rPr/>
            </w:pPr>
            <w:r>
              <w:rPr/>
              <w:t> </w:t>
            </w:r>
          </w:p>
        </w:tc>
        <w:tc>
          <w:tcPr>
            <w:tcW w:w="551" w:type="dxa"/>
            <w:tcBorders/>
            <w:shd w:fill="auto" w:val="clear"/>
            <w:vAlign w:val="bottom"/>
          </w:tcPr>
          <w:p>
            <w:pPr>
              <w:pStyle w:val="TableContents"/>
              <w:spacing w:before="0" w:after="283"/>
              <w:rPr/>
            </w:pPr>
            <w:r>
              <w:rPr/>
              <w:t>  </w:t>
            </w:r>
          </w:p>
        </w:tc>
        <w:tc>
          <w:tcPr>
            <w:tcW w:w="4760" w:type="dxa"/>
            <w:gridSpan w:val="6"/>
            <w:tcBorders>
              <w:bottom w:val="single" w:sz="8" w:space="0" w:color="000000"/>
            </w:tcBorders>
            <w:shd w:fill="auto" w:val="clear"/>
            <w:tcMar>
              <w:bottom w:w="28" w:type="dxa"/>
            </w:tcMar>
            <w:vAlign w:val="bottom"/>
          </w:tcPr>
          <w:p>
            <w:pPr>
              <w:pStyle w:val="TableContents"/>
              <w:spacing w:before="0" w:after="283"/>
              <w:jc w:val="center"/>
              <w:rPr/>
            </w:pPr>
            <w:r>
              <w:rPr/>
              <w:t>    </w:t>
            </w:r>
            <w:r>
              <w:rPr>
                <w:b/>
              </w:rPr>
              <w:t>For the Three Months Ended March 31,    </w:t>
            </w:r>
          </w:p>
        </w:tc>
        <w:tc>
          <w:tcPr>
            <w:tcW w:w="158" w:type="dxa"/>
            <w:tcBorders/>
            <w:shd w:fill="auto" w:val="clear"/>
            <w:vAlign w:val="bottom"/>
          </w:tcPr>
          <w:p>
            <w:pPr>
              <w:pStyle w:val="TableContents"/>
              <w:spacing w:before="0" w:after="283"/>
              <w:rPr/>
            </w:pPr>
            <w:r>
              <w:rPr/>
              <w:t> </w:t>
            </w:r>
          </w:p>
        </w:tc>
      </w:tr>
      <w:tr>
        <w:trPr/>
        <w:tc>
          <w:tcPr>
            <w:tcW w:w="4736" w:type="dxa"/>
            <w:tcBorders/>
            <w:shd w:fill="auto" w:val="clear"/>
            <w:vAlign w:val="bottom"/>
          </w:tcPr>
          <w:p>
            <w:pPr>
              <w:pStyle w:val="TableContents"/>
              <w:spacing w:before="0" w:after="283"/>
              <w:rPr/>
            </w:pPr>
            <w:r>
              <w:rPr/>
              <w:t> </w:t>
            </w:r>
          </w:p>
        </w:tc>
        <w:tc>
          <w:tcPr>
            <w:tcW w:w="551" w:type="dxa"/>
            <w:tcBorders/>
            <w:shd w:fill="auto" w:val="clear"/>
            <w:vAlign w:val="bottom"/>
          </w:tcPr>
          <w:p>
            <w:pPr>
              <w:pStyle w:val="TableContents"/>
              <w:spacing w:before="0" w:after="283"/>
              <w:rPr/>
            </w:pPr>
            <w:r>
              <w:rPr/>
              <w:t>  </w:t>
            </w:r>
          </w:p>
        </w:tc>
        <w:tc>
          <w:tcPr>
            <w:tcW w:w="186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438" w:type="dxa"/>
            <w:tcBorders/>
            <w:shd w:fill="auto" w:val="clear"/>
            <w:vAlign w:val="bottom"/>
          </w:tcPr>
          <w:p>
            <w:pPr>
              <w:pStyle w:val="TableContents"/>
              <w:spacing w:before="0" w:after="283"/>
              <w:rPr/>
            </w:pPr>
            <w:r>
              <w:rPr/>
              <w:t> </w:t>
            </w:r>
          </w:p>
        </w:tc>
        <w:tc>
          <w:tcPr>
            <w:tcW w:w="597" w:type="dxa"/>
            <w:tcBorders/>
            <w:shd w:fill="auto" w:val="clear"/>
            <w:vAlign w:val="bottom"/>
          </w:tcPr>
          <w:p>
            <w:pPr>
              <w:pStyle w:val="TableContents"/>
              <w:spacing w:before="0" w:after="283"/>
              <w:rPr/>
            </w:pPr>
            <w:r>
              <w:rPr/>
              <w:t> </w:t>
            </w:r>
          </w:p>
        </w:tc>
        <w:tc>
          <w:tcPr>
            <w:tcW w:w="186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58" w:type="dxa"/>
            <w:tcBorders/>
            <w:shd w:fill="auto" w:val="clear"/>
            <w:vAlign w:val="bottom"/>
          </w:tcPr>
          <w:p>
            <w:pPr>
              <w:pStyle w:val="TableContents"/>
              <w:spacing w:before="0" w:after="283"/>
              <w:rPr/>
            </w:pPr>
            <w:r>
              <w:rPr/>
              <w:t> </w:t>
            </w:r>
          </w:p>
        </w:tc>
      </w:tr>
      <w:tr>
        <w:trPr/>
        <w:tc>
          <w:tcPr>
            <w:tcW w:w="4736" w:type="dxa"/>
            <w:tcBorders/>
            <w:shd w:fill="CCEEFF" w:val="clear"/>
          </w:tcPr>
          <w:p>
            <w:pPr>
              <w:pStyle w:val="TableContents"/>
              <w:spacing w:before="0" w:after="0"/>
              <w:rPr>
                <w:rFonts w:ascii="Times New Roman" w:hAnsi="Times New Roman"/>
                <w:b/>
                <w:sz w:val="20"/>
              </w:rPr>
            </w:pPr>
            <w:r>
              <w:rPr>
                <w:rFonts w:ascii="Times New Roman" w:hAnsi="Times New Roman"/>
                <w:b/>
                <w:sz w:val="20"/>
              </w:rPr>
              <w:t>Operating revenues:</w:t>
            </w:r>
          </w:p>
        </w:tc>
        <w:tc>
          <w:tcPr>
            <w:tcW w:w="551"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sz w:val="4"/>
                <w:szCs w:val="4"/>
              </w:rPr>
            </w:pPr>
            <w:r>
              <w:rPr>
                <w:sz w:val="4"/>
                <w:szCs w:val="4"/>
              </w:rPr>
            </w:r>
          </w:p>
        </w:tc>
        <w:tc>
          <w:tcPr>
            <w:tcW w:w="1466" w:type="dxa"/>
            <w:tcBorders/>
            <w:shd w:fill="CCEEFF" w:val="clear"/>
            <w:vAlign w:val="bottom"/>
          </w:tcPr>
          <w:p>
            <w:pPr>
              <w:pStyle w:val="TableContents"/>
              <w:spacing w:before="0" w:after="283"/>
              <w:rPr>
                <w:sz w:val="4"/>
                <w:szCs w:val="4"/>
              </w:rPr>
            </w:pPr>
            <w:r>
              <w:rPr>
                <w:sz w:val="4"/>
                <w:szCs w:val="4"/>
              </w:rPr>
            </w:r>
          </w:p>
        </w:tc>
        <w:tc>
          <w:tcPr>
            <w:tcW w:w="438" w:type="dxa"/>
            <w:tcBorders/>
            <w:shd w:fill="CCEEFF" w:val="clear"/>
            <w:vAlign w:val="bottom"/>
          </w:tcPr>
          <w:p>
            <w:pPr>
              <w:pStyle w:val="TableContents"/>
              <w:spacing w:before="0" w:after="283"/>
              <w:rPr>
                <w:sz w:val="4"/>
                <w:szCs w:val="4"/>
              </w:rPr>
            </w:pPr>
            <w:r>
              <w:rPr>
                <w:sz w:val="4"/>
                <w:szCs w:val="4"/>
              </w:rPr>
            </w:r>
          </w:p>
        </w:tc>
        <w:tc>
          <w:tcPr>
            <w:tcW w:w="597"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sz w:val="4"/>
                <w:szCs w:val="4"/>
              </w:rPr>
            </w:pPr>
            <w:r>
              <w:rPr>
                <w:sz w:val="4"/>
                <w:szCs w:val="4"/>
              </w:rPr>
            </w:r>
          </w:p>
        </w:tc>
        <w:tc>
          <w:tcPr>
            <w:tcW w:w="1469"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r>
      <w:tr>
        <w:trPr/>
        <w:tc>
          <w:tcPr>
            <w:tcW w:w="4736" w:type="dxa"/>
            <w:tcBorders/>
            <w:shd w:fill="auto" w:val="clear"/>
          </w:tcPr>
          <w:p>
            <w:pPr>
              <w:pStyle w:val="TableContents"/>
              <w:spacing w:before="0" w:after="0"/>
              <w:rPr>
                <w:rFonts w:ascii="Times New Roman" w:hAnsi="Times New Roman"/>
                <w:sz w:val="20"/>
              </w:rPr>
            </w:pPr>
            <w:r>
              <w:rPr>
                <w:rFonts w:ascii="Times New Roman" w:hAnsi="Times New Roman"/>
                <w:sz w:val="20"/>
              </w:rPr>
              <w:t>Service based revenue, net</w:t>
            </w:r>
          </w:p>
        </w:tc>
        <w:tc>
          <w:tcPr>
            <w:tcW w:w="551"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w:t>
            </w:r>
          </w:p>
        </w:tc>
        <w:tc>
          <w:tcPr>
            <w:tcW w:w="1466" w:type="dxa"/>
            <w:tcBorders/>
            <w:shd w:fill="auto" w:val="clear"/>
            <w:vAlign w:val="bottom"/>
          </w:tcPr>
          <w:p>
            <w:pPr>
              <w:pStyle w:val="TableContents"/>
              <w:spacing w:before="0" w:after="283"/>
              <w:jc w:val="right"/>
              <w:rPr/>
            </w:pPr>
            <w:r>
              <w:rPr/>
              <w:t>52.6</w:t>
            </w:r>
          </w:p>
        </w:tc>
        <w:tc>
          <w:tcPr>
            <w:tcW w:w="438" w:type="dxa"/>
            <w:tcBorders/>
            <w:shd w:fill="auto" w:val="clear"/>
            <w:vAlign w:val="bottom"/>
          </w:tcPr>
          <w:p>
            <w:pPr>
              <w:pStyle w:val="TableContents"/>
              <w:spacing w:before="0" w:after="283"/>
              <w:rPr/>
            </w:pPr>
            <w:r>
              <w:rPr/>
              <w:t> </w:t>
            </w:r>
          </w:p>
        </w:tc>
        <w:tc>
          <w:tcPr>
            <w:tcW w:w="597"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w:t>
            </w:r>
          </w:p>
        </w:tc>
        <w:tc>
          <w:tcPr>
            <w:tcW w:w="1469" w:type="dxa"/>
            <w:tcBorders/>
            <w:shd w:fill="auto" w:val="clear"/>
            <w:vAlign w:val="bottom"/>
          </w:tcPr>
          <w:p>
            <w:pPr>
              <w:pStyle w:val="TableContents"/>
              <w:spacing w:before="0" w:after="283"/>
              <w:jc w:val="right"/>
              <w:rPr/>
            </w:pPr>
            <w:r>
              <w:rPr/>
              <w:t>39.3</w:t>
            </w:r>
          </w:p>
        </w:tc>
        <w:tc>
          <w:tcPr>
            <w:tcW w:w="158" w:type="dxa"/>
            <w:tcBorders/>
            <w:shd w:fill="auto" w:val="clear"/>
            <w:vAlign w:val="bottom"/>
          </w:tcPr>
          <w:p>
            <w:pPr>
              <w:pStyle w:val="TableContents"/>
              <w:spacing w:before="0" w:after="283"/>
              <w:rPr/>
            </w:pPr>
            <w:r>
              <w:rPr/>
              <w:t> </w:t>
            </w:r>
          </w:p>
        </w:tc>
      </w:tr>
      <w:tr>
        <w:trPr/>
        <w:tc>
          <w:tcPr>
            <w:tcW w:w="4736" w:type="dxa"/>
            <w:tcBorders/>
            <w:shd w:fill="CCEEFF" w:val="clear"/>
          </w:tcPr>
          <w:p>
            <w:pPr>
              <w:pStyle w:val="TableContents"/>
              <w:spacing w:before="0" w:after="0"/>
              <w:rPr>
                <w:rFonts w:ascii="Times New Roman" w:hAnsi="Times New Roman"/>
                <w:sz w:val="20"/>
              </w:rPr>
            </w:pPr>
            <w:r>
              <w:rPr>
                <w:rFonts w:ascii="Times New Roman" w:hAnsi="Times New Roman"/>
                <w:sz w:val="20"/>
              </w:rPr>
              <w:t>Transaction based revenue, net</w:t>
            </w:r>
          </w:p>
        </w:tc>
        <w:tc>
          <w:tcPr>
            <w:tcW w:w="551"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466" w:type="dxa"/>
            <w:tcBorders/>
            <w:shd w:fill="CCEEFF" w:val="clear"/>
            <w:vAlign w:val="bottom"/>
          </w:tcPr>
          <w:p>
            <w:pPr>
              <w:pStyle w:val="TableContents"/>
              <w:spacing w:before="0" w:after="283"/>
              <w:jc w:val="right"/>
              <w:rPr/>
            </w:pPr>
            <w:r>
              <w:rPr/>
              <w:t>6.3</w:t>
            </w:r>
          </w:p>
        </w:tc>
        <w:tc>
          <w:tcPr>
            <w:tcW w:w="438" w:type="dxa"/>
            <w:tcBorders/>
            <w:shd w:fill="CCEEFF" w:val="clear"/>
            <w:vAlign w:val="bottom"/>
          </w:tcPr>
          <w:p>
            <w:pPr>
              <w:pStyle w:val="TableContents"/>
              <w:spacing w:before="0" w:after="283"/>
              <w:rPr/>
            </w:pPr>
            <w:r>
              <w:rPr/>
              <w:t> </w:t>
            </w:r>
          </w:p>
        </w:tc>
        <w:tc>
          <w:tcPr>
            <w:tcW w:w="597"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469" w:type="dxa"/>
            <w:tcBorders/>
            <w:shd w:fill="CCEEFF" w:val="clear"/>
            <w:vAlign w:val="bottom"/>
          </w:tcPr>
          <w:p>
            <w:pPr>
              <w:pStyle w:val="TableContents"/>
              <w:spacing w:before="0" w:after="283"/>
              <w:jc w:val="right"/>
              <w:rPr/>
            </w:pPr>
            <w:r>
              <w:rPr/>
              <w:t>3.3</w:t>
            </w:r>
          </w:p>
        </w:tc>
        <w:tc>
          <w:tcPr>
            <w:tcW w:w="158" w:type="dxa"/>
            <w:tcBorders/>
            <w:shd w:fill="CCEEFF" w:val="clear"/>
            <w:vAlign w:val="bottom"/>
          </w:tcPr>
          <w:p>
            <w:pPr>
              <w:pStyle w:val="TableContents"/>
              <w:spacing w:before="0" w:after="283"/>
              <w:rPr/>
            </w:pPr>
            <w:r>
              <w:rPr/>
              <w:t> </w:t>
            </w:r>
          </w:p>
        </w:tc>
      </w:tr>
      <w:tr>
        <w:trPr/>
        <w:tc>
          <w:tcPr>
            <w:tcW w:w="4736" w:type="dxa"/>
            <w:tcBorders/>
            <w:shd w:fill="auto" w:val="clear"/>
            <w:vAlign w:val="bottom"/>
          </w:tcPr>
          <w:p>
            <w:pPr>
              <w:pStyle w:val="TableContents"/>
              <w:spacing w:before="0" w:after="283"/>
              <w:rPr>
                <w:sz w:val="4"/>
                <w:szCs w:val="4"/>
              </w:rPr>
            </w:pPr>
            <w:r>
              <w:rPr>
                <w:sz w:val="4"/>
                <w:szCs w:val="4"/>
              </w:rPr>
            </w:r>
          </w:p>
        </w:tc>
        <w:tc>
          <w:tcPr>
            <w:tcW w:w="551"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pBdr>
                <w:top w:val="single" w:sz="2" w:space="1" w:color="000000"/>
              </w:pBdr>
              <w:spacing w:before="0" w:after="0"/>
              <w:rPr/>
            </w:pPr>
            <w:r>
              <w:rPr/>
              <w:t> </w:t>
            </w:r>
          </w:p>
        </w:tc>
        <w:tc>
          <w:tcPr>
            <w:tcW w:w="1466" w:type="dxa"/>
            <w:tcBorders/>
            <w:shd w:fill="auto" w:val="clear"/>
            <w:vAlign w:val="bottom"/>
          </w:tcPr>
          <w:p>
            <w:pPr>
              <w:pStyle w:val="TableContents"/>
              <w:pBdr>
                <w:top w:val="single" w:sz="2" w:space="1" w:color="000000"/>
              </w:pBdr>
              <w:spacing w:before="0" w:after="0"/>
              <w:rPr/>
            </w:pPr>
            <w:r>
              <w:rPr/>
              <w:t> </w:t>
            </w:r>
          </w:p>
        </w:tc>
        <w:tc>
          <w:tcPr>
            <w:tcW w:w="438" w:type="dxa"/>
            <w:tcBorders/>
            <w:shd w:fill="auto" w:val="clear"/>
            <w:vAlign w:val="center"/>
          </w:tcPr>
          <w:p>
            <w:pPr>
              <w:pStyle w:val="TableContents"/>
              <w:spacing w:before="0" w:after="283"/>
              <w:rPr/>
            </w:pPr>
            <w:r>
              <w:rPr/>
              <w:t> </w:t>
            </w:r>
          </w:p>
        </w:tc>
        <w:tc>
          <w:tcPr>
            <w:tcW w:w="597"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pBdr>
                <w:top w:val="single" w:sz="2" w:space="1" w:color="000000"/>
              </w:pBdr>
              <w:spacing w:before="0" w:after="0"/>
              <w:rPr/>
            </w:pPr>
            <w:r>
              <w:rPr/>
              <w:t> </w:t>
            </w:r>
          </w:p>
        </w:tc>
        <w:tc>
          <w:tcPr>
            <w:tcW w:w="1469"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4736"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operating revenues, net</w:t>
            </w:r>
          </w:p>
        </w:tc>
        <w:tc>
          <w:tcPr>
            <w:tcW w:w="551"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466" w:type="dxa"/>
            <w:tcBorders/>
            <w:shd w:fill="auto" w:val="clear"/>
            <w:vAlign w:val="bottom"/>
          </w:tcPr>
          <w:p>
            <w:pPr>
              <w:pStyle w:val="TableContents"/>
              <w:spacing w:before="0" w:after="283"/>
              <w:jc w:val="right"/>
              <w:rPr>
                <w:b/>
              </w:rPr>
            </w:pPr>
            <w:r>
              <w:rPr>
                <w:b/>
              </w:rPr>
              <w:t>58.9</w:t>
            </w:r>
          </w:p>
        </w:tc>
        <w:tc>
          <w:tcPr>
            <w:tcW w:w="438" w:type="dxa"/>
            <w:tcBorders/>
            <w:shd w:fill="auto" w:val="clear"/>
            <w:vAlign w:val="bottom"/>
          </w:tcPr>
          <w:p>
            <w:pPr>
              <w:pStyle w:val="TableContents"/>
              <w:spacing w:before="0" w:after="283"/>
              <w:rPr/>
            </w:pPr>
            <w:r>
              <w:rPr/>
              <w:t> </w:t>
            </w:r>
          </w:p>
        </w:tc>
        <w:tc>
          <w:tcPr>
            <w:tcW w:w="597"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469" w:type="dxa"/>
            <w:tcBorders/>
            <w:shd w:fill="auto" w:val="clear"/>
            <w:vAlign w:val="bottom"/>
          </w:tcPr>
          <w:p>
            <w:pPr>
              <w:pStyle w:val="TableContents"/>
              <w:spacing w:before="0" w:after="283"/>
              <w:jc w:val="right"/>
              <w:rPr>
                <w:b/>
              </w:rPr>
            </w:pPr>
            <w:r>
              <w:rPr>
                <w:b/>
              </w:rPr>
              <w:t>42.6</w:t>
            </w:r>
          </w:p>
        </w:tc>
        <w:tc>
          <w:tcPr>
            <w:tcW w:w="158" w:type="dxa"/>
            <w:tcBorders/>
            <w:shd w:fill="auto" w:val="clear"/>
            <w:vAlign w:val="bottom"/>
          </w:tcPr>
          <w:p>
            <w:pPr>
              <w:pStyle w:val="TableContents"/>
              <w:spacing w:before="0" w:after="283"/>
              <w:rPr/>
            </w:pPr>
            <w:r>
              <w:rPr/>
              <w:t> </w:t>
            </w:r>
          </w:p>
        </w:tc>
      </w:tr>
      <w:tr>
        <w:trPr/>
        <w:tc>
          <w:tcPr>
            <w:tcW w:w="4736" w:type="dxa"/>
            <w:tcBorders/>
            <w:shd w:fill="CCEEFF" w:val="clear"/>
          </w:tcPr>
          <w:p>
            <w:pPr>
              <w:pStyle w:val="TableContents"/>
              <w:spacing w:before="0" w:after="0"/>
              <w:rPr>
                <w:rFonts w:ascii="Times New Roman" w:hAnsi="Times New Roman"/>
                <w:b/>
                <w:sz w:val="20"/>
              </w:rPr>
            </w:pPr>
            <w:r>
              <w:rPr>
                <w:rFonts w:ascii="Times New Roman" w:hAnsi="Times New Roman"/>
                <w:b/>
                <w:sz w:val="20"/>
              </w:rPr>
              <w:t>Operating expenses:</w:t>
            </w:r>
          </w:p>
        </w:tc>
        <w:tc>
          <w:tcPr>
            <w:tcW w:w="551"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sz w:val="4"/>
                <w:szCs w:val="4"/>
              </w:rPr>
            </w:pPr>
            <w:r>
              <w:rPr>
                <w:sz w:val="4"/>
                <w:szCs w:val="4"/>
              </w:rPr>
            </w:r>
          </w:p>
        </w:tc>
        <w:tc>
          <w:tcPr>
            <w:tcW w:w="1466" w:type="dxa"/>
            <w:tcBorders/>
            <w:shd w:fill="CCEEFF" w:val="clear"/>
            <w:vAlign w:val="bottom"/>
          </w:tcPr>
          <w:p>
            <w:pPr>
              <w:pStyle w:val="TableContents"/>
              <w:spacing w:before="0" w:after="283"/>
              <w:rPr>
                <w:sz w:val="4"/>
                <w:szCs w:val="4"/>
              </w:rPr>
            </w:pPr>
            <w:r>
              <w:rPr>
                <w:sz w:val="4"/>
                <w:szCs w:val="4"/>
              </w:rPr>
            </w:r>
          </w:p>
        </w:tc>
        <w:tc>
          <w:tcPr>
            <w:tcW w:w="438" w:type="dxa"/>
            <w:tcBorders/>
            <w:shd w:fill="CCEEFF" w:val="clear"/>
            <w:vAlign w:val="bottom"/>
          </w:tcPr>
          <w:p>
            <w:pPr>
              <w:pStyle w:val="TableContents"/>
              <w:spacing w:before="0" w:after="283"/>
              <w:rPr>
                <w:sz w:val="4"/>
                <w:szCs w:val="4"/>
              </w:rPr>
            </w:pPr>
            <w:r>
              <w:rPr>
                <w:sz w:val="4"/>
                <w:szCs w:val="4"/>
              </w:rPr>
            </w:r>
          </w:p>
        </w:tc>
        <w:tc>
          <w:tcPr>
            <w:tcW w:w="597"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sz w:val="4"/>
                <w:szCs w:val="4"/>
              </w:rPr>
            </w:pPr>
            <w:r>
              <w:rPr>
                <w:sz w:val="4"/>
                <w:szCs w:val="4"/>
              </w:rPr>
            </w:r>
          </w:p>
        </w:tc>
        <w:tc>
          <w:tcPr>
            <w:tcW w:w="1469"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r>
      <w:tr>
        <w:trPr/>
        <w:tc>
          <w:tcPr>
            <w:tcW w:w="4736" w:type="dxa"/>
            <w:tcBorders/>
            <w:shd w:fill="auto" w:val="clear"/>
          </w:tcPr>
          <w:p>
            <w:pPr>
              <w:pStyle w:val="TableContents"/>
              <w:spacing w:before="0" w:after="0"/>
              <w:rPr>
                <w:rFonts w:ascii="Times New Roman" w:hAnsi="Times New Roman"/>
                <w:sz w:val="20"/>
              </w:rPr>
            </w:pPr>
            <w:r>
              <w:rPr>
                <w:rFonts w:ascii="Times New Roman" w:hAnsi="Times New Roman"/>
                <w:sz w:val="20"/>
              </w:rPr>
              <w:t>Provision for credit losses</w:t>
            </w:r>
          </w:p>
        </w:tc>
        <w:tc>
          <w:tcPr>
            <w:tcW w:w="551"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466" w:type="dxa"/>
            <w:tcBorders/>
            <w:shd w:fill="auto" w:val="clear"/>
            <w:vAlign w:val="bottom"/>
          </w:tcPr>
          <w:p>
            <w:pPr>
              <w:pStyle w:val="TableContents"/>
              <w:spacing w:before="0" w:after="283"/>
              <w:jc w:val="right"/>
              <w:rPr/>
            </w:pPr>
            <w:r>
              <w:rPr/>
              <w:t>12.0</w:t>
            </w:r>
          </w:p>
        </w:tc>
        <w:tc>
          <w:tcPr>
            <w:tcW w:w="438" w:type="dxa"/>
            <w:tcBorders/>
            <w:shd w:fill="auto" w:val="clear"/>
            <w:vAlign w:val="bottom"/>
          </w:tcPr>
          <w:p>
            <w:pPr>
              <w:pStyle w:val="TableContents"/>
              <w:spacing w:before="0" w:after="283"/>
              <w:rPr/>
            </w:pPr>
            <w:r>
              <w:rPr/>
              <w:t> </w:t>
            </w:r>
          </w:p>
        </w:tc>
        <w:tc>
          <w:tcPr>
            <w:tcW w:w="597"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469" w:type="dxa"/>
            <w:tcBorders/>
            <w:shd w:fill="auto" w:val="clear"/>
            <w:vAlign w:val="bottom"/>
          </w:tcPr>
          <w:p>
            <w:pPr>
              <w:pStyle w:val="TableContents"/>
              <w:spacing w:before="0" w:after="283"/>
              <w:jc w:val="right"/>
              <w:rPr/>
            </w:pPr>
            <w:r>
              <w:rPr/>
              <w:t>13.8</w:t>
            </w:r>
          </w:p>
        </w:tc>
        <w:tc>
          <w:tcPr>
            <w:tcW w:w="158" w:type="dxa"/>
            <w:tcBorders/>
            <w:shd w:fill="auto" w:val="clear"/>
            <w:vAlign w:val="bottom"/>
          </w:tcPr>
          <w:p>
            <w:pPr>
              <w:pStyle w:val="TableContents"/>
              <w:spacing w:before="0" w:after="283"/>
              <w:rPr/>
            </w:pPr>
            <w:r>
              <w:rPr/>
              <w:t> </w:t>
            </w:r>
          </w:p>
        </w:tc>
      </w:tr>
      <w:tr>
        <w:trPr/>
        <w:tc>
          <w:tcPr>
            <w:tcW w:w="4736" w:type="dxa"/>
            <w:tcBorders/>
            <w:shd w:fill="CCEEFF" w:val="clear"/>
          </w:tcPr>
          <w:p>
            <w:pPr>
              <w:pStyle w:val="TableContents"/>
              <w:spacing w:before="0" w:after="0"/>
              <w:rPr>
                <w:rFonts w:ascii="Times New Roman" w:hAnsi="Times New Roman"/>
                <w:sz w:val="20"/>
              </w:rPr>
            </w:pPr>
            <w:r>
              <w:rPr>
                <w:rFonts w:ascii="Times New Roman" w:hAnsi="Times New Roman"/>
                <w:sz w:val="20"/>
              </w:rPr>
              <w:t>Processing and servicing costs</w:t>
            </w:r>
          </w:p>
        </w:tc>
        <w:tc>
          <w:tcPr>
            <w:tcW w:w="551"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466" w:type="dxa"/>
            <w:tcBorders/>
            <w:shd w:fill="CCEEFF" w:val="clear"/>
            <w:vAlign w:val="bottom"/>
          </w:tcPr>
          <w:p>
            <w:pPr>
              <w:pStyle w:val="TableContents"/>
              <w:spacing w:before="0" w:after="283"/>
              <w:jc w:val="right"/>
              <w:rPr/>
            </w:pPr>
            <w:r>
              <w:rPr/>
              <w:t>7.1</w:t>
            </w:r>
          </w:p>
        </w:tc>
        <w:tc>
          <w:tcPr>
            <w:tcW w:w="438" w:type="dxa"/>
            <w:tcBorders/>
            <w:shd w:fill="CCEEFF" w:val="clear"/>
            <w:vAlign w:val="bottom"/>
          </w:tcPr>
          <w:p>
            <w:pPr>
              <w:pStyle w:val="TableContents"/>
              <w:spacing w:before="0" w:after="283"/>
              <w:rPr/>
            </w:pPr>
            <w:r>
              <w:rPr/>
              <w:t> </w:t>
            </w:r>
          </w:p>
        </w:tc>
        <w:tc>
          <w:tcPr>
            <w:tcW w:w="597"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469" w:type="dxa"/>
            <w:tcBorders/>
            <w:shd w:fill="CCEEFF" w:val="clear"/>
            <w:vAlign w:val="bottom"/>
          </w:tcPr>
          <w:p>
            <w:pPr>
              <w:pStyle w:val="TableContents"/>
              <w:spacing w:before="0" w:after="283"/>
              <w:jc w:val="right"/>
              <w:rPr/>
            </w:pPr>
            <w:r>
              <w:rPr/>
              <w:t>6.5</w:t>
            </w:r>
          </w:p>
        </w:tc>
        <w:tc>
          <w:tcPr>
            <w:tcW w:w="158" w:type="dxa"/>
            <w:tcBorders/>
            <w:shd w:fill="CCEEFF" w:val="clear"/>
            <w:vAlign w:val="bottom"/>
          </w:tcPr>
          <w:p>
            <w:pPr>
              <w:pStyle w:val="TableContents"/>
              <w:spacing w:before="0" w:after="283"/>
              <w:rPr/>
            </w:pPr>
            <w:r>
              <w:rPr/>
              <w:t> </w:t>
            </w:r>
          </w:p>
        </w:tc>
      </w:tr>
      <w:tr>
        <w:trPr/>
        <w:tc>
          <w:tcPr>
            <w:tcW w:w="4736" w:type="dxa"/>
            <w:tcBorders/>
            <w:shd w:fill="auto" w:val="clear"/>
          </w:tcPr>
          <w:p>
            <w:pPr>
              <w:pStyle w:val="TableContents"/>
              <w:spacing w:before="0" w:after="0"/>
              <w:rPr>
                <w:rFonts w:ascii="Times New Roman" w:hAnsi="Times New Roman"/>
                <w:sz w:val="20"/>
              </w:rPr>
            </w:pPr>
            <w:r>
              <w:rPr>
                <w:rFonts w:ascii="Times New Roman" w:hAnsi="Times New Roman"/>
                <w:sz w:val="20"/>
              </w:rPr>
              <w:t>Advertising and marketing</w:t>
            </w:r>
          </w:p>
        </w:tc>
        <w:tc>
          <w:tcPr>
            <w:tcW w:w="551"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466" w:type="dxa"/>
            <w:tcBorders/>
            <w:shd w:fill="auto" w:val="clear"/>
            <w:vAlign w:val="bottom"/>
          </w:tcPr>
          <w:p>
            <w:pPr>
              <w:pStyle w:val="TableContents"/>
              <w:spacing w:before="0" w:after="283"/>
              <w:jc w:val="right"/>
              <w:rPr/>
            </w:pPr>
            <w:r>
              <w:rPr/>
              <w:t>9.4</w:t>
            </w:r>
          </w:p>
        </w:tc>
        <w:tc>
          <w:tcPr>
            <w:tcW w:w="438" w:type="dxa"/>
            <w:tcBorders/>
            <w:shd w:fill="auto" w:val="clear"/>
            <w:vAlign w:val="bottom"/>
          </w:tcPr>
          <w:p>
            <w:pPr>
              <w:pStyle w:val="TableContents"/>
              <w:spacing w:before="0" w:after="283"/>
              <w:rPr/>
            </w:pPr>
            <w:r>
              <w:rPr/>
              <w:t> </w:t>
            </w:r>
          </w:p>
        </w:tc>
        <w:tc>
          <w:tcPr>
            <w:tcW w:w="597"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469" w:type="dxa"/>
            <w:tcBorders/>
            <w:shd w:fill="auto" w:val="clear"/>
            <w:vAlign w:val="bottom"/>
          </w:tcPr>
          <w:p>
            <w:pPr>
              <w:pStyle w:val="TableContents"/>
              <w:spacing w:before="0" w:after="283"/>
              <w:jc w:val="right"/>
              <w:rPr/>
            </w:pPr>
            <w:r>
              <w:rPr/>
              <w:t>12.2</w:t>
            </w:r>
          </w:p>
        </w:tc>
        <w:tc>
          <w:tcPr>
            <w:tcW w:w="158" w:type="dxa"/>
            <w:tcBorders/>
            <w:shd w:fill="auto" w:val="clear"/>
            <w:vAlign w:val="bottom"/>
          </w:tcPr>
          <w:p>
            <w:pPr>
              <w:pStyle w:val="TableContents"/>
              <w:spacing w:before="0" w:after="283"/>
              <w:rPr/>
            </w:pPr>
            <w:r>
              <w:rPr/>
              <w:t> </w:t>
            </w:r>
          </w:p>
        </w:tc>
      </w:tr>
      <w:tr>
        <w:trPr/>
        <w:tc>
          <w:tcPr>
            <w:tcW w:w="4736" w:type="dxa"/>
            <w:tcBorders/>
            <w:shd w:fill="CCEEFF" w:val="clear"/>
          </w:tcPr>
          <w:p>
            <w:pPr>
              <w:pStyle w:val="TableContents"/>
              <w:spacing w:before="0" w:after="0"/>
              <w:rPr>
                <w:rFonts w:ascii="Times New Roman" w:hAnsi="Times New Roman"/>
                <w:sz w:val="20"/>
              </w:rPr>
            </w:pPr>
            <w:r>
              <w:rPr>
                <w:rFonts w:ascii="Times New Roman" w:hAnsi="Times New Roman"/>
                <w:sz w:val="20"/>
              </w:rPr>
              <w:t>Compensation and benefits</w:t>
            </w:r>
          </w:p>
        </w:tc>
        <w:tc>
          <w:tcPr>
            <w:tcW w:w="551"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466" w:type="dxa"/>
            <w:tcBorders/>
            <w:shd w:fill="CCEEFF" w:val="clear"/>
            <w:vAlign w:val="bottom"/>
          </w:tcPr>
          <w:p>
            <w:pPr>
              <w:pStyle w:val="TableContents"/>
              <w:spacing w:before="0" w:after="283"/>
              <w:jc w:val="right"/>
              <w:rPr/>
            </w:pPr>
            <w:r>
              <w:rPr/>
              <w:t>24.4</w:t>
            </w:r>
          </w:p>
        </w:tc>
        <w:tc>
          <w:tcPr>
            <w:tcW w:w="438" w:type="dxa"/>
            <w:tcBorders/>
            <w:shd w:fill="CCEEFF" w:val="clear"/>
            <w:vAlign w:val="bottom"/>
          </w:tcPr>
          <w:p>
            <w:pPr>
              <w:pStyle w:val="TableContents"/>
              <w:spacing w:before="0" w:after="283"/>
              <w:rPr/>
            </w:pPr>
            <w:r>
              <w:rPr/>
              <w:t> </w:t>
            </w:r>
          </w:p>
        </w:tc>
        <w:tc>
          <w:tcPr>
            <w:tcW w:w="597"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469" w:type="dxa"/>
            <w:tcBorders/>
            <w:shd w:fill="CCEEFF" w:val="clear"/>
            <w:vAlign w:val="bottom"/>
          </w:tcPr>
          <w:p>
            <w:pPr>
              <w:pStyle w:val="TableContents"/>
              <w:spacing w:before="0" w:after="283"/>
              <w:jc w:val="right"/>
              <w:rPr/>
            </w:pPr>
            <w:r>
              <w:rPr/>
              <w:t>17.9</w:t>
            </w:r>
          </w:p>
        </w:tc>
        <w:tc>
          <w:tcPr>
            <w:tcW w:w="158" w:type="dxa"/>
            <w:tcBorders/>
            <w:shd w:fill="CCEEFF" w:val="clear"/>
            <w:vAlign w:val="bottom"/>
          </w:tcPr>
          <w:p>
            <w:pPr>
              <w:pStyle w:val="TableContents"/>
              <w:spacing w:before="0" w:after="283"/>
              <w:rPr/>
            </w:pPr>
            <w:r>
              <w:rPr/>
              <w:t> </w:t>
            </w:r>
          </w:p>
        </w:tc>
      </w:tr>
      <w:tr>
        <w:trPr/>
        <w:tc>
          <w:tcPr>
            <w:tcW w:w="4736" w:type="dxa"/>
            <w:tcBorders/>
            <w:shd w:fill="auto" w:val="clear"/>
          </w:tcPr>
          <w:p>
            <w:pPr>
              <w:pStyle w:val="TableContents"/>
              <w:spacing w:before="0" w:after="0"/>
              <w:rPr>
                <w:rFonts w:ascii="Times New Roman" w:hAnsi="Times New Roman"/>
                <w:sz w:val="20"/>
              </w:rPr>
            </w:pPr>
            <w:r>
              <w:rPr>
                <w:rFonts w:ascii="Times New Roman" w:hAnsi="Times New Roman"/>
                <w:sz w:val="20"/>
              </w:rPr>
              <w:t>Other operating expenses</w:t>
            </w:r>
          </w:p>
        </w:tc>
        <w:tc>
          <w:tcPr>
            <w:tcW w:w="551"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466" w:type="dxa"/>
            <w:tcBorders/>
            <w:shd w:fill="auto" w:val="clear"/>
            <w:vAlign w:val="bottom"/>
          </w:tcPr>
          <w:p>
            <w:pPr>
              <w:pStyle w:val="TableContents"/>
              <w:spacing w:before="0" w:after="283"/>
              <w:jc w:val="right"/>
              <w:rPr/>
            </w:pPr>
            <w:r>
              <w:rPr/>
              <w:t>18.5</w:t>
            </w:r>
          </w:p>
        </w:tc>
        <w:tc>
          <w:tcPr>
            <w:tcW w:w="438" w:type="dxa"/>
            <w:tcBorders/>
            <w:shd w:fill="auto" w:val="clear"/>
            <w:vAlign w:val="bottom"/>
          </w:tcPr>
          <w:p>
            <w:pPr>
              <w:pStyle w:val="TableContents"/>
              <w:spacing w:before="0" w:after="283"/>
              <w:rPr/>
            </w:pPr>
            <w:r>
              <w:rPr/>
              <w:t> </w:t>
            </w:r>
          </w:p>
        </w:tc>
        <w:tc>
          <w:tcPr>
            <w:tcW w:w="597"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469" w:type="dxa"/>
            <w:tcBorders/>
            <w:shd w:fill="auto" w:val="clear"/>
            <w:vAlign w:val="bottom"/>
          </w:tcPr>
          <w:p>
            <w:pPr>
              <w:pStyle w:val="TableContents"/>
              <w:spacing w:before="0" w:after="283"/>
              <w:jc w:val="right"/>
              <w:rPr/>
            </w:pPr>
            <w:r>
              <w:rPr/>
              <w:t>14.8</w:t>
            </w:r>
          </w:p>
        </w:tc>
        <w:tc>
          <w:tcPr>
            <w:tcW w:w="158" w:type="dxa"/>
            <w:tcBorders/>
            <w:shd w:fill="auto" w:val="clear"/>
            <w:vAlign w:val="bottom"/>
          </w:tcPr>
          <w:p>
            <w:pPr>
              <w:pStyle w:val="TableContents"/>
              <w:spacing w:before="0" w:after="283"/>
              <w:rPr/>
            </w:pPr>
            <w:r>
              <w:rPr/>
              <w:t> </w:t>
            </w:r>
          </w:p>
        </w:tc>
      </w:tr>
      <w:tr>
        <w:trPr/>
        <w:tc>
          <w:tcPr>
            <w:tcW w:w="4736" w:type="dxa"/>
            <w:tcBorders/>
            <w:shd w:fill="auto" w:val="clear"/>
            <w:vAlign w:val="bottom"/>
          </w:tcPr>
          <w:p>
            <w:pPr>
              <w:pStyle w:val="TableContents"/>
              <w:spacing w:before="0" w:after="283"/>
              <w:rPr>
                <w:sz w:val="4"/>
                <w:szCs w:val="4"/>
              </w:rPr>
            </w:pPr>
            <w:r>
              <w:rPr>
                <w:sz w:val="4"/>
                <w:szCs w:val="4"/>
              </w:rPr>
            </w:r>
          </w:p>
        </w:tc>
        <w:tc>
          <w:tcPr>
            <w:tcW w:w="551"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pBdr>
                <w:top w:val="single" w:sz="2" w:space="1" w:color="000000"/>
              </w:pBdr>
              <w:spacing w:before="0" w:after="0"/>
              <w:rPr/>
            </w:pPr>
            <w:r>
              <w:rPr/>
              <w:t> </w:t>
            </w:r>
          </w:p>
        </w:tc>
        <w:tc>
          <w:tcPr>
            <w:tcW w:w="1466" w:type="dxa"/>
            <w:tcBorders/>
            <w:shd w:fill="auto" w:val="clear"/>
            <w:vAlign w:val="bottom"/>
          </w:tcPr>
          <w:p>
            <w:pPr>
              <w:pStyle w:val="TableContents"/>
              <w:pBdr>
                <w:top w:val="single" w:sz="2" w:space="1" w:color="000000"/>
              </w:pBdr>
              <w:spacing w:before="0" w:after="0"/>
              <w:rPr/>
            </w:pPr>
            <w:r>
              <w:rPr/>
              <w:t> </w:t>
            </w:r>
          </w:p>
        </w:tc>
        <w:tc>
          <w:tcPr>
            <w:tcW w:w="438" w:type="dxa"/>
            <w:tcBorders/>
            <w:shd w:fill="auto" w:val="clear"/>
            <w:vAlign w:val="center"/>
          </w:tcPr>
          <w:p>
            <w:pPr>
              <w:pStyle w:val="TableContents"/>
              <w:spacing w:before="0" w:after="283"/>
              <w:rPr/>
            </w:pPr>
            <w:r>
              <w:rPr/>
              <w:t> </w:t>
            </w:r>
          </w:p>
        </w:tc>
        <w:tc>
          <w:tcPr>
            <w:tcW w:w="597"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pBdr>
                <w:top w:val="single" w:sz="2" w:space="1" w:color="000000"/>
              </w:pBdr>
              <w:spacing w:before="0" w:after="0"/>
              <w:rPr/>
            </w:pPr>
            <w:r>
              <w:rPr/>
              <w:t> </w:t>
            </w:r>
          </w:p>
        </w:tc>
        <w:tc>
          <w:tcPr>
            <w:tcW w:w="1469"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4736"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 operating expenses</w:t>
            </w:r>
          </w:p>
        </w:tc>
        <w:tc>
          <w:tcPr>
            <w:tcW w:w="551"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466" w:type="dxa"/>
            <w:tcBorders/>
            <w:shd w:fill="CCEEFF" w:val="clear"/>
            <w:vAlign w:val="bottom"/>
          </w:tcPr>
          <w:p>
            <w:pPr>
              <w:pStyle w:val="TableContents"/>
              <w:spacing w:before="0" w:after="283"/>
              <w:jc w:val="right"/>
              <w:rPr>
                <w:b/>
              </w:rPr>
            </w:pPr>
            <w:r>
              <w:rPr>
                <w:b/>
              </w:rPr>
              <w:t>71.4</w:t>
            </w:r>
          </w:p>
        </w:tc>
        <w:tc>
          <w:tcPr>
            <w:tcW w:w="438" w:type="dxa"/>
            <w:tcBorders/>
            <w:shd w:fill="CCEEFF" w:val="clear"/>
            <w:vAlign w:val="bottom"/>
          </w:tcPr>
          <w:p>
            <w:pPr>
              <w:pStyle w:val="TableContents"/>
              <w:spacing w:before="0" w:after="283"/>
              <w:rPr/>
            </w:pPr>
            <w:r>
              <w:rPr/>
              <w:t> </w:t>
            </w:r>
          </w:p>
        </w:tc>
        <w:tc>
          <w:tcPr>
            <w:tcW w:w="597"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469" w:type="dxa"/>
            <w:tcBorders/>
            <w:shd w:fill="CCEEFF" w:val="clear"/>
            <w:vAlign w:val="bottom"/>
          </w:tcPr>
          <w:p>
            <w:pPr>
              <w:pStyle w:val="TableContents"/>
              <w:spacing w:before="0" w:after="283"/>
              <w:jc w:val="right"/>
              <w:rPr>
                <w:b/>
              </w:rPr>
            </w:pPr>
            <w:r>
              <w:rPr>
                <w:b/>
              </w:rPr>
              <w:t>65.2</w:t>
            </w:r>
          </w:p>
        </w:tc>
        <w:tc>
          <w:tcPr>
            <w:tcW w:w="158" w:type="dxa"/>
            <w:tcBorders/>
            <w:shd w:fill="CCEEFF" w:val="clear"/>
            <w:vAlign w:val="bottom"/>
          </w:tcPr>
          <w:p>
            <w:pPr>
              <w:pStyle w:val="TableContents"/>
              <w:spacing w:before="0" w:after="283"/>
              <w:rPr/>
            </w:pPr>
            <w:r>
              <w:rPr/>
              <w:t> </w:t>
            </w:r>
          </w:p>
        </w:tc>
      </w:tr>
      <w:tr>
        <w:trPr/>
        <w:tc>
          <w:tcPr>
            <w:tcW w:w="4736" w:type="dxa"/>
            <w:tcBorders/>
            <w:shd w:fill="auto" w:val="clear"/>
            <w:vAlign w:val="bottom"/>
          </w:tcPr>
          <w:p>
            <w:pPr>
              <w:pStyle w:val="TableContents"/>
              <w:spacing w:before="0" w:after="283"/>
              <w:rPr>
                <w:sz w:val="4"/>
                <w:szCs w:val="4"/>
              </w:rPr>
            </w:pPr>
            <w:r>
              <w:rPr>
                <w:sz w:val="4"/>
                <w:szCs w:val="4"/>
              </w:rPr>
            </w:r>
          </w:p>
        </w:tc>
        <w:tc>
          <w:tcPr>
            <w:tcW w:w="551"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pBdr>
                <w:top w:val="single" w:sz="2" w:space="1" w:color="000000"/>
              </w:pBdr>
              <w:spacing w:before="0" w:after="0"/>
              <w:rPr/>
            </w:pPr>
            <w:r>
              <w:rPr/>
              <w:t> </w:t>
            </w:r>
          </w:p>
        </w:tc>
        <w:tc>
          <w:tcPr>
            <w:tcW w:w="1466" w:type="dxa"/>
            <w:tcBorders/>
            <w:shd w:fill="auto" w:val="clear"/>
            <w:vAlign w:val="bottom"/>
          </w:tcPr>
          <w:p>
            <w:pPr>
              <w:pStyle w:val="TableContents"/>
              <w:pBdr>
                <w:top w:val="single" w:sz="2" w:space="1" w:color="000000"/>
              </w:pBdr>
              <w:spacing w:before="0" w:after="0"/>
              <w:rPr/>
            </w:pPr>
            <w:r>
              <w:rPr/>
              <w:t> </w:t>
            </w:r>
          </w:p>
        </w:tc>
        <w:tc>
          <w:tcPr>
            <w:tcW w:w="438" w:type="dxa"/>
            <w:tcBorders/>
            <w:shd w:fill="auto" w:val="clear"/>
            <w:vAlign w:val="center"/>
          </w:tcPr>
          <w:p>
            <w:pPr>
              <w:pStyle w:val="TableContents"/>
              <w:spacing w:before="0" w:after="283"/>
              <w:rPr/>
            </w:pPr>
            <w:r>
              <w:rPr/>
              <w:t> </w:t>
            </w:r>
          </w:p>
        </w:tc>
        <w:tc>
          <w:tcPr>
            <w:tcW w:w="597"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pBdr>
                <w:top w:val="single" w:sz="2" w:space="1" w:color="000000"/>
              </w:pBdr>
              <w:spacing w:before="0" w:after="0"/>
              <w:rPr/>
            </w:pPr>
            <w:r>
              <w:rPr/>
              <w:t> </w:t>
            </w:r>
          </w:p>
        </w:tc>
        <w:tc>
          <w:tcPr>
            <w:tcW w:w="1469"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4736" w:type="dxa"/>
            <w:tcBorders/>
            <w:shd w:fill="auto" w:val="clear"/>
          </w:tcPr>
          <w:p>
            <w:pPr>
              <w:pStyle w:val="TableContents"/>
              <w:spacing w:before="0" w:after="0"/>
              <w:rPr>
                <w:rFonts w:ascii="Times New Roman" w:hAnsi="Times New Roman"/>
                <w:b/>
                <w:sz w:val="20"/>
              </w:rPr>
            </w:pPr>
            <w:r>
              <w:rPr>
                <w:rFonts w:ascii="Times New Roman" w:hAnsi="Times New Roman"/>
                <w:b/>
                <w:sz w:val="20"/>
              </w:rPr>
              <w:t>Other expenses (income):</w:t>
            </w:r>
          </w:p>
        </w:tc>
        <w:tc>
          <w:tcPr>
            <w:tcW w:w="551"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sz w:val="4"/>
                <w:szCs w:val="4"/>
              </w:rPr>
            </w:pPr>
            <w:r>
              <w:rPr>
                <w:sz w:val="4"/>
                <w:szCs w:val="4"/>
              </w:rPr>
            </w:r>
          </w:p>
        </w:tc>
        <w:tc>
          <w:tcPr>
            <w:tcW w:w="1466" w:type="dxa"/>
            <w:tcBorders/>
            <w:shd w:fill="auto" w:val="clear"/>
            <w:vAlign w:val="bottom"/>
          </w:tcPr>
          <w:p>
            <w:pPr>
              <w:pStyle w:val="TableContents"/>
              <w:spacing w:before="0" w:after="283"/>
              <w:rPr>
                <w:sz w:val="4"/>
                <w:szCs w:val="4"/>
              </w:rPr>
            </w:pPr>
            <w:r>
              <w:rPr>
                <w:sz w:val="4"/>
                <w:szCs w:val="4"/>
              </w:rPr>
            </w:r>
          </w:p>
        </w:tc>
        <w:tc>
          <w:tcPr>
            <w:tcW w:w="438" w:type="dxa"/>
            <w:tcBorders/>
            <w:shd w:fill="auto" w:val="clear"/>
            <w:vAlign w:val="bottom"/>
          </w:tcPr>
          <w:p>
            <w:pPr>
              <w:pStyle w:val="TableContents"/>
              <w:spacing w:before="0" w:after="283"/>
              <w:rPr>
                <w:sz w:val="4"/>
                <w:szCs w:val="4"/>
              </w:rPr>
            </w:pPr>
            <w:r>
              <w:rPr>
                <w:sz w:val="4"/>
                <w:szCs w:val="4"/>
              </w:rPr>
            </w:r>
          </w:p>
        </w:tc>
        <w:tc>
          <w:tcPr>
            <w:tcW w:w="597"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sz w:val="4"/>
                <w:szCs w:val="4"/>
              </w:rPr>
            </w:pPr>
            <w:r>
              <w:rPr>
                <w:sz w:val="4"/>
                <w:szCs w:val="4"/>
              </w:rPr>
            </w:r>
          </w:p>
        </w:tc>
        <w:tc>
          <w:tcPr>
            <w:tcW w:w="1469"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bottom"/>
          </w:tcPr>
          <w:p>
            <w:pPr>
              <w:pStyle w:val="TableContents"/>
              <w:spacing w:before="0" w:after="283"/>
              <w:rPr>
                <w:sz w:val="4"/>
                <w:szCs w:val="4"/>
              </w:rPr>
            </w:pPr>
            <w:r>
              <w:rPr>
                <w:sz w:val="4"/>
                <w:szCs w:val="4"/>
              </w:rPr>
            </w:r>
          </w:p>
        </w:tc>
      </w:tr>
      <w:tr>
        <w:trPr/>
        <w:tc>
          <w:tcPr>
            <w:tcW w:w="4736" w:type="dxa"/>
            <w:tcBorders/>
            <w:shd w:fill="CCEEFF" w:val="clear"/>
          </w:tcPr>
          <w:p>
            <w:pPr>
              <w:pStyle w:val="TableContents"/>
              <w:spacing w:before="0" w:after="0"/>
              <w:rPr>
                <w:rFonts w:ascii="Times New Roman" w:hAnsi="Times New Roman"/>
                <w:sz w:val="20"/>
              </w:rPr>
            </w:pPr>
            <w:r>
              <w:rPr>
                <w:rFonts w:ascii="Times New Roman" w:hAnsi="Times New Roman"/>
                <w:sz w:val="20"/>
              </w:rPr>
              <w:t>Interest expense, net</w:t>
            </w:r>
          </w:p>
        </w:tc>
        <w:tc>
          <w:tcPr>
            <w:tcW w:w="551"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466" w:type="dxa"/>
            <w:tcBorders/>
            <w:shd w:fill="CCEEFF" w:val="clear"/>
            <w:vAlign w:val="bottom"/>
          </w:tcPr>
          <w:p>
            <w:pPr>
              <w:pStyle w:val="TableContents"/>
              <w:spacing w:before="0" w:after="283"/>
              <w:jc w:val="right"/>
              <w:rPr/>
            </w:pPr>
            <w:r>
              <w:rPr/>
              <w:t>1.6</w:t>
            </w:r>
          </w:p>
        </w:tc>
        <w:tc>
          <w:tcPr>
            <w:tcW w:w="438" w:type="dxa"/>
            <w:tcBorders/>
            <w:shd w:fill="CCEEFF" w:val="clear"/>
            <w:vAlign w:val="bottom"/>
          </w:tcPr>
          <w:p>
            <w:pPr>
              <w:pStyle w:val="TableContents"/>
              <w:spacing w:before="0" w:after="283"/>
              <w:rPr/>
            </w:pPr>
            <w:r>
              <w:rPr/>
              <w:t> </w:t>
            </w:r>
          </w:p>
        </w:tc>
        <w:tc>
          <w:tcPr>
            <w:tcW w:w="597"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469" w:type="dxa"/>
            <w:tcBorders/>
            <w:shd w:fill="CCEEFF" w:val="clear"/>
            <w:vAlign w:val="bottom"/>
          </w:tcPr>
          <w:p>
            <w:pPr>
              <w:pStyle w:val="TableContents"/>
              <w:spacing w:before="0" w:after="283"/>
              <w:jc w:val="right"/>
              <w:rPr/>
            </w:pPr>
            <w:r>
              <w:rPr/>
              <w:t>1.5</w:t>
            </w:r>
          </w:p>
        </w:tc>
        <w:tc>
          <w:tcPr>
            <w:tcW w:w="158" w:type="dxa"/>
            <w:tcBorders/>
            <w:shd w:fill="CCEEFF" w:val="clear"/>
            <w:vAlign w:val="bottom"/>
          </w:tcPr>
          <w:p>
            <w:pPr>
              <w:pStyle w:val="TableContents"/>
              <w:spacing w:before="0" w:after="283"/>
              <w:rPr/>
            </w:pPr>
            <w:r>
              <w:rPr/>
              <w:t> </w:t>
            </w:r>
          </w:p>
        </w:tc>
      </w:tr>
      <w:tr>
        <w:trPr/>
        <w:tc>
          <w:tcPr>
            <w:tcW w:w="4736" w:type="dxa"/>
            <w:tcBorders/>
            <w:shd w:fill="auto" w:val="clear"/>
          </w:tcPr>
          <w:p>
            <w:pPr>
              <w:pStyle w:val="TableContents"/>
              <w:spacing w:before="0" w:after="0"/>
              <w:rPr>
                <w:rFonts w:ascii="Times New Roman" w:hAnsi="Times New Roman"/>
                <w:sz w:val="20"/>
              </w:rPr>
            </w:pPr>
            <w:r>
              <w:rPr>
                <w:rFonts w:ascii="Times New Roman" w:hAnsi="Times New Roman"/>
                <w:sz w:val="20"/>
              </w:rPr>
              <w:t>Other strategic financing and transactional expenses</w:t>
            </w:r>
          </w:p>
        </w:tc>
        <w:tc>
          <w:tcPr>
            <w:tcW w:w="551"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466" w:type="dxa"/>
            <w:tcBorders/>
            <w:shd w:fill="auto" w:val="clear"/>
            <w:vAlign w:val="bottom"/>
          </w:tcPr>
          <w:p>
            <w:pPr>
              <w:pStyle w:val="TableContents"/>
              <w:spacing w:before="0" w:after="283"/>
              <w:jc w:val="right"/>
              <w:rPr/>
            </w:pPr>
            <w:r>
              <w:rPr/>
              <w:t>  </w:t>
            </w:r>
          </w:p>
        </w:tc>
        <w:tc>
          <w:tcPr>
            <w:tcW w:w="438" w:type="dxa"/>
            <w:tcBorders/>
            <w:shd w:fill="auto" w:val="clear"/>
            <w:vAlign w:val="bottom"/>
          </w:tcPr>
          <w:p>
            <w:pPr>
              <w:pStyle w:val="TableContents"/>
              <w:spacing w:before="0" w:after="283"/>
              <w:rPr/>
            </w:pPr>
            <w:r>
              <w:rPr/>
              <w:t> </w:t>
            </w:r>
          </w:p>
        </w:tc>
        <w:tc>
          <w:tcPr>
            <w:tcW w:w="597"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469" w:type="dxa"/>
            <w:tcBorders/>
            <w:shd w:fill="auto" w:val="clear"/>
            <w:vAlign w:val="bottom"/>
          </w:tcPr>
          <w:p>
            <w:pPr>
              <w:pStyle w:val="TableContents"/>
              <w:spacing w:before="0" w:after="283"/>
              <w:jc w:val="right"/>
              <w:rPr/>
            </w:pPr>
            <w:r>
              <w:rPr/>
              <w:t>1.0</w:t>
            </w:r>
          </w:p>
        </w:tc>
        <w:tc>
          <w:tcPr>
            <w:tcW w:w="158" w:type="dxa"/>
            <w:tcBorders/>
            <w:shd w:fill="auto" w:val="clear"/>
            <w:vAlign w:val="bottom"/>
          </w:tcPr>
          <w:p>
            <w:pPr>
              <w:pStyle w:val="TableContents"/>
              <w:spacing w:before="0" w:after="283"/>
              <w:rPr/>
            </w:pPr>
            <w:r>
              <w:rPr/>
              <w:t> </w:t>
            </w:r>
          </w:p>
        </w:tc>
      </w:tr>
      <w:tr>
        <w:trPr/>
        <w:tc>
          <w:tcPr>
            <w:tcW w:w="4736" w:type="dxa"/>
            <w:tcBorders/>
            <w:shd w:fill="CCEEFF" w:val="clear"/>
          </w:tcPr>
          <w:p>
            <w:pPr>
              <w:pStyle w:val="TableContents"/>
              <w:spacing w:before="0" w:after="0"/>
              <w:rPr>
                <w:rFonts w:ascii="Times New Roman" w:hAnsi="Times New Roman"/>
                <w:sz w:val="20"/>
              </w:rPr>
            </w:pPr>
            <w:r>
              <w:rPr>
                <w:rFonts w:ascii="Times New Roman" w:hAnsi="Times New Roman"/>
                <w:sz w:val="20"/>
              </w:rPr>
              <w:t>Changes in fair value of earnout liabilities</w:t>
            </w:r>
          </w:p>
        </w:tc>
        <w:tc>
          <w:tcPr>
            <w:tcW w:w="551"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466" w:type="dxa"/>
            <w:tcBorders/>
            <w:shd w:fill="CCEEFF" w:val="clear"/>
            <w:vAlign w:val="bottom"/>
          </w:tcPr>
          <w:p>
            <w:pPr>
              <w:pStyle w:val="TableContents"/>
              <w:spacing w:before="0" w:after="283"/>
              <w:jc w:val="right"/>
              <w:rPr/>
            </w:pPr>
            <w:r>
              <w:rPr/>
              <w:t>  </w:t>
            </w:r>
          </w:p>
        </w:tc>
        <w:tc>
          <w:tcPr>
            <w:tcW w:w="438" w:type="dxa"/>
            <w:tcBorders/>
            <w:shd w:fill="CCEEFF" w:val="clear"/>
            <w:vAlign w:val="bottom"/>
          </w:tcPr>
          <w:p>
            <w:pPr>
              <w:pStyle w:val="TableContents"/>
              <w:spacing w:before="0" w:after="283"/>
              <w:rPr/>
            </w:pPr>
            <w:r>
              <w:rPr/>
              <w:t> </w:t>
            </w:r>
          </w:p>
        </w:tc>
        <w:tc>
          <w:tcPr>
            <w:tcW w:w="597"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469" w:type="dxa"/>
            <w:tcBorders/>
            <w:shd w:fill="CCEEFF" w:val="clear"/>
            <w:vAlign w:val="bottom"/>
          </w:tcPr>
          <w:p>
            <w:pPr>
              <w:pStyle w:val="TableContents"/>
              <w:spacing w:before="0" w:after="283"/>
              <w:jc w:val="right"/>
              <w:rPr/>
            </w:pPr>
            <w:r>
              <w:rPr/>
              <w:t>(2.0</w:t>
            </w:r>
          </w:p>
        </w:tc>
        <w:tc>
          <w:tcPr>
            <w:tcW w:w="158" w:type="dxa"/>
            <w:tcBorders/>
            <w:shd w:fill="CCEEFF" w:val="clear"/>
            <w:vAlign w:val="bottom"/>
          </w:tcPr>
          <w:p>
            <w:pPr>
              <w:pStyle w:val="TableContents"/>
              <w:spacing w:before="0" w:after="283"/>
              <w:rPr/>
            </w:pPr>
            <w:r>
              <w:rPr/>
              <w:t>) </w:t>
            </w:r>
          </w:p>
        </w:tc>
      </w:tr>
      <w:tr>
        <w:trPr/>
        <w:tc>
          <w:tcPr>
            <w:tcW w:w="4736" w:type="dxa"/>
            <w:tcBorders/>
            <w:shd w:fill="auto" w:val="clear"/>
          </w:tcPr>
          <w:p>
            <w:pPr>
              <w:pStyle w:val="TableContents"/>
              <w:spacing w:before="0" w:after="0"/>
              <w:rPr>
                <w:rFonts w:ascii="Times New Roman" w:hAnsi="Times New Roman"/>
                <w:sz w:val="20"/>
              </w:rPr>
            </w:pPr>
            <w:r>
              <w:rPr>
                <w:rFonts w:ascii="Times New Roman" w:hAnsi="Times New Roman"/>
                <w:sz w:val="20"/>
              </w:rPr>
              <w:t>Changes in fair value of derivative asset on loans to stockholders</w:t>
            </w:r>
          </w:p>
        </w:tc>
        <w:tc>
          <w:tcPr>
            <w:tcW w:w="551"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466" w:type="dxa"/>
            <w:tcBorders/>
            <w:shd w:fill="auto" w:val="clear"/>
            <w:vAlign w:val="bottom"/>
          </w:tcPr>
          <w:p>
            <w:pPr>
              <w:pStyle w:val="TableContents"/>
              <w:spacing w:before="0" w:after="283"/>
              <w:jc w:val="right"/>
              <w:rPr/>
            </w:pPr>
            <w:r>
              <w:rPr/>
              <w:t>  </w:t>
            </w:r>
          </w:p>
        </w:tc>
        <w:tc>
          <w:tcPr>
            <w:tcW w:w="438" w:type="dxa"/>
            <w:tcBorders/>
            <w:shd w:fill="auto" w:val="clear"/>
            <w:vAlign w:val="bottom"/>
          </w:tcPr>
          <w:p>
            <w:pPr>
              <w:pStyle w:val="TableContents"/>
              <w:spacing w:before="0" w:after="283"/>
              <w:rPr/>
            </w:pPr>
            <w:r>
              <w:rPr/>
              <w:t> </w:t>
            </w:r>
          </w:p>
        </w:tc>
        <w:tc>
          <w:tcPr>
            <w:tcW w:w="597"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469" w:type="dxa"/>
            <w:tcBorders/>
            <w:shd w:fill="auto" w:val="clear"/>
            <w:vAlign w:val="bottom"/>
          </w:tcPr>
          <w:p>
            <w:pPr>
              <w:pStyle w:val="TableContents"/>
              <w:spacing w:before="0" w:after="283"/>
              <w:jc w:val="right"/>
              <w:rPr/>
            </w:pPr>
            <w:r>
              <w:rPr/>
              <w:t>5.6</w:t>
            </w:r>
          </w:p>
        </w:tc>
        <w:tc>
          <w:tcPr>
            <w:tcW w:w="158" w:type="dxa"/>
            <w:tcBorders/>
            <w:shd w:fill="auto" w:val="clear"/>
            <w:vAlign w:val="bottom"/>
          </w:tcPr>
          <w:p>
            <w:pPr>
              <w:pStyle w:val="TableContents"/>
              <w:spacing w:before="0" w:after="283"/>
              <w:rPr/>
            </w:pPr>
            <w:r>
              <w:rPr/>
              <w:t> </w:t>
            </w:r>
          </w:p>
        </w:tc>
      </w:tr>
      <w:tr>
        <w:trPr/>
        <w:tc>
          <w:tcPr>
            <w:tcW w:w="4736" w:type="dxa"/>
            <w:tcBorders/>
            <w:shd w:fill="CCEEFF" w:val="clear"/>
          </w:tcPr>
          <w:p>
            <w:pPr>
              <w:pStyle w:val="TableContents"/>
              <w:spacing w:before="0" w:after="0"/>
              <w:rPr>
                <w:rFonts w:ascii="Times New Roman" w:hAnsi="Times New Roman"/>
                <w:sz w:val="20"/>
              </w:rPr>
            </w:pPr>
            <w:r>
              <w:rPr>
                <w:rFonts w:ascii="Times New Roman" w:hAnsi="Times New Roman"/>
                <w:sz w:val="20"/>
              </w:rPr>
              <w:t>Changes in fair value of public and private warrant liabilities</w:t>
            </w:r>
          </w:p>
        </w:tc>
        <w:tc>
          <w:tcPr>
            <w:tcW w:w="551"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466" w:type="dxa"/>
            <w:tcBorders/>
            <w:shd w:fill="CCEEFF" w:val="clear"/>
            <w:vAlign w:val="bottom"/>
          </w:tcPr>
          <w:p>
            <w:pPr>
              <w:pStyle w:val="TableContents"/>
              <w:spacing w:before="0" w:after="283"/>
              <w:jc w:val="right"/>
              <w:rPr/>
            </w:pPr>
            <w:r>
              <w:rPr/>
              <w:t>(0.1</w:t>
            </w:r>
          </w:p>
        </w:tc>
        <w:tc>
          <w:tcPr>
            <w:tcW w:w="438" w:type="dxa"/>
            <w:tcBorders/>
            <w:shd w:fill="CCEEFF" w:val="clear"/>
            <w:vAlign w:val="bottom"/>
          </w:tcPr>
          <w:p>
            <w:pPr>
              <w:pStyle w:val="TableContents"/>
              <w:spacing w:before="0" w:after="283"/>
              <w:rPr/>
            </w:pPr>
            <w:r>
              <w:rPr/>
              <w:t>) </w:t>
            </w:r>
          </w:p>
        </w:tc>
        <w:tc>
          <w:tcPr>
            <w:tcW w:w="597"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469" w:type="dxa"/>
            <w:tcBorders/>
            <w:shd w:fill="CCEEFF" w:val="clear"/>
            <w:vAlign w:val="bottom"/>
          </w:tcPr>
          <w:p>
            <w:pPr>
              <w:pStyle w:val="TableContents"/>
              <w:spacing w:before="0" w:after="283"/>
              <w:jc w:val="right"/>
              <w:rPr/>
            </w:pPr>
            <w:r>
              <w:rPr/>
              <w:t>4.1</w:t>
            </w:r>
          </w:p>
        </w:tc>
        <w:tc>
          <w:tcPr>
            <w:tcW w:w="158" w:type="dxa"/>
            <w:tcBorders/>
            <w:shd w:fill="CCEEFF" w:val="clear"/>
            <w:vAlign w:val="bottom"/>
          </w:tcPr>
          <w:p>
            <w:pPr>
              <w:pStyle w:val="TableContents"/>
              <w:spacing w:before="0" w:after="283"/>
              <w:rPr/>
            </w:pPr>
            <w:r>
              <w:rPr/>
              <w:t> </w:t>
            </w:r>
          </w:p>
        </w:tc>
      </w:tr>
      <w:tr>
        <w:trPr/>
        <w:tc>
          <w:tcPr>
            <w:tcW w:w="4736" w:type="dxa"/>
            <w:tcBorders/>
            <w:shd w:fill="auto" w:val="clear"/>
            <w:vAlign w:val="bottom"/>
          </w:tcPr>
          <w:p>
            <w:pPr>
              <w:pStyle w:val="TableContents"/>
              <w:spacing w:before="0" w:after="283"/>
              <w:rPr>
                <w:sz w:val="4"/>
                <w:szCs w:val="4"/>
              </w:rPr>
            </w:pPr>
            <w:r>
              <w:rPr>
                <w:sz w:val="4"/>
                <w:szCs w:val="4"/>
              </w:rPr>
            </w:r>
          </w:p>
        </w:tc>
        <w:tc>
          <w:tcPr>
            <w:tcW w:w="551"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pBdr>
                <w:top w:val="single" w:sz="2" w:space="1" w:color="000000"/>
              </w:pBdr>
              <w:spacing w:before="0" w:after="0"/>
              <w:rPr/>
            </w:pPr>
            <w:r>
              <w:rPr/>
              <w:t> </w:t>
            </w:r>
          </w:p>
        </w:tc>
        <w:tc>
          <w:tcPr>
            <w:tcW w:w="1466" w:type="dxa"/>
            <w:tcBorders/>
            <w:shd w:fill="auto" w:val="clear"/>
            <w:vAlign w:val="bottom"/>
          </w:tcPr>
          <w:p>
            <w:pPr>
              <w:pStyle w:val="TableContents"/>
              <w:pBdr>
                <w:top w:val="single" w:sz="2" w:space="1" w:color="000000"/>
              </w:pBdr>
              <w:spacing w:before="0" w:after="0"/>
              <w:rPr/>
            </w:pPr>
            <w:r>
              <w:rPr/>
              <w:t> </w:t>
            </w:r>
          </w:p>
        </w:tc>
        <w:tc>
          <w:tcPr>
            <w:tcW w:w="438" w:type="dxa"/>
            <w:tcBorders/>
            <w:shd w:fill="auto" w:val="clear"/>
            <w:vAlign w:val="center"/>
          </w:tcPr>
          <w:p>
            <w:pPr>
              <w:pStyle w:val="TableContents"/>
              <w:spacing w:before="0" w:after="283"/>
              <w:rPr/>
            </w:pPr>
            <w:r>
              <w:rPr/>
              <w:t> </w:t>
            </w:r>
          </w:p>
        </w:tc>
        <w:tc>
          <w:tcPr>
            <w:tcW w:w="597"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pBdr>
                <w:top w:val="single" w:sz="2" w:space="1" w:color="000000"/>
              </w:pBdr>
              <w:spacing w:before="0" w:after="0"/>
              <w:rPr/>
            </w:pPr>
            <w:r>
              <w:rPr/>
              <w:t> </w:t>
            </w:r>
          </w:p>
        </w:tc>
        <w:tc>
          <w:tcPr>
            <w:tcW w:w="1469"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4736"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other expenses</w:t>
            </w:r>
          </w:p>
        </w:tc>
        <w:tc>
          <w:tcPr>
            <w:tcW w:w="551"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466" w:type="dxa"/>
            <w:tcBorders/>
            <w:shd w:fill="auto" w:val="clear"/>
            <w:vAlign w:val="bottom"/>
          </w:tcPr>
          <w:p>
            <w:pPr>
              <w:pStyle w:val="TableContents"/>
              <w:spacing w:before="0" w:after="283"/>
              <w:jc w:val="right"/>
              <w:rPr>
                <w:b/>
              </w:rPr>
            </w:pPr>
            <w:r>
              <w:rPr>
                <w:b/>
              </w:rPr>
              <w:t>1.5</w:t>
            </w:r>
          </w:p>
        </w:tc>
        <w:tc>
          <w:tcPr>
            <w:tcW w:w="438" w:type="dxa"/>
            <w:tcBorders/>
            <w:shd w:fill="auto" w:val="clear"/>
            <w:vAlign w:val="bottom"/>
          </w:tcPr>
          <w:p>
            <w:pPr>
              <w:pStyle w:val="TableContents"/>
              <w:spacing w:before="0" w:after="283"/>
              <w:rPr/>
            </w:pPr>
            <w:r>
              <w:rPr/>
              <w:t> </w:t>
            </w:r>
          </w:p>
        </w:tc>
        <w:tc>
          <w:tcPr>
            <w:tcW w:w="597"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469" w:type="dxa"/>
            <w:tcBorders/>
            <w:shd w:fill="auto" w:val="clear"/>
            <w:vAlign w:val="bottom"/>
          </w:tcPr>
          <w:p>
            <w:pPr>
              <w:pStyle w:val="TableContents"/>
              <w:spacing w:before="0" w:after="283"/>
              <w:jc w:val="right"/>
              <w:rPr>
                <w:b/>
              </w:rPr>
            </w:pPr>
            <w:r>
              <w:rPr>
                <w:b/>
              </w:rPr>
              <w:t>10.2</w:t>
            </w:r>
          </w:p>
        </w:tc>
        <w:tc>
          <w:tcPr>
            <w:tcW w:w="158" w:type="dxa"/>
            <w:tcBorders/>
            <w:shd w:fill="auto" w:val="clear"/>
            <w:vAlign w:val="bottom"/>
          </w:tcPr>
          <w:p>
            <w:pPr>
              <w:pStyle w:val="TableContents"/>
              <w:spacing w:before="0" w:after="283"/>
              <w:rPr/>
            </w:pPr>
            <w:r>
              <w:rPr/>
              <w:t> </w:t>
            </w:r>
          </w:p>
        </w:tc>
      </w:tr>
      <w:tr>
        <w:trPr/>
        <w:tc>
          <w:tcPr>
            <w:tcW w:w="4736" w:type="dxa"/>
            <w:tcBorders/>
            <w:shd w:fill="auto" w:val="clear"/>
            <w:vAlign w:val="bottom"/>
          </w:tcPr>
          <w:p>
            <w:pPr>
              <w:pStyle w:val="TableContents"/>
              <w:spacing w:before="0" w:after="283"/>
              <w:rPr>
                <w:sz w:val="4"/>
                <w:szCs w:val="4"/>
              </w:rPr>
            </w:pPr>
            <w:r>
              <w:rPr>
                <w:sz w:val="4"/>
                <w:szCs w:val="4"/>
              </w:rPr>
            </w:r>
          </w:p>
        </w:tc>
        <w:tc>
          <w:tcPr>
            <w:tcW w:w="551"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pBdr>
                <w:top w:val="single" w:sz="2" w:space="1" w:color="000000"/>
              </w:pBdr>
              <w:spacing w:before="0" w:after="0"/>
              <w:rPr/>
            </w:pPr>
            <w:r>
              <w:rPr/>
              <w:t> </w:t>
            </w:r>
          </w:p>
        </w:tc>
        <w:tc>
          <w:tcPr>
            <w:tcW w:w="1466" w:type="dxa"/>
            <w:tcBorders/>
            <w:shd w:fill="auto" w:val="clear"/>
            <w:vAlign w:val="bottom"/>
          </w:tcPr>
          <w:p>
            <w:pPr>
              <w:pStyle w:val="TableContents"/>
              <w:pBdr>
                <w:top w:val="single" w:sz="2" w:space="1" w:color="000000"/>
              </w:pBdr>
              <w:spacing w:before="0" w:after="0"/>
              <w:rPr/>
            </w:pPr>
            <w:r>
              <w:rPr/>
              <w:t> </w:t>
            </w:r>
          </w:p>
        </w:tc>
        <w:tc>
          <w:tcPr>
            <w:tcW w:w="438" w:type="dxa"/>
            <w:tcBorders/>
            <w:shd w:fill="auto" w:val="clear"/>
            <w:vAlign w:val="center"/>
          </w:tcPr>
          <w:p>
            <w:pPr>
              <w:pStyle w:val="TableContents"/>
              <w:spacing w:before="0" w:after="283"/>
              <w:rPr/>
            </w:pPr>
            <w:r>
              <w:rPr/>
              <w:t> </w:t>
            </w:r>
          </w:p>
        </w:tc>
        <w:tc>
          <w:tcPr>
            <w:tcW w:w="597"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pBdr>
                <w:top w:val="single" w:sz="2" w:space="1" w:color="000000"/>
              </w:pBdr>
              <w:spacing w:before="0" w:after="0"/>
              <w:rPr/>
            </w:pPr>
            <w:r>
              <w:rPr/>
              <w:t> </w:t>
            </w:r>
          </w:p>
        </w:tc>
        <w:tc>
          <w:tcPr>
            <w:tcW w:w="1469"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4736"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Net loss before provision for income taxes</w:t>
            </w:r>
          </w:p>
        </w:tc>
        <w:tc>
          <w:tcPr>
            <w:tcW w:w="551"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466" w:type="dxa"/>
            <w:tcBorders/>
            <w:shd w:fill="CCEEFF" w:val="clear"/>
            <w:vAlign w:val="bottom"/>
          </w:tcPr>
          <w:p>
            <w:pPr>
              <w:pStyle w:val="TableContents"/>
              <w:spacing w:before="0" w:after="283"/>
              <w:jc w:val="right"/>
              <w:rPr>
                <w:b/>
              </w:rPr>
            </w:pPr>
            <w:r>
              <w:rPr>
                <w:b/>
              </w:rPr>
              <w:t>(14.0</w:t>
            </w:r>
          </w:p>
        </w:tc>
        <w:tc>
          <w:tcPr>
            <w:tcW w:w="438" w:type="dxa"/>
            <w:tcBorders/>
            <w:shd w:fill="CCEEFF" w:val="clear"/>
            <w:vAlign w:val="bottom"/>
          </w:tcPr>
          <w:p>
            <w:pPr>
              <w:pStyle w:val="TableContents"/>
              <w:spacing w:before="0" w:after="283"/>
              <w:rPr>
                <w:b/>
              </w:rPr>
            </w:pPr>
            <w:r>
              <w:rPr>
                <w:b/>
              </w:rPr>
              <w:t>) </w:t>
            </w:r>
          </w:p>
        </w:tc>
        <w:tc>
          <w:tcPr>
            <w:tcW w:w="597"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469" w:type="dxa"/>
            <w:tcBorders/>
            <w:shd w:fill="CCEEFF" w:val="clear"/>
            <w:vAlign w:val="bottom"/>
          </w:tcPr>
          <w:p>
            <w:pPr>
              <w:pStyle w:val="TableContents"/>
              <w:spacing w:before="0" w:after="283"/>
              <w:jc w:val="right"/>
              <w:rPr>
                <w:b/>
              </w:rPr>
            </w:pPr>
            <w:r>
              <w:rPr>
                <w:b/>
              </w:rPr>
              <w:t>(32.8</w:t>
            </w:r>
          </w:p>
        </w:tc>
        <w:tc>
          <w:tcPr>
            <w:tcW w:w="158" w:type="dxa"/>
            <w:tcBorders/>
            <w:shd w:fill="CCEEFF" w:val="clear"/>
            <w:vAlign w:val="bottom"/>
          </w:tcPr>
          <w:p>
            <w:pPr>
              <w:pStyle w:val="TableContents"/>
              <w:spacing w:before="0" w:after="283"/>
              <w:rPr>
                <w:b/>
              </w:rPr>
            </w:pPr>
            <w:r>
              <w:rPr>
                <w:b/>
              </w:rPr>
              <w:t>) </w:t>
            </w:r>
          </w:p>
        </w:tc>
      </w:tr>
      <w:tr>
        <w:trPr/>
        <w:tc>
          <w:tcPr>
            <w:tcW w:w="4736" w:type="dxa"/>
            <w:tcBorders/>
            <w:shd w:fill="auto" w:val="clear"/>
            <w:vAlign w:val="bottom"/>
          </w:tcPr>
          <w:p>
            <w:pPr>
              <w:pStyle w:val="TableContents"/>
              <w:spacing w:before="0" w:after="283"/>
              <w:rPr>
                <w:sz w:val="4"/>
                <w:szCs w:val="4"/>
              </w:rPr>
            </w:pPr>
            <w:r>
              <w:rPr>
                <w:sz w:val="4"/>
                <w:szCs w:val="4"/>
              </w:rPr>
            </w:r>
          </w:p>
        </w:tc>
        <w:tc>
          <w:tcPr>
            <w:tcW w:w="551"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pBdr>
                <w:top w:val="single" w:sz="2" w:space="1" w:color="000000"/>
              </w:pBdr>
              <w:spacing w:before="0" w:after="0"/>
              <w:rPr/>
            </w:pPr>
            <w:r>
              <w:rPr/>
              <w:t> </w:t>
            </w:r>
          </w:p>
        </w:tc>
        <w:tc>
          <w:tcPr>
            <w:tcW w:w="1466" w:type="dxa"/>
            <w:tcBorders/>
            <w:shd w:fill="auto" w:val="clear"/>
            <w:vAlign w:val="bottom"/>
          </w:tcPr>
          <w:p>
            <w:pPr>
              <w:pStyle w:val="TableContents"/>
              <w:pBdr>
                <w:top w:val="single" w:sz="2" w:space="1" w:color="000000"/>
              </w:pBdr>
              <w:spacing w:before="0" w:after="0"/>
              <w:rPr/>
            </w:pPr>
            <w:r>
              <w:rPr/>
              <w:t> </w:t>
            </w:r>
          </w:p>
        </w:tc>
        <w:tc>
          <w:tcPr>
            <w:tcW w:w="438" w:type="dxa"/>
            <w:tcBorders/>
            <w:shd w:fill="auto" w:val="clear"/>
            <w:vAlign w:val="center"/>
          </w:tcPr>
          <w:p>
            <w:pPr>
              <w:pStyle w:val="TableContents"/>
              <w:spacing w:before="0" w:after="283"/>
              <w:rPr/>
            </w:pPr>
            <w:r>
              <w:rPr/>
              <w:t> </w:t>
            </w:r>
          </w:p>
        </w:tc>
        <w:tc>
          <w:tcPr>
            <w:tcW w:w="597"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pBdr>
                <w:top w:val="single" w:sz="2" w:space="1" w:color="000000"/>
              </w:pBdr>
              <w:spacing w:before="0" w:after="0"/>
              <w:rPr/>
            </w:pPr>
            <w:r>
              <w:rPr/>
              <w:t> </w:t>
            </w:r>
          </w:p>
        </w:tc>
        <w:tc>
          <w:tcPr>
            <w:tcW w:w="1469"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4736" w:type="dxa"/>
            <w:tcBorders/>
            <w:shd w:fill="auto" w:val="clear"/>
          </w:tcPr>
          <w:p>
            <w:pPr>
              <w:pStyle w:val="TableContents"/>
              <w:spacing w:before="0" w:after="0"/>
              <w:rPr>
                <w:rFonts w:ascii="Times New Roman" w:hAnsi="Times New Roman"/>
                <w:sz w:val="20"/>
              </w:rPr>
            </w:pPr>
            <w:r>
              <w:rPr>
                <w:rFonts w:ascii="Times New Roman" w:hAnsi="Times New Roman"/>
                <w:sz w:val="20"/>
              </w:rPr>
              <w:t>Provision for income taxes</w:t>
            </w:r>
          </w:p>
        </w:tc>
        <w:tc>
          <w:tcPr>
            <w:tcW w:w="551"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466" w:type="dxa"/>
            <w:tcBorders/>
            <w:shd w:fill="auto" w:val="clear"/>
            <w:vAlign w:val="bottom"/>
          </w:tcPr>
          <w:p>
            <w:pPr>
              <w:pStyle w:val="TableContents"/>
              <w:spacing w:before="0" w:after="283"/>
              <w:jc w:val="right"/>
              <w:rPr/>
            </w:pPr>
            <w:r>
              <w:rPr/>
              <w:t>  </w:t>
            </w:r>
          </w:p>
        </w:tc>
        <w:tc>
          <w:tcPr>
            <w:tcW w:w="438" w:type="dxa"/>
            <w:tcBorders/>
            <w:shd w:fill="auto" w:val="clear"/>
            <w:vAlign w:val="bottom"/>
          </w:tcPr>
          <w:p>
            <w:pPr>
              <w:pStyle w:val="TableContents"/>
              <w:spacing w:before="0" w:after="283"/>
              <w:rPr/>
            </w:pPr>
            <w:r>
              <w:rPr/>
              <w:t> </w:t>
            </w:r>
          </w:p>
        </w:tc>
        <w:tc>
          <w:tcPr>
            <w:tcW w:w="597"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469"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rPr/>
            </w:pPr>
            <w:r>
              <w:rPr/>
              <w:t> </w:t>
            </w:r>
          </w:p>
        </w:tc>
      </w:tr>
      <w:tr>
        <w:trPr/>
        <w:tc>
          <w:tcPr>
            <w:tcW w:w="4736" w:type="dxa"/>
            <w:tcBorders/>
            <w:shd w:fill="auto" w:val="clear"/>
            <w:vAlign w:val="bottom"/>
          </w:tcPr>
          <w:p>
            <w:pPr>
              <w:pStyle w:val="TableContents"/>
              <w:spacing w:before="0" w:after="283"/>
              <w:rPr>
                <w:sz w:val="4"/>
                <w:szCs w:val="4"/>
              </w:rPr>
            </w:pPr>
            <w:r>
              <w:rPr>
                <w:sz w:val="4"/>
                <w:szCs w:val="4"/>
              </w:rPr>
            </w:r>
          </w:p>
        </w:tc>
        <w:tc>
          <w:tcPr>
            <w:tcW w:w="551"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pBdr>
                <w:top w:val="single" w:sz="2" w:space="1" w:color="000000"/>
              </w:pBdr>
              <w:spacing w:before="0" w:after="0"/>
              <w:rPr/>
            </w:pPr>
            <w:r>
              <w:rPr/>
              <w:t> </w:t>
            </w:r>
          </w:p>
        </w:tc>
        <w:tc>
          <w:tcPr>
            <w:tcW w:w="1466" w:type="dxa"/>
            <w:tcBorders/>
            <w:shd w:fill="auto" w:val="clear"/>
            <w:vAlign w:val="bottom"/>
          </w:tcPr>
          <w:p>
            <w:pPr>
              <w:pStyle w:val="TableContents"/>
              <w:pBdr>
                <w:top w:val="single" w:sz="2" w:space="1" w:color="000000"/>
              </w:pBdr>
              <w:spacing w:before="0" w:after="0"/>
              <w:rPr/>
            </w:pPr>
            <w:r>
              <w:rPr/>
              <w:t> </w:t>
            </w:r>
          </w:p>
        </w:tc>
        <w:tc>
          <w:tcPr>
            <w:tcW w:w="438" w:type="dxa"/>
            <w:tcBorders/>
            <w:shd w:fill="auto" w:val="clear"/>
            <w:vAlign w:val="center"/>
          </w:tcPr>
          <w:p>
            <w:pPr>
              <w:pStyle w:val="TableContents"/>
              <w:spacing w:before="0" w:after="283"/>
              <w:rPr/>
            </w:pPr>
            <w:r>
              <w:rPr/>
              <w:t> </w:t>
            </w:r>
          </w:p>
        </w:tc>
        <w:tc>
          <w:tcPr>
            <w:tcW w:w="597"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pBdr>
                <w:top w:val="single" w:sz="2" w:space="1" w:color="000000"/>
              </w:pBdr>
              <w:spacing w:before="0" w:after="0"/>
              <w:rPr/>
            </w:pPr>
            <w:r>
              <w:rPr/>
              <w:t> </w:t>
            </w:r>
          </w:p>
        </w:tc>
        <w:tc>
          <w:tcPr>
            <w:tcW w:w="1469"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4736"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Net loss</w:t>
            </w:r>
          </w:p>
        </w:tc>
        <w:tc>
          <w:tcPr>
            <w:tcW w:w="551"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b/>
              </w:rPr>
            </w:pPr>
            <w:r>
              <w:rPr>
                <w:b/>
              </w:rPr>
              <w:t>$</w:t>
            </w:r>
          </w:p>
        </w:tc>
        <w:tc>
          <w:tcPr>
            <w:tcW w:w="1466" w:type="dxa"/>
            <w:tcBorders/>
            <w:shd w:fill="CCEEFF" w:val="clear"/>
            <w:vAlign w:val="bottom"/>
          </w:tcPr>
          <w:p>
            <w:pPr>
              <w:pStyle w:val="TableContents"/>
              <w:spacing w:before="0" w:after="283"/>
              <w:jc w:val="right"/>
              <w:rPr>
                <w:b/>
              </w:rPr>
            </w:pPr>
            <w:r>
              <w:rPr>
                <w:b/>
              </w:rPr>
              <w:t>(14.0</w:t>
            </w:r>
          </w:p>
        </w:tc>
        <w:tc>
          <w:tcPr>
            <w:tcW w:w="438" w:type="dxa"/>
            <w:tcBorders/>
            <w:shd w:fill="CCEEFF" w:val="clear"/>
            <w:vAlign w:val="bottom"/>
          </w:tcPr>
          <w:p>
            <w:pPr>
              <w:pStyle w:val="TableContents"/>
              <w:spacing w:before="0" w:after="283"/>
              <w:rPr>
                <w:b/>
              </w:rPr>
            </w:pPr>
            <w:r>
              <w:rPr>
                <w:b/>
              </w:rPr>
              <w:t>) </w:t>
            </w:r>
          </w:p>
        </w:tc>
        <w:tc>
          <w:tcPr>
            <w:tcW w:w="597"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b/>
              </w:rPr>
            </w:pPr>
            <w:r>
              <w:rPr>
                <w:b/>
              </w:rPr>
              <w:t>$</w:t>
            </w:r>
          </w:p>
        </w:tc>
        <w:tc>
          <w:tcPr>
            <w:tcW w:w="1469" w:type="dxa"/>
            <w:tcBorders/>
            <w:shd w:fill="CCEEFF" w:val="clear"/>
            <w:vAlign w:val="bottom"/>
          </w:tcPr>
          <w:p>
            <w:pPr>
              <w:pStyle w:val="TableContents"/>
              <w:spacing w:before="0" w:after="283"/>
              <w:jc w:val="right"/>
              <w:rPr>
                <w:b/>
              </w:rPr>
            </w:pPr>
            <w:r>
              <w:rPr>
                <w:b/>
              </w:rPr>
              <w:t>(32.8</w:t>
            </w:r>
          </w:p>
        </w:tc>
        <w:tc>
          <w:tcPr>
            <w:tcW w:w="158" w:type="dxa"/>
            <w:tcBorders/>
            <w:shd w:fill="CCEEFF" w:val="clear"/>
            <w:vAlign w:val="bottom"/>
          </w:tcPr>
          <w:p>
            <w:pPr>
              <w:pStyle w:val="TableContents"/>
              <w:spacing w:before="0" w:after="283"/>
              <w:rPr>
                <w:b/>
              </w:rPr>
            </w:pPr>
            <w:r>
              <w:rPr>
                <w:b/>
              </w:rPr>
              <w:t>) </w:t>
            </w:r>
          </w:p>
        </w:tc>
      </w:tr>
      <w:tr>
        <w:trPr/>
        <w:tc>
          <w:tcPr>
            <w:tcW w:w="4736" w:type="dxa"/>
            <w:tcBorders/>
            <w:shd w:fill="auto" w:val="clear"/>
            <w:vAlign w:val="bottom"/>
          </w:tcPr>
          <w:p>
            <w:pPr>
              <w:pStyle w:val="TableContents"/>
              <w:spacing w:before="0" w:after="283"/>
              <w:rPr>
                <w:sz w:val="4"/>
                <w:szCs w:val="4"/>
              </w:rPr>
            </w:pPr>
            <w:r>
              <w:rPr>
                <w:sz w:val="4"/>
                <w:szCs w:val="4"/>
              </w:rPr>
            </w:r>
          </w:p>
        </w:tc>
        <w:tc>
          <w:tcPr>
            <w:tcW w:w="551"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pBdr>
                <w:top w:val="double" w:sz="6" w:space="1" w:color="000000"/>
              </w:pBdr>
              <w:spacing w:before="0" w:after="0"/>
              <w:rPr/>
            </w:pPr>
            <w:r>
              <w:rPr/>
              <w:t> </w:t>
            </w:r>
          </w:p>
        </w:tc>
        <w:tc>
          <w:tcPr>
            <w:tcW w:w="1466" w:type="dxa"/>
            <w:tcBorders/>
            <w:shd w:fill="auto" w:val="clear"/>
            <w:vAlign w:val="bottom"/>
          </w:tcPr>
          <w:p>
            <w:pPr>
              <w:pStyle w:val="TableContents"/>
              <w:pBdr>
                <w:top w:val="double" w:sz="6" w:space="1" w:color="000000"/>
              </w:pBdr>
              <w:spacing w:before="0" w:after="0"/>
              <w:rPr/>
            </w:pPr>
            <w:r>
              <w:rPr/>
              <w:t> </w:t>
            </w:r>
          </w:p>
        </w:tc>
        <w:tc>
          <w:tcPr>
            <w:tcW w:w="438" w:type="dxa"/>
            <w:tcBorders/>
            <w:shd w:fill="auto" w:val="clear"/>
            <w:vAlign w:val="center"/>
          </w:tcPr>
          <w:p>
            <w:pPr>
              <w:pStyle w:val="TableContents"/>
              <w:spacing w:before="0" w:after="283"/>
              <w:rPr/>
            </w:pPr>
            <w:r>
              <w:rPr/>
              <w:t> </w:t>
            </w:r>
          </w:p>
        </w:tc>
        <w:tc>
          <w:tcPr>
            <w:tcW w:w="597"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pBdr>
                <w:top w:val="double" w:sz="6" w:space="1" w:color="000000"/>
              </w:pBdr>
              <w:spacing w:before="0" w:after="0"/>
              <w:rPr/>
            </w:pPr>
            <w:r>
              <w:rPr/>
              <w:t> </w:t>
            </w:r>
          </w:p>
        </w:tc>
        <w:tc>
          <w:tcPr>
            <w:tcW w:w="1469" w:type="dxa"/>
            <w:tcBorders/>
            <w:shd w:fill="auto" w:val="clear"/>
            <w:vAlign w:val="bottom"/>
          </w:tcPr>
          <w:p>
            <w:pPr>
              <w:pStyle w:val="TableContents"/>
              <w:pBdr>
                <w:top w:val="double" w:sz="6"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DAVE INC. </w:t>
      </w:r>
    </w:p>
    <w:p>
      <w:pPr>
        <w:pStyle w:val="TextBody"/>
        <w:spacing w:before="0" w:after="0"/>
        <w:jc w:val="center"/>
        <w:rPr>
          <w:rFonts w:ascii="Times New Roman" w:hAnsi="Times New Roman"/>
          <w:b/>
          <w:sz w:val="20"/>
        </w:rPr>
      </w:pPr>
      <w:r>
        <w:rPr>
          <w:rFonts w:ascii="Times New Roman" w:hAnsi="Times New Roman"/>
          <w:b/>
          <w:sz w:val="20"/>
        </w:rPr>
        <w:t xml:space="preserve">RECONCILIATION OF OPERATING REVENUES, NET TO NON-GAAP OPERATING REVENUES </w:t>
      </w:r>
    </w:p>
    <w:p>
      <w:pPr>
        <w:pStyle w:val="TextBody"/>
        <w:spacing w:before="0" w:after="0"/>
        <w:jc w:val="center"/>
        <w:rPr>
          <w:rFonts w:ascii="Times New Roman" w:hAnsi="Times New Roman"/>
          <w:sz w:val="20"/>
        </w:rPr>
      </w:pPr>
      <w:r>
        <w:rPr>
          <w:rFonts w:ascii="Times New Roman" w:hAnsi="Times New Roman"/>
          <w:sz w:val="20"/>
        </w:rPr>
        <w:t xml:space="preserve">(in millions)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16"/>
        <w:gridCol w:w="534"/>
        <w:gridCol w:w="425"/>
        <w:gridCol w:w="1348"/>
        <w:gridCol w:w="182"/>
        <w:gridCol w:w="761"/>
        <w:gridCol w:w="425"/>
        <w:gridCol w:w="1350"/>
        <w:gridCol w:w="64"/>
      </w:tblGrid>
      <w:tr>
        <w:trPr/>
        <w:tc>
          <w:tcPr>
            <w:tcW w:w="5116"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bottom"/>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348"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bottom"/>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35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5116" w:type="dxa"/>
            <w:tcBorders/>
            <w:shd w:fill="auto" w:val="clear"/>
            <w:vAlign w:val="bottom"/>
          </w:tcPr>
          <w:p>
            <w:pPr>
              <w:pStyle w:val="TableContents"/>
              <w:spacing w:before="0" w:after="283"/>
              <w:rPr/>
            </w:pPr>
            <w:r>
              <w:rPr/>
              <w:t> </w:t>
            </w:r>
          </w:p>
        </w:tc>
        <w:tc>
          <w:tcPr>
            <w:tcW w:w="534" w:type="dxa"/>
            <w:tcBorders/>
            <w:shd w:fill="auto" w:val="clear"/>
            <w:vAlign w:val="bottom"/>
          </w:tcPr>
          <w:p>
            <w:pPr>
              <w:pStyle w:val="TableContents"/>
              <w:spacing w:before="0" w:after="283"/>
              <w:rPr/>
            </w:pPr>
            <w:r>
              <w:rPr/>
              <w:t>  </w:t>
            </w:r>
          </w:p>
        </w:tc>
        <w:tc>
          <w:tcPr>
            <w:tcW w:w="4491"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 Months Ended March 31,</w:t>
            </w:r>
          </w:p>
        </w:tc>
        <w:tc>
          <w:tcPr>
            <w:tcW w:w="64" w:type="dxa"/>
            <w:tcBorders/>
            <w:shd w:fill="auto" w:val="clear"/>
            <w:vAlign w:val="bottom"/>
          </w:tcPr>
          <w:p>
            <w:pPr>
              <w:pStyle w:val="TableContents"/>
              <w:spacing w:before="0" w:after="283"/>
              <w:rPr/>
            </w:pPr>
            <w:r>
              <w:rPr/>
              <w:t> </w:t>
            </w:r>
          </w:p>
        </w:tc>
      </w:tr>
      <w:tr>
        <w:trPr/>
        <w:tc>
          <w:tcPr>
            <w:tcW w:w="5116" w:type="dxa"/>
            <w:tcBorders/>
            <w:shd w:fill="auto" w:val="clear"/>
            <w:vAlign w:val="bottom"/>
          </w:tcPr>
          <w:p>
            <w:pPr>
              <w:pStyle w:val="TableContents"/>
              <w:spacing w:before="0" w:after="283"/>
              <w:rPr/>
            </w:pPr>
            <w:r>
              <w:rPr/>
              <w:t> </w:t>
            </w:r>
          </w:p>
        </w:tc>
        <w:tc>
          <w:tcPr>
            <w:tcW w:w="534" w:type="dxa"/>
            <w:tcBorders/>
            <w:shd w:fill="auto" w:val="clear"/>
            <w:vAlign w:val="bottom"/>
          </w:tcPr>
          <w:p>
            <w:pPr>
              <w:pStyle w:val="TableContents"/>
              <w:spacing w:before="0" w:after="283"/>
              <w:rPr/>
            </w:pPr>
            <w:r>
              <w:rPr/>
              <w:t>  </w:t>
            </w:r>
          </w:p>
        </w:tc>
        <w:tc>
          <w:tcPr>
            <w:tcW w:w="177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182"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rPr/>
            </w:pPr>
            <w:r>
              <w:rPr/>
              <w:t>  </w:t>
            </w:r>
          </w:p>
        </w:tc>
        <w:tc>
          <w:tcPr>
            <w:tcW w:w="17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4" w:type="dxa"/>
            <w:tcBorders/>
            <w:shd w:fill="auto" w:val="clear"/>
            <w:vAlign w:val="bottom"/>
          </w:tcPr>
          <w:p>
            <w:pPr>
              <w:pStyle w:val="TableContents"/>
              <w:spacing w:before="0" w:after="283"/>
              <w:rPr/>
            </w:pPr>
            <w:r>
              <w:rPr/>
              <w:t> </w:t>
            </w:r>
          </w:p>
        </w:tc>
      </w:tr>
      <w:tr>
        <w:trPr/>
        <w:tc>
          <w:tcPr>
            <w:tcW w:w="5116"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Operating revenues, net</w:t>
            </w:r>
          </w:p>
        </w:tc>
        <w:tc>
          <w:tcPr>
            <w:tcW w:w="534"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b/>
              </w:rPr>
            </w:pPr>
            <w:r>
              <w:rPr>
                <w:b/>
              </w:rPr>
              <w:t>$</w:t>
            </w:r>
          </w:p>
        </w:tc>
        <w:tc>
          <w:tcPr>
            <w:tcW w:w="1348" w:type="dxa"/>
            <w:tcBorders/>
            <w:shd w:fill="CCEEFF" w:val="clear"/>
            <w:vAlign w:val="bottom"/>
          </w:tcPr>
          <w:p>
            <w:pPr>
              <w:pStyle w:val="TableContents"/>
              <w:spacing w:before="0" w:after="283"/>
              <w:jc w:val="right"/>
              <w:rPr>
                <w:b/>
              </w:rPr>
            </w:pPr>
            <w:r>
              <w:rPr>
                <w:b/>
              </w:rPr>
              <w:t>58.9</w:t>
            </w:r>
          </w:p>
        </w:tc>
        <w:tc>
          <w:tcPr>
            <w:tcW w:w="182"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b/>
              </w:rPr>
            </w:pPr>
            <w:r>
              <w:rPr>
                <w:b/>
              </w:rPr>
              <w:t>$</w:t>
            </w:r>
          </w:p>
        </w:tc>
        <w:tc>
          <w:tcPr>
            <w:tcW w:w="1350" w:type="dxa"/>
            <w:tcBorders/>
            <w:shd w:fill="CCEEFF" w:val="clear"/>
            <w:vAlign w:val="bottom"/>
          </w:tcPr>
          <w:p>
            <w:pPr>
              <w:pStyle w:val="TableContents"/>
              <w:spacing w:before="0" w:after="283"/>
              <w:jc w:val="right"/>
              <w:rPr>
                <w:b/>
              </w:rPr>
            </w:pPr>
            <w:r>
              <w:rPr>
                <w:b/>
              </w:rPr>
              <w:t>42.6</w:t>
            </w:r>
          </w:p>
        </w:tc>
        <w:tc>
          <w:tcPr>
            <w:tcW w:w="64" w:type="dxa"/>
            <w:tcBorders/>
            <w:shd w:fill="CCEEFF" w:val="clear"/>
            <w:vAlign w:val="bottom"/>
          </w:tcPr>
          <w:p>
            <w:pPr>
              <w:pStyle w:val="TableContents"/>
              <w:spacing w:before="0" w:after="283"/>
              <w:rPr/>
            </w:pPr>
            <w:r>
              <w:rPr/>
              <w:t> </w:t>
            </w:r>
          </w:p>
        </w:tc>
      </w:tr>
      <w:tr>
        <w:trPr/>
        <w:tc>
          <w:tcPr>
            <w:tcW w:w="5116" w:type="dxa"/>
            <w:tcBorders/>
            <w:shd w:fill="auto" w:val="clear"/>
          </w:tcPr>
          <w:p>
            <w:pPr>
              <w:pStyle w:val="TableContents"/>
              <w:spacing w:before="0" w:after="0"/>
              <w:rPr>
                <w:rFonts w:ascii="Times New Roman" w:hAnsi="Times New Roman"/>
                <w:sz w:val="20"/>
              </w:rPr>
            </w:pPr>
            <w:r>
              <w:rPr>
                <w:rFonts w:ascii="Times New Roman" w:hAnsi="Times New Roman"/>
                <w:sz w:val="20"/>
              </w:rPr>
              <w:t>ExtraCash origination and ATM-related costs</w:t>
            </w:r>
          </w:p>
        </w:tc>
        <w:tc>
          <w:tcPr>
            <w:tcW w:w="534"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348" w:type="dxa"/>
            <w:tcBorders/>
            <w:shd w:fill="auto" w:val="clear"/>
            <w:vAlign w:val="bottom"/>
          </w:tcPr>
          <w:p>
            <w:pPr>
              <w:pStyle w:val="TableContents"/>
              <w:spacing w:before="0" w:after="283"/>
              <w:jc w:val="right"/>
              <w:rPr/>
            </w:pPr>
            <w:r>
              <w:rPr/>
              <w:t>1.7</w:t>
            </w:r>
          </w:p>
        </w:tc>
        <w:tc>
          <w:tcPr>
            <w:tcW w:w="182"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350" w:type="dxa"/>
            <w:tcBorders/>
            <w:shd w:fill="auto" w:val="clear"/>
            <w:vAlign w:val="bottom"/>
          </w:tcPr>
          <w:p>
            <w:pPr>
              <w:pStyle w:val="TableContents"/>
              <w:spacing w:before="0" w:after="283"/>
              <w:jc w:val="right"/>
              <w:rPr/>
            </w:pPr>
            <w:r>
              <w:rPr/>
              <w:t>1.1</w:t>
            </w:r>
          </w:p>
        </w:tc>
        <w:tc>
          <w:tcPr>
            <w:tcW w:w="64" w:type="dxa"/>
            <w:tcBorders/>
            <w:shd w:fill="auto" w:val="clear"/>
            <w:vAlign w:val="bottom"/>
          </w:tcPr>
          <w:p>
            <w:pPr>
              <w:pStyle w:val="TableContents"/>
              <w:spacing w:before="0" w:after="283"/>
              <w:rPr/>
            </w:pPr>
            <w:r>
              <w:rPr/>
              <w:t> </w:t>
            </w:r>
          </w:p>
        </w:tc>
      </w:tr>
      <w:tr>
        <w:trPr/>
        <w:tc>
          <w:tcPr>
            <w:tcW w:w="5116" w:type="dxa"/>
            <w:tcBorders/>
            <w:shd w:fill="auto" w:val="clear"/>
            <w:vAlign w:val="bottom"/>
          </w:tcPr>
          <w:p>
            <w:pPr>
              <w:pStyle w:val="TableContents"/>
              <w:spacing w:before="0" w:after="283"/>
              <w:rPr>
                <w:sz w:val="4"/>
                <w:szCs w:val="4"/>
              </w:rPr>
            </w:pPr>
            <w:r>
              <w:rPr>
                <w:sz w:val="4"/>
                <w:szCs w:val="4"/>
              </w:rPr>
            </w:r>
          </w:p>
        </w:tc>
        <w:tc>
          <w:tcPr>
            <w:tcW w:w="534"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pBdr>
                <w:top w:val="single" w:sz="2" w:space="1" w:color="000000"/>
              </w:pBdr>
              <w:spacing w:before="0" w:after="0"/>
              <w:rPr/>
            </w:pPr>
            <w:r>
              <w:rPr/>
              <w:t> </w:t>
            </w:r>
          </w:p>
        </w:tc>
        <w:tc>
          <w:tcPr>
            <w:tcW w:w="1348" w:type="dxa"/>
            <w:tcBorders/>
            <w:shd w:fill="auto" w:val="clear"/>
            <w:vAlign w:val="bottom"/>
          </w:tcPr>
          <w:p>
            <w:pPr>
              <w:pStyle w:val="TableContents"/>
              <w:pBdr>
                <w:top w:val="single" w:sz="2" w:space="1" w:color="000000"/>
              </w:pBdr>
              <w:spacing w:before="0" w:after="0"/>
              <w:rPr/>
            </w:pPr>
            <w:r>
              <w:rPr/>
              <w:t> </w:t>
            </w:r>
          </w:p>
        </w:tc>
        <w:tc>
          <w:tcPr>
            <w:tcW w:w="182" w:type="dxa"/>
            <w:tcBorders/>
            <w:shd w:fill="auto" w:val="clear"/>
            <w:vAlign w:val="center"/>
          </w:tcPr>
          <w:p>
            <w:pPr>
              <w:pStyle w:val="TableContents"/>
              <w:spacing w:before="0" w:after="283"/>
              <w:rPr/>
            </w:pPr>
            <w:r>
              <w:rPr/>
              <w:t> </w:t>
            </w:r>
          </w:p>
        </w:tc>
        <w:tc>
          <w:tcPr>
            <w:tcW w:w="761"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pBdr>
                <w:top w:val="single" w:sz="2" w:space="1" w:color="000000"/>
              </w:pBdr>
              <w:spacing w:before="0" w:after="0"/>
              <w:rPr/>
            </w:pPr>
            <w:r>
              <w:rPr/>
              <w:t> </w:t>
            </w:r>
          </w:p>
        </w:tc>
        <w:tc>
          <w:tcPr>
            <w:tcW w:w="1350"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5116"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Non-GAAP operating revenues</w:t>
            </w:r>
          </w:p>
        </w:tc>
        <w:tc>
          <w:tcPr>
            <w:tcW w:w="534"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b/>
              </w:rPr>
            </w:pPr>
            <w:r>
              <w:rPr>
                <w:b/>
              </w:rPr>
              <w:t>$</w:t>
            </w:r>
          </w:p>
        </w:tc>
        <w:tc>
          <w:tcPr>
            <w:tcW w:w="1348" w:type="dxa"/>
            <w:tcBorders/>
            <w:shd w:fill="CCEEFF" w:val="clear"/>
            <w:vAlign w:val="bottom"/>
          </w:tcPr>
          <w:p>
            <w:pPr>
              <w:pStyle w:val="TableContents"/>
              <w:spacing w:before="0" w:after="283"/>
              <w:jc w:val="right"/>
              <w:rPr>
                <w:b/>
              </w:rPr>
            </w:pPr>
            <w:r>
              <w:rPr>
                <w:b/>
              </w:rPr>
              <w:t>60.6</w:t>
            </w:r>
          </w:p>
        </w:tc>
        <w:tc>
          <w:tcPr>
            <w:tcW w:w="182"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b/>
              </w:rPr>
            </w:pPr>
            <w:r>
              <w:rPr>
                <w:b/>
              </w:rPr>
              <w:t>$</w:t>
            </w:r>
          </w:p>
        </w:tc>
        <w:tc>
          <w:tcPr>
            <w:tcW w:w="1350" w:type="dxa"/>
            <w:tcBorders/>
            <w:shd w:fill="CCEEFF" w:val="clear"/>
            <w:vAlign w:val="bottom"/>
          </w:tcPr>
          <w:p>
            <w:pPr>
              <w:pStyle w:val="TableContents"/>
              <w:spacing w:before="0" w:after="283"/>
              <w:jc w:val="right"/>
              <w:rPr>
                <w:b/>
              </w:rPr>
            </w:pPr>
            <w:r>
              <w:rPr>
                <w:b/>
              </w:rPr>
              <w:t>43.7</w:t>
            </w:r>
          </w:p>
        </w:tc>
        <w:tc>
          <w:tcPr>
            <w:tcW w:w="64" w:type="dxa"/>
            <w:tcBorders/>
            <w:shd w:fill="CCEEFF" w:val="clear"/>
            <w:vAlign w:val="bottom"/>
          </w:tcPr>
          <w:p>
            <w:pPr>
              <w:pStyle w:val="TableContents"/>
              <w:spacing w:before="0" w:after="283"/>
              <w:rPr/>
            </w:pPr>
            <w:r>
              <w:rPr/>
              <w:t> </w:t>
            </w:r>
          </w:p>
        </w:tc>
      </w:tr>
      <w:tr>
        <w:trPr/>
        <w:tc>
          <w:tcPr>
            <w:tcW w:w="5116" w:type="dxa"/>
            <w:tcBorders/>
            <w:shd w:fill="auto" w:val="clear"/>
            <w:vAlign w:val="bottom"/>
          </w:tcPr>
          <w:p>
            <w:pPr>
              <w:pStyle w:val="TableContents"/>
              <w:spacing w:before="0" w:after="283"/>
              <w:rPr>
                <w:sz w:val="4"/>
                <w:szCs w:val="4"/>
              </w:rPr>
            </w:pPr>
            <w:r>
              <w:rPr>
                <w:sz w:val="4"/>
                <w:szCs w:val="4"/>
              </w:rPr>
            </w:r>
          </w:p>
        </w:tc>
        <w:tc>
          <w:tcPr>
            <w:tcW w:w="534"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pBdr>
                <w:top w:val="double" w:sz="6" w:space="1" w:color="000000"/>
              </w:pBdr>
              <w:spacing w:before="0" w:after="0"/>
              <w:rPr/>
            </w:pPr>
            <w:r>
              <w:rPr/>
              <w:t> </w:t>
            </w:r>
          </w:p>
        </w:tc>
        <w:tc>
          <w:tcPr>
            <w:tcW w:w="1348" w:type="dxa"/>
            <w:tcBorders/>
            <w:shd w:fill="auto" w:val="clear"/>
            <w:vAlign w:val="bottom"/>
          </w:tcPr>
          <w:p>
            <w:pPr>
              <w:pStyle w:val="TableContents"/>
              <w:pBdr>
                <w:top w:val="double" w:sz="6" w:space="1" w:color="000000"/>
              </w:pBdr>
              <w:spacing w:before="0" w:after="0"/>
              <w:rPr/>
            </w:pPr>
            <w:r>
              <w:rPr/>
              <w:t> </w:t>
            </w:r>
          </w:p>
        </w:tc>
        <w:tc>
          <w:tcPr>
            <w:tcW w:w="182" w:type="dxa"/>
            <w:tcBorders/>
            <w:shd w:fill="auto" w:val="clear"/>
            <w:vAlign w:val="center"/>
          </w:tcPr>
          <w:p>
            <w:pPr>
              <w:pStyle w:val="TableContents"/>
              <w:spacing w:before="0" w:after="283"/>
              <w:rPr/>
            </w:pPr>
            <w:r>
              <w:rPr/>
              <w:t> </w:t>
            </w:r>
          </w:p>
        </w:tc>
        <w:tc>
          <w:tcPr>
            <w:tcW w:w="761"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pBdr>
                <w:top w:val="double" w:sz="6" w:space="1" w:color="000000"/>
              </w:pBdr>
              <w:spacing w:before="0" w:after="0"/>
              <w:rPr/>
            </w:pPr>
            <w:r>
              <w:rPr/>
              <w:t> </w:t>
            </w:r>
          </w:p>
        </w:tc>
        <w:tc>
          <w:tcPr>
            <w:tcW w:w="1350" w:type="dxa"/>
            <w:tcBorders/>
            <w:shd w:fill="auto" w:val="clear"/>
            <w:vAlign w:val="bottom"/>
          </w:tcPr>
          <w:p>
            <w:pPr>
              <w:pStyle w:val="TableContents"/>
              <w:pBdr>
                <w:top w:val="double" w:sz="6"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b/>
          <w:sz w:val="20"/>
        </w:rPr>
      </w:pPr>
      <w:r>
        <w:rPr>
          <w:rFonts w:ascii="Times New Roman" w:hAnsi="Times New Roman"/>
          <w:b/>
          <w:sz w:val="20"/>
        </w:rPr>
        <w:t xml:space="preserve">RECONCILIATION OF OPERATING EXPENSES TO NON-GAAP OPERATING EXPENSES </w:t>
      </w:r>
    </w:p>
    <w:p>
      <w:pPr>
        <w:pStyle w:val="TextBody"/>
        <w:spacing w:before="0" w:after="0"/>
        <w:jc w:val="center"/>
        <w:rPr>
          <w:rFonts w:ascii="Times New Roman" w:hAnsi="Times New Roman"/>
          <w:sz w:val="20"/>
        </w:rPr>
      </w:pPr>
      <w:r>
        <w:rPr>
          <w:rFonts w:ascii="Times New Roman" w:hAnsi="Times New Roman"/>
          <w:sz w:val="20"/>
        </w:rPr>
        <w:t xml:space="preserve">(in millions)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17"/>
        <w:gridCol w:w="480"/>
        <w:gridCol w:w="373"/>
        <w:gridCol w:w="1386"/>
        <w:gridCol w:w="413"/>
        <w:gridCol w:w="517"/>
        <w:gridCol w:w="373"/>
        <w:gridCol w:w="1388"/>
        <w:gridCol w:w="158"/>
      </w:tblGrid>
      <w:tr>
        <w:trPr/>
        <w:tc>
          <w:tcPr>
            <w:tcW w:w="5117"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bottom"/>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1386"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bottom"/>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138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117" w:type="dxa"/>
            <w:tcBorders/>
            <w:shd w:fill="auto" w:val="clear"/>
            <w:vAlign w:val="bottom"/>
          </w:tcPr>
          <w:p>
            <w:pPr>
              <w:pStyle w:val="TableContents"/>
              <w:spacing w:before="0" w:after="283"/>
              <w:rPr/>
            </w:pPr>
            <w:r>
              <w:rPr/>
              <w:t> </w:t>
            </w:r>
          </w:p>
        </w:tc>
        <w:tc>
          <w:tcPr>
            <w:tcW w:w="480" w:type="dxa"/>
            <w:tcBorders/>
            <w:shd w:fill="auto" w:val="clear"/>
            <w:vAlign w:val="bottom"/>
          </w:tcPr>
          <w:p>
            <w:pPr>
              <w:pStyle w:val="TableContents"/>
              <w:spacing w:before="0" w:after="283"/>
              <w:rPr/>
            </w:pPr>
            <w:r>
              <w:rPr/>
              <w:t>  </w:t>
            </w:r>
          </w:p>
        </w:tc>
        <w:tc>
          <w:tcPr>
            <w:tcW w:w="445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 Months Ended March 31,</w:t>
            </w:r>
          </w:p>
        </w:tc>
        <w:tc>
          <w:tcPr>
            <w:tcW w:w="158" w:type="dxa"/>
            <w:tcBorders/>
            <w:shd w:fill="auto" w:val="clear"/>
            <w:vAlign w:val="bottom"/>
          </w:tcPr>
          <w:p>
            <w:pPr>
              <w:pStyle w:val="TableContents"/>
              <w:spacing w:before="0" w:after="283"/>
              <w:rPr/>
            </w:pPr>
            <w:r>
              <w:rPr/>
              <w:t> </w:t>
            </w:r>
          </w:p>
        </w:tc>
      </w:tr>
      <w:tr>
        <w:trPr/>
        <w:tc>
          <w:tcPr>
            <w:tcW w:w="5117" w:type="dxa"/>
            <w:tcBorders/>
            <w:shd w:fill="auto" w:val="clear"/>
            <w:vAlign w:val="bottom"/>
          </w:tcPr>
          <w:p>
            <w:pPr>
              <w:pStyle w:val="TableContents"/>
              <w:spacing w:before="0" w:after="283"/>
              <w:rPr/>
            </w:pPr>
            <w:r>
              <w:rPr/>
              <w:t> </w:t>
            </w:r>
          </w:p>
        </w:tc>
        <w:tc>
          <w:tcPr>
            <w:tcW w:w="480" w:type="dxa"/>
            <w:tcBorders/>
            <w:shd w:fill="auto" w:val="clear"/>
            <w:vAlign w:val="bottom"/>
          </w:tcPr>
          <w:p>
            <w:pPr>
              <w:pStyle w:val="TableContents"/>
              <w:spacing w:before="0" w:after="283"/>
              <w:rPr/>
            </w:pPr>
            <w:r>
              <w:rPr/>
              <w:t>  </w:t>
            </w:r>
          </w:p>
        </w:tc>
        <w:tc>
          <w:tcPr>
            <w:tcW w:w="175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413" w:type="dxa"/>
            <w:tcBorders/>
            <w:shd w:fill="auto" w:val="clear"/>
            <w:vAlign w:val="bottom"/>
          </w:tcPr>
          <w:p>
            <w:pPr>
              <w:pStyle w:val="TableContents"/>
              <w:spacing w:before="0" w:after="283"/>
              <w:rPr/>
            </w:pPr>
            <w:r>
              <w:rPr/>
              <w:t> </w:t>
            </w:r>
          </w:p>
        </w:tc>
        <w:tc>
          <w:tcPr>
            <w:tcW w:w="517" w:type="dxa"/>
            <w:tcBorders/>
            <w:shd w:fill="auto" w:val="clear"/>
            <w:vAlign w:val="bottom"/>
          </w:tcPr>
          <w:p>
            <w:pPr>
              <w:pStyle w:val="TableContents"/>
              <w:spacing w:before="0" w:after="283"/>
              <w:rPr/>
            </w:pPr>
            <w:r>
              <w:rPr/>
              <w:t> </w:t>
            </w:r>
          </w:p>
        </w:tc>
        <w:tc>
          <w:tcPr>
            <w:tcW w:w="176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58" w:type="dxa"/>
            <w:tcBorders/>
            <w:shd w:fill="auto" w:val="clear"/>
            <w:vAlign w:val="bottom"/>
          </w:tcPr>
          <w:p>
            <w:pPr>
              <w:pStyle w:val="TableContents"/>
              <w:spacing w:before="0" w:after="283"/>
              <w:rPr/>
            </w:pPr>
            <w:r>
              <w:rPr/>
              <w:t> </w:t>
            </w:r>
          </w:p>
        </w:tc>
      </w:tr>
      <w:tr>
        <w:trPr/>
        <w:tc>
          <w:tcPr>
            <w:tcW w:w="5117"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Operating expenses</w:t>
            </w:r>
          </w:p>
        </w:tc>
        <w:tc>
          <w:tcPr>
            <w:tcW w:w="480"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b/>
              </w:rPr>
            </w:pPr>
            <w:r>
              <w:rPr>
                <w:b/>
              </w:rPr>
              <w:t>$</w:t>
            </w:r>
          </w:p>
        </w:tc>
        <w:tc>
          <w:tcPr>
            <w:tcW w:w="1386" w:type="dxa"/>
            <w:tcBorders/>
            <w:shd w:fill="CCEEFF" w:val="clear"/>
            <w:vAlign w:val="bottom"/>
          </w:tcPr>
          <w:p>
            <w:pPr>
              <w:pStyle w:val="TableContents"/>
              <w:spacing w:before="0" w:after="283"/>
              <w:jc w:val="right"/>
              <w:rPr>
                <w:b/>
              </w:rPr>
            </w:pPr>
            <w:r>
              <w:rPr>
                <w:b/>
              </w:rPr>
              <w:t>71.4</w:t>
            </w:r>
          </w:p>
        </w:tc>
        <w:tc>
          <w:tcPr>
            <w:tcW w:w="413" w:type="dxa"/>
            <w:tcBorders/>
            <w:shd w:fill="CCEEFF" w:val="clear"/>
            <w:vAlign w:val="bottom"/>
          </w:tcPr>
          <w:p>
            <w:pPr>
              <w:pStyle w:val="TableContents"/>
              <w:spacing w:before="0" w:after="283"/>
              <w:rPr/>
            </w:pPr>
            <w:r>
              <w:rPr/>
              <w:t> </w:t>
            </w:r>
          </w:p>
        </w:tc>
        <w:tc>
          <w:tcPr>
            <w:tcW w:w="517"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b/>
              </w:rPr>
            </w:pPr>
            <w:r>
              <w:rPr>
                <w:b/>
              </w:rPr>
              <w:t>$</w:t>
            </w:r>
          </w:p>
        </w:tc>
        <w:tc>
          <w:tcPr>
            <w:tcW w:w="1388" w:type="dxa"/>
            <w:tcBorders/>
            <w:shd w:fill="CCEEFF" w:val="clear"/>
            <w:vAlign w:val="bottom"/>
          </w:tcPr>
          <w:p>
            <w:pPr>
              <w:pStyle w:val="TableContents"/>
              <w:spacing w:before="0" w:after="283"/>
              <w:jc w:val="right"/>
              <w:rPr>
                <w:b/>
              </w:rPr>
            </w:pPr>
            <w:r>
              <w:rPr>
                <w:b/>
              </w:rPr>
              <w:t>65.2</w:t>
            </w:r>
          </w:p>
        </w:tc>
        <w:tc>
          <w:tcPr>
            <w:tcW w:w="158" w:type="dxa"/>
            <w:tcBorders/>
            <w:shd w:fill="CCEEFF" w:val="clear"/>
            <w:vAlign w:val="bottom"/>
          </w:tcPr>
          <w:p>
            <w:pPr>
              <w:pStyle w:val="TableContents"/>
              <w:spacing w:before="0" w:after="283"/>
              <w:rPr/>
            </w:pPr>
            <w:r>
              <w:rPr/>
              <w:t> </w:t>
            </w:r>
          </w:p>
        </w:tc>
      </w:tr>
      <w:tr>
        <w:trPr/>
        <w:tc>
          <w:tcPr>
            <w:tcW w:w="5117" w:type="dxa"/>
            <w:tcBorders/>
            <w:shd w:fill="auto" w:val="clear"/>
          </w:tcPr>
          <w:p>
            <w:pPr>
              <w:pStyle w:val="TableContents"/>
              <w:spacing w:before="0" w:after="0"/>
              <w:rPr>
                <w:rFonts w:ascii="Times New Roman" w:hAnsi="Times New Roman"/>
                <w:sz w:val="20"/>
              </w:rPr>
            </w:pPr>
            <w:r>
              <w:rPr>
                <w:rFonts w:ascii="Times New Roman" w:hAnsi="Times New Roman"/>
                <w:sz w:val="20"/>
              </w:rPr>
              <w:t>Non-variable operating expenses</w:t>
            </w:r>
          </w:p>
        </w:tc>
        <w:tc>
          <w:tcPr>
            <w:tcW w:w="480"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386" w:type="dxa"/>
            <w:tcBorders/>
            <w:shd w:fill="auto" w:val="clear"/>
            <w:vAlign w:val="bottom"/>
          </w:tcPr>
          <w:p>
            <w:pPr>
              <w:pStyle w:val="TableContents"/>
              <w:spacing w:before="0" w:after="283"/>
              <w:jc w:val="right"/>
              <w:rPr/>
            </w:pPr>
            <w:r>
              <w:rPr/>
              <w:t>(44.8</w:t>
            </w:r>
          </w:p>
        </w:tc>
        <w:tc>
          <w:tcPr>
            <w:tcW w:w="413" w:type="dxa"/>
            <w:tcBorders/>
            <w:shd w:fill="auto" w:val="clear"/>
            <w:vAlign w:val="bottom"/>
          </w:tcPr>
          <w:p>
            <w:pPr>
              <w:pStyle w:val="TableContents"/>
              <w:spacing w:before="0" w:after="283"/>
              <w:rPr/>
            </w:pPr>
            <w:r>
              <w:rPr/>
              <w:t>) </w:t>
            </w:r>
          </w:p>
        </w:tc>
        <w:tc>
          <w:tcPr>
            <w:tcW w:w="517"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388" w:type="dxa"/>
            <w:tcBorders/>
            <w:shd w:fill="auto" w:val="clear"/>
            <w:vAlign w:val="bottom"/>
          </w:tcPr>
          <w:p>
            <w:pPr>
              <w:pStyle w:val="TableContents"/>
              <w:spacing w:before="0" w:after="283"/>
              <w:jc w:val="right"/>
              <w:rPr/>
            </w:pPr>
            <w:r>
              <w:rPr/>
              <w:t>(39.3</w:t>
            </w:r>
          </w:p>
        </w:tc>
        <w:tc>
          <w:tcPr>
            <w:tcW w:w="158" w:type="dxa"/>
            <w:tcBorders/>
            <w:shd w:fill="auto" w:val="clear"/>
            <w:vAlign w:val="bottom"/>
          </w:tcPr>
          <w:p>
            <w:pPr>
              <w:pStyle w:val="TableContents"/>
              <w:spacing w:before="0" w:after="283"/>
              <w:rPr/>
            </w:pPr>
            <w:r>
              <w:rPr/>
              <w:t>) </w:t>
            </w:r>
          </w:p>
        </w:tc>
      </w:tr>
      <w:tr>
        <w:trPr/>
        <w:tc>
          <w:tcPr>
            <w:tcW w:w="5117" w:type="dxa"/>
            <w:tcBorders/>
            <w:shd w:fill="auto" w:val="clear"/>
            <w:vAlign w:val="bottom"/>
          </w:tcPr>
          <w:p>
            <w:pPr>
              <w:pStyle w:val="TableContents"/>
              <w:spacing w:before="0" w:after="283"/>
              <w:rPr>
                <w:sz w:val="4"/>
                <w:szCs w:val="4"/>
              </w:rPr>
            </w:pPr>
            <w:r>
              <w:rPr>
                <w:sz w:val="4"/>
                <w:szCs w:val="4"/>
              </w:rPr>
            </w:r>
          </w:p>
        </w:tc>
        <w:tc>
          <w:tcPr>
            <w:tcW w:w="480"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pBdr>
                <w:top w:val="single" w:sz="2" w:space="1" w:color="000000"/>
              </w:pBdr>
              <w:spacing w:before="0" w:after="0"/>
              <w:rPr/>
            </w:pPr>
            <w:r>
              <w:rPr/>
              <w:t> </w:t>
            </w:r>
          </w:p>
        </w:tc>
        <w:tc>
          <w:tcPr>
            <w:tcW w:w="1386" w:type="dxa"/>
            <w:tcBorders/>
            <w:shd w:fill="auto" w:val="clear"/>
            <w:vAlign w:val="bottom"/>
          </w:tcPr>
          <w:p>
            <w:pPr>
              <w:pStyle w:val="TableContents"/>
              <w:pBdr>
                <w:top w:val="single" w:sz="2" w:space="1" w:color="000000"/>
              </w:pBdr>
              <w:spacing w:before="0" w:after="0"/>
              <w:rPr/>
            </w:pPr>
            <w:r>
              <w:rPr/>
              <w:t> </w:t>
            </w:r>
          </w:p>
        </w:tc>
        <w:tc>
          <w:tcPr>
            <w:tcW w:w="413" w:type="dxa"/>
            <w:tcBorders/>
            <w:shd w:fill="auto" w:val="clear"/>
            <w:vAlign w:val="center"/>
          </w:tcPr>
          <w:p>
            <w:pPr>
              <w:pStyle w:val="TableContents"/>
              <w:spacing w:before="0" w:after="283"/>
              <w:rPr/>
            </w:pPr>
            <w:r>
              <w:rPr/>
              <w:t> </w:t>
            </w:r>
          </w:p>
        </w:tc>
        <w:tc>
          <w:tcPr>
            <w:tcW w:w="517"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pBdr>
                <w:top w:val="single" w:sz="2" w:space="1" w:color="000000"/>
              </w:pBdr>
              <w:spacing w:before="0" w:after="0"/>
              <w:rPr/>
            </w:pPr>
            <w:r>
              <w:rPr/>
              <w:t> </w:t>
            </w:r>
          </w:p>
        </w:tc>
        <w:tc>
          <w:tcPr>
            <w:tcW w:w="1388"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5117"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Non-GAAP variable operating expenses</w:t>
            </w:r>
          </w:p>
        </w:tc>
        <w:tc>
          <w:tcPr>
            <w:tcW w:w="480"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b/>
              </w:rPr>
            </w:pPr>
            <w:r>
              <w:rPr>
                <w:b/>
              </w:rPr>
              <w:t>$</w:t>
            </w:r>
          </w:p>
        </w:tc>
        <w:tc>
          <w:tcPr>
            <w:tcW w:w="1386" w:type="dxa"/>
            <w:tcBorders/>
            <w:shd w:fill="CCEEFF" w:val="clear"/>
            <w:vAlign w:val="bottom"/>
          </w:tcPr>
          <w:p>
            <w:pPr>
              <w:pStyle w:val="TableContents"/>
              <w:spacing w:before="0" w:after="283"/>
              <w:jc w:val="right"/>
              <w:rPr>
                <w:b/>
              </w:rPr>
            </w:pPr>
            <w:r>
              <w:rPr>
                <w:b/>
              </w:rPr>
              <w:t>26.6</w:t>
            </w:r>
          </w:p>
        </w:tc>
        <w:tc>
          <w:tcPr>
            <w:tcW w:w="413" w:type="dxa"/>
            <w:tcBorders/>
            <w:shd w:fill="CCEEFF" w:val="clear"/>
            <w:vAlign w:val="bottom"/>
          </w:tcPr>
          <w:p>
            <w:pPr>
              <w:pStyle w:val="TableContents"/>
              <w:spacing w:before="0" w:after="283"/>
              <w:rPr/>
            </w:pPr>
            <w:r>
              <w:rPr/>
              <w:t> </w:t>
            </w:r>
          </w:p>
        </w:tc>
        <w:tc>
          <w:tcPr>
            <w:tcW w:w="517"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b/>
              </w:rPr>
            </w:pPr>
            <w:r>
              <w:rPr>
                <w:b/>
              </w:rPr>
              <w:t>$</w:t>
            </w:r>
          </w:p>
        </w:tc>
        <w:tc>
          <w:tcPr>
            <w:tcW w:w="1388" w:type="dxa"/>
            <w:tcBorders/>
            <w:shd w:fill="CCEEFF" w:val="clear"/>
            <w:vAlign w:val="bottom"/>
          </w:tcPr>
          <w:p>
            <w:pPr>
              <w:pStyle w:val="TableContents"/>
              <w:spacing w:before="0" w:after="283"/>
              <w:jc w:val="right"/>
              <w:rPr>
                <w:b/>
              </w:rPr>
            </w:pPr>
            <w:r>
              <w:rPr>
                <w:b/>
              </w:rPr>
              <w:t>25.9</w:t>
            </w:r>
          </w:p>
        </w:tc>
        <w:tc>
          <w:tcPr>
            <w:tcW w:w="158" w:type="dxa"/>
            <w:tcBorders/>
            <w:shd w:fill="CCEEFF" w:val="clear"/>
            <w:vAlign w:val="bottom"/>
          </w:tcPr>
          <w:p>
            <w:pPr>
              <w:pStyle w:val="TableContents"/>
              <w:spacing w:before="0" w:after="283"/>
              <w:rPr/>
            </w:pPr>
            <w:r>
              <w:rPr/>
              <w:t> </w:t>
            </w:r>
          </w:p>
        </w:tc>
      </w:tr>
      <w:tr>
        <w:trPr/>
        <w:tc>
          <w:tcPr>
            <w:tcW w:w="5117" w:type="dxa"/>
            <w:tcBorders/>
            <w:shd w:fill="auto" w:val="clear"/>
            <w:vAlign w:val="bottom"/>
          </w:tcPr>
          <w:p>
            <w:pPr>
              <w:pStyle w:val="TableContents"/>
              <w:spacing w:before="0" w:after="283"/>
              <w:rPr>
                <w:sz w:val="4"/>
                <w:szCs w:val="4"/>
              </w:rPr>
            </w:pPr>
            <w:r>
              <w:rPr>
                <w:sz w:val="4"/>
                <w:szCs w:val="4"/>
              </w:rPr>
            </w:r>
          </w:p>
        </w:tc>
        <w:tc>
          <w:tcPr>
            <w:tcW w:w="480"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pBdr>
                <w:top w:val="double" w:sz="6" w:space="1" w:color="000000"/>
              </w:pBdr>
              <w:spacing w:before="0" w:after="0"/>
              <w:rPr/>
            </w:pPr>
            <w:r>
              <w:rPr/>
              <w:t> </w:t>
            </w:r>
          </w:p>
        </w:tc>
        <w:tc>
          <w:tcPr>
            <w:tcW w:w="1386" w:type="dxa"/>
            <w:tcBorders/>
            <w:shd w:fill="auto" w:val="clear"/>
            <w:vAlign w:val="bottom"/>
          </w:tcPr>
          <w:p>
            <w:pPr>
              <w:pStyle w:val="TableContents"/>
              <w:pBdr>
                <w:top w:val="double" w:sz="6" w:space="1" w:color="000000"/>
              </w:pBdr>
              <w:spacing w:before="0" w:after="0"/>
              <w:rPr/>
            </w:pPr>
            <w:r>
              <w:rPr/>
              <w:t> </w:t>
            </w:r>
          </w:p>
        </w:tc>
        <w:tc>
          <w:tcPr>
            <w:tcW w:w="413" w:type="dxa"/>
            <w:tcBorders/>
            <w:shd w:fill="auto" w:val="clear"/>
            <w:vAlign w:val="center"/>
          </w:tcPr>
          <w:p>
            <w:pPr>
              <w:pStyle w:val="TableContents"/>
              <w:spacing w:before="0" w:after="283"/>
              <w:rPr/>
            </w:pPr>
            <w:r>
              <w:rPr/>
              <w:t> </w:t>
            </w:r>
          </w:p>
        </w:tc>
        <w:tc>
          <w:tcPr>
            <w:tcW w:w="517"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pBdr>
                <w:top w:val="double" w:sz="6" w:space="1" w:color="000000"/>
              </w:pBdr>
              <w:spacing w:before="0" w:after="0"/>
              <w:rPr/>
            </w:pPr>
            <w:r>
              <w:rPr/>
              <w:t> </w:t>
            </w:r>
          </w:p>
        </w:tc>
        <w:tc>
          <w:tcPr>
            <w:tcW w:w="1388" w:type="dxa"/>
            <w:tcBorders/>
            <w:shd w:fill="auto" w:val="clear"/>
            <w:vAlign w:val="bottom"/>
          </w:tcPr>
          <w:p>
            <w:pPr>
              <w:pStyle w:val="TableContents"/>
              <w:pBdr>
                <w:top w:val="double" w:sz="6"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b/>
          <w:sz w:val="20"/>
        </w:rPr>
      </w:pPr>
      <w:r>
        <w:rPr>
          <w:rFonts w:ascii="Times New Roman" w:hAnsi="Times New Roman"/>
          <w:b/>
          <w:sz w:val="20"/>
        </w:rPr>
        <w:t xml:space="preserve">CALCULATION OF NON-GAAP VARIABLE PROFIT </w:t>
      </w:r>
    </w:p>
    <w:p>
      <w:pPr>
        <w:pStyle w:val="TextBody"/>
        <w:spacing w:before="0" w:after="0"/>
        <w:jc w:val="center"/>
        <w:rPr>
          <w:rFonts w:ascii="Times New Roman" w:hAnsi="Times New Roman"/>
          <w:sz w:val="20"/>
        </w:rPr>
      </w:pPr>
      <w:r>
        <w:rPr>
          <w:rFonts w:ascii="Times New Roman" w:hAnsi="Times New Roman"/>
          <w:sz w:val="20"/>
        </w:rPr>
        <w:t xml:space="preserve">(in millions)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864"/>
        <w:gridCol w:w="519"/>
        <w:gridCol w:w="337"/>
        <w:gridCol w:w="1244"/>
        <w:gridCol w:w="792"/>
        <w:gridCol w:w="542"/>
        <w:gridCol w:w="337"/>
        <w:gridCol w:w="1246"/>
        <w:gridCol w:w="324"/>
      </w:tblGrid>
      <w:tr>
        <w:trPr/>
        <w:tc>
          <w:tcPr>
            <w:tcW w:w="4864"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bottom"/>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1244"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bottom"/>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r>
      <w:tr>
        <w:trPr/>
        <w:tc>
          <w:tcPr>
            <w:tcW w:w="4864"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spacing w:before="0" w:after="283"/>
              <w:rPr/>
            </w:pPr>
            <w:r>
              <w:rPr/>
              <w:t>  </w:t>
            </w:r>
          </w:p>
        </w:tc>
        <w:tc>
          <w:tcPr>
            <w:tcW w:w="4498"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 Months Ended March 31,</w:t>
            </w:r>
          </w:p>
        </w:tc>
        <w:tc>
          <w:tcPr>
            <w:tcW w:w="324" w:type="dxa"/>
            <w:tcBorders/>
            <w:shd w:fill="auto" w:val="clear"/>
            <w:vAlign w:val="bottom"/>
          </w:tcPr>
          <w:p>
            <w:pPr>
              <w:pStyle w:val="TableContents"/>
              <w:spacing w:before="0" w:after="283"/>
              <w:rPr/>
            </w:pPr>
            <w:r>
              <w:rPr/>
              <w:t> </w:t>
            </w:r>
          </w:p>
        </w:tc>
      </w:tr>
      <w:tr>
        <w:trPr/>
        <w:tc>
          <w:tcPr>
            <w:tcW w:w="4864"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spacing w:before="0" w:after="283"/>
              <w:rPr/>
            </w:pPr>
            <w:r>
              <w:rPr/>
              <w:t>  </w:t>
            </w:r>
          </w:p>
        </w:tc>
        <w:tc>
          <w:tcPr>
            <w:tcW w:w="158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792"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rPr/>
            </w:pPr>
            <w:r>
              <w:rPr/>
              <w:t> </w:t>
            </w:r>
          </w:p>
        </w:tc>
        <w:tc>
          <w:tcPr>
            <w:tcW w:w="158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324" w:type="dxa"/>
            <w:tcBorders/>
            <w:shd w:fill="auto" w:val="clear"/>
            <w:vAlign w:val="bottom"/>
          </w:tcPr>
          <w:p>
            <w:pPr>
              <w:pStyle w:val="TableContents"/>
              <w:spacing w:before="0" w:after="283"/>
              <w:rPr/>
            </w:pPr>
            <w:r>
              <w:rPr/>
              <w:t> </w:t>
            </w:r>
          </w:p>
        </w:tc>
      </w:tr>
      <w:tr>
        <w:trPr/>
        <w:tc>
          <w:tcPr>
            <w:tcW w:w="4864"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Non-GAAP operating revenues</w:t>
            </w:r>
          </w:p>
        </w:tc>
        <w:tc>
          <w:tcPr>
            <w:tcW w:w="519"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b/>
              </w:rPr>
            </w:pPr>
            <w:r>
              <w:rPr>
                <w:b/>
              </w:rPr>
              <w:t>$</w:t>
            </w:r>
          </w:p>
        </w:tc>
        <w:tc>
          <w:tcPr>
            <w:tcW w:w="1244" w:type="dxa"/>
            <w:tcBorders/>
            <w:shd w:fill="CCEEFF" w:val="clear"/>
            <w:vAlign w:val="bottom"/>
          </w:tcPr>
          <w:p>
            <w:pPr>
              <w:pStyle w:val="TableContents"/>
              <w:spacing w:before="0" w:after="283"/>
              <w:jc w:val="right"/>
              <w:rPr>
                <w:b/>
              </w:rPr>
            </w:pPr>
            <w:r>
              <w:rPr>
                <w:b/>
              </w:rPr>
              <w:t>60.6</w:t>
            </w:r>
          </w:p>
        </w:tc>
        <w:tc>
          <w:tcPr>
            <w:tcW w:w="792" w:type="dxa"/>
            <w:tcBorders/>
            <w:shd w:fill="CCEEFF" w:val="clear"/>
            <w:vAlign w:val="bottom"/>
          </w:tcPr>
          <w:p>
            <w:pPr>
              <w:pStyle w:val="TableContents"/>
              <w:spacing w:before="0" w:after="283"/>
              <w:rPr/>
            </w:pPr>
            <w:r>
              <w:rPr/>
              <w:t> </w:t>
            </w:r>
          </w:p>
        </w:tc>
        <w:tc>
          <w:tcPr>
            <w:tcW w:w="542"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b/>
              </w:rPr>
            </w:pPr>
            <w:r>
              <w:rPr>
                <w:b/>
              </w:rPr>
              <w:t>$</w:t>
            </w:r>
          </w:p>
        </w:tc>
        <w:tc>
          <w:tcPr>
            <w:tcW w:w="1246" w:type="dxa"/>
            <w:tcBorders/>
            <w:shd w:fill="CCEEFF" w:val="clear"/>
            <w:vAlign w:val="bottom"/>
          </w:tcPr>
          <w:p>
            <w:pPr>
              <w:pStyle w:val="TableContents"/>
              <w:spacing w:before="0" w:after="283"/>
              <w:jc w:val="right"/>
              <w:rPr>
                <w:b/>
              </w:rPr>
            </w:pPr>
            <w:r>
              <w:rPr>
                <w:b/>
              </w:rPr>
              <w:t>43.7</w:t>
            </w:r>
          </w:p>
        </w:tc>
        <w:tc>
          <w:tcPr>
            <w:tcW w:w="324" w:type="dxa"/>
            <w:tcBorders/>
            <w:shd w:fill="CCEEFF" w:val="clear"/>
            <w:vAlign w:val="bottom"/>
          </w:tcPr>
          <w:p>
            <w:pPr>
              <w:pStyle w:val="TableContents"/>
              <w:spacing w:before="0" w:after="283"/>
              <w:rPr/>
            </w:pPr>
            <w:r>
              <w:rPr/>
              <w:t> </w:t>
            </w:r>
          </w:p>
        </w:tc>
      </w:tr>
      <w:tr>
        <w:trPr/>
        <w:tc>
          <w:tcPr>
            <w:tcW w:w="4864" w:type="dxa"/>
            <w:tcBorders/>
            <w:shd w:fill="auto" w:val="clear"/>
          </w:tcPr>
          <w:p>
            <w:pPr>
              <w:pStyle w:val="TableContents"/>
              <w:spacing w:before="0" w:after="0"/>
              <w:rPr>
                <w:rFonts w:ascii="Times New Roman" w:hAnsi="Times New Roman"/>
                <w:sz w:val="20"/>
              </w:rPr>
            </w:pPr>
            <w:r>
              <w:rPr>
                <w:rFonts w:ascii="Times New Roman" w:hAnsi="Times New Roman"/>
                <w:sz w:val="20"/>
              </w:rPr>
              <w:t>Non-GAAP variable operating expenses</w:t>
            </w:r>
          </w:p>
        </w:tc>
        <w:tc>
          <w:tcPr>
            <w:tcW w:w="519"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244" w:type="dxa"/>
            <w:tcBorders/>
            <w:shd w:fill="auto" w:val="clear"/>
            <w:vAlign w:val="bottom"/>
          </w:tcPr>
          <w:p>
            <w:pPr>
              <w:pStyle w:val="TableContents"/>
              <w:spacing w:before="0" w:after="283"/>
              <w:jc w:val="right"/>
              <w:rPr/>
            </w:pPr>
            <w:r>
              <w:rPr/>
              <w:t>(26.6</w:t>
            </w:r>
          </w:p>
        </w:tc>
        <w:tc>
          <w:tcPr>
            <w:tcW w:w="792"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(25.9</w:t>
            </w:r>
          </w:p>
        </w:tc>
        <w:tc>
          <w:tcPr>
            <w:tcW w:w="324" w:type="dxa"/>
            <w:tcBorders/>
            <w:shd w:fill="auto" w:val="clear"/>
            <w:vAlign w:val="bottom"/>
          </w:tcPr>
          <w:p>
            <w:pPr>
              <w:pStyle w:val="TableContents"/>
              <w:spacing w:before="0" w:after="283"/>
              <w:rPr/>
            </w:pPr>
            <w:r>
              <w:rPr/>
              <w:t>) </w:t>
            </w:r>
          </w:p>
        </w:tc>
      </w:tr>
      <w:tr>
        <w:trPr/>
        <w:tc>
          <w:tcPr>
            <w:tcW w:w="4864" w:type="dxa"/>
            <w:tcBorders/>
            <w:shd w:fill="auto" w:val="clear"/>
            <w:vAlign w:val="bottom"/>
          </w:tcPr>
          <w:p>
            <w:pPr>
              <w:pStyle w:val="TableContents"/>
              <w:spacing w:before="0" w:after="283"/>
              <w:rPr>
                <w:sz w:val="4"/>
                <w:szCs w:val="4"/>
              </w:rPr>
            </w:pPr>
            <w:r>
              <w:rPr>
                <w:sz w:val="4"/>
                <w:szCs w:val="4"/>
              </w:rPr>
            </w:r>
          </w:p>
        </w:tc>
        <w:tc>
          <w:tcPr>
            <w:tcW w:w="519"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pBdr>
                <w:top w:val="single" w:sz="2" w:space="1" w:color="000000"/>
              </w:pBdr>
              <w:spacing w:before="0" w:after="0"/>
              <w:rPr/>
            </w:pPr>
            <w:r>
              <w:rPr/>
              <w:t> </w:t>
            </w:r>
          </w:p>
        </w:tc>
        <w:tc>
          <w:tcPr>
            <w:tcW w:w="1244" w:type="dxa"/>
            <w:tcBorders/>
            <w:shd w:fill="auto" w:val="clear"/>
            <w:vAlign w:val="bottom"/>
          </w:tcPr>
          <w:p>
            <w:pPr>
              <w:pStyle w:val="TableContents"/>
              <w:pBdr>
                <w:top w:val="single" w:sz="2" w:space="1" w:color="000000"/>
              </w:pBdr>
              <w:spacing w:before="0" w:after="0"/>
              <w:rPr/>
            </w:pPr>
            <w:r>
              <w:rPr/>
              <w:t> </w:t>
            </w:r>
          </w:p>
        </w:tc>
        <w:tc>
          <w:tcPr>
            <w:tcW w:w="792" w:type="dxa"/>
            <w:tcBorders/>
            <w:shd w:fill="auto" w:val="clear"/>
            <w:vAlign w:val="center"/>
          </w:tcPr>
          <w:p>
            <w:pPr>
              <w:pStyle w:val="TableContents"/>
              <w:spacing w:before="0" w:after="283"/>
              <w:rPr/>
            </w:pPr>
            <w:r>
              <w:rPr/>
              <w:t> </w:t>
            </w:r>
          </w:p>
        </w:tc>
        <w:tc>
          <w:tcPr>
            <w:tcW w:w="542"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pBdr>
                <w:top w:val="single" w:sz="2" w:space="1" w:color="000000"/>
              </w:pBdr>
              <w:spacing w:before="0" w:after="0"/>
              <w:rPr/>
            </w:pPr>
            <w:r>
              <w:rPr/>
              <w:t> </w:t>
            </w:r>
          </w:p>
        </w:tc>
        <w:tc>
          <w:tcPr>
            <w:tcW w:w="1246" w:type="dxa"/>
            <w:tcBorders/>
            <w:shd w:fill="auto" w:val="clear"/>
            <w:vAlign w:val="bottom"/>
          </w:tcPr>
          <w:p>
            <w:pPr>
              <w:pStyle w:val="TableContents"/>
              <w:pBdr>
                <w:top w:val="single" w:sz="2" w:space="1" w:color="000000"/>
              </w:pBdr>
              <w:spacing w:before="0" w:after="0"/>
              <w:rPr/>
            </w:pPr>
            <w:r>
              <w:rPr/>
              <w:t> </w:t>
            </w:r>
          </w:p>
        </w:tc>
        <w:tc>
          <w:tcPr>
            <w:tcW w:w="324" w:type="dxa"/>
            <w:tcBorders/>
            <w:shd w:fill="auto" w:val="clear"/>
            <w:vAlign w:val="center"/>
          </w:tcPr>
          <w:p>
            <w:pPr>
              <w:pStyle w:val="TableContents"/>
              <w:spacing w:before="0" w:after="283"/>
              <w:rPr/>
            </w:pPr>
            <w:r>
              <w:rPr/>
              <w:t> </w:t>
            </w:r>
          </w:p>
        </w:tc>
      </w:tr>
      <w:tr>
        <w:trPr/>
        <w:tc>
          <w:tcPr>
            <w:tcW w:w="4864"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Non-GAAP variable profit</w:t>
            </w:r>
          </w:p>
        </w:tc>
        <w:tc>
          <w:tcPr>
            <w:tcW w:w="519"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b/>
              </w:rPr>
            </w:pPr>
            <w:r>
              <w:rPr>
                <w:b/>
              </w:rPr>
              <w:t>$</w:t>
            </w:r>
          </w:p>
        </w:tc>
        <w:tc>
          <w:tcPr>
            <w:tcW w:w="1244" w:type="dxa"/>
            <w:tcBorders/>
            <w:shd w:fill="CCEEFF" w:val="clear"/>
            <w:vAlign w:val="bottom"/>
          </w:tcPr>
          <w:p>
            <w:pPr>
              <w:pStyle w:val="TableContents"/>
              <w:spacing w:before="0" w:after="283"/>
              <w:jc w:val="right"/>
              <w:rPr>
                <w:b/>
              </w:rPr>
            </w:pPr>
            <w:r>
              <w:rPr>
                <w:b/>
              </w:rPr>
              <w:t>34.0</w:t>
            </w:r>
          </w:p>
        </w:tc>
        <w:tc>
          <w:tcPr>
            <w:tcW w:w="792" w:type="dxa"/>
            <w:tcBorders/>
            <w:shd w:fill="CCEEFF" w:val="clear"/>
            <w:vAlign w:val="bottom"/>
          </w:tcPr>
          <w:p>
            <w:pPr>
              <w:pStyle w:val="TableContents"/>
              <w:spacing w:before="0" w:after="283"/>
              <w:rPr/>
            </w:pPr>
            <w:r>
              <w:rPr/>
              <w:t> </w:t>
            </w:r>
          </w:p>
        </w:tc>
        <w:tc>
          <w:tcPr>
            <w:tcW w:w="542"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b/>
              </w:rPr>
            </w:pPr>
            <w:r>
              <w:rPr>
                <w:b/>
              </w:rPr>
              <w:t>$</w:t>
            </w:r>
          </w:p>
        </w:tc>
        <w:tc>
          <w:tcPr>
            <w:tcW w:w="1246" w:type="dxa"/>
            <w:tcBorders/>
            <w:shd w:fill="CCEEFF" w:val="clear"/>
            <w:vAlign w:val="bottom"/>
          </w:tcPr>
          <w:p>
            <w:pPr>
              <w:pStyle w:val="TableContents"/>
              <w:spacing w:before="0" w:after="283"/>
              <w:jc w:val="right"/>
              <w:rPr>
                <w:b/>
              </w:rPr>
            </w:pPr>
            <w:r>
              <w:rPr>
                <w:b/>
              </w:rPr>
              <w:t>17.8</w:t>
            </w:r>
          </w:p>
        </w:tc>
        <w:tc>
          <w:tcPr>
            <w:tcW w:w="324" w:type="dxa"/>
            <w:tcBorders/>
            <w:shd w:fill="CCEEFF" w:val="clear"/>
            <w:vAlign w:val="bottom"/>
          </w:tcPr>
          <w:p>
            <w:pPr>
              <w:pStyle w:val="TableContents"/>
              <w:spacing w:before="0" w:after="283"/>
              <w:rPr/>
            </w:pPr>
            <w:r>
              <w:rPr/>
              <w:t> </w:t>
            </w:r>
          </w:p>
        </w:tc>
      </w:tr>
      <w:tr>
        <w:trPr/>
        <w:tc>
          <w:tcPr>
            <w:tcW w:w="4864" w:type="dxa"/>
            <w:tcBorders/>
            <w:shd w:fill="auto" w:val="clear"/>
            <w:vAlign w:val="bottom"/>
          </w:tcPr>
          <w:p>
            <w:pPr>
              <w:pStyle w:val="TableContents"/>
              <w:spacing w:before="0" w:after="283"/>
              <w:rPr>
                <w:sz w:val="4"/>
                <w:szCs w:val="4"/>
              </w:rPr>
            </w:pPr>
            <w:r>
              <w:rPr>
                <w:sz w:val="4"/>
                <w:szCs w:val="4"/>
              </w:rPr>
            </w:r>
          </w:p>
        </w:tc>
        <w:tc>
          <w:tcPr>
            <w:tcW w:w="519"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pBdr>
                <w:top w:val="double" w:sz="6" w:space="1" w:color="000000"/>
              </w:pBdr>
              <w:spacing w:before="0" w:after="0"/>
              <w:rPr/>
            </w:pPr>
            <w:r>
              <w:rPr/>
              <w:t> </w:t>
            </w:r>
          </w:p>
        </w:tc>
        <w:tc>
          <w:tcPr>
            <w:tcW w:w="1244" w:type="dxa"/>
            <w:tcBorders/>
            <w:shd w:fill="auto" w:val="clear"/>
            <w:vAlign w:val="bottom"/>
          </w:tcPr>
          <w:p>
            <w:pPr>
              <w:pStyle w:val="TableContents"/>
              <w:pBdr>
                <w:top w:val="double" w:sz="6" w:space="1" w:color="000000"/>
              </w:pBdr>
              <w:spacing w:before="0" w:after="0"/>
              <w:rPr/>
            </w:pPr>
            <w:r>
              <w:rPr/>
              <w:t> </w:t>
            </w:r>
          </w:p>
        </w:tc>
        <w:tc>
          <w:tcPr>
            <w:tcW w:w="792" w:type="dxa"/>
            <w:tcBorders/>
            <w:shd w:fill="auto" w:val="clear"/>
            <w:vAlign w:val="center"/>
          </w:tcPr>
          <w:p>
            <w:pPr>
              <w:pStyle w:val="TableContents"/>
              <w:spacing w:before="0" w:after="283"/>
              <w:rPr/>
            </w:pPr>
            <w:r>
              <w:rPr/>
              <w:t> </w:t>
            </w:r>
          </w:p>
        </w:tc>
        <w:tc>
          <w:tcPr>
            <w:tcW w:w="542"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pBdr>
                <w:top w:val="double" w:sz="6" w:space="1" w:color="000000"/>
              </w:pBdr>
              <w:spacing w:before="0" w:after="0"/>
              <w:rPr/>
            </w:pPr>
            <w:r>
              <w:rPr/>
              <w:t> </w:t>
            </w:r>
          </w:p>
        </w:tc>
        <w:tc>
          <w:tcPr>
            <w:tcW w:w="1246" w:type="dxa"/>
            <w:tcBorders/>
            <w:shd w:fill="auto" w:val="clear"/>
            <w:vAlign w:val="bottom"/>
          </w:tcPr>
          <w:p>
            <w:pPr>
              <w:pStyle w:val="TableContents"/>
              <w:pBdr>
                <w:top w:val="double" w:sz="6" w:space="1" w:color="000000"/>
              </w:pBdr>
              <w:spacing w:before="0" w:after="0"/>
              <w:rPr/>
            </w:pPr>
            <w:r>
              <w:rPr/>
              <w:t> </w:t>
            </w:r>
          </w:p>
        </w:tc>
        <w:tc>
          <w:tcPr>
            <w:tcW w:w="324" w:type="dxa"/>
            <w:tcBorders/>
            <w:shd w:fill="auto" w:val="clear"/>
            <w:vAlign w:val="center"/>
          </w:tcPr>
          <w:p>
            <w:pPr>
              <w:pStyle w:val="TableContents"/>
              <w:spacing w:before="0" w:after="283"/>
              <w:rPr/>
            </w:pPr>
            <w:r>
              <w:rPr/>
              <w:t> </w:t>
            </w:r>
          </w:p>
        </w:tc>
      </w:tr>
      <w:tr>
        <w:trPr/>
        <w:tc>
          <w:tcPr>
            <w:tcW w:w="4864"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Non-GAAP variable profit margin</w:t>
            </w:r>
          </w:p>
        </w:tc>
        <w:tc>
          <w:tcPr>
            <w:tcW w:w="519"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244" w:type="dxa"/>
            <w:tcBorders/>
            <w:shd w:fill="auto" w:val="clear"/>
            <w:vAlign w:val="bottom"/>
          </w:tcPr>
          <w:p>
            <w:pPr>
              <w:pStyle w:val="TableContents"/>
              <w:spacing w:before="0" w:after="283"/>
              <w:jc w:val="right"/>
              <w:rPr>
                <w:b/>
              </w:rPr>
            </w:pPr>
            <w:r>
              <w:rPr>
                <w:b/>
              </w:rPr>
              <w:t>56</w:t>
            </w:r>
          </w:p>
        </w:tc>
        <w:tc>
          <w:tcPr>
            <w:tcW w:w="792" w:type="dxa"/>
            <w:tcBorders/>
            <w:shd w:fill="auto" w:val="clear"/>
            <w:vAlign w:val="bottom"/>
          </w:tcPr>
          <w:p>
            <w:pPr>
              <w:pStyle w:val="TableContents"/>
              <w:spacing w:before="0" w:after="283"/>
              <w:rPr>
                <w:b/>
              </w:rPr>
            </w:pPr>
            <w:r>
              <w:rPr>
                <w:b/>
              </w:rPr>
              <w:t>% </w:t>
            </w:r>
          </w:p>
        </w:tc>
        <w:tc>
          <w:tcPr>
            <w:tcW w:w="542"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b/>
              </w:rPr>
            </w:pPr>
            <w:r>
              <w:rPr>
                <w:b/>
              </w:rPr>
              <w:t>41</w:t>
            </w:r>
          </w:p>
        </w:tc>
        <w:tc>
          <w:tcPr>
            <w:tcW w:w="324" w:type="dxa"/>
            <w:tcBorders/>
            <w:shd w:fill="auto" w:val="clear"/>
            <w:vAlign w:val="bottom"/>
          </w:tcPr>
          <w:p>
            <w:pPr>
              <w:pStyle w:val="TableContents"/>
              <w:spacing w:before="0" w:after="283"/>
              <w:rPr>
                <w:b/>
              </w:rPr>
            </w:pPr>
            <w:r>
              <w:rPr>
                <w:b/>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DAVE INC. </w:t>
      </w:r>
    </w:p>
    <w:p>
      <w:pPr>
        <w:pStyle w:val="TextBody"/>
        <w:spacing w:before="0" w:after="0"/>
        <w:jc w:val="center"/>
        <w:rPr>
          <w:rFonts w:ascii="Times New Roman" w:hAnsi="Times New Roman"/>
          <w:b/>
          <w:sz w:val="20"/>
        </w:rPr>
      </w:pPr>
      <w:r>
        <w:rPr>
          <w:rFonts w:ascii="Times New Roman" w:hAnsi="Times New Roman"/>
          <w:b/>
          <w:sz w:val="20"/>
        </w:rPr>
        <w:t xml:space="preserve">RECONCILIATION OF NET LOSS TO ADJUSTED EBITDA </w:t>
      </w:r>
    </w:p>
    <w:p>
      <w:pPr>
        <w:pStyle w:val="TextBody"/>
        <w:spacing w:before="0" w:after="0"/>
        <w:jc w:val="center"/>
        <w:rPr>
          <w:rFonts w:ascii="Times New Roman" w:hAnsi="Times New Roman"/>
          <w:sz w:val="20"/>
        </w:rPr>
      </w:pPr>
      <w:r>
        <w:rPr>
          <w:rFonts w:ascii="Times New Roman" w:hAnsi="Times New Roman"/>
          <w:sz w:val="20"/>
        </w:rPr>
        <w:t xml:space="preserve">(in millions)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25"/>
        <w:gridCol w:w="474"/>
        <w:gridCol w:w="373"/>
        <w:gridCol w:w="1387"/>
        <w:gridCol w:w="413"/>
        <w:gridCol w:w="512"/>
        <w:gridCol w:w="373"/>
        <w:gridCol w:w="1389"/>
        <w:gridCol w:w="159"/>
      </w:tblGrid>
      <w:tr>
        <w:trPr/>
        <w:tc>
          <w:tcPr>
            <w:tcW w:w="5125"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bottom"/>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bottom"/>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138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25"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pPr>
            <w:r>
              <w:rPr/>
              <w:t>  </w:t>
            </w:r>
          </w:p>
        </w:tc>
        <w:tc>
          <w:tcPr>
            <w:tcW w:w="4447"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 Months Ended March 31,</w:t>
            </w:r>
          </w:p>
        </w:tc>
        <w:tc>
          <w:tcPr>
            <w:tcW w:w="159" w:type="dxa"/>
            <w:tcBorders/>
            <w:shd w:fill="auto" w:val="clear"/>
            <w:vAlign w:val="bottom"/>
          </w:tcPr>
          <w:p>
            <w:pPr>
              <w:pStyle w:val="TableContents"/>
              <w:spacing w:before="0" w:after="283"/>
              <w:rPr/>
            </w:pPr>
            <w:r>
              <w:rPr/>
              <w:t> </w:t>
            </w:r>
          </w:p>
        </w:tc>
      </w:tr>
      <w:tr>
        <w:trPr/>
        <w:tc>
          <w:tcPr>
            <w:tcW w:w="5125"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pPr>
            <w:r>
              <w:rPr/>
              <w:t>  </w:t>
            </w:r>
          </w:p>
        </w:tc>
        <w:tc>
          <w:tcPr>
            <w:tcW w:w="17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413" w:type="dxa"/>
            <w:tcBorders/>
            <w:shd w:fill="auto" w:val="clear"/>
            <w:vAlign w:val="bottom"/>
          </w:tcPr>
          <w:p>
            <w:pPr>
              <w:pStyle w:val="TableContents"/>
              <w:spacing w:before="0" w:after="283"/>
              <w:rPr/>
            </w:pPr>
            <w:r>
              <w:rPr/>
              <w:t> </w:t>
            </w:r>
          </w:p>
        </w:tc>
        <w:tc>
          <w:tcPr>
            <w:tcW w:w="512" w:type="dxa"/>
            <w:tcBorders/>
            <w:shd w:fill="auto" w:val="clear"/>
            <w:vAlign w:val="bottom"/>
          </w:tcPr>
          <w:p>
            <w:pPr>
              <w:pStyle w:val="TableContents"/>
              <w:spacing w:before="0" w:after="283"/>
              <w:rPr/>
            </w:pPr>
            <w:r>
              <w:rPr/>
              <w:t> </w:t>
            </w:r>
          </w:p>
        </w:tc>
        <w:tc>
          <w:tcPr>
            <w:tcW w:w="176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59" w:type="dxa"/>
            <w:tcBorders/>
            <w:shd w:fill="auto" w:val="clear"/>
            <w:vAlign w:val="bottom"/>
          </w:tcPr>
          <w:p>
            <w:pPr>
              <w:pStyle w:val="TableContents"/>
              <w:spacing w:before="0" w:after="283"/>
              <w:rPr/>
            </w:pPr>
            <w:r>
              <w:rPr/>
              <w:t> </w:t>
            </w:r>
          </w:p>
        </w:tc>
      </w:tr>
      <w:tr>
        <w:trPr/>
        <w:tc>
          <w:tcPr>
            <w:tcW w:w="5125"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Net loss</w:t>
            </w:r>
          </w:p>
        </w:tc>
        <w:tc>
          <w:tcPr>
            <w:tcW w:w="474"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b/>
              </w:rPr>
            </w:pPr>
            <w:r>
              <w:rPr>
                <w:b/>
              </w:rPr>
              <w:t>$</w:t>
            </w:r>
          </w:p>
        </w:tc>
        <w:tc>
          <w:tcPr>
            <w:tcW w:w="1387" w:type="dxa"/>
            <w:tcBorders/>
            <w:shd w:fill="CCEEFF" w:val="clear"/>
            <w:vAlign w:val="bottom"/>
          </w:tcPr>
          <w:p>
            <w:pPr>
              <w:pStyle w:val="TableContents"/>
              <w:spacing w:before="0" w:after="283"/>
              <w:jc w:val="right"/>
              <w:rPr>
                <w:b/>
              </w:rPr>
            </w:pPr>
            <w:r>
              <w:rPr>
                <w:b/>
              </w:rPr>
              <w:t>(14.0</w:t>
            </w:r>
          </w:p>
        </w:tc>
        <w:tc>
          <w:tcPr>
            <w:tcW w:w="413" w:type="dxa"/>
            <w:tcBorders/>
            <w:shd w:fill="CCEEFF" w:val="clear"/>
            <w:vAlign w:val="bottom"/>
          </w:tcPr>
          <w:p>
            <w:pPr>
              <w:pStyle w:val="TableContents"/>
              <w:spacing w:before="0" w:after="283"/>
              <w:rPr>
                <w:b/>
              </w:rPr>
            </w:pPr>
            <w:r>
              <w:rPr>
                <w:b/>
              </w:rPr>
              <w:t>) </w:t>
            </w:r>
          </w:p>
        </w:tc>
        <w:tc>
          <w:tcPr>
            <w:tcW w:w="512"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b/>
              </w:rPr>
            </w:pPr>
            <w:r>
              <w:rPr>
                <w:b/>
              </w:rPr>
              <w:t>$</w:t>
            </w:r>
          </w:p>
        </w:tc>
        <w:tc>
          <w:tcPr>
            <w:tcW w:w="1389" w:type="dxa"/>
            <w:tcBorders/>
            <w:shd w:fill="CCEEFF" w:val="clear"/>
            <w:vAlign w:val="bottom"/>
          </w:tcPr>
          <w:p>
            <w:pPr>
              <w:pStyle w:val="TableContents"/>
              <w:spacing w:before="0" w:after="283"/>
              <w:jc w:val="right"/>
              <w:rPr>
                <w:b/>
              </w:rPr>
            </w:pPr>
            <w:r>
              <w:rPr>
                <w:b/>
              </w:rPr>
              <w:t>(32.8</w:t>
            </w:r>
          </w:p>
        </w:tc>
        <w:tc>
          <w:tcPr>
            <w:tcW w:w="159" w:type="dxa"/>
            <w:tcBorders/>
            <w:shd w:fill="CCEEFF" w:val="clear"/>
            <w:vAlign w:val="bottom"/>
          </w:tcPr>
          <w:p>
            <w:pPr>
              <w:pStyle w:val="TableContents"/>
              <w:spacing w:before="0" w:after="283"/>
              <w:rPr>
                <w:b/>
              </w:rPr>
            </w:pPr>
            <w:r>
              <w:rPr>
                <w:b/>
              </w:rPr>
              <w:t>) </w:t>
            </w:r>
          </w:p>
        </w:tc>
      </w:tr>
      <w:tr>
        <w:trPr/>
        <w:tc>
          <w:tcPr>
            <w:tcW w:w="5125" w:type="dxa"/>
            <w:tcBorders/>
            <w:shd w:fill="auto" w:val="clear"/>
          </w:tcPr>
          <w:p>
            <w:pPr>
              <w:pStyle w:val="TableContents"/>
              <w:spacing w:before="0" w:after="0"/>
              <w:rPr>
                <w:rFonts w:ascii="Times New Roman" w:hAnsi="Times New Roman"/>
                <w:sz w:val="20"/>
              </w:rPr>
            </w:pPr>
            <w:r>
              <w:rPr>
                <w:rFonts w:ascii="Times New Roman" w:hAnsi="Times New Roman"/>
                <w:sz w:val="20"/>
              </w:rPr>
              <w:t>Interest expense, net</w:t>
            </w:r>
          </w:p>
        </w:tc>
        <w:tc>
          <w:tcPr>
            <w:tcW w:w="474"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387" w:type="dxa"/>
            <w:tcBorders/>
            <w:shd w:fill="auto" w:val="clear"/>
            <w:vAlign w:val="bottom"/>
          </w:tcPr>
          <w:p>
            <w:pPr>
              <w:pStyle w:val="TableContents"/>
              <w:spacing w:before="0" w:after="283"/>
              <w:jc w:val="right"/>
              <w:rPr/>
            </w:pPr>
            <w:r>
              <w:rPr/>
              <w:t>1.6</w:t>
            </w:r>
          </w:p>
        </w:tc>
        <w:tc>
          <w:tcPr>
            <w:tcW w:w="413" w:type="dxa"/>
            <w:tcBorders/>
            <w:shd w:fill="auto" w:val="clear"/>
            <w:vAlign w:val="bottom"/>
          </w:tcPr>
          <w:p>
            <w:pPr>
              <w:pStyle w:val="TableContents"/>
              <w:spacing w:before="0" w:after="283"/>
              <w:rPr/>
            </w:pPr>
            <w:r>
              <w:rPr/>
              <w:t> </w:t>
            </w:r>
          </w:p>
        </w:tc>
        <w:tc>
          <w:tcPr>
            <w:tcW w:w="512"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389" w:type="dxa"/>
            <w:tcBorders/>
            <w:shd w:fill="auto" w:val="clear"/>
            <w:vAlign w:val="bottom"/>
          </w:tcPr>
          <w:p>
            <w:pPr>
              <w:pStyle w:val="TableContents"/>
              <w:spacing w:before="0" w:after="283"/>
              <w:jc w:val="right"/>
              <w:rPr/>
            </w:pPr>
            <w:r>
              <w:rPr/>
              <w:t>1.5</w:t>
            </w:r>
          </w:p>
        </w:tc>
        <w:tc>
          <w:tcPr>
            <w:tcW w:w="159" w:type="dxa"/>
            <w:tcBorders/>
            <w:shd w:fill="auto" w:val="clear"/>
            <w:vAlign w:val="bottom"/>
          </w:tcPr>
          <w:p>
            <w:pPr>
              <w:pStyle w:val="TableContents"/>
              <w:spacing w:before="0" w:after="283"/>
              <w:rPr/>
            </w:pPr>
            <w:r>
              <w:rPr/>
              <w:t> </w:t>
            </w:r>
          </w:p>
        </w:tc>
      </w:tr>
      <w:tr>
        <w:trPr/>
        <w:tc>
          <w:tcPr>
            <w:tcW w:w="5125" w:type="dxa"/>
            <w:tcBorders/>
            <w:shd w:fill="CCEEFF" w:val="clear"/>
          </w:tcPr>
          <w:p>
            <w:pPr>
              <w:pStyle w:val="TableContents"/>
              <w:spacing w:before="0" w:after="0"/>
              <w:rPr>
                <w:rFonts w:ascii="Times New Roman" w:hAnsi="Times New Roman"/>
                <w:sz w:val="20"/>
              </w:rPr>
            </w:pPr>
            <w:r>
              <w:rPr>
                <w:rFonts w:ascii="Times New Roman" w:hAnsi="Times New Roman"/>
                <w:sz w:val="20"/>
              </w:rPr>
              <w:t>Provision for income taxes</w:t>
            </w:r>
          </w:p>
        </w:tc>
        <w:tc>
          <w:tcPr>
            <w:tcW w:w="474"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1387" w:type="dxa"/>
            <w:tcBorders/>
            <w:shd w:fill="CCEEFF" w:val="clear"/>
            <w:vAlign w:val="bottom"/>
          </w:tcPr>
          <w:p>
            <w:pPr>
              <w:pStyle w:val="TableContents"/>
              <w:spacing w:before="0" w:after="283"/>
              <w:jc w:val="right"/>
              <w:rPr/>
            </w:pPr>
            <w:r>
              <w:rPr/>
              <w:t>  </w:t>
            </w:r>
          </w:p>
        </w:tc>
        <w:tc>
          <w:tcPr>
            <w:tcW w:w="413" w:type="dxa"/>
            <w:tcBorders/>
            <w:shd w:fill="CCEEFF" w:val="clear"/>
            <w:vAlign w:val="bottom"/>
          </w:tcPr>
          <w:p>
            <w:pPr>
              <w:pStyle w:val="TableContents"/>
              <w:spacing w:before="0" w:after="283"/>
              <w:rPr/>
            </w:pPr>
            <w:r>
              <w:rPr/>
              <w:t> </w:t>
            </w:r>
          </w:p>
        </w:tc>
        <w:tc>
          <w:tcPr>
            <w:tcW w:w="512"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1389"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5125" w:type="dxa"/>
            <w:tcBorders/>
            <w:shd w:fill="auto" w:val="clear"/>
          </w:tcPr>
          <w:p>
            <w:pPr>
              <w:pStyle w:val="TableContents"/>
              <w:spacing w:before="0" w:after="0"/>
              <w:rPr>
                <w:rFonts w:ascii="Times New Roman" w:hAnsi="Times New Roman"/>
                <w:sz w:val="20"/>
              </w:rPr>
            </w:pPr>
            <w:r>
              <w:rPr>
                <w:rFonts w:ascii="Times New Roman" w:hAnsi="Times New Roman"/>
                <w:sz w:val="20"/>
              </w:rPr>
              <w:t>Depreciation and amortization</w:t>
            </w:r>
          </w:p>
        </w:tc>
        <w:tc>
          <w:tcPr>
            <w:tcW w:w="474"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387" w:type="dxa"/>
            <w:tcBorders/>
            <w:shd w:fill="auto" w:val="clear"/>
            <w:vAlign w:val="bottom"/>
          </w:tcPr>
          <w:p>
            <w:pPr>
              <w:pStyle w:val="TableContents"/>
              <w:spacing w:before="0" w:after="283"/>
              <w:jc w:val="right"/>
              <w:rPr/>
            </w:pPr>
            <w:r>
              <w:rPr/>
              <w:t>1.2</w:t>
            </w:r>
          </w:p>
        </w:tc>
        <w:tc>
          <w:tcPr>
            <w:tcW w:w="413" w:type="dxa"/>
            <w:tcBorders/>
            <w:shd w:fill="auto" w:val="clear"/>
            <w:vAlign w:val="bottom"/>
          </w:tcPr>
          <w:p>
            <w:pPr>
              <w:pStyle w:val="TableContents"/>
              <w:spacing w:before="0" w:after="283"/>
              <w:rPr/>
            </w:pPr>
            <w:r>
              <w:rPr/>
              <w:t> </w:t>
            </w:r>
          </w:p>
        </w:tc>
        <w:tc>
          <w:tcPr>
            <w:tcW w:w="512"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389" w:type="dxa"/>
            <w:tcBorders/>
            <w:shd w:fill="auto" w:val="clear"/>
            <w:vAlign w:val="bottom"/>
          </w:tcPr>
          <w:p>
            <w:pPr>
              <w:pStyle w:val="TableContents"/>
              <w:spacing w:before="0" w:after="283"/>
              <w:jc w:val="right"/>
              <w:rPr/>
            </w:pPr>
            <w:r>
              <w:rPr/>
              <w:t>1.1</w:t>
            </w:r>
          </w:p>
        </w:tc>
        <w:tc>
          <w:tcPr>
            <w:tcW w:w="159" w:type="dxa"/>
            <w:tcBorders/>
            <w:shd w:fill="auto" w:val="clear"/>
            <w:vAlign w:val="bottom"/>
          </w:tcPr>
          <w:p>
            <w:pPr>
              <w:pStyle w:val="TableContents"/>
              <w:spacing w:before="0" w:after="283"/>
              <w:rPr/>
            </w:pPr>
            <w:r>
              <w:rPr/>
              <w:t> </w:t>
            </w:r>
          </w:p>
        </w:tc>
      </w:tr>
      <w:tr>
        <w:trPr/>
        <w:tc>
          <w:tcPr>
            <w:tcW w:w="5125" w:type="dxa"/>
            <w:tcBorders/>
            <w:shd w:fill="CCEEFF" w:val="clear"/>
          </w:tcPr>
          <w:p>
            <w:pPr>
              <w:pStyle w:val="TableContents"/>
              <w:spacing w:before="0" w:after="0"/>
              <w:rPr>
                <w:rFonts w:ascii="Times New Roman" w:hAnsi="Times New Roman"/>
                <w:sz w:val="20"/>
              </w:rPr>
            </w:pPr>
            <w:r>
              <w:rPr>
                <w:rFonts w:ascii="Times New Roman" w:hAnsi="Times New Roman"/>
                <w:sz w:val="20"/>
              </w:rPr>
              <w:t>Stock-based compensation</w:t>
            </w:r>
          </w:p>
        </w:tc>
        <w:tc>
          <w:tcPr>
            <w:tcW w:w="474"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1387" w:type="dxa"/>
            <w:tcBorders/>
            <w:shd w:fill="CCEEFF" w:val="clear"/>
            <w:vAlign w:val="bottom"/>
          </w:tcPr>
          <w:p>
            <w:pPr>
              <w:pStyle w:val="TableContents"/>
              <w:spacing w:before="0" w:after="283"/>
              <w:jc w:val="right"/>
              <w:rPr/>
            </w:pPr>
            <w:r>
              <w:rPr/>
              <w:t>6.8</w:t>
            </w:r>
          </w:p>
        </w:tc>
        <w:tc>
          <w:tcPr>
            <w:tcW w:w="413" w:type="dxa"/>
            <w:tcBorders/>
            <w:shd w:fill="CCEEFF" w:val="clear"/>
            <w:vAlign w:val="bottom"/>
          </w:tcPr>
          <w:p>
            <w:pPr>
              <w:pStyle w:val="TableContents"/>
              <w:spacing w:before="0" w:after="283"/>
              <w:rPr/>
            </w:pPr>
            <w:r>
              <w:rPr/>
              <w:t> </w:t>
            </w:r>
          </w:p>
        </w:tc>
        <w:tc>
          <w:tcPr>
            <w:tcW w:w="512"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1389" w:type="dxa"/>
            <w:tcBorders/>
            <w:shd w:fill="CCEEFF" w:val="clear"/>
            <w:vAlign w:val="bottom"/>
          </w:tcPr>
          <w:p>
            <w:pPr>
              <w:pStyle w:val="TableContents"/>
              <w:spacing w:before="0" w:after="283"/>
              <w:jc w:val="right"/>
              <w:rPr/>
            </w:pPr>
            <w:r>
              <w:rPr/>
              <w:t>3.2</w:t>
            </w:r>
          </w:p>
        </w:tc>
        <w:tc>
          <w:tcPr>
            <w:tcW w:w="159" w:type="dxa"/>
            <w:tcBorders/>
            <w:shd w:fill="CCEEFF" w:val="clear"/>
            <w:vAlign w:val="bottom"/>
          </w:tcPr>
          <w:p>
            <w:pPr>
              <w:pStyle w:val="TableContents"/>
              <w:spacing w:before="0" w:after="283"/>
              <w:rPr/>
            </w:pPr>
            <w:r>
              <w:rPr/>
              <w:t> </w:t>
            </w:r>
          </w:p>
        </w:tc>
      </w:tr>
      <w:tr>
        <w:trPr/>
        <w:tc>
          <w:tcPr>
            <w:tcW w:w="5125" w:type="dxa"/>
            <w:tcBorders/>
            <w:shd w:fill="auto" w:val="clear"/>
          </w:tcPr>
          <w:p>
            <w:pPr>
              <w:pStyle w:val="TableContents"/>
              <w:spacing w:before="0" w:after="0"/>
              <w:rPr>
                <w:rFonts w:ascii="Times New Roman" w:hAnsi="Times New Roman"/>
                <w:sz w:val="20"/>
              </w:rPr>
            </w:pPr>
            <w:r>
              <w:rPr>
                <w:rFonts w:ascii="Times New Roman" w:hAnsi="Times New Roman"/>
                <w:sz w:val="20"/>
              </w:rPr>
              <w:t>Other strategic financing and transactional expenses</w:t>
            </w:r>
          </w:p>
        </w:tc>
        <w:tc>
          <w:tcPr>
            <w:tcW w:w="474"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387" w:type="dxa"/>
            <w:tcBorders/>
            <w:shd w:fill="auto" w:val="clear"/>
            <w:vAlign w:val="bottom"/>
          </w:tcPr>
          <w:p>
            <w:pPr>
              <w:pStyle w:val="TableContents"/>
              <w:spacing w:before="0" w:after="283"/>
              <w:jc w:val="right"/>
              <w:rPr/>
            </w:pPr>
            <w:r>
              <w:rPr/>
              <w:t>  </w:t>
            </w:r>
          </w:p>
        </w:tc>
        <w:tc>
          <w:tcPr>
            <w:tcW w:w="413" w:type="dxa"/>
            <w:tcBorders/>
            <w:shd w:fill="auto" w:val="clear"/>
            <w:vAlign w:val="bottom"/>
          </w:tcPr>
          <w:p>
            <w:pPr>
              <w:pStyle w:val="TableContents"/>
              <w:spacing w:before="0" w:after="283"/>
              <w:rPr/>
            </w:pPr>
            <w:r>
              <w:rPr/>
              <w:t> </w:t>
            </w:r>
          </w:p>
        </w:tc>
        <w:tc>
          <w:tcPr>
            <w:tcW w:w="512"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389" w:type="dxa"/>
            <w:tcBorders/>
            <w:shd w:fill="auto" w:val="clear"/>
            <w:vAlign w:val="bottom"/>
          </w:tcPr>
          <w:p>
            <w:pPr>
              <w:pStyle w:val="TableContents"/>
              <w:spacing w:before="0" w:after="283"/>
              <w:jc w:val="right"/>
              <w:rPr/>
            </w:pPr>
            <w:r>
              <w:rPr/>
              <w:t>1.0</w:t>
            </w:r>
          </w:p>
        </w:tc>
        <w:tc>
          <w:tcPr>
            <w:tcW w:w="159" w:type="dxa"/>
            <w:tcBorders/>
            <w:shd w:fill="auto" w:val="clear"/>
            <w:vAlign w:val="bottom"/>
          </w:tcPr>
          <w:p>
            <w:pPr>
              <w:pStyle w:val="TableContents"/>
              <w:spacing w:before="0" w:after="283"/>
              <w:rPr/>
            </w:pPr>
            <w:r>
              <w:rPr/>
              <w:t> </w:t>
            </w:r>
          </w:p>
        </w:tc>
      </w:tr>
      <w:tr>
        <w:trPr/>
        <w:tc>
          <w:tcPr>
            <w:tcW w:w="5125" w:type="dxa"/>
            <w:tcBorders/>
            <w:shd w:fill="CCEEFF" w:val="clear"/>
          </w:tcPr>
          <w:p>
            <w:pPr>
              <w:pStyle w:val="TableContents"/>
              <w:spacing w:before="0" w:after="0"/>
              <w:rPr>
                <w:rFonts w:ascii="Times New Roman" w:hAnsi="Times New Roman"/>
                <w:sz w:val="20"/>
              </w:rPr>
            </w:pPr>
            <w:r>
              <w:rPr>
                <w:rFonts w:ascii="Times New Roman" w:hAnsi="Times New Roman"/>
                <w:sz w:val="20"/>
              </w:rPr>
              <w:t>Changes in fair value of earnout liabilities</w:t>
            </w:r>
          </w:p>
        </w:tc>
        <w:tc>
          <w:tcPr>
            <w:tcW w:w="474"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1387" w:type="dxa"/>
            <w:tcBorders/>
            <w:shd w:fill="CCEEFF" w:val="clear"/>
            <w:vAlign w:val="bottom"/>
          </w:tcPr>
          <w:p>
            <w:pPr>
              <w:pStyle w:val="TableContents"/>
              <w:spacing w:before="0" w:after="283"/>
              <w:jc w:val="right"/>
              <w:rPr/>
            </w:pPr>
            <w:r>
              <w:rPr/>
              <w:t>  </w:t>
            </w:r>
          </w:p>
        </w:tc>
        <w:tc>
          <w:tcPr>
            <w:tcW w:w="413" w:type="dxa"/>
            <w:tcBorders/>
            <w:shd w:fill="CCEEFF" w:val="clear"/>
            <w:vAlign w:val="bottom"/>
          </w:tcPr>
          <w:p>
            <w:pPr>
              <w:pStyle w:val="TableContents"/>
              <w:spacing w:before="0" w:after="283"/>
              <w:rPr/>
            </w:pPr>
            <w:r>
              <w:rPr/>
              <w:t> </w:t>
            </w:r>
          </w:p>
        </w:tc>
        <w:tc>
          <w:tcPr>
            <w:tcW w:w="512"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1389" w:type="dxa"/>
            <w:tcBorders/>
            <w:shd w:fill="CCEEFF" w:val="clear"/>
            <w:vAlign w:val="bottom"/>
          </w:tcPr>
          <w:p>
            <w:pPr>
              <w:pStyle w:val="TableContents"/>
              <w:spacing w:before="0" w:after="283"/>
              <w:jc w:val="right"/>
              <w:rPr/>
            </w:pPr>
            <w:r>
              <w:rPr/>
              <w:t>(2.0</w:t>
            </w:r>
          </w:p>
        </w:tc>
        <w:tc>
          <w:tcPr>
            <w:tcW w:w="159" w:type="dxa"/>
            <w:tcBorders/>
            <w:shd w:fill="CCEEFF" w:val="clear"/>
            <w:vAlign w:val="bottom"/>
          </w:tcPr>
          <w:p>
            <w:pPr>
              <w:pStyle w:val="TableContents"/>
              <w:spacing w:before="0" w:after="283"/>
              <w:rPr/>
            </w:pPr>
            <w:r>
              <w:rPr/>
              <w:t>) </w:t>
            </w:r>
          </w:p>
        </w:tc>
      </w:tr>
      <w:tr>
        <w:trPr/>
        <w:tc>
          <w:tcPr>
            <w:tcW w:w="5125" w:type="dxa"/>
            <w:tcBorders/>
            <w:shd w:fill="auto" w:val="clear"/>
          </w:tcPr>
          <w:p>
            <w:pPr>
              <w:pStyle w:val="TableContents"/>
              <w:spacing w:before="0" w:after="0"/>
              <w:rPr>
                <w:rFonts w:ascii="Times New Roman" w:hAnsi="Times New Roman"/>
                <w:sz w:val="20"/>
              </w:rPr>
            </w:pPr>
            <w:r>
              <w:rPr>
                <w:rFonts w:ascii="Times New Roman" w:hAnsi="Times New Roman"/>
                <w:sz w:val="20"/>
              </w:rPr>
              <w:t>Changes in fair value of derivative asset on loans to stockholders</w:t>
            </w:r>
          </w:p>
        </w:tc>
        <w:tc>
          <w:tcPr>
            <w:tcW w:w="474"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387" w:type="dxa"/>
            <w:tcBorders/>
            <w:shd w:fill="auto" w:val="clear"/>
            <w:vAlign w:val="bottom"/>
          </w:tcPr>
          <w:p>
            <w:pPr>
              <w:pStyle w:val="TableContents"/>
              <w:spacing w:before="0" w:after="283"/>
              <w:jc w:val="right"/>
              <w:rPr/>
            </w:pPr>
            <w:r>
              <w:rPr/>
              <w:t>  </w:t>
            </w:r>
          </w:p>
        </w:tc>
        <w:tc>
          <w:tcPr>
            <w:tcW w:w="413" w:type="dxa"/>
            <w:tcBorders/>
            <w:shd w:fill="auto" w:val="clear"/>
            <w:vAlign w:val="bottom"/>
          </w:tcPr>
          <w:p>
            <w:pPr>
              <w:pStyle w:val="TableContents"/>
              <w:spacing w:before="0" w:after="283"/>
              <w:rPr/>
            </w:pPr>
            <w:r>
              <w:rPr/>
              <w:t> </w:t>
            </w:r>
          </w:p>
        </w:tc>
        <w:tc>
          <w:tcPr>
            <w:tcW w:w="512"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389" w:type="dxa"/>
            <w:tcBorders/>
            <w:shd w:fill="auto" w:val="clear"/>
            <w:vAlign w:val="bottom"/>
          </w:tcPr>
          <w:p>
            <w:pPr>
              <w:pStyle w:val="TableContents"/>
              <w:spacing w:before="0" w:after="283"/>
              <w:jc w:val="right"/>
              <w:rPr/>
            </w:pPr>
            <w:r>
              <w:rPr/>
              <w:t>5.6</w:t>
            </w:r>
          </w:p>
        </w:tc>
        <w:tc>
          <w:tcPr>
            <w:tcW w:w="159" w:type="dxa"/>
            <w:tcBorders/>
            <w:shd w:fill="auto" w:val="clear"/>
            <w:vAlign w:val="bottom"/>
          </w:tcPr>
          <w:p>
            <w:pPr>
              <w:pStyle w:val="TableContents"/>
              <w:spacing w:before="0" w:after="283"/>
              <w:rPr/>
            </w:pPr>
            <w:r>
              <w:rPr/>
              <w:t> </w:t>
            </w:r>
          </w:p>
        </w:tc>
      </w:tr>
      <w:tr>
        <w:trPr/>
        <w:tc>
          <w:tcPr>
            <w:tcW w:w="5125" w:type="dxa"/>
            <w:tcBorders/>
            <w:shd w:fill="CCEEFF" w:val="clear"/>
          </w:tcPr>
          <w:p>
            <w:pPr>
              <w:pStyle w:val="TableContents"/>
              <w:spacing w:before="0" w:after="0"/>
              <w:rPr>
                <w:rFonts w:ascii="Times New Roman" w:hAnsi="Times New Roman"/>
                <w:sz w:val="20"/>
              </w:rPr>
            </w:pPr>
            <w:r>
              <w:rPr>
                <w:rFonts w:ascii="Times New Roman" w:hAnsi="Times New Roman"/>
                <w:sz w:val="20"/>
              </w:rPr>
              <w:t>Changes in fair value of public and private warrant liabilities</w:t>
            </w:r>
          </w:p>
        </w:tc>
        <w:tc>
          <w:tcPr>
            <w:tcW w:w="474"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1387" w:type="dxa"/>
            <w:tcBorders/>
            <w:shd w:fill="CCEEFF" w:val="clear"/>
            <w:vAlign w:val="bottom"/>
          </w:tcPr>
          <w:p>
            <w:pPr>
              <w:pStyle w:val="TableContents"/>
              <w:spacing w:before="0" w:after="283"/>
              <w:jc w:val="right"/>
              <w:rPr/>
            </w:pPr>
            <w:r>
              <w:rPr/>
              <w:t>(0.1</w:t>
            </w:r>
          </w:p>
        </w:tc>
        <w:tc>
          <w:tcPr>
            <w:tcW w:w="413" w:type="dxa"/>
            <w:tcBorders/>
            <w:shd w:fill="CCEEFF" w:val="clear"/>
            <w:vAlign w:val="bottom"/>
          </w:tcPr>
          <w:p>
            <w:pPr>
              <w:pStyle w:val="TableContents"/>
              <w:spacing w:before="0" w:after="283"/>
              <w:rPr/>
            </w:pPr>
            <w:r>
              <w:rPr/>
              <w:t>) </w:t>
            </w:r>
          </w:p>
        </w:tc>
        <w:tc>
          <w:tcPr>
            <w:tcW w:w="512"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1389" w:type="dxa"/>
            <w:tcBorders/>
            <w:shd w:fill="CCEEFF" w:val="clear"/>
            <w:vAlign w:val="bottom"/>
          </w:tcPr>
          <w:p>
            <w:pPr>
              <w:pStyle w:val="TableContents"/>
              <w:spacing w:before="0" w:after="283"/>
              <w:jc w:val="right"/>
              <w:rPr/>
            </w:pPr>
            <w:r>
              <w:rPr/>
              <w:t>4.1</w:t>
            </w:r>
          </w:p>
        </w:tc>
        <w:tc>
          <w:tcPr>
            <w:tcW w:w="159" w:type="dxa"/>
            <w:tcBorders/>
            <w:shd w:fill="CCEEFF" w:val="clear"/>
            <w:vAlign w:val="bottom"/>
          </w:tcPr>
          <w:p>
            <w:pPr>
              <w:pStyle w:val="TableContents"/>
              <w:spacing w:before="0" w:after="283"/>
              <w:rPr/>
            </w:pPr>
            <w:r>
              <w:rPr/>
              <w:t> </w:t>
            </w:r>
          </w:p>
        </w:tc>
      </w:tr>
      <w:tr>
        <w:trPr/>
        <w:tc>
          <w:tcPr>
            <w:tcW w:w="5125" w:type="dxa"/>
            <w:tcBorders/>
            <w:shd w:fill="auto" w:val="clear"/>
            <w:vAlign w:val="bottom"/>
          </w:tcPr>
          <w:p>
            <w:pPr>
              <w:pStyle w:val="TableContents"/>
              <w:spacing w:before="0" w:after="283"/>
              <w:rPr>
                <w:sz w:val="4"/>
                <w:szCs w:val="4"/>
              </w:rPr>
            </w:pPr>
            <w:r>
              <w:rPr>
                <w:sz w:val="4"/>
                <w:szCs w:val="4"/>
              </w:rPr>
            </w:r>
          </w:p>
        </w:tc>
        <w:tc>
          <w:tcPr>
            <w:tcW w:w="474"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pBdr>
                <w:top w:val="single" w:sz="2" w:space="1" w:color="000000"/>
              </w:pBdr>
              <w:spacing w:before="0" w:after="0"/>
              <w:rPr/>
            </w:pPr>
            <w:r>
              <w:rPr/>
              <w:t> </w:t>
            </w:r>
          </w:p>
        </w:tc>
        <w:tc>
          <w:tcPr>
            <w:tcW w:w="1387" w:type="dxa"/>
            <w:tcBorders/>
            <w:shd w:fill="auto" w:val="clear"/>
            <w:vAlign w:val="bottom"/>
          </w:tcPr>
          <w:p>
            <w:pPr>
              <w:pStyle w:val="TableContents"/>
              <w:pBdr>
                <w:top w:val="single" w:sz="2" w:space="1" w:color="000000"/>
              </w:pBdr>
              <w:spacing w:before="0" w:after="0"/>
              <w:rPr/>
            </w:pPr>
            <w:r>
              <w:rPr/>
              <w:t> </w:t>
            </w:r>
          </w:p>
        </w:tc>
        <w:tc>
          <w:tcPr>
            <w:tcW w:w="413" w:type="dxa"/>
            <w:tcBorders/>
            <w:shd w:fill="auto" w:val="clear"/>
            <w:vAlign w:val="center"/>
          </w:tcPr>
          <w:p>
            <w:pPr>
              <w:pStyle w:val="TableContents"/>
              <w:spacing w:before="0" w:after="283"/>
              <w:rPr/>
            </w:pPr>
            <w:r>
              <w:rPr/>
              <w:t> </w:t>
            </w:r>
          </w:p>
        </w:tc>
        <w:tc>
          <w:tcPr>
            <w:tcW w:w="512"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pBdr>
                <w:top w:val="single" w:sz="2" w:space="1" w:color="000000"/>
              </w:pBdr>
              <w:spacing w:before="0" w:after="0"/>
              <w:rPr/>
            </w:pPr>
            <w:r>
              <w:rPr/>
              <w:t> </w:t>
            </w:r>
          </w:p>
        </w:tc>
        <w:tc>
          <w:tcPr>
            <w:tcW w:w="1389"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5125"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Adjusted EBITDA</w:t>
            </w:r>
          </w:p>
        </w:tc>
        <w:tc>
          <w:tcPr>
            <w:tcW w:w="474"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b/>
              </w:rPr>
            </w:pPr>
            <w:r>
              <w:rPr>
                <w:b/>
              </w:rPr>
              <w:t>$</w:t>
            </w:r>
          </w:p>
        </w:tc>
        <w:tc>
          <w:tcPr>
            <w:tcW w:w="1387" w:type="dxa"/>
            <w:tcBorders/>
            <w:shd w:fill="auto" w:val="clear"/>
            <w:vAlign w:val="bottom"/>
          </w:tcPr>
          <w:p>
            <w:pPr>
              <w:pStyle w:val="TableContents"/>
              <w:spacing w:before="0" w:after="283"/>
              <w:jc w:val="right"/>
              <w:rPr>
                <w:b/>
              </w:rPr>
            </w:pPr>
            <w:r>
              <w:rPr>
                <w:b/>
              </w:rPr>
              <w:t>(4.5</w:t>
            </w:r>
          </w:p>
        </w:tc>
        <w:tc>
          <w:tcPr>
            <w:tcW w:w="413" w:type="dxa"/>
            <w:tcBorders/>
            <w:shd w:fill="auto" w:val="clear"/>
            <w:vAlign w:val="bottom"/>
          </w:tcPr>
          <w:p>
            <w:pPr>
              <w:pStyle w:val="TableContents"/>
              <w:spacing w:before="0" w:after="283"/>
              <w:rPr>
                <w:b/>
              </w:rPr>
            </w:pPr>
            <w:r>
              <w:rPr>
                <w:b/>
              </w:rPr>
              <w:t>) </w:t>
            </w:r>
          </w:p>
        </w:tc>
        <w:tc>
          <w:tcPr>
            <w:tcW w:w="512"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b/>
              </w:rPr>
            </w:pPr>
            <w:r>
              <w:rPr>
                <w:b/>
              </w:rPr>
              <w:t>$</w:t>
            </w:r>
          </w:p>
        </w:tc>
        <w:tc>
          <w:tcPr>
            <w:tcW w:w="1389" w:type="dxa"/>
            <w:tcBorders/>
            <w:shd w:fill="auto" w:val="clear"/>
            <w:vAlign w:val="bottom"/>
          </w:tcPr>
          <w:p>
            <w:pPr>
              <w:pStyle w:val="TableContents"/>
              <w:spacing w:before="0" w:after="283"/>
              <w:jc w:val="right"/>
              <w:rPr>
                <w:b/>
              </w:rPr>
            </w:pPr>
            <w:r>
              <w:rPr>
                <w:b/>
              </w:rPr>
              <w:t>(18.3</w:t>
            </w:r>
          </w:p>
        </w:tc>
        <w:tc>
          <w:tcPr>
            <w:tcW w:w="159" w:type="dxa"/>
            <w:tcBorders/>
            <w:shd w:fill="auto" w:val="clear"/>
            <w:vAlign w:val="bottom"/>
          </w:tcPr>
          <w:p>
            <w:pPr>
              <w:pStyle w:val="TableContents"/>
              <w:spacing w:before="0" w:after="283"/>
              <w:rPr>
                <w:b/>
              </w:rPr>
            </w:pPr>
            <w:r>
              <w:rPr>
                <w:b/>
              </w:rPr>
              <w:t>) </w:t>
            </w:r>
          </w:p>
        </w:tc>
      </w:tr>
      <w:tr>
        <w:trPr/>
        <w:tc>
          <w:tcPr>
            <w:tcW w:w="5125" w:type="dxa"/>
            <w:tcBorders/>
            <w:shd w:fill="auto" w:val="clear"/>
            <w:vAlign w:val="bottom"/>
          </w:tcPr>
          <w:p>
            <w:pPr>
              <w:pStyle w:val="TableContents"/>
              <w:spacing w:before="0" w:after="283"/>
              <w:rPr>
                <w:sz w:val="4"/>
                <w:szCs w:val="4"/>
              </w:rPr>
            </w:pPr>
            <w:r>
              <w:rPr>
                <w:sz w:val="4"/>
                <w:szCs w:val="4"/>
              </w:rPr>
            </w:r>
          </w:p>
        </w:tc>
        <w:tc>
          <w:tcPr>
            <w:tcW w:w="474"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pBdr>
                <w:top w:val="double" w:sz="6" w:space="1" w:color="000000"/>
              </w:pBdr>
              <w:spacing w:before="0" w:after="0"/>
              <w:rPr/>
            </w:pPr>
            <w:r>
              <w:rPr/>
              <w:t> </w:t>
            </w:r>
          </w:p>
        </w:tc>
        <w:tc>
          <w:tcPr>
            <w:tcW w:w="1387" w:type="dxa"/>
            <w:tcBorders/>
            <w:shd w:fill="auto" w:val="clear"/>
            <w:vAlign w:val="bottom"/>
          </w:tcPr>
          <w:p>
            <w:pPr>
              <w:pStyle w:val="TableContents"/>
              <w:pBdr>
                <w:top w:val="double" w:sz="6" w:space="1" w:color="000000"/>
              </w:pBdr>
              <w:spacing w:before="0" w:after="0"/>
              <w:rPr/>
            </w:pPr>
            <w:r>
              <w:rPr/>
              <w:t> </w:t>
            </w:r>
          </w:p>
        </w:tc>
        <w:tc>
          <w:tcPr>
            <w:tcW w:w="413" w:type="dxa"/>
            <w:tcBorders/>
            <w:shd w:fill="auto" w:val="clear"/>
            <w:vAlign w:val="center"/>
          </w:tcPr>
          <w:p>
            <w:pPr>
              <w:pStyle w:val="TableContents"/>
              <w:spacing w:before="0" w:after="283"/>
              <w:rPr/>
            </w:pPr>
            <w:r>
              <w:rPr/>
              <w:t> </w:t>
            </w:r>
          </w:p>
        </w:tc>
        <w:tc>
          <w:tcPr>
            <w:tcW w:w="512"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pBdr>
                <w:top w:val="double" w:sz="6" w:space="1" w:color="000000"/>
              </w:pBdr>
              <w:spacing w:before="0" w:after="0"/>
              <w:rPr/>
            </w:pPr>
            <w:r>
              <w:rPr/>
              <w:t> </w:t>
            </w:r>
          </w:p>
        </w:tc>
        <w:tc>
          <w:tcPr>
            <w:tcW w:w="1389"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b/>
          <w:sz w:val="20"/>
        </w:rPr>
      </w:pPr>
      <w:r>
        <w:rPr>
          <w:rFonts w:ascii="Times New Roman" w:hAnsi="Times New Roman"/>
          <w:b/>
          <w:sz w:val="20"/>
        </w:rPr>
        <w:t xml:space="preserve">DAVE INC. </w:t>
      </w:r>
    </w:p>
    <w:p>
      <w:pPr>
        <w:pStyle w:val="TextBody"/>
        <w:spacing w:before="0" w:after="0"/>
        <w:jc w:val="center"/>
        <w:rPr>
          <w:rFonts w:ascii="Times New Roman" w:hAnsi="Times New Roman"/>
          <w:b/>
          <w:sz w:val="20"/>
        </w:rPr>
      </w:pPr>
      <w:r>
        <w:rPr>
          <w:rFonts w:ascii="Times New Roman" w:hAnsi="Times New Roman"/>
          <w:b/>
          <w:sz w:val="20"/>
        </w:rPr>
        <w:t xml:space="preserve">LIQUIDITY AND CAPITAL RESOURCES </w:t>
      </w:r>
    </w:p>
    <w:p>
      <w:pPr>
        <w:pStyle w:val="TextBody"/>
        <w:spacing w:before="0" w:after="0"/>
        <w:jc w:val="center"/>
        <w:rPr>
          <w:rFonts w:ascii="Times New Roman" w:hAnsi="Times New Roman"/>
          <w:sz w:val="20"/>
        </w:rPr>
      </w:pPr>
      <w:r>
        <w:rPr>
          <w:rFonts w:ascii="Times New Roman" w:hAnsi="Times New Roman"/>
          <w:sz w:val="20"/>
        </w:rPr>
        <w:t xml:space="preserve">(in millions)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804"/>
        <w:gridCol w:w="377"/>
        <w:gridCol w:w="214"/>
        <w:gridCol w:w="862"/>
        <w:gridCol w:w="60"/>
        <w:gridCol w:w="377"/>
        <w:gridCol w:w="283"/>
        <w:gridCol w:w="1165"/>
        <w:gridCol w:w="63"/>
      </w:tblGrid>
      <w:tr>
        <w:trPr/>
        <w:tc>
          <w:tcPr>
            <w:tcW w:w="6804"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bottom"/>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bottom"/>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6804"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07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March 31,</w:t>
              <w:br/>
              <w:t>2023</w:t>
            </w:r>
          </w:p>
        </w:tc>
        <w:tc>
          <w:tcPr>
            <w:tcW w:w="60"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44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br/>
              <w:t>2022</w:t>
            </w:r>
          </w:p>
        </w:tc>
        <w:tc>
          <w:tcPr>
            <w:tcW w:w="63" w:type="dxa"/>
            <w:tcBorders/>
            <w:shd w:fill="auto" w:val="clear"/>
            <w:vAlign w:val="bottom"/>
          </w:tcPr>
          <w:p>
            <w:pPr>
              <w:pStyle w:val="TableContents"/>
              <w:spacing w:before="0" w:after="283"/>
              <w:rPr/>
            </w:pPr>
            <w:r>
              <w:rPr/>
              <w:t> </w:t>
            </w:r>
          </w:p>
        </w:tc>
      </w:tr>
      <w:tr>
        <w:trPr/>
        <w:tc>
          <w:tcPr>
            <w:tcW w:w="6804" w:type="dxa"/>
            <w:tcBorders/>
            <w:shd w:fill="CCEEFF" w:val="clear"/>
          </w:tcPr>
          <w:p>
            <w:pPr>
              <w:pStyle w:val="TableContents"/>
              <w:spacing w:before="0" w:after="0"/>
              <w:rPr>
                <w:rFonts w:ascii="Times New Roman" w:hAnsi="Times New Roman"/>
                <w:sz w:val="20"/>
              </w:rPr>
            </w:pPr>
            <w:r>
              <w:rPr>
                <w:rFonts w:ascii="Times New Roman" w:hAnsi="Times New Roman"/>
                <w:sz w:val="20"/>
              </w:rPr>
              <w:t>Cash, cash equivalents and restricted cash</w:t>
            </w:r>
          </w:p>
        </w:tc>
        <w:tc>
          <w:tcPr>
            <w:tcW w:w="377"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w:t>
            </w:r>
          </w:p>
        </w:tc>
        <w:tc>
          <w:tcPr>
            <w:tcW w:w="862" w:type="dxa"/>
            <w:tcBorders/>
            <w:shd w:fill="CCEEFF" w:val="clear"/>
            <w:vAlign w:val="bottom"/>
          </w:tcPr>
          <w:p>
            <w:pPr>
              <w:pStyle w:val="TableContents"/>
              <w:spacing w:before="0" w:after="283"/>
              <w:jc w:val="right"/>
              <w:rPr/>
            </w:pPr>
            <w:r>
              <w:rPr/>
              <w:t>52.5</w:t>
            </w:r>
          </w:p>
        </w:tc>
        <w:tc>
          <w:tcPr>
            <w:tcW w:w="60"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w:t>
            </w:r>
          </w:p>
        </w:tc>
        <w:tc>
          <w:tcPr>
            <w:tcW w:w="1165" w:type="dxa"/>
            <w:tcBorders/>
            <w:shd w:fill="CCEEFF" w:val="clear"/>
            <w:vAlign w:val="bottom"/>
          </w:tcPr>
          <w:p>
            <w:pPr>
              <w:pStyle w:val="TableContents"/>
              <w:spacing w:before="0" w:after="283"/>
              <w:jc w:val="right"/>
              <w:rPr/>
            </w:pPr>
            <w:r>
              <w:rPr/>
              <w:t>23.7</w:t>
            </w:r>
          </w:p>
        </w:tc>
        <w:tc>
          <w:tcPr>
            <w:tcW w:w="63" w:type="dxa"/>
            <w:tcBorders/>
            <w:shd w:fill="CCEEFF" w:val="clear"/>
            <w:vAlign w:val="bottom"/>
          </w:tcPr>
          <w:p>
            <w:pPr>
              <w:pStyle w:val="TableContents"/>
              <w:spacing w:before="0" w:after="283"/>
              <w:rPr/>
            </w:pPr>
            <w:r>
              <w:rPr/>
              <w:t> </w:t>
            </w:r>
          </w:p>
        </w:tc>
      </w:tr>
      <w:tr>
        <w:trPr/>
        <w:tc>
          <w:tcPr>
            <w:tcW w:w="6804" w:type="dxa"/>
            <w:tcBorders/>
            <w:shd w:fill="auto" w:val="clear"/>
          </w:tcPr>
          <w:p>
            <w:pPr>
              <w:pStyle w:val="TableContents"/>
              <w:spacing w:before="0" w:after="0"/>
              <w:rPr>
                <w:rFonts w:ascii="Times New Roman" w:hAnsi="Times New Roman"/>
                <w:sz w:val="20"/>
              </w:rPr>
            </w:pPr>
            <w:r>
              <w:rPr>
                <w:rFonts w:ascii="Times New Roman" w:hAnsi="Times New Roman"/>
                <w:sz w:val="20"/>
              </w:rPr>
              <w:t>Marketable securities</w:t>
            </w:r>
          </w:p>
        </w:tc>
        <w:tc>
          <w:tcPr>
            <w:tcW w:w="377"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34.4</w:t>
            </w:r>
          </w:p>
        </w:tc>
        <w:tc>
          <w:tcPr>
            <w:tcW w:w="60"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165" w:type="dxa"/>
            <w:tcBorders/>
            <w:shd w:fill="auto" w:val="clear"/>
            <w:vAlign w:val="bottom"/>
          </w:tcPr>
          <w:p>
            <w:pPr>
              <w:pStyle w:val="TableContents"/>
              <w:spacing w:before="0" w:after="283"/>
              <w:jc w:val="right"/>
              <w:rPr/>
            </w:pPr>
            <w:r>
              <w:rPr/>
              <w:t>0.3</w:t>
            </w:r>
          </w:p>
        </w:tc>
        <w:tc>
          <w:tcPr>
            <w:tcW w:w="63" w:type="dxa"/>
            <w:tcBorders/>
            <w:shd w:fill="auto" w:val="clear"/>
            <w:vAlign w:val="bottom"/>
          </w:tcPr>
          <w:p>
            <w:pPr>
              <w:pStyle w:val="TableContents"/>
              <w:spacing w:before="0" w:after="283"/>
              <w:rPr/>
            </w:pPr>
            <w:r>
              <w:rPr/>
              <w:t> </w:t>
            </w:r>
          </w:p>
        </w:tc>
      </w:tr>
      <w:tr>
        <w:trPr/>
        <w:tc>
          <w:tcPr>
            <w:tcW w:w="6804" w:type="dxa"/>
            <w:tcBorders/>
            <w:shd w:fill="CCEEFF" w:val="clear"/>
          </w:tcPr>
          <w:p>
            <w:pPr>
              <w:pStyle w:val="TableContents"/>
              <w:spacing w:before="0" w:after="0"/>
              <w:rPr>
                <w:rFonts w:ascii="Times New Roman" w:hAnsi="Times New Roman"/>
                <w:sz w:val="20"/>
              </w:rPr>
            </w:pPr>
            <w:r>
              <w:rPr>
                <w:rFonts w:ascii="Times New Roman" w:hAnsi="Times New Roman"/>
                <w:sz w:val="20"/>
              </w:rPr>
              <w:t>Short-term investments</w:t>
            </w:r>
          </w:p>
        </w:tc>
        <w:tc>
          <w:tcPr>
            <w:tcW w:w="377"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108.8</w:t>
            </w:r>
          </w:p>
        </w:tc>
        <w:tc>
          <w:tcPr>
            <w:tcW w:w="60"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165" w:type="dxa"/>
            <w:tcBorders/>
            <w:shd w:fill="CCEEFF" w:val="clear"/>
            <w:vAlign w:val="bottom"/>
          </w:tcPr>
          <w:p>
            <w:pPr>
              <w:pStyle w:val="TableContents"/>
              <w:spacing w:before="0" w:after="283"/>
              <w:jc w:val="right"/>
              <w:rPr/>
            </w:pPr>
            <w:r>
              <w:rPr/>
              <w:t>168.8</w:t>
            </w:r>
          </w:p>
        </w:tc>
        <w:tc>
          <w:tcPr>
            <w:tcW w:w="63" w:type="dxa"/>
            <w:tcBorders/>
            <w:shd w:fill="CCEEFF" w:val="clear"/>
            <w:vAlign w:val="bottom"/>
          </w:tcPr>
          <w:p>
            <w:pPr>
              <w:pStyle w:val="TableContents"/>
              <w:spacing w:before="0" w:after="283"/>
              <w:rPr/>
            </w:pPr>
            <w:r>
              <w:rPr/>
              <w:t> </w:t>
            </w:r>
          </w:p>
        </w:tc>
      </w:tr>
      <w:tr>
        <w:trPr/>
        <w:tc>
          <w:tcPr>
            <w:tcW w:w="6804" w:type="dxa"/>
            <w:tcBorders/>
            <w:shd w:fill="auto" w:val="clear"/>
          </w:tcPr>
          <w:p>
            <w:pPr>
              <w:pStyle w:val="TableContents"/>
              <w:spacing w:before="0" w:after="0"/>
              <w:rPr>
                <w:rFonts w:ascii="Times New Roman" w:hAnsi="Times New Roman"/>
                <w:sz w:val="20"/>
              </w:rPr>
            </w:pPr>
            <w:r>
              <w:rPr>
                <w:rFonts w:ascii="Times New Roman" w:hAnsi="Times New Roman"/>
                <w:sz w:val="20"/>
              </w:rPr>
              <w:t>Working capital</w:t>
            </w:r>
          </w:p>
        </w:tc>
        <w:tc>
          <w:tcPr>
            <w:tcW w:w="377"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265.3</w:t>
            </w:r>
          </w:p>
        </w:tc>
        <w:tc>
          <w:tcPr>
            <w:tcW w:w="60"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165" w:type="dxa"/>
            <w:tcBorders/>
            <w:shd w:fill="auto" w:val="clear"/>
            <w:vAlign w:val="bottom"/>
          </w:tcPr>
          <w:p>
            <w:pPr>
              <w:pStyle w:val="TableContents"/>
              <w:spacing w:before="0" w:after="283"/>
              <w:jc w:val="right"/>
              <w:rPr/>
            </w:pPr>
            <w:r>
              <w:rPr/>
              <w:t>272.2</w:t>
            </w:r>
          </w:p>
        </w:tc>
        <w:tc>
          <w:tcPr>
            <w:tcW w:w="63" w:type="dxa"/>
            <w:tcBorders/>
            <w:shd w:fill="auto" w:val="clear"/>
            <w:vAlign w:val="bottom"/>
          </w:tcPr>
          <w:p>
            <w:pPr>
              <w:pStyle w:val="TableContents"/>
              <w:spacing w:before="0" w:after="283"/>
              <w:rPr/>
            </w:pPr>
            <w:r>
              <w:rPr/>
              <w:t> </w:t>
            </w:r>
          </w:p>
        </w:tc>
      </w:tr>
      <w:tr>
        <w:trPr/>
        <w:tc>
          <w:tcPr>
            <w:tcW w:w="6804" w:type="dxa"/>
            <w:tcBorders/>
            <w:shd w:fill="CCEEFF" w:val="clear"/>
          </w:tcPr>
          <w:p>
            <w:pPr>
              <w:pStyle w:val="TableContents"/>
              <w:spacing w:before="0" w:after="0"/>
              <w:rPr>
                <w:rFonts w:ascii="Times New Roman" w:hAnsi="Times New Roman"/>
                <w:sz w:val="20"/>
              </w:rPr>
            </w:pPr>
            <w:r>
              <w:rPr>
                <w:rFonts w:ascii="Times New Roman" w:hAnsi="Times New Roman"/>
                <w:sz w:val="20"/>
              </w:rPr>
              <w:t>Total stockholders equity</w:t>
            </w:r>
          </w:p>
        </w:tc>
        <w:tc>
          <w:tcPr>
            <w:tcW w:w="377"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100.1</w:t>
            </w:r>
          </w:p>
        </w:tc>
        <w:tc>
          <w:tcPr>
            <w:tcW w:w="60"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165" w:type="dxa"/>
            <w:tcBorders/>
            <w:shd w:fill="CCEEFF" w:val="clear"/>
            <w:vAlign w:val="bottom"/>
          </w:tcPr>
          <w:p>
            <w:pPr>
              <w:pStyle w:val="TableContents"/>
              <w:spacing w:before="0" w:after="283"/>
              <w:jc w:val="right"/>
              <w:rPr/>
            </w:pPr>
            <w:r>
              <w:rPr/>
              <w:t>106.6</w:t>
            </w:r>
          </w:p>
        </w:tc>
        <w:tc>
          <w:tcPr>
            <w:tcW w:w="63" w:type="dxa"/>
            <w:tcBorders/>
            <w:shd w:fill="CCEEFF"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2830</Words>
  <CharactersWithSpaces>18239</CharactersWithSpaces>
  <Paragraphs>1000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