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70485</wp:posOffset>
            </wp:positionV>
            <wp:extent cx="1045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86360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9"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3"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OR</w:t>
      </w:r>
    </w:p>
    <w:p>
      <w:pPr>
        <w:spacing w:after="0" w:line="4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388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640" w:type="dxa"/>
            <w:vAlign w:val="bottom"/>
            <w:tcBorders>
              <w:bottom w:val="single" w:sz="8" w:color="auto"/>
            </w:tcBorders>
          </w:tcPr>
          <w:p>
            <w:pPr>
              <w:spacing w:after="0"/>
              <w:rPr>
                <w:sz w:val="13"/>
                <w:szCs w:val="13"/>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 _______</w:t>
            </w:r>
          </w:p>
        </w:tc>
      </w:tr>
      <w:tr>
        <w:trPr>
          <w:trHeight w:val="199"/>
        </w:trPr>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Commission file number: 001-40161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49530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3" w:lineRule="exact"/>
        <w:rPr>
          <w:sz w:val="24"/>
          <w:szCs w:val="24"/>
          <w:color w:val="auto"/>
        </w:rPr>
      </w:pPr>
    </w:p>
    <w:tbl>
      <w:tblPr>
        <w:tblLayout w:type="fixed"/>
        <w:tblInd w:w="100" w:type="dxa"/>
        <w:tblCellMar>
          <w:top w:w="0" w:type="dxa"/>
          <w:left w:w="0" w:type="dxa"/>
          <w:bottom w:w="0" w:type="dxa"/>
          <w:right w:w="0" w:type="dxa"/>
        </w:tblCellMar>
      </w:tblPr>
      <w:tr>
        <w:trPr>
          <w:trHeight w:val="351"/>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29"/>
                <w:szCs w:val="29"/>
                <w:b w:val="1"/>
                <w:bCs w:val="1"/>
                <w:color w:val="auto"/>
              </w:rPr>
              <w:t>DAVE INC.</w:t>
            </w:r>
          </w:p>
        </w:tc>
        <w:tc>
          <w:tcPr>
            <w:tcW w:w="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6820" w:type="dxa"/>
            <w:vAlign w:val="bottom"/>
            <w:gridSpan w:val="6"/>
          </w:tcPr>
          <w:p>
            <w:pPr>
              <w:jc w:val="center"/>
              <w:ind w:right="311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77"/>
        </w:trPr>
        <w:tc>
          <w:tcPr>
            <w:tcW w:w="3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680" w:type="dxa"/>
            <w:vAlign w:val="bottom"/>
          </w:tcPr>
          <w:p>
            <w:pPr>
              <w:jc w:val="center"/>
              <w:ind w:left="167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20" w:type="dxa"/>
            <w:vAlign w:val="bottom"/>
            <w:gridSpan w:val="2"/>
          </w:tcPr>
          <w:p>
            <w:pPr>
              <w:jc w:val="right"/>
              <w:ind w:right="1751"/>
              <w:spacing w:after="0"/>
              <w:rPr>
                <w:sz w:val="20"/>
                <w:szCs w:val="20"/>
                <w:color w:val="auto"/>
              </w:rPr>
            </w:pPr>
            <w:r>
              <w:rPr>
                <w:rFonts w:ascii="Times New Roman" w:cs="Times New Roman" w:eastAsia="Times New Roman" w:hAnsi="Times New Roman"/>
                <w:sz w:val="14"/>
                <w:szCs w:val="14"/>
                <w:b w:val="1"/>
                <w:bCs w:val="1"/>
                <w:color w:val="auto"/>
              </w:rPr>
              <w:t>86-1481509</w:t>
            </w:r>
          </w:p>
        </w:tc>
        <w:tc>
          <w:tcPr>
            <w:tcW w:w="0" w:type="dxa"/>
            <w:vAlign w:val="bottom"/>
          </w:tcPr>
          <w:p>
            <w:pPr>
              <w:spacing w:after="0"/>
              <w:rPr>
                <w:sz w:val="1"/>
                <w:szCs w:val="1"/>
                <w:color w:val="auto"/>
              </w:rPr>
            </w:pPr>
          </w:p>
        </w:tc>
      </w:tr>
      <w:tr>
        <w:trPr>
          <w:trHeight w:val="149"/>
        </w:trPr>
        <w:tc>
          <w:tcPr>
            <w:tcW w:w="3680" w:type="dxa"/>
            <w:vAlign w:val="bottom"/>
          </w:tcPr>
          <w:p>
            <w:pPr>
              <w:jc w:val="center"/>
              <w:ind w:left="169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8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20" w:type="dxa"/>
            <w:vAlign w:val="bottom"/>
          </w:tcPr>
          <w:p>
            <w:pPr>
              <w:spacing w:after="0"/>
              <w:rPr>
                <w:sz w:val="16"/>
                <w:szCs w:val="16"/>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1265 South Cochran Ave</w:t>
            </w:r>
          </w:p>
        </w:tc>
        <w:tc>
          <w:tcPr>
            <w:tcW w:w="60" w:type="dxa"/>
            <w:vAlign w:val="bottom"/>
          </w:tcPr>
          <w:p>
            <w:pPr>
              <w:spacing w:after="0"/>
              <w:rPr>
                <w:sz w:val="16"/>
                <w:szCs w:val="16"/>
                <w:color w:val="auto"/>
              </w:rPr>
            </w:pPr>
          </w:p>
        </w:tc>
        <w:tc>
          <w:tcPr>
            <w:tcW w:w="416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7"/>
        </w:trPr>
        <w:tc>
          <w:tcPr>
            <w:tcW w:w="3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 Angeles, CA 90019</w:t>
            </w:r>
          </w:p>
        </w:tc>
        <w:tc>
          <w:tcPr>
            <w:tcW w:w="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320" w:type="dxa"/>
            <w:vAlign w:val="bottom"/>
            <w:gridSpan w:val="3"/>
          </w:tcPr>
          <w:p>
            <w:pPr>
              <w:jc w:val="center"/>
              <w:ind w:left="1269"/>
              <w:spacing w:after="0" w:line="149" w:lineRule="exact"/>
              <w:rPr>
                <w:sz w:val="20"/>
                <w:szCs w:val="20"/>
                <w:color w:val="auto"/>
              </w:rPr>
            </w:pPr>
            <w:r>
              <w:rPr>
                <w:rFonts w:ascii="Times New Roman" w:cs="Times New Roman" w:eastAsia="Times New Roman" w:hAnsi="Times New Roman"/>
                <w:sz w:val="14"/>
                <w:szCs w:val="14"/>
                <w:b w:val="1"/>
                <w:bCs w:val="1"/>
                <w:color w:val="auto"/>
              </w:rPr>
              <w:t>(844) 857-3283</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500" w:type="dxa"/>
            <w:vAlign w:val="bottom"/>
            <w:gridSpan w:val="7"/>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(Address and telephone number, including area code, of registrant’s principal executive offices)</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6820" w:type="dxa"/>
            <w:vAlign w:val="bottom"/>
            <w:gridSpan w:val="6"/>
          </w:tcPr>
          <w:p>
            <w:pPr>
              <w:jc w:val="center"/>
              <w:ind w:right="311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85"/>
        </w:trPr>
        <w:tc>
          <w:tcPr>
            <w:tcW w:w="36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2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60" w:type="dxa"/>
            <w:vAlign w:val="bottom"/>
          </w:tcPr>
          <w:p>
            <w:pPr>
              <w:spacing w:after="0"/>
              <w:rPr>
                <w:sz w:val="16"/>
                <w:szCs w:val="16"/>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0"/>
        </w:trPr>
        <w:tc>
          <w:tcPr>
            <w:tcW w:w="36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Class A common stock, par value $0.0001</w:t>
            </w:r>
          </w:p>
        </w:tc>
        <w:tc>
          <w:tcPr>
            <w:tcW w:w="1020" w:type="dxa"/>
            <w:vAlign w:val="bottom"/>
          </w:tcPr>
          <w:p>
            <w:pPr>
              <w:spacing w:after="0"/>
              <w:rPr>
                <w:sz w:val="17"/>
                <w:szCs w:val="17"/>
                <w:color w:val="auto"/>
              </w:rPr>
            </w:pPr>
          </w:p>
        </w:tc>
        <w:tc>
          <w:tcPr>
            <w:tcW w:w="1300" w:type="dxa"/>
            <w:vAlign w:val="bottom"/>
            <w:gridSpan w:val="2"/>
          </w:tcPr>
          <w:p>
            <w:pPr>
              <w:jc w:val="center"/>
              <w:ind w:left="278"/>
              <w:spacing w:after="0"/>
              <w:rPr>
                <w:sz w:val="20"/>
                <w:szCs w:val="20"/>
                <w:color w:val="auto"/>
              </w:rPr>
            </w:pPr>
            <w:r>
              <w:rPr>
                <w:rFonts w:ascii="Times New Roman" w:cs="Times New Roman" w:eastAsia="Times New Roman" w:hAnsi="Times New Roman"/>
                <w:sz w:val="13"/>
                <w:szCs w:val="13"/>
                <w:b w:val="1"/>
                <w:bCs w:val="1"/>
                <w:color w:val="auto"/>
              </w:rPr>
              <w:t>DAVE</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 warrants, each whole warrant exercisable for one</w:t>
            </w:r>
          </w:p>
        </w:tc>
        <w:tc>
          <w:tcPr>
            <w:tcW w:w="1020" w:type="dxa"/>
            <w:vAlign w:val="bottom"/>
          </w:tcPr>
          <w:p>
            <w:pPr>
              <w:spacing w:after="0"/>
              <w:rPr>
                <w:sz w:val="12"/>
                <w:szCs w:val="12"/>
                <w:color w:val="auto"/>
              </w:rPr>
            </w:pPr>
          </w:p>
        </w:tc>
        <w:tc>
          <w:tcPr>
            <w:tcW w:w="1300" w:type="dxa"/>
            <w:vAlign w:val="bottom"/>
            <w:gridSpan w:val="2"/>
          </w:tcPr>
          <w:p>
            <w:pPr>
              <w:jc w:val="center"/>
              <w:ind w:left="278"/>
              <w:spacing w:after="0"/>
              <w:rPr>
                <w:sz w:val="20"/>
                <w:szCs w:val="20"/>
                <w:color w:val="auto"/>
              </w:rPr>
            </w:pPr>
            <w:r>
              <w:rPr>
                <w:rFonts w:ascii="Times New Roman" w:cs="Times New Roman" w:eastAsia="Times New Roman" w:hAnsi="Times New Roman"/>
                <w:sz w:val="13"/>
                <w:szCs w:val="13"/>
                <w:b w:val="1"/>
                <w:bCs w:val="1"/>
                <w:color w:val="auto"/>
              </w:rPr>
              <w:t>DAVEW</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5520" w:type="dxa"/>
            <w:vAlign w:val="bottom"/>
            <w:gridSpan w:val="3"/>
          </w:tcPr>
          <w:p>
            <w:pPr>
              <w:jc w:val="center"/>
              <w:ind w:right="1718"/>
              <w:spacing w:after="0"/>
              <w:rPr>
                <w:sz w:val="20"/>
                <w:szCs w:val="20"/>
                <w:color w:val="auto"/>
              </w:rPr>
            </w:pPr>
            <w:r>
              <w:rPr>
                <w:rFonts w:ascii="Times New Roman" w:cs="Times New Roman" w:eastAsia="Times New Roman" w:hAnsi="Times New Roman"/>
                <w:sz w:val="13"/>
                <w:szCs w:val="13"/>
                <w:b w:val="1"/>
                <w:bCs w:val="1"/>
                <w:color w:val="auto"/>
              </w:rPr>
              <w:t>share of Class A common stock, each at an exercise price of $368</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6820" w:type="dxa"/>
            <w:vAlign w:val="bottom"/>
            <w:gridSpan w:val="6"/>
          </w:tcPr>
          <w:p>
            <w:pPr>
              <w:jc w:val="center"/>
              <w:ind w:right="3091"/>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81"/>
        </w:trPr>
        <w:tc>
          <w:tcPr>
            <w:tcW w:w="4700" w:type="dxa"/>
            <w:vAlign w:val="bottom"/>
            <w:gridSpan w:val="2"/>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5520" w:type="dxa"/>
            <w:vAlign w:val="bottom"/>
            <w:gridSpan w:val="3"/>
          </w:tcPr>
          <w:p>
            <w:pPr>
              <w:ind w:left="420"/>
              <w:spacing w:after="0"/>
              <w:rPr>
                <w:sz w:val="20"/>
                <w:szCs w:val="20"/>
                <w:color w:val="auto"/>
              </w:rPr>
            </w:pPr>
            <w:r>
              <w:rPr>
                <w:rFonts w:ascii="Times New Roman" w:cs="Times New Roman" w:eastAsia="Times New Roman" w:hAnsi="Times New Roman"/>
                <w:sz w:val="11"/>
                <w:szCs w:val="11"/>
                <w:color w:val="auto"/>
                <w:w w:val="98"/>
              </w:rPr>
              <w:t>Indicate by check mark if the registrant is a well-known seasoned issuer, as defined in Rule 405 of the Securities Act.</w:t>
            </w:r>
          </w:p>
        </w:tc>
        <w:tc>
          <w:tcPr>
            <w:tcW w:w="480" w:type="dxa"/>
            <w:vAlign w:val="bottom"/>
          </w:tcPr>
          <w:p>
            <w:pPr>
              <w:ind w:left="80"/>
              <w:spacing w:after="0" w:line="148" w:lineRule="exact"/>
              <w:rPr>
                <w:sz w:val="20"/>
                <w:szCs w:val="20"/>
                <w:color w:val="auto"/>
              </w:rPr>
            </w:pPr>
            <w:r>
              <w:rPr>
                <w:rFonts w:ascii="Times New Roman" w:cs="Times New Roman" w:eastAsia="Times New Roman" w:hAnsi="Times New Roman"/>
                <w:sz w:val="11"/>
                <w:szCs w:val="11"/>
                <w:color w:val="auto"/>
              </w:rPr>
              <w:t xml:space="preserve">YES </w:t>
            </w:r>
            <w:r>
              <w:rPr>
                <w:rFonts w:ascii="Arial Unicode MS" w:cs="Arial Unicode MS" w:eastAsia="Arial Unicode MS" w:hAnsi="Arial Unicode MS"/>
                <w:sz w:val="11"/>
                <w:szCs w:val="11"/>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w:t>
            </w:r>
          </w:p>
        </w:tc>
        <w:tc>
          <w:tcPr>
            <w:tcW w:w="4220" w:type="dxa"/>
            <w:vAlign w:val="bottom"/>
            <w:gridSpan w:val="2"/>
          </w:tcPr>
          <w:p>
            <w:pPr>
              <w:ind w:left="2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0" w:type="dxa"/>
            <w:vAlign w:val="bottom"/>
          </w:tcPr>
          <w:p>
            <w:pPr>
              <w:spacing w:after="0"/>
              <w:rPr>
                <w:sz w:val="1"/>
                <w:szCs w:val="1"/>
                <w:color w:val="auto"/>
              </w:rPr>
            </w:pPr>
          </w:p>
        </w:tc>
      </w:tr>
      <w:tr>
        <w:trPr>
          <w:trHeight w:val="180"/>
        </w:trPr>
        <w:tc>
          <w:tcPr>
            <w:tcW w:w="5520" w:type="dxa"/>
            <w:vAlign w:val="bottom"/>
            <w:gridSpan w:val="3"/>
          </w:tcPr>
          <w:p>
            <w:pPr>
              <w:ind w:left="420"/>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Section 15 of the Act.</w:t>
            </w:r>
          </w:p>
        </w:tc>
        <w:tc>
          <w:tcPr>
            <w:tcW w:w="480" w:type="dxa"/>
            <w:vAlign w:val="bottom"/>
          </w:tcPr>
          <w:p>
            <w:pPr>
              <w:ind w:left="40"/>
              <w:spacing w:after="0" w:line="148" w:lineRule="exact"/>
              <w:rPr>
                <w:sz w:val="20"/>
                <w:szCs w:val="20"/>
                <w:color w:val="auto"/>
              </w:rPr>
            </w:pPr>
            <w:r>
              <w:rPr>
                <w:rFonts w:ascii="Times New Roman" w:cs="Times New Roman" w:eastAsia="Times New Roman" w:hAnsi="Times New Roman"/>
                <w:sz w:val="11"/>
                <w:szCs w:val="11"/>
                <w:color w:val="auto"/>
              </w:rPr>
              <w:t xml:space="preserve">YES </w:t>
            </w:r>
            <w:r>
              <w:rPr>
                <w:rFonts w:ascii="Arial Unicode MS" w:cs="Arial Unicode MS" w:eastAsia="Arial Unicode MS" w:hAnsi="Arial Unicode MS"/>
                <w:sz w:val="11"/>
                <w:szCs w:val="11"/>
                <w:color w:val="auto"/>
              </w:rPr>
              <w:t>☐</w:t>
            </w:r>
          </w:p>
        </w:tc>
        <w:tc>
          <w:tcPr>
            <w:tcW w:w="4500" w:type="dxa"/>
            <w:vAlign w:val="bottom"/>
            <w:gridSpan w:val="3"/>
          </w:tcPr>
          <w:p>
            <w:pPr>
              <w:ind w:left="60"/>
              <w:spacing w:after="0" w:line="148" w:lineRule="exact"/>
              <w:rPr>
                <w:sz w:val="20"/>
                <w:szCs w:val="20"/>
                <w:color w:val="auto"/>
              </w:rPr>
            </w:pPr>
            <w:r>
              <w:rPr>
                <w:rFonts w:ascii="Times New Roman" w:cs="Times New Roman" w:eastAsia="Times New Roman" w:hAnsi="Times New Roman"/>
                <w:sz w:val="11"/>
                <w:szCs w:val="11"/>
                <w:color w:val="auto"/>
              </w:rPr>
              <w:t xml:space="preserve">NO </w:t>
            </w:r>
            <w:r>
              <w:rPr>
                <w:rFonts w:ascii="Arial Unicode MS" w:cs="Arial Unicode MS" w:eastAsia="Arial Unicode MS" w:hAnsi="Arial Unicode MS"/>
                <w:sz w:val="11"/>
                <w:szCs w:val="11"/>
                <w:color w:val="auto"/>
              </w:rPr>
              <w:t>☒</w:t>
            </w:r>
          </w:p>
        </w:tc>
        <w:tc>
          <w:tcPr>
            <w:tcW w:w="0" w:type="dxa"/>
            <w:vAlign w:val="bottom"/>
          </w:tcPr>
          <w:p>
            <w:pPr>
              <w:spacing w:after="0"/>
              <w:rPr>
                <w:sz w:val="1"/>
                <w:szCs w:val="1"/>
                <w:color w:val="auto"/>
              </w:rPr>
            </w:pPr>
          </w:p>
        </w:tc>
      </w:tr>
    </w:tbl>
    <w:p>
      <w:pPr>
        <w:ind w:right="80" w:firstLine="509"/>
        <w:spacing w:after="0" w:line="13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6" w:lineRule="exact"/>
        <w:rPr>
          <w:sz w:val="24"/>
          <w:szCs w:val="24"/>
          <w:color w:val="auto"/>
        </w:rPr>
      </w:pPr>
    </w:p>
    <w:p>
      <w:pPr>
        <w:ind w:right="80" w:firstLine="509"/>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6" w:lineRule="exact"/>
        <w:rPr>
          <w:sz w:val="24"/>
          <w:szCs w:val="24"/>
          <w:color w:val="auto"/>
        </w:rPr>
      </w:pPr>
    </w:p>
    <w:p>
      <w:pPr>
        <w:ind w:right="100" w:firstLine="509"/>
        <w:spacing w:after="0" w:line="24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920" w:type="dxa"/>
            <w:vAlign w:val="bottom"/>
          </w:tcPr>
          <w:p>
            <w:pPr>
              <w:ind w:left="34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Accelerated filer</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r>
        <w:trPr>
          <w:trHeight w:val="227"/>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920" w:type="dxa"/>
            <w:vAlign w:val="bottom"/>
          </w:tcPr>
          <w:p>
            <w:pPr>
              <w:ind w:left="34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r>
        <w:trPr>
          <w:trHeight w:val="230"/>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Emerging growth company</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bl>
    <w:p>
      <w:pPr>
        <w:ind w:left="520"/>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7"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Act. </w:t>
      </w:r>
      <w:r>
        <w:rPr>
          <w:rFonts w:ascii="Arial Unicode MS" w:cs="Arial Unicode MS" w:eastAsia="Arial Unicode MS" w:hAnsi="Arial Unicode MS"/>
          <w:sz w:val="11"/>
          <w:szCs w:val="11"/>
          <w:color w:val="auto"/>
        </w:rPr>
        <w:t>☐</w:t>
      </w:r>
    </w:p>
    <w:p>
      <w:pPr>
        <w:spacing w:after="0" w:line="7" w:lineRule="exact"/>
        <w:rPr>
          <w:sz w:val="24"/>
          <w:szCs w:val="24"/>
          <w:color w:val="auto"/>
        </w:rPr>
      </w:pPr>
    </w:p>
    <w:p>
      <w:pPr>
        <w:ind w:right="320" w:firstLine="509"/>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ind w:left="520"/>
        <w:spacing w:after="0" w:line="148"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1"/>
          <w:szCs w:val="11"/>
          <w:color w:val="auto"/>
        </w:rPr>
        <w:t>☐</w:t>
      </w:r>
    </w:p>
    <w:p>
      <w:pPr>
        <w:spacing w:after="0" w:line="15" w:lineRule="exact"/>
        <w:rPr>
          <w:sz w:val="24"/>
          <w:szCs w:val="24"/>
          <w:color w:val="auto"/>
        </w:rPr>
      </w:pPr>
    </w:p>
    <w:p>
      <w:pPr>
        <w:ind w:right="20" w:firstLine="536"/>
        <w:spacing w:after="0" w:line="135" w:lineRule="exact"/>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1"/>
          <w:szCs w:val="11"/>
          <w:color w:val="auto"/>
        </w:rPr>
        <w:t>ﬃ</w:t>
      </w:r>
      <w:r>
        <w:rPr>
          <w:rFonts w:ascii="Times New Roman" w:cs="Times New Roman" w:eastAsia="Times New Roman" w:hAnsi="Times New Roman"/>
          <w:sz w:val="11"/>
          <w:szCs w:val="11"/>
          <w:color w:val="auto"/>
        </w:rPr>
        <w:t xml:space="preserve">cers during the relevant recovery period pursuant to §240.10D-1(b).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left="520"/>
        <w:spacing w:after="0" w:line="148" w:lineRule="exact"/>
        <w:tabs>
          <w:tab w:leader="none" w:pos="5060" w:val="left"/>
          <w:tab w:leader="none" w:pos="55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ab/>
        <w:t xml:space="preserve">NO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right="60" w:firstLine="509"/>
        <w:spacing w:after="0" w:line="239" w:lineRule="auto"/>
        <w:rPr>
          <w:sz w:val="20"/>
          <w:szCs w:val="20"/>
          <w:color w:val="auto"/>
        </w:rPr>
      </w:pPr>
      <w:r>
        <w:rPr>
          <w:rFonts w:ascii="Times New Roman" w:cs="Times New Roman" w:eastAsia="Times New Roman" w:hAnsi="Times New Roman"/>
          <w:sz w:val="11"/>
          <w:szCs w:val="11"/>
          <w:color w:val="auto"/>
        </w:rPr>
        <w:t>As of June 30, 2024, the last business day of the registrant’s most recently completed second fiscal quarter, the aggregate market value of voting ordinary shares held by non-affiliates of the registrant was approximately $306.5 million, determined using the per share closing price of $30.30 on The Nasdaq Global Market on June 30, 2024, as adjusted for the 32-for-1 reverse stock split of Dave Inc.’s common stock effected on January 5, 2023. Ordinary shares held by each director and executive officer (and their respective affiliates) and each person who owns 10 percent or more of the outstanding ordinary shares or who is otherwise believed by the registrant to be in a control position have been excluded. This determination of affiliate status is not necessarily a conclusive determination for other purposes.</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1"/>
          <w:szCs w:val="11"/>
          <w:color w:val="auto"/>
        </w:rPr>
        <w:t>As of February 20, 2025, there were 11,580,041 shares of Class A common stock, $0.0001 par value and 1,514,082 shares of Class V common stock, $0.0001 par value, issued and outstanding.</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 w:lineRule="exact"/>
        <w:rPr>
          <w:sz w:val="24"/>
          <w:szCs w:val="24"/>
          <w:color w:val="auto"/>
        </w:rPr>
      </w:pPr>
    </w:p>
    <w:p>
      <w:pPr>
        <w:ind w:right="400"/>
        <w:spacing w:after="0" w:line="236" w:lineRule="auto"/>
        <w:rPr>
          <w:sz w:val="20"/>
          <w:szCs w:val="20"/>
          <w:color w:val="auto"/>
        </w:rPr>
      </w:pPr>
      <w:r>
        <w:rPr>
          <w:rFonts w:ascii="Times New Roman" w:cs="Times New Roman" w:eastAsia="Times New Roman" w:hAnsi="Times New Roman"/>
          <w:sz w:val="11"/>
          <w:szCs w:val="11"/>
          <w:color w:val="auto"/>
        </w:rPr>
        <w:t>Part III incorporates by reference certain information from the registrant’s definitive proxy statement (the “Proxy Statement”) relating to its Annual Meeting of Stockholders to be held in 2025. The Proxy Statement will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8"/>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DAVE INC.</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20" w:type="dxa"/>
            <w:vAlign w:val="bottom"/>
            <w:gridSpan w:val="11"/>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20" w:type="dxa"/>
            <w:vAlign w:val="bottom"/>
            <w:gridSpan w:val="1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6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180" w:type="dxa"/>
            <w:vAlign w:val="bottom"/>
            <w:gridSpan w:val="26"/>
          </w:tcPr>
          <w:p>
            <w:pPr>
              <w:ind w:left="20"/>
              <w:spacing w:after="0" w:line="194"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Basis of Presentation</w:t>
            </w:r>
          </w:p>
        </w:tc>
        <w:tc>
          <w:tcPr>
            <w:tcW w:w="6020" w:type="dxa"/>
            <w:vAlign w:val="bottom"/>
            <w:gridSpan w:val="11"/>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53"/>
        </w:trPr>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8"/>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420" w:type="dxa"/>
            <w:vAlign w:val="bottom"/>
            <w:gridSpan w:val="24"/>
          </w:tcPr>
          <w:p>
            <w:pPr>
              <w:ind w:left="700"/>
              <w:spacing w:after="0"/>
              <w:rPr>
                <w:sz w:val="20"/>
                <w:szCs w:val="20"/>
                <w:color w:val="auto"/>
              </w:rPr>
            </w:pPr>
            <w:r>
              <w:rPr>
                <w:rFonts w:ascii="Times New Roman" w:cs="Times New Roman" w:eastAsia="Times New Roman" w:hAnsi="Times New Roman"/>
                <w:sz w:val="18"/>
                <w:szCs w:val="18"/>
                <w:color w:val="0000FF"/>
              </w:rPr>
              <w:t>Business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ITEM 1A.</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4"/>
              </w:rPr>
              <w:t>ITEM 1B.</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4"/>
              </w:rPr>
              <w:t>ITEM 1C.</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453"/>
        </w:trPr>
        <w:tc>
          <w:tcPr>
            <w:tcW w:w="6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8"/>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9420" w:type="dxa"/>
            <w:vAlign w:val="bottom"/>
            <w:gridSpan w:val="24"/>
          </w:tcPr>
          <w:p>
            <w:pPr>
              <w:ind w:left="700"/>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ITEM 7A.</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ITEM 9A.</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4"/>
              </w:rPr>
              <w:t>ITEM 9B.</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4"/>
              </w:rPr>
              <w:t>ITEM 9C.</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r>
        <w:trPr>
          <w:trHeight w:val="453"/>
        </w:trPr>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84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ITEM 10.</w:t>
            </w:r>
          </w:p>
        </w:tc>
        <w:tc>
          <w:tcPr>
            <w:tcW w:w="9420" w:type="dxa"/>
            <w:vAlign w:val="bottom"/>
            <w:gridSpan w:val="24"/>
          </w:tcPr>
          <w:p>
            <w:pPr>
              <w:ind w:left="7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ITEM 11.</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ITEM 12.</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ITEM 13.</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ITEM 14.</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453"/>
        </w:trPr>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8"/>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ITEM 15.</w:t>
            </w:r>
          </w:p>
        </w:tc>
        <w:tc>
          <w:tcPr>
            <w:tcW w:w="9420" w:type="dxa"/>
            <w:vAlign w:val="bottom"/>
            <w:gridSpan w:val="24"/>
          </w:tcPr>
          <w:p>
            <w:pPr>
              <w:ind w:left="70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ITEM 16.</w:t>
            </w:r>
          </w:p>
        </w:tc>
        <w:tc>
          <w:tcPr>
            <w:tcW w:w="9420" w:type="dxa"/>
            <w:vAlign w:val="bottom"/>
            <w:gridSpan w:val="24"/>
          </w:tcPr>
          <w:p>
            <w:pPr>
              <w:ind w:left="700"/>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119</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2"/>
              </w:rPr>
              <w:t>Signatures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120</w:t>
            </w:r>
          </w:p>
        </w:tc>
        <w:tc>
          <w:tcPr>
            <w:tcW w:w="0" w:type="dxa"/>
            <w:vAlign w:val="bottom"/>
          </w:tcPr>
          <w:p>
            <w:pPr>
              <w:spacing w:after="0"/>
              <w:rPr>
                <w:sz w:val="1"/>
                <w:szCs w:val="1"/>
                <w:color w:val="auto"/>
              </w:rPr>
            </w:pPr>
          </w:p>
        </w:tc>
      </w:tr>
      <w:tr>
        <w:trPr>
          <w:trHeight w:val="1648"/>
        </w:trPr>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“report” or this “Annual Report on Form 10-K”)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this report and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w:t>
      </w:r>
    </w:p>
    <w:p>
      <w:pPr>
        <w:spacing w:after="0" w:line="19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compete in its highly competitive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keep pace with the rapid technological developments in its industry and the larger financial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manage risks associated with providing ExtraCash;</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retain its current customers, acquire new customers (collectively, "Members") and sell additional functionality and services to its Members;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protect intellectual property and trade secrets;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the integrity of its confidential information and information systems or comply with applicable privacy and data security requirements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by Dave on a single bank partner;</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or secure current and future key banking relationships and other third-party service providers, including its ability to comply with applicable requirements of such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comply with extensive and evolving laws and regulations applicable to its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service failures that could lead Members to use competitors’ services;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the Department of Justice’s lawsuit against Dave;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Dave Class A Common Stock on The Nasdaq Stock Market;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Dave may be adversely affected by other economic factors, including fluctuating interest rates, and business, and/or competitive factors.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You should read this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Part I. Item 1A “Risk Factors” in this Annual Report on Form 10-K, our actual results or performance may be materially different from those expressed or implied by these forward-looking statements.</w:t>
      </w:r>
    </w:p>
    <w:p>
      <w:pPr>
        <w:spacing w:after="0" w:line="17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the “Company,” “Dave,” “we,” “us,” “our” and similar terms refer to Dave Inc. (f/k/a VPC Impact Acquisition Holdings III, Inc.) and its consolidated subsidiaries, unless otherwise noted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5, 2022, we consummated the transactions contemplated by that certain Agreement and Plan of Merger, dated as of June 7, 2021 (the “Merger Agreement”), by and among VPC Impact Acquisition Holdings III, Inc. (“VPCC”), Dave Inc., a Delaware corporation (“Legacy Dave”), Bear Merger Company I Inc., a Delaware corporation and a direct, wholly owned subsidiary of VPCC (“First Merger Sub”), and Bear Merger Company II LLC, a Delaware limited liability company and a direct, wholly owned subsidiary of VPCC (“Second Merger Sub” and together with the First Merger Sub, the “Merger Subs”). Pursuant to the Merger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Merger Agreement, the “Business Combination”), with Second Merger Sub being the surviving company of the Second Merger as a wholly owned subsidiary of VPCC. In connection with the closing of the Business Combination, we changed our name from “VPC Impact Acquisition Holdings III, Inc.” to “Dave Inc.,” and the Surviving Entity operates under the name “Dave Operating LLC.”</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Class A Common Stock is now listed on The Nasdaq Global Market (“Nasdaq”) under the symbol “DAVE,” and warrants to purchase the Class A Common Stock at an exercise price of $368 per share are listed on Nasdaq under the symbol “DAVEW.” Prior to the Business Combination, VPCC neither engaged in any operations nor generated any revenue. Until the Business Combination, based on VPCC’s business activities, VPCC was a “shell company” as defined under the Securities Exchange Act of 1934, as amended (the “Exchange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Annual Report on Form 10-K, unless otherwise noted or the context otherwise requires:</w:t>
      </w:r>
    </w:p>
    <w:p>
      <w:pPr>
        <w:spacing w:after="0" w:line="117" w:lineRule="exact"/>
        <w:rPr>
          <w:sz w:val="20"/>
          <w:szCs w:val="20"/>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“Company,” “Dave,” “we,” “us,” “our” and similar terms refer to Dave Inc. (f/k/a VPC Impact Acquisition Holdings III, Inc.) and its consolidated subsidiaries;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“VPCC” are to VPC Impact Acquisition Holdings III, Inc. and its consolidated subsidiaries prior to the close of the Business Combination;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“Sponsor” are to VPC Impact Acquisition Holdings Sponsor III, LLC.</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the disclosures in this Item 1 refer to Dave Inc. and its consolidated subsidiaries following the consummation of the Business Combination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Dave was launched in 2017 to provide a faster, more transparent, and lower-cost alternative to traditional financial institutions, particularly for those living paycheck to paycheck. Inspired by the story of David vs. Goliath, we set out to challenge legacy banking by leveraging technology to expand financial access and improve consumer financial health.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spacing w:after="0" w:line="18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have engineered a purpose-driven platform designed to deliver on our mission, making a significant impact across the stakeholder groups we serve. Since our inception, more than 16 million Members have signed up for the Dave app, with over 12 million having used at least one of our products. We have provided Members with more than $15 billion in ExtraCash, offering critical liquidity when they need it most. To further support our communities, we have donated approximately $23 million to charity and important causes since inception.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Customers value our products, as demonstrated by more than 700,000 App Store reviews with an average 4.8-star rating as of February 2025. Our business model is built on transparency and customer alignment and building relationships with our Members that drive positive outcomes for both them and our business.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the core of our success is a world-class team dedicated to delivering on our mission. Dave has been recognized by Built In as a Best Place to Work for five consecutive years, reinforcing our commitment to both our Members and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financial system has historically failed to address the needs of the millions of Americans who are living paycheck to paycheck. According to the Financial Health Network (“FHN”) in 2024, approximately 180 million Americans are classified as financially “coping” or “vulnerable” representing over 70% of the U.S. population, up from 66% in 2021. A December 2024 report by PYMNTS also found that 65% of U.S. consumers were living paycheck to paycheck, up from 60% a year earlier. This market includes both young and financially challenged individuals who have trouble managing cash flow, have minimal savings, regularly overdraft, and pay high fees for access to financial services. FHN research estimates there is approximately $38 billion of fees paid annually for access to basic checking services, including account maintenance fees, overdraft fees and ATM fees and that financially vulnerable and coping populations pay over $200 billion in annual fees and interest for short-term credit. We believe these insights are supported by a Dave study of our Members which reveals that traditional financial institutions charge consumers between $350-$400 of fees annually for access to basic checking services. We also believe these trends underscore a growing need for better financial solutions and illustrate the depth of our total addressable market (“TAM”), which we estimate to be approximately 180 million Americans that do not have access to affordable and effective banking solutions.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these high costs are the result of the cost structure of incumbents. With expensive brick-and-mortar bank branch networks, antiquated technology, large employee bases, and inefficient customer acquisition strategies, legacy institutions have significant costs to serve their customers, which drives the high price that customers have to pay for access to their services. By leveraging world-class technology and harnessing the power of data and artificial intelligence, we believe that we have dramatically reduced the costs to serve customers in this market. Through this structural advantage, we are able to provide increased access to banking and credit products at lower costs, resulting in a much stronger value proposition to our Members.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Platform and Products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strive to deliver a seamless and intuitive Member experience across our product suite through the Dave mobile application. The products that we offer are designed to deliver on the highest needs of our customers to improve financial health: instant and affordable access to credit, free checking and savings account services, instant and frictionless access to their money, and insights and education. Key products and features include: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ExtraCash</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ExtraCash is a 0% interest overdraft product offered through our bank partner that provides Members access to up to $500 of credit to bridge liquidity gaps between paychecks. Through our proprietary artificial intelligence (“AI”)-powered underwriting system CashAI, we analyze a Member’s checking account transaction data to determine eligibility and offer amount. This process is entirely automated, does not require a credit check and does not rely on FICO or credit bureau data for decisioning. When an ExtraCash transaction is initiated, we schedule the settlement date based on the Member’s forecasted next paycheck or deposit date.</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Dave develops and manages the full risk management value chain from underwriting, fraud and risk mitigation, payment processing, servicing, and settlement. Each unique ExtraCash transaction is underwritten by CashAI at the time a Member logs into the Dave app. This process allows us to evaluate near real-time signals in a Member’s transaction data to determine the optimal amount the Member can responsibly repay, which is designed to create a Member and business win-win.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Dave Checking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Dave Checking is a digital demand deposit account offered through our bank partner with premium features, no account minimums or corresponding fees, and FDIC pass-through insurance eligibility that protects Members from the failure of our bank partner. Members can open a Dave Checking account in minutes through the Dave app, add funds to their account, and begin spending using a Dave Checking virtual debit card. Dave Checking accounts also include a physical Dave branded debit Mastercard (“Dave Card”) that can be used for everyday purchases and spending transactions as well as at any of the approximately 40,000 MoneyPass ATM network locations to make no-fee withdrawals at these in-network ATMs.</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Dave Checking accounts can be funded with an ExtraCash overdraft, direct deposit, an external debit card, an external bank account, or mobile check capture. There are no fees to open a Dave Checking account, making it accessible for people of all financial situations.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Dave Checking account includes what we believe are some of the best features in the checking account market, including:</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mandatory fees: no minimum balances required, no account maintenance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MoneyPass ATM network locations to make no-fee withdrawals;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Paychecks delivered up to two days earlier than the scheduled payment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mobile wallets such as Apple Pay and Google Pay;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APY paid on deposits in checking and Goals savings accounts;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remote check deposit capture;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Round-up feature allowing Members to round-up their debit card transactions into a Goals savings account to help Members boost savings.</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Dave Checking offers security controls such as multi-factor authentication, contactless payment, instant card lock and protection against unauthorized purchases if cards are lost or stolen.</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 w:name="page8"/>
    <w:bookmarkEnd w:id="7"/>
    <w:p>
      <w:pPr>
        <w:ind w:right="260"/>
        <w:spacing w:after="0" w:line="282" w:lineRule="auto"/>
        <w:rPr>
          <w:sz w:val="20"/>
          <w:szCs w:val="20"/>
          <w:color w:val="auto"/>
        </w:rPr>
      </w:pPr>
      <w:r>
        <w:rPr>
          <w:rFonts w:ascii="Times New Roman" w:cs="Times New Roman" w:eastAsia="Times New Roman" w:hAnsi="Times New Roman"/>
          <w:sz w:val="18"/>
          <w:szCs w:val="18"/>
          <w:color w:val="auto"/>
        </w:rPr>
        <w:t>Dave Checking revenues are primarily driven by merchant interchange, incentives from Mastercard, interest on deposits paid by our partner banks, and other ancillary fees paid by customers (e.g. out of network ATM fees, instant withdrawal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Financial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believe that understanding and visibility are core to a Member’s financial health. That is why we developed our product offering called Budget, a personal financial management tool that helps Members understand their spending and savings habits to enable better financial management. The Budget tool leverages historical bank account data to help Members understand both recurring and commonly occurring charges, helping Members understand potential upcoming transactions that might impact their balance. Budget also notifies Members when there is a chance of an overdraft.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Side Hustle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Side Hustle is a streamlined job application portal for Dave Members to find supplemental or temporary work. The portal focuses on “gig economy,” part-time, seasonal, remote and other flexible types of employment opportunities. Members can apply to dozens of jobs in-app using saved information and credentials. A side hustle can be an important part of a Member’s long-term financial health, as it allows Members to quickly address unexpected expenses or cash needs with incremental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Surveys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Surveys product allows for additional earning opportunities, allowing Members to take paid surveys anytime within the Dave app. This functionality drives engagement within the Dave ecosystem and deepens our relationship to our Members’ financial wellbeing.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monthly subscription revenue from Members enrolled in our Personal Financial Management service.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Expand customer reach: </w:t>
      </w:r>
      <w:r>
        <w:rPr>
          <w:rFonts w:ascii="Times New Roman" w:cs="Times New Roman" w:eastAsia="Times New Roman" w:hAnsi="Times New Roman"/>
          <w:sz w:val="18"/>
          <w:szCs w:val="18"/>
          <w:color w:val="auto"/>
        </w:rPr>
        <w:t>we plan to continue creating awareness of our brand and the innovative and high-utility products that we offer to further penetrate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TAM and grow our base of transacting Members. The larger our transacting Member base becomes, we expect the better our systems are able to identify responsible customers and the more Members we can acquire and approve, creating a powerful flywheel. We believe we have among the strongest user acquisition engines in the industry, driven by our data driven marketing strategy and strong value proposition. We plan to continue making efficient investments in Member acquisition to drive Member growth at attractive LTV to CAC returns.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Drive ExtraCash engagement and originations growth: </w:t>
      </w:r>
      <w:r>
        <w:rPr>
          <w:rFonts w:ascii="Times New Roman" w:cs="Times New Roman" w:eastAsia="Times New Roman" w:hAnsi="Times New Roman"/>
          <w:sz w:val="18"/>
          <w:szCs w:val="18"/>
          <w:color w:val="auto"/>
        </w:rPr>
        <w:t>we are focused on our strategy to help establish ExtraCash as the best short-term credit product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 We plan to continue investing in the ExtraCash product and CashAI to help ensure we have the highest limits in the industry while driving strong unit economics. Since the beginning of 2023, the average ExtraCash origination size has increased by 16% while our average 28-day loss rates in 2024 dropped by over 24% versus prior year. We believe we can continue to make improvements to the ExtraCash value proposition that unlock transacting Member growth through stronger conversion and retention and ARPU expansion by growing average originations per Member.</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Increase adoption of the Dave Card</w:t>
      </w:r>
      <w:r>
        <w:rPr>
          <w:rFonts w:ascii="Times New Roman" w:cs="Times New Roman" w:eastAsia="Times New Roman" w:hAnsi="Times New Roman"/>
          <w:sz w:val="18"/>
          <w:szCs w:val="18"/>
          <w:color w:val="auto"/>
        </w:rPr>
        <w:t>: cross-selling Members into the Dave Card represents an attractive opportunity to drive both increased ARPU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customer lifetimes. In the fourth quarter of 2024, Dave Card actives generated nearly 1.75x higher average monthly ARPU than non-Dave Card actives, with stronger retention profiles. Dave Card actives are also more engaged than average Members, averaging nearly 10x more transactions per month. We plan to add features and additional value propositions associated with Dave Card usage that we believe will create stronger motivation for usage, further supporting our growth objectives.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8" w:name="page9"/>
    <w:bookmarkEnd w:id="8"/>
    <w:p>
      <w:pPr>
        <w:spacing w:after="0" w:line="1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Leverage our data advantage and technology to build new products: </w:t>
      </w:r>
      <w:r>
        <w:rPr>
          <w:rFonts w:ascii="Times New Roman" w:cs="Times New Roman" w:eastAsia="Times New Roman" w:hAnsi="Times New Roman"/>
          <w:sz w:val="18"/>
          <w:szCs w:val="18"/>
          <w:color w:val="auto"/>
        </w:rPr>
        <w:t>The capabilities we have established in cashflow underwriting through CashAI,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risk and fraud management, payments, and bank sponsor relationships, among others, provide us a unique foundation to launch additional products in the future. We expect to be able to launch new products that will support Member growth, LTV expansion and drive further revenue growth and profitability.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Data-Led Competitive Advantages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Dave is a technology company at its core. We have created a data-driven technology platform designed to deliver rapid, accurate, and Member-centric financial products that we believe provide us with sustainable competitive advantages. Our proprietary systems combine advanced AI and machine learning models, real-time data analytics, and seamless integration with external financial networks and partners to offer a frictionless user experience to a broad spectrum of consumers, including those often overlooked by legacy banks and less sophisticated providers:</w:t>
      </w:r>
    </w:p>
    <w:p>
      <w:pPr>
        <w:spacing w:after="0" w:line="70" w:lineRule="exact"/>
        <w:rPr>
          <w:sz w:val="20"/>
          <w:szCs w:val="20"/>
          <w:color w:val="auto"/>
        </w:rPr>
      </w:pPr>
    </w:p>
    <w:p>
      <w:pPr>
        <w:ind w:left="1020" w:right="18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Technology-Driven Cost Efficiency: </w:t>
      </w:r>
      <w:r>
        <w:rPr>
          <w:rFonts w:ascii="Times New Roman" w:cs="Times New Roman" w:eastAsia="Times New Roman" w:hAnsi="Times New Roman"/>
          <w:sz w:val="18"/>
          <w:szCs w:val="18"/>
          <w:color w:val="auto"/>
        </w:rPr>
        <w:t>Unlike traditional banks, which operate costly brick-and-mortar networks and rely on outdated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Dave is a technology-first financial services provider. Our fully digital platform, cloud-based infrastructure, and AI-powered automation significantly reduce our cost to serve our Members. These structural efficiencies allow us to pass cost savings directly to our Members in the form of lower fees, higher credit limits, and better overall value.</w:t>
      </w:r>
    </w:p>
    <w:p>
      <w:pPr>
        <w:spacing w:after="0" w:line="71"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Advanced Underwriting &amp; Risk Management Capabilities: </w:t>
      </w:r>
      <w:r>
        <w:rPr>
          <w:rFonts w:ascii="Times New Roman" w:cs="Times New Roman" w:eastAsia="Times New Roman" w:hAnsi="Times New Roman"/>
          <w:sz w:val="18"/>
          <w:szCs w:val="18"/>
          <w:color w:val="auto"/>
        </w:rPr>
        <w:t>We have developed proprietary underwriting and risk management models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artificial intelligence, machine learning, and real-time financial data to assess creditworthiness with greater precision than traditional methods. Our CashAI underwriting system analyzes hundreds of data points, including income patterns, and transaction history, to make instant and dynamic credit decisions without requiring a FICO score. This allows us to responsibly serve a broader audience, including Members deemed high-risk by legacy institutions, while maintaining strong unit economics.</w:t>
      </w:r>
    </w:p>
    <w:p>
      <w:pPr>
        <w:spacing w:after="0" w:line="75" w:lineRule="exact"/>
        <w:rPr>
          <w:rFonts w:ascii="Times New Roman" w:cs="Times New Roman" w:eastAsia="Times New Roman" w:hAnsi="Times New Roman"/>
          <w:sz w:val="18"/>
          <w:szCs w:val="18"/>
          <w:color w:val="auto"/>
        </w:rPr>
      </w:pPr>
    </w:p>
    <w:p>
      <w:pPr>
        <w:ind w:left="1020" w:right="60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 Application of Artificial Intelligence &amp; Machine Learning: </w:t>
      </w:r>
      <w:r>
        <w:rPr>
          <w:rFonts w:ascii="Times New Roman" w:cs="Times New Roman" w:eastAsia="Times New Roman" w:hAnsi="Times New Roman"/>
          <w:sz w:val="18"/>
          <w:szCs w:val="18"/>
          <w:color w:val="auto"/>
        </w:rPr>
        <w:t>AI and machine learning are embedded across our platform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enhance multiple areas of our business:</w:t>
      </w:r>
    </w:p>
    <w:p>
      <w:pPr>
        <w:spacing w:after="0" w:line="52"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oUnderwriting &amp; Credit Decisioning: CashAI adapts and refines risk models based on real-time transaction data, enabling personalized credit limits and high approval rates while minimizing risk exposure.</w:t>
      </w:r>
    </w:p>
    <w:p>
      <w:pPr>
        <w:spacing w:after="0" w:line="53" w:lineRule="exact"/>
        <w:rPr>
          <w:rFonts w:ascii="Times New Roman" w:cs="Times New Roman" w:eastAsia="Times New Roman" w:hAnsi="Times New Roman"/>
          <w:sz w:val="18"/>
          <w:szCs w:val="18"/>
          <w:color w:val="auto"/>
        </w:rPr>
      </w:pPr>
    </w:p>
    <w:p>
      <w:pPr>
        <w:ind w:left="1540" w:right="5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oFraud Detection &amp; Prevention: Our AI-powered fraud mitigation system detects and prevents fraudulent activity in real-time by analyzing behavioral patterns and transaction anomalies to create user-level controls.</w:t>
      </w:r>
    </w:p>
    <w:p>
      <w:pPr>
        <w:spacing w:after="0" w:line="53" w:lineRule="exact"/>
        <w:rPr>
          <w:rFonts w:ascii="Times New Roman" w:cs="Times New Roman" w:eastAsia="Times New Roman" w:hAnsi="Times New Roman"/>
          <w:sz w:val="18"/>
          <w:szCs w:val="18"/>
          <w:color w:val="auto"/>
        </w:rPr>
      </w:pPr>
    </w:p>
    <w:p>
      <w:pPr>
        <w:ind w:left="1540" w:right="5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oAutomated Member Support: Our AI chatbot, DaveGPT, enables efficient, self-service resolution for a broad range of customer inquiries, further reducing operational costs.</w:t>
      </w:r>
    </w:p>
    <w:p>
      <w:pPr>
        <w:spacing w:after="0" w:line="53" w:lineRule="exact"/>
        <w:rPr>
          <w:rFonts w:ascii="Times New Roman" w:cs="Times New Roman" w:eastAsia="Times New Roman" w:hAnsi="Times New Roman"/>
          <w:sz w:val="18"/>
          <w:szCs w:val="18"/>
          <w:color w:val="auto"/>
        </w:rPr>
      </w:pPr>
    </w:p>
    <w:p>
      <w:pPr>
        <w:ind w:left="1540" w:right="2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oIncome &amp; Expense Prediction: Our technology predicts upcoming cash flows to power both CashAI and customer-facing budgeting features.</w:t>
      </w:r>
    </w:p>
    <w:p>
      <w:pPr>
        <w:spacing w:after="0" w:line="51"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&amp; Proprietary Machine Learning Infrastructure: </w:t>
      </w:r>
      <w:r>
        <w:rPr>
          <w:rFonts w:ascii="Times New Roman" w:cs="Times New Roman" w:eastAsia="Times New Roman" w:hAnsi="Times New Roman"/>
          <w:sz w:val="18"/>
          <w:szCs w:val="18"/>
          <w:color w:val="auto"/>
        </w:rPr>
        <w:t>Over the past five years, Dave has processed more than 118 million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continuously refining our models and deepening our insights into consumer financial behavior. We believe this extensive dataset provides us with a structural advantage in risk assessment, fraud prevention, and customer engagement, allowing us to personalize product offerings and optimize financial outcomes for Members. Additionally, our proprietary Machine Learning Platform enables our team to develop, train, test, and deploy new AI models with minimal engineering support, which enables rapid innovation and iteration in response to market dynamics.</w:t>
      </w:r>
    </w:p>
    <w:p>
      <w:pPr>
        <w:spacing w:after="0" w:line="74"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Scalable &amp; Agile Infrastructure: </w:t>
      </w:r>
      <w:r>
        <w:rPr>
          <w:rFonts w:ascii="Times New Roman" w:cs="Times New Roman" w:eastAsia="Times New Roman" w:hAnsi="Times New Roman"/>
          <w:sz w:val="18"/>
          <w:szCs w:val="18"/>
          <w:color w:val="auto"/>
        </w:rPr>
        <w:t>Dave’s cloud-native architecture and proprietary banking integrations provide significant scalability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flexibility. Our infrastructure allows us to:</w:t>
      </w:r>
    </w:p>
    <w:p>
      <w:pPr>
        <w:spacing w:after="0" w:line="5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Seamlessly scale Member growth without significant cost increases;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multiple sponsor banks, reducing dependence on any single provider and provide greater resilience and flexibility;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launch new products and features, adapting quickly to emerging Member needs and competitive trends.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Consumer financial services is a large, fragmented, and competitive market, and we compete in varying degrees with a range of existing providers of consumer-focused banking, lending, commerce and other financial products. Our competitors are generally large, well-capitalized financial services companies. Some of our current and potential competitors have longer operating histories, particularly with respect to financial products similar to what we offer, significantly greater financial, technical, marketing and other resources, and a larger Member base. These competitors include:</w:t>
      </w:r>
    </w:p>
    <w:p>
      <w:pPr>
        <w:spacing w:after="0" w:line="286" w:lineRule="exact"/>
        <w:rPr>
          <w:sz w:val="20"/>
          <w:szCs w:val="20"/>
          <w:color w:val="auto"/>
        </w:rPr>
      </w:pPr>
    </w:p>
    <w:p>
      <w:pPr>
        <w:ind w:left="1020" w:right="40" w:hanging="503"/>
        <w:spacing w:after="0" w:line="26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Banking Competitors: </w:t>
      </w:r>
      <w:r>
        <w:rPr>
          <w:rFonts w:ascii="Times New Roman" w:cs="Times New Roman" w:eastAsia="Times New Roman" w:hAnsi="Times New Roman"/>
          <w:sz w:val="18"/>
          <w:szCs w:val="18"/>
          <w:color w:val="auto"/>
        </w:rPr>
        <w:t>Traditional banks and credit unions (e.g., Bank of America, Chase, Wells Fargo), new entrants obtaining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(e.g., Varo Money), and other non-bank digital providers that white-label regulated products, offering banking-related services (e.g., Chime).</w:t>
      </w:r>
    </w:p>
    <w:p>
      <w:pPr>
        <w:spacing w:after="0" w:line="65" w:lineRule="exact"/>
        <w:rPr>
          <w:rFonts w:ascii="Times New Roman" w:cs="Times New Roman" w:eastAsia="Times New Roman" w:hAnsi="Times New Roman"/>
          <w:sz w:val="18"/>
          <w:szCs w:val="18"/>
          <w:color w:val="auto"/>
        </w:rPr>
      </w:pPr>
    </w:p>
    <w:p>
      <w:pPr>
        <w:ind w:left="1020" w:right="70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Lending and Earned Wage Access Advance Competitors: </w:t>
      </w:r>
      <w:r>
        <w:rPr>
          <w:rFonts w:ascii="Times New Roman" w:cs="Times New Roman" w:eastAsia="Times New Roman" w:hAnsi="Times New Roman"/>
          <w:sz w:val="18"/>
          <w:szCs w:val="18"/>
          <w:color w:val="auto"/>
        </w:rPr>
        <w:t>Traditional banks and credit unions, specialty finance and other non-bank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offering consumer lending-related or earned wage access advance products (e.g., Upstart, MoneyLion, Earnin).</w:t>
      </w:r>
    </w:p>
    <w:p>
      <w:pPr>
        <w:spacing w:after="0" w:line="50" w:lineRule="exact"/>
        <w:rPr>
          <w:rFonts w:ascii="Times New Roman" w:cs="Times New Roman" w:eastAsia="Times New Roman" w:hAnsi="Times New Roman"/>
          <w:sz w:val="18"/>
          <w:szCs w:val="18"/>
          <w:color w:val="auto"/>
        </w:rPr>
      </w:pPr>
    </w:p>
    <w:p>
      <w:pPr>
        <w:ind w:left="1020" w:right="4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Innovators in Consumer Finance: </w:t>
      </w:r>
      <w:r>
        <w:rPr>
          <w:rFonts w:ascii="Times New Roman" w:cs="Times New Roman" w:eastAsia="Times New Roman" w:hAnsi="Times New Roman"/>
          <w:sz w:val="18"/>
          <w:szCs w:val="18"/>
          <w:color w:val="auto"/>
        </w:rPr>
        <w:t>Consumer-oriented commerce enablement platforms (e.g., Affirm), finance-oriented social networks (e.g.,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CashApp, Venmo), and lending platforms (e.g., OpenLending, LendingClub).</w:t>
      </w:r>
    </w:p>
    <w:p>
      <w:pPr>
        <w:spacing w:after="0" w:line="16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believe other market participants do not adequately meet the needs of an estimated approximately 180 million Americans who make up our target market. We believe our ease of access, speed-to-value, data-driven approach and powerful flywheel will allow us to continue to efficiently scale and generate strong returns.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Partnerships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Bank Partner: ExtraCash, Dave Checking demand deposit accounts and associated Dave Cards are currently issued by Evolve. We are party to a Bank Services Agreement ("BSA") with Evolve, with a current term set to automatically renew annually unless either party provides written notice of non-renewal, which may be provided without cause to the other party at least 180 days prior to the end of any such term. In addition, upon the occurrence of certain early termination events, either we or Evolve may terminate the agreement immediately upon written notice to the other party. The BSA does not prohibit Evolve from working with our competitors or from offering competing services, nor does it prevent us from working with other banks to provide similar services. Our partnership with Evolve allows us to offer ExtraCash as well as other deposit accounts and debit cards while complying with various federal, state, and other laws. Evolve also sponsors access to debit networks and ACH for payment transactions, funding transactions and associated settlement of funds. Under the terms of the BSA, among other things, Evolve is obligated to issue and maintain deposit (or sub-deposit) accounts to each customer and issue and maintain the deposits in the deposit accounts in order to ensure the deposits are insured by the FDIC up to the standard maximum deposit insurance amount per customer. Under the terms of the BSA, the Company's responsibilities include, among others, customer service, maintaining the technology and other aspects of the program that do not constitute banking or money transmission, and maintaining ledger accounting of funds held in each deposit account and other records required by Evolve or by law necessary to ensure "pass through" FDIC insurance coverage.</w:t>
      </w:r>
    </w:p>
    <w:p>
      <w:pPr>
        <w:spacing w:after="0" w:line="19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Processing Partner: In connection with our arrangements with Evolve, we have also entered into a multi-year service agreement with Galileo Financial Technologies, LLC (f/k/a Galileo Financial Technologies, Inc.) (“Galileo”), a payment processing platform, in which Galileo has agreed to process all transactions for our Dave ExtraCash, bank accounts and debit cards, and to handle corresponding payments and adjustments. Galileo also maintains cardholder information, implements certain fraud control processes and procedures, and provides related services in connection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ind w:right="80"/>
        <w:spacing w:after="0" w:line="256" w:lineRule="auto"/>
        <w:rPr>
          <w:sz w:val="20"/>
          <w:szCs w:val="20"/>
          <w:color w:val="auto"/>
        </w:rPr>
      </w:pPr>
      <w:r>
        <w:rPr>
          <w:rFonts w:ascii="Times New Roman" w:cs="Times New Roman" w:eastAsia="Times New Roman" w:hAnsi="Times New Roman"/>
          <w:sz w:val="18"/>
          <w:szCs w:val="18"/>
          <w:color w:val="auto"/>
        </w:rPr>
        <w:t>with the ExtraCash and Dave Checking accounts and debit cards. In January 2023, we executed an amended agreement with Galileo that significantly reduced the fees that we pay to Galileo for these services. In conjunction with the amended agreement, the term of the agreement was amended such that the agreement expires on the fifth anniversary of the effective date of the amended agreement. Following the amended term of the agreement, the agreement renews for successive one-year periods unless either party provides written notice of non-renewal, which may be provided without cause, to the other party at least four months prior to the end of any such renewal term. The occurrence of certain events would provide each party with an early termination right under the agreement.</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this structure, customer funds subject to FDIC insurance are not held by Galileo nor are they held by the Company or by any other provider besides Evolve. Customer funds are either held by Evolve in the customer deposit or sub-deposit accounts, or, where a customer has authorized a deposit or withdrawal, the funds are in transit through standard payment systems. Customer funds are eligible for FDIC insurance when held by Evolve, a member of the FDIC, in accordance with FDIC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February 20, 2025, the Company announced the completion of changes to its optional fee revenue model (tips and instant transfer fees) for its ExtraCash product. The optional fee model was replaced with a simplified 5% overdraft service fee structure including a $5 minimum and $15 maximum, starting with new customers in December 2024, and completely transitioned to existing customers as of February 19, 2025.</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March 3, 2025, the Company announced that its subsidiary had entered into a Program Agreement with Coastal Community Bank to become a sponsor for Dave’s banking and ExtraCash products. Dave Members will begin onboarding to Coastal Community Bank as soon as Q2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Leadership talent and vision are core priorities at Dave. We have assembled a team of experts from leading consumer and financial technology companies with deep experience in people, engineering, product, marketing, and finance. Our founding team includes serial entrepreneurs, skilled designers, and seasoned technology professionals, while legal and compliance functions are led by veterans from high-growth financial services firms. As we continue to scale and diversify our business, we remain focused on building and nurturing top-tier leadership.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and Culture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Every day, our nimble and innovative team comes together in an effort to level the financial playing field. This shared mission—empowering millions of current and future Members—fuels our passion and purpose. However, attracting and retaining top talent requires more than a compelling mission. That is why we have made meaningful strides in becoming a truly exceptional place to work.</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deeply integrated the OKR (Objectives and Key Results) framework into our culture and ways of working, inspired by the best practices of high-performing technology companies. Our Quarterly Business Reviews now serve as pivotal moments for senior leaders to analyze key performance indicators, align on priorities for the upcoming quarter, and address strategic opportunities. These efforts have fostered greater accountability, more predictable business outcomes, stronger cross-functional collaboration, and a clearer understanding of how every team member contributes to our collective goals.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also prioritized investing in effective people leadership. Strong leaders amplify what a team can achieve, so we have worked early and intentionally to define what leadership excellence looks like at Dave. Our leaders strive to create purpose, nurture growth, guide teams through change, communicate with clarity, and prioritize company-wide success. By weaving this leadership philosophy into every stage of the employee journey, we are building a community of high-performing leaders who inspire their teams to drive our mission forward.</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strategic commitment to being a virtual first company continues to bear fruit. With team members in over 30 states, we have expanded our talent pool by removing geographic constraints. We believe that this shift has not only broadened our team but also reduced voluntary turnover, which now is below the median rates of our peer set for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 w:name="page12"/>
    <w:bookmarkEnd w:id="11"/>
    <w:p>
      <w:pPr>
        <w:spacing w:after="0" w:line="266" w:lineRule="auto"/>
        <w:rPr>
          <w:sz w:val="20"/>
          <w:szCs w:val="20"/>
          <w:color w:val="auto"/>
        </w:rPr>
      </w:pPr>
      <w:r>
        <w:rPr>
          <w:rFonts w:ascii="Times New Roman" w:cs="Times New Roman" w:eastAsia="Times New Roman" w:hAnsi="Times New Roman"/>
          <w:sz w:val="18"/>
          <w:szCs w:val="18"/>
          <w:color w:val="auto"/>
        </w:rPr>
        <w:t>2024. The flexibility of remote work has boosted productivity while keeping our team size steady. To balance this virtual model, we host bi-weekly company-wide all-hands meetings, encourage team offsites, host annual company-wide gatherings to foster connection, and provide co-working stipends to give employees the freedom to choose where they work best.</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Recognizing that financial wellness is core to Dave’s business, we have made meaningful investments in our compensation and benefits programs. Alongside market-competitive pay, we also offer a 401(k) match and access to a dedicated financial advisor, helping to ensure that every employee has the tools they need to plan for their future with confidence.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a fintech company, we are no strangers to navigating the unknown. Building a company and culture that employees are proud of—and would recommend to their closest friends—is a continuous journey. To stay grounded in our team’s experience, we conduct engagement surveys, giving team members a confidential platform to share their feedback. These insights shape department-specific OKRs that address challenges and drive engagement. With a consistent 90%+ participation rate, our team trusts that their voices are heard and acted upon.</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we had 274 full-time employees across all locations. None of our employees are represented by a labor union or covered by a collective bargaining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operate in a complex regulatory environment consisting of U.S. federal and state laws that is rapidly evolving. These laws cover most aspects of our business and include laws, regulations, rules and guidance relating to, among other things, consumer finance and protection, privacy and data protection, anti-money laundering and know your customer requirements, banking, and payments. For example, with respect to our ExtraCash product offered through Evolve, certain state laws may, if applicable, regulate the charges or fees that can be assessed and how settlements are obtained from our Members. In addition, other federal and state laws, public policy, and general principles of equity, such as laws prohibiting unfair and deceptive acts or practices, may apply to our activities in banking, ExtraCash, payments, and other areas. These laws and regulations impact our business both directly and indirectly. Additionally, as a result of our partnership with Evolve, which provides ExtraCash via an overdraft account, deposit accounts and debit cards to our Members, we are also subject to regulation by bank regulators with supervisory authority over Evolve. Ensuring ongoing compliance with these laws and regulations imposes significant burdens on our business operations. See “</w:t>
      </w:r>
      <w:r>
        <w:rPr>
          <w:rFonts w:ascii="Times New Roman" w:cs="Times New Roman" w:eastAsia="Times New Roman" w:hAnsi="Times New Roman"/>
          <w:sz w:val="18"/>
          <w:szCs w:val="18"/>
          <w:i w:val="1"/>
          <w:iCs w:val="1"/>
          <w:color w:val="auto"/>
        </w:rPr>
        <w:t>Risk Factors—Our business is subject to extensive regulation and oversight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variety of areas under federal, state and local laws, and is subject to regulatory investigations and consumer litigation.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may become subject to additional legal or regulatory requirements we are not subject to today if laws or regulations change in the jurisdictions in which we operate, or if we were to release new products or services. In addition, the regulatory framework for our products and services is evolving and uncertain, including the framework that applies to the ExtraCash product, as federal and state governments and regulators consider the application of existing laws and potential adoption of new laws. The potential for new laws and regulations, as well as ongoing uncertainty regarding the application of existing laws and regulations to our current products and services, may negatively affect our business. These laws and regulations could require us to modify the way in which we generate revenue from certain business lines, obtain new licenses, or comply with additional laws and regulations in order to conduct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and local licensing requirements and regulation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that none of our current business lines require us to obtain any state or local licenses. However, the application of state or local licensing requirements (including those applicable to bank partnerships involving consumer lending) to our business model is not always clear and regulators may request or require that we obtain licenses or otherwise comply with additional requirements in the future, which may result in changes to our business practices. In addition, if we are found to have engaged in activities subject to licensure for which we lack the requisite license, or in activities that are otherwise deemed to be in violation of lending laws, the relevant authority may impose fines, impose restrictions on our operations in the relevant state or locality, or seek other remedies for activities conducted in the state.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 w:name="page13"/>
    <w:bookmarkEnd w:id="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consumer protection requirements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Here we summarize several of the material federal consumer protection and other laws applicable to our business. Many states and localities have laws and regulations that are similar to the federal laws described, but the degree and nature of such laws and regulations vary from jurisdiction to jurisdiction. We must comply with various federal consumer protection regimes, both pursuant to the financial products and services we provide directly and as a service provider to Evolve.</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regulation by the Consumer Financial Protection Bureau (“CFPB”), which oversees compliance with and enforces federal consumer financial protection laws. The CFPB directly and significantly influences the regulation of consumer financial products and services, including the products and services we provide. The CFPB has substantial power to regulate such products and services and the banks and non-bank entities that provide them, as well as their respective third-party service providers. This power includes rule making and enforcement authority in enumerated areas of federal law such as truth in lending, credit discrimination, electronic fund transfers and truth in savings. Under Title X of the Dodd-Frank Wall Street Reform and Consumer Protection Act (the “Dodd-Frank Act”), the CFPB also has the authority to pursue enforcement actions against companies that offer or provide consumer financial products or services that engage in unfair, deceptive or abusive acts or practices, commonly referred to as “UDAAPs.” The CFPB may also seek a range of other remedies, including restitution, refunds of money, disgorgement of profits or compensation for unjust enrichment, civil money penalties, rescission of contracts, public notification of the violation, and restrictions on the target’s conduct, activities and functions. Moreover, where a company has violated Title X of the Dodd-Frank Act or CFPB regulations under Title X, the Dodd-Frank Act empowers state attorneys general and state regulators to bring civil actions to enforce such laws and regulations.</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business activities, either directly or indirectly through our partnership with Evolve, are also subject to or may be subject to applicable requirements under other federal statutes and regulations, including but not limited to:</w:t>
      </w:r>
    </w:p>
    <w:p>
      <w:pPr>
        <w:spacing w:after="0" w:line="50" w:lineRule="exact"/>
        <w:rPr>
          <w:sz w:val="20"/>
          <w:szCs w:val="20"/>
          <w:color w:val="auto"/>
        </w:rPr>
      </w:pPr>
    </w:p>
    <w:p>
      <w:pPr>
        <w:ind w:left="1280" w:right="80" w:hanging="509"/>
        <w:spacing w:after="0" w:line="26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Federal Trade Commission Act</w:t>
      </w:r>
      <w:r>
        <w:rPr>
          <w:rFonts w:ascii="Times New Roman" w:cs="Times New Roman" w:eastAsia="Times New Roman" w:hAnsi="Times New Roman"/>
          <w:sz w:val="18"/>
          <w:szCs w:val="18"/>
          <w:color w:val="auto"/>
        </w:rPr>
        <w:t>. The Federal Trade Commission Act prohibits unfair and deceptive acts and practices (“UDAPs”)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or commerce and grants the Federal Trade Commission (“FTC”) and bank regulators enforcement authority to prevent and redress violations of this prohibition. Whether a particular act or practice violates these laws or the prohibition against UDAPs frequently involves a highly subjective and/or fact-specific judgment.</w:t>
      </w:r>
    </w:p>
    <w:p>
      <w:pPr>
        <w:spacing w:after="0" w:line="68" w:lineRule="exact"/>
        <w:rPr>
          <w:rFonts w:ascii="Times New Roman" w:cs="Times New Roman" w:eastAsia="Times New Roman" w:hAnsi="Times New Roman"/>
          <w:sz w:val="18"/>
          <w:szCs w:val="18"/>
          <w:color w:val="auto"/>
        </w:rPr>
      </w:pPr>
    </w:p>
    <w:p>
      <w:pPr>
        <w:ind w:left="1280" w:right="80" w:hanging="509"/>
        <w:spacing w:after="0" w:line="286"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Federal Marketing Laws. </w:t>
      </w:r>
      <w:r>
        <w:rPr>
          <w:rFonts w:ascii="Times New Roman" w:cs="Times New Roman" w:eastAsia="Times New Roman" w:hAnsi="Times New Roman"/>
          <w:sz w:val="18"/>
          <w:szCs w:val="18"/>
          <w:color w:val="auto"/>
        </w:rPr>
        <w:t>The Restore Online Shoppers’ Confidence Act (“ROSCA”), as well as the FTC’s Rule Concerning Recurring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Subscriptions and Other Negative Option Programs, regulate subscriptions and other recurring on-line transactions.</w:t>
      </w:r>
    </w:p>
    <w:p>
      <w:pPr>
        <w:spacing w:after="0" w:line="50" w:lineRule="exact"/>
        <w:rPr>
          <w:rFonts w:ascii="Times New Roman" w:cs="Times New Roman" w:eastAsia="Times New Roman" w:hAnsi="Times New Roman"/>
          <w:sz w:val="18"/>
          <w:szCs w:val="18"/>
          <w:color w:val="auto"/>
        </w:rPr>
      </w:pPr>
    </w:p>
    <w:p>
      <w:pPr>
        <w:ind w:left="128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(“TCPA”) contains restrictions on the use of texts and telephone calls, including restrictions on unsolicited marketing texts and telephone calls as well as texts and calls made using certain technologies without consumer consent. In addition, the FTC Telemarketing Sales Rule implements the FTC’s Do-Not-Call Registry and imposes numerous other requirements and limitations in connection with telemarketing.</w:t>
      </w:r>
    </w:p>
    <w:p>
      <w:pPr>
        <w:spacing w:after="0" w:line="71" w:lineRule="exact"/>
        <w:rPr>
          <w:rFonts w:ascii="Times New Roman" w:cs="Times New Roman" w:eastAsia="Times New Roman" w:hAnsi="Times New Roman"/>
          <w:sz w:val="18"/>
          <w:szCs w:val="18"/>
          <w:color w:val="auto"/>
        </w:rPr>
      </w:pPr>
    </w:p>
    <w:p>
      <w:pPr>
        <w:ind w:left="128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(“CAN-SPAM”) Act makes it unlawful to send certain electronic mail messages that contain false or deceptive information and provide other protections for email users. CAN-SPAM also requires the need to provide a functioning mechanism that allows the recipient to opt-out of receiving future commercial e-mail messages from the sender of such messages.</w:t>
      </w:r>
    </w:p>
    <w:p>
      <w:pPr>
        <w:spacing w:after="0" w:line="67" w:lineRule="exact"/>
        <w:rPr>
          <w:rFonts w:ascii="Times New Roman" w:cs="Times New Roman" w:eastAsia="Times New Roman" w:hAnsi="Times New Roman"/>
          <w:sz w:val="18"/>
          <w:szCs w:val="18"/>
          <w:color w:val="auto"/>
        </w:rPr>
      </w:pPr>
    </w:p>
    <w:p>
      <w:pPr>
        <w:ind w:left="1280" w:hanging="509"/>
        <w:spacing w:after="0" w:line="25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Truth in Lending Act. </w:t>
      </w:r>
      <w:r>
        <w:rPr>
          <w:rFonts w:ascii="Times New Roman" w:cs="Times New Roman" w:eastAsia="Times New Roman" w:hAnsi="Times New Roman"/>
          <w:sz w:val="18"/>
          <w:szCs w:val="18"/>
          <w:color w:val="auto"/>
        </w:rPr>
        <w:t>The Truth-in-Lending Act (“TILA”), and Regulation Z, which implements TILA, require creditors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with certain information concerning their loan and credit transactions. In December 2024, the CFPB finalized revisions to these rules eliminating an exemption to TILA and Regulation Z that had previously been available for bank overdrafts, which may affect our partner bank as the originator of our ExtraCash overdrafts and may result in operational and compliance challenges and new litigation risks and scrutiny by federal and state regulators. Additionally, in July 2024, the CFPB proposed an interpretive rule on paycheck advance and earned wage access, a model which Dave was originally founded on but transitioned away from beginning in 2022.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p>
    <w:p>
      <w:pPr>
        <w:ind w:left="509" w:right="40" w:hanging="509"/>
        <w:spacing w:after="0" w:line="257"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Equal Credit Opportunity Act. </w:t>
      </w:r>
      <w:r>
        <w:rPr>
          <w:rFonts w:ascii="Times New Roman" w:cs="Times New Roman" w:eastAsia="Times New Roman" w:hAnsi="Times New Roman"/>
          <w:sz w:val="18"/>
          <w:szCs w:val="18"/>
          <w:color w:val="auto"/>
        </w:rPr>
        <w:t>The Equal Credit Opportunity Act (“ECOA”) prohibits creditors from discriminating against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applicants on the basis of race, color, sex, age, religion, national origin, marital status, or the fact that all or part of the applicant’s income derives from any public assistance program or the fact that the applicant has in good faith exercised any right under the federal Consumer Credit Protection Act or any applicable state law. ECOA also prohibits creditors from requesting certain information from applicants. Regulation B, which implements ECOA, contains similar provisions and also prohibits creditors from making statements that would discourage on a prohibited basis a reasonable person from making or pursuing an application.</w:t>
      </w:r>
    </w:p>
    <w:p>
      <w:pPr>
        <w:spacing w:after="0" w:line="74" w:lineRule="exact"/>
        <w:rPr>
          <w:rFonts w:ascii="Times New Roman" w:cs="Times New Roman" w:eastAsia="Times New Roman" w:hAnsi="Times New Roman"/>
          <w:sz w:val="18"/>
          <w:szCs w:val="18"/>
          <w:color w:val="auto"/>
        </w:rPr>
      </w:pPr>
    </w:p>
    <w:p>
      <w:pPr>
        <w:ind w:left="509" w:right="300" w:hanging="509"/>
        <w:spacing w:after="0" w:line="262"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Truth in Savings Act. </w:t>
      </w:r>
      <w:r>
        <w:rPr>
          <w:rFonts w:ascii="Times New Roman" w:cs="Times New Roman" w:eastAsia="Times New Roman" w:hAnsi="Times New Roman"/>
          <w:sz w:val="18"/>
          <w:szCs w:val="18"/>
          <w:color w:val="auto"/>
        </w:rPr>
        <w:t>The federal Truth in Savings Act (“TISA”) and Regulation DD which implements it require that consumers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various disclosures concerning terms and conditions of deposit accounts. They also impose disclosure requirements and restrictions on advertising regarding deposit accounts. TISA and Regulation DD apply to the demand deposit accounts opened by our Members at Evolve</w:t>
      </w:r>
      <w:r>
        <w:rPr>
          <w:rFonts w:ascii="Times New Roman" w:cs="Times New Roman" w:eastAsia="Times New Roman" w:hAnsi="Times New Roman"/>
          <w:sz w:val="18"/>
          <w:szCs w:val="18"/>
          <w:i w:val="1"/>
          <w:iCs w:val="1"/>
          <w:color w:val="auto"/>
        </w:rPr>
        <w:t>.</w:t>
      </w:r>
    </w:p>
    <w:p>
      <w:pPr>
        <w:spacing w:after="0" w:line="68" w:lineRule="exact"/>
        <w:rPr>
          <w:rFonts w:ascii="Times New Roman" w:cs="Times New Roman" w:eastAsia="Times New Roman" w:hAnsi="Times New Roman"/>
          <w:sz w:val="18"/>
          <w:szCs w:val="18"/>
          <w:color w:val="auto"/>
        </w:rPr>
      </w:pPr>
    </w:p>
    <w:p>
      <w:pPr>
        <w:ind w:left="509" w:right="180" w:hanging="509"/>
        <w:spacing w:after="0" w:line="259"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Fund Transfer Act</w:t>
      </w:r>
      <w:r>
        <w:rPr>
          <w:rFonts w:ascii="Times New Roman" w:cs="Times New Roman" w:eastAsia="Times New Roman" w:hAnsi="Times New Roman"/>
          <w:sz w:val="18"/>
          <w:szCs w:val="18"/>
          <w:color w:val="auto"/>
        </w:rPr>
        <w:t>. The federal Electronic Fund Transfer Act (“EFTA”) and Regulation E which implements it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and restrictions on the provision of electronic fund transfer services to consumers, and on making an electronic transfer of funds from consumers’ bank accounts. EFTA also limits consumers’ liability for unauthorized electronic fund transfers and requires banks and other financial services companies to comply with certain transaction error resolution procedures. Electronic fund transfers within the scope of EFTA include ACH transfers and debit card transfers.</w:t>
      </w:r>
    </w:p>
    <w:p>
      <w:pPr>
        <w:spacing w:after="0" w:line="71" w:lineRule="exact"/>
        <w:rPr>
          <w:rFonts w:ascii="Times New Roman" w:cs="Times New Roman" w:eastAsia="Times New Roman" w:hAnsi="Times New Roman"/>
          <w:sz w:val="18"/>
          <w:szCs w:val="18"/>
          <w:color w:val="auto"/>
        </w:rPr>
      </w:pPr>
    </w:p>
    <w:p>
      <w:pPr>
        <w:ind w:left="509" w:right="80" w:hanging="509"/>
        <w:spacing w:after="0" w:line="259"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Payday, Vehicle Title, and Certain High-Cost Installment Loans Final Rule</w:t>
      </w:r>
      <w:r>
        <w:rPr>
          <w:rFonts w:ascii="Times New Roman" w:cs="Times New Roman" w:eastAsia="Times New Roman" w:hAnsi="Times New Roman"/>
          <w:sz w:val="18"/>
          <w:szCs w:val="18"/>
          <w:color w:val="auto"/>
        </w:rPr>
        <w:t>. In 2017, the CFPB issued a final rule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various consumer protections with respect to certain short-term credit products. The rule was later stayed by a federal district court order in an industry challenge to the rule, and the effective date of many provisions of the rule was separately delayed by the CFPB in June 2019. A section pertaining to underwriting was subsequently rescinded in July 2020. Certain nonrecourse advance products and overdraft services and lines of credit are currently excluded from coverage under the rule.</w:t>
      </w:r>
    </w:p>
    <w:p>
      <w:pPr>
        <w:spacing w:after="0" w:line="71" w:lineRule="exact"/>
        <w:rPr>
          <w:rFonts w:ascii="Times New Roman" w:cs="Times New Roman" w:eastAsia="Times New Roman" w:hAnsi="Times New Roman"/>
          <w:sz w:val="18"/>
          <w:szCs w:val="18"/>
          <w:color w:val="auto"/>
        </w:rPr>
      </w:pPr>
    </w:p>
    <w:p>
      <w:pPr>
        <w:ind w:left="509" w:right="60" w:hanging="509"/>
        <w:spacing w:after="0" w:line="259"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Credit Reporting Act. </w:t>
      </w:r>
      <w:r>
        <w:rPr>
          <w:rFonts w:ascii="Times New Roman" w:cs="Times New Roman" w:eastAsia="Times New Roman" w:hAnsi="Times New Roman"/>
          <w:sz w:val="18"/>
          <w:szCs w:val="18"/>
          <w:color w:val="auto"/>
        </w:rPr>
        <w:t>The Fair Credit Reporting Act (“FCRA”) and its implementing regulations, including Regulation V,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promote the accuracy, fairness and privacy of information in the files of consumer reporting agencies. The FCRA requires users of consumer report to have a permissible purpose to obtain such reports and to provide adverse action disclosures based on information in consumer reports, and contains requirements for furnishers of consumer information to a consumer reporting agency regarding accuracy, completeness, and integrity of furnished information and for responding to disputes regarding furnished information.</w:t>
      </w:r>
    </w:p>
    <w:p>
      <w:pPr>
        <w:spacing w:after="0" w:line="71" w:lineRule="exact"/>
        <w:rPr>
          <w:rFonts w:ascii="Times New Roman" w:cs="Times New Roman" w:eastAsia="Times New Roman" w:hAnsi="Times New Roman"/>
          <w:sz w:val="18"/>
          <w:szCs w:val="18"/>
          <w:color w:val="auto"/>
        </w:rPr>
      </w:pPr>
    </w:p>
    <w:p>
      <w:pPr>
        <w:ind w:left="509" w:right="100" w:hanging="509"/>
        <w:spacing w:after="0" w:line="257"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Debt Collection Practices Act. </w:t>
      </w:r>
      <w:r>
        <w:rPr>
          <w:rFonts w:ascii="Times New Roman" w:cs="Times New Roman" w:eastAsia="Times New Roman" w:hAnsi="Times New Roman"/>
          <w:sz w:val="18"/>
          <w:szCs w:val="18"/>
          <w:color w:val="auto"/>
        </w:rPr>
        <w:t>The Fair Debt Collection Practices Act (“FDCPA”) and its implementing regulation, Regulation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guidelines and limitations on the conduct of third-party debt collectors in connection with the collection of consumer debts. The FDCPA limits certain communications with third parties, imposes notice and debt validation requirements, and prohibits threatening, harassing or abusive conduct in the course of debt collection. While we are not a “debt collector” under the FDCPA, which the statute defines as a person who regularly collects or attempts to collect, directly or indirectly, debts owed or due, or asserted to be owed or due, to another, we may use professional external debt collection agents to collect delinquent ExtraCash advances.</w:t>
      </w:r>
    </w:p>
    <w:p>
      <w:pPr>
        <w:spacing w:after="0" w:line="74" w:lineRule="exact"/>
        <w:rPr>
          <w:rFonts w:ascii="Times New Roman" w:cs="Times New Roman" w:eastAsia="Times New Roman" w:hAnsi="Times New Roman"/>
          <w:sz w:val="18"/>
          <w:szCs w:val="18"/>
          <w:color w:val="auto"/>
        </w:rPr>
      </w:pPr>
    </w:p>
    <w:p>
      <w:pPr>
        <w:ind w:left="509" w:hanging="509"/>
        <w:spacing w:after="0" w:line="257"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Military Lending Act. </w:t>
      </w:r>
      <w:r>
        <w:rPr>
          <w:rFonts w:ascii="Times New Roman" w:cs="Times New Roman" w:eastAsia="Times New Roman" w:hAnsi="Times New Roman"/>
          <w:sz w:val="18"/>
          <w:szCs w:val="18"/>
          <w:color w:val="auto"/>
        </w:rPr>
        <w:t>The Military Lending Act (“MLA”) provides specific protections for active duty service members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dependents (or covered borrowers) in consumer credit transactions. The MLA applies to persons engaged in the business of extending consumer credit subject to certain disclosure requirements under the TILA and Regulation Z. The MLA prohibits creditors from imposing a Military Annual Percentage Rate (“MAPR”) greater than 36% in any consumer credit transaction involving a covered borrower. It also requires certain oral and written disclosures to be provided to covered borrowers. Additionally, the MLA prohibits creditors from requiring covered borrowers to waive rights to legal recourse, submit to arbitration, or pay a prepayment penalty or fee.</w:t>
      </w:r>
    </w:p>
    <w:p>
      <w:pPr>
        <w:spacing w:after="0" w:line="74" w:lineRule="exact"/>
        <w:rPr>
          <w:rFonts w:ascii="Times New Roman" w:cs="Times New Roman" w:eastAsia="Times New Roman" w:hAnsi="Times New Roman"/>
          <w:sz w:val="18"/>
          <w:szCs w:val="18"/>
          <w:color w:val="auto"/>
        </w:rPr>
      </w:pPr>
    </w:p>
    <w:p>
      <w:pPr>
        <w:ind w:left="509" w:right="680" w:hanging="509"/>
        <w:spacing w:after="0" w:line="286" w:lineRule="auto"/>
        <w:tabs>
          <w:tab w:leader="none" w:pos="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Gramm-Leach-Bliley Act. </w:t>
      </w:r>
      <w:r>
        <w:rPr>
          <w:rFonts w:ascii="Times New Roman" w:cs="Times New Roman" w:eastAsia="Times New Roman" w:hAnsi="Times New Roman"/>
          <w:sz w:val="18"/>
          <w:szCs w:val="18"/>
          <w:color w:val="auto"/>
        </w:rPr>
        <w:t>The Gramm-Leach-Bliley Act (“GLBA”) imposes limitations on financial institutions’ disclosure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personal information about a consumer to nonaffiliated</w:t>
      </w:r>
    </w:p>
    <w:p>
      <w:pPr>
        <w:spacing w:after="0" w:line="375" w:lineRule="exact"/>
        <w:rPr>
          <w:sz w:val="20"/>
          <w:szCs w:val="20"/>
          <w:color w:val="auto"/>
        </w:rPr>
      </w:pPr>
    </w:p>
    <w:p>
      <w:pPr>
        <w:ind w:left="476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9"/>
          </w:cols>
          <w:pgMar w:left="1091" w:top="1440" w:right="359" w:bottom="1440" w:gutter="0" w:footer="0" w:header="0"/>
        </w:sectPr>
      </w:pPr>
    </w:p>
    <w:bookmarkStart w:id="14" w:name="page15"/>
    <w:bookmarkEnd w:id="14"/>
    <w:p>
      <w:pPr>
        <w:spacing w:after="0" w:line="86" w:lineRule="exact"/>
        <w:rPr>
          <w:sz w:val="20"/>
          <w:szCs w:val="20"/>
          <w:color w:val="auto"/>
        </w:rPr>
      </w:pPr>
    </w:p>
    <w:p>
      <w:pPr>
        <w:ind w:left="1280" w:right="140"/>
        <w:spacing w:after="0" w:line="258" w:lineRule="auto"/>
        <w:rPr>
          <w:sz w:val="20"/>
          <w:szCs w:val="20"/>
          <w:color w:val="auto"/>
        </w:rPr>
      </w:pPr>
      <w:r>
        <w:rPr>
          <w:rFonts w:ascii="Times New Roman" w:cs="Times New Roman" w:eastAsia="Times New Roman" w:hAnsi="Times New Roman"/>
          <w:sz w:val="18"/>
          <w:szCs w:val="18"/>
          <w:color w:val="auto"/>
        </w:rPr>
        <w:t xml:space="preserve">third parties. In certain circumstances, GLBA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Member information. </w:t>
      </w:r>
      <w:r>
        <w:rPr>
          <w:rFonts w:ascii="Times New Roman" w:cs="Times New Roman" w:eastAsia="Times New Roman" w:hAnsi="Times New Roman"/>
          <w:sz w:val="18"/>
          <w:szCs w:val="18"/>
          <w:u w:val="single" w:color="auto"/>
          <w:color w:val="auto"/>
        </w:rPr>
        <w:t>The FTC regulates the safeguarding requirements under the GLBA through its Safeguard Rules,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amended, with which we are required to comply.</w:t>
      </w:r>
    </w:p>
    <w:p>
      <w:pPr>
        <w:spacing w:after="0" w:line="71" w:lineRule="exact"/>
        <w:rPr>
          <w:sz w:val="20"/>
          <w:szCs w:val="20"/>
          <w:color w:val="auto"/>
        </w:rPr>
      </w:pPr>
    </w:p>
    <w:p>
      <w:pPr>
        <w:jc w:val="both"/>
        <w:ind w:left="1280" w:right="140" w:hanging="509"/>
        <w:spacing w:after="0" w:line="26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Servicing laws and regulations. </w:t>
      </w:r>
      <w:r>
        <w:rPr>
          <w:rFonts w:ascii="Times New Roman" w:cs="Times New Roman" w:eastAsia="Times New Roman" w:hAnsi="Times New Roman"/>
          <w:sz w:val="18"/>
          <w:szCs w:val="18"/>
          <w:color w:val="auto"/>
        </w:rPr>
        <w:t>While we are not a “debt collector” subject to the federal Fair Debt Collection Practices Act,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laws and regulations regulating servicing and collections may apply to aspects of our business. In addition, servicing practices are subject to the UDAAP prohibition.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Given our novel business model and products, and the subjective nature of certain laws and regulations such as the prohibition against UDAPs, we have been and may in the future become subject to regulatory scrutiny or legal challenge with respect to our compliance with these and other regulatory requirements. Additional or different requirements may also apply to our business in the future as the regulatory framework in which we operate is evolving and uncertain. While we have developed policies and procedures designed to assist in compliance with these laws and regulations, we may not have been, and may not always be, in compliance with these and other laws. No assurance is given that our compliance policies and procedures have been or will be effective or adequate as laws change or are applied to us in a new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bank partnership model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our partnership with Evolve, we offer our Members Federal Deposit Insurance Corporation (“FDIC”)-insured, non-interest-bearing deposit accounts (including the ExtraCash account), interest bearing deposit accounts and debit cards that Members can use to access their account balances. These deposit accounts and debit cards are provided by Evolve. Under the terms of our agreement with Evolve, as well as the agreements between our Members and Evolve, each Member that chooses to open a deposit account has a deposit account at Evolve and a debit card issued by Evolve. With respect to these deposit accounts and debit cards, we act as the program manager and service provider to Evolve to provide customer support and technology features to Members using their Evolve accounts through our platform.</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laws and regulations that apply directly to Evolve indirectly impact us (and our products) as Evolve’s service provider. As such, our partnership with Evolve is subject to the supervision and enforcement authority of the Federal Reserve, Evolve’s primary regulator, the FDIC and Evolve's state banking regulator, the Arkansas State Bank Department. In addition, laws and regulations that through expectations placed on Evolve by its regulators may indirectly affect us through requirements placed on us by Evolve to satisfy regulatory requirements. For example, the Federal Reserve, the FDIC and the Office of the Comptroller of the Currency have issued final guidance on managing risks associated with third-party relationships. The guidance states that sound third-party risk management takes into account the level of risk, complexity, and size of the bank and the nature of the third-party relationship. In July 2024, these agencies also released a joint statement on banks’ arrangements with third parties to deliver bank deposit products and services. The joint statement cautions that operational and compliance risks arise when banks hand over substantial control of key functions to a third party. Banks can manage risk through policies and procedures governing organizational structures, lines of reporting, expertise and staffing, internal controls and audit functions. Banks can also conduct risk assessments to assess controls for mitigating risk relating to specific third-party arrangements, engage in due diligence of third-party relationships, set appropriate contractual relationships, and establish monitoring routines to identify risks.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22222"/>
        </w:rPr>
        <w:t>On March 3, 2025, the Company announced that its subsidiary had entered into a Program Agreement with Coastal Community Bank to become a sponsor for Dave’s banking and ExtraCash products. Dave Members will begin onboarding to Coastal Community Bank as soon as Q2 2025.</w:t>
      </w:r>
      <w:r>
        <w:rPr>
          <w:rFonts w:ascii="Times New Roman" w:cs="Times New Roman" w:eastAsia="Times New Roman" w:hAnsi="Times New Roman"/>
          <w:sz w:val="18"/>
          <w:szCs w:val="18"/>
          <w:color w:val="000000"/>
        </w:rPr>
        <w:t>We expect the same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regulatory considerations to apply to this new bank partnership.</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to the requirements described above, we are subject to and work to comply with other state and federal laws and regulations applicable to consumer financial products and services. These laws and regulations may be enforced by various state banking and consumer protection agencies, state attorneys general, the CFPB, the FTC and private litigants, among others.</w:t>
      </w:r>
    </w:p>
    <w:p>
      <w:pPr>
        <w:spacing w:after="0" w:line="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Card Association and Payment Network Rules. </w:t>
      </w:r>
      <w:r>
        <w:rPr>
          <w:rFonts w:ascii="Times New Roman" w:cs="Times New Roman" w:eastAsia="Times New Roman" w:hAnsi="Times New Roman"/>
          <w:sz w:val="18"/>
          <w:szCs w:val="18"/>
          <w:color w:val="auto"/>
        </w:rPr>
        <w:t>The bylaws and agreements between clearing house participants and bankcard companies impose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and liabilities for issuers of debit cards. We, as well our partner bank that issues our debit card, are required to comply with the appropriate National Automated Clearing House Association (“NACHA”), bylaws, operating rules, and agreements, as well as card network rules and guidelines. NACHA operating rules further imposes maximum tolerances on the volume of ACH transfers that may be returned as unauthorized or for other reasons. Exceeding those tolerances may result in limitations being imposed on our ability to initiate ACH transactions. Many transfers of funds in connection with the provision and repayment of our ExtraCash overdrafts are performed by electronic fund transfers, including ACH transfers. We also facilitate the electronic transfer of funds requested by our Members between their deposit accounts with our partner bank and their accounts at other financial institutions. Additional new products and services that we offer may also impose additional obligations on us to comply with NACHA and card network obligations related to preventing fraud, money laundering, and IT security breaches.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Bank Secrecy Act and Anti-Money Laundering. </w:t>
      </w:r>
      <w:r>
        <w:rPr>
          <w:rFonts w:ascii="Times New Roman" w:cs="Times New Roman" w:eastAsia="Times New Roman" w:hAnsi="Times New Roman"/>
          <w:sz w:val="18"/>
          <w:szCs w:val="18"/>
          <w:color w:val="auto"/>
        </w:rPr>
        <w:t>Given our involvement in payments, banking transactions, and our arrangements with Evolve,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compliance obligations related to U.S. anti-money laundering (“AML”) laws and regulations. We have developed and currently operate an AML program designed to prevent our products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Our programs are designed to address these legal and regulatory requirements and to assist in managing risks associated with money laundering and terrorist financing.</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Privacy and Information Security Laws. </w:t>
      </w:r>
      <w:r>
        <w:rPr>
          <w:rFonts w:ascii="Times New Roman" w:cs="Times New Roman" w:eastAsia="Times New Roman" w:hAnsi="Times New Roman"/>
          <w:sz w:val="18"/>
          <w:szCs w:val="18"/>
          <w:color w:val="auto"/>
        </w:rPr>
        <w:t>We collect, store, use, disclose, and otherwise process a wide variety of information and data, including personally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information (“PII”) that we acquire in connection with our Members’ use of our products and services, for various purposes in our business, including to help ensure the integrity of our services and to provide features and functionality to our Members. This aspect of our business is subject to numerous privacy, cybersecurity, and other laws and regulations in the United States, including the federal GLBA and various state laws such as the California Consumer Privacy Act (“CCPA”). Accordingly, we publish our privacy policies and terms of service, which describe our practices concerning the collection, storage, use, disclosure, transmission, processing, and protection of information.</w:t>
      </w:r>
    </w:p>
    <w:p>
      <w:pPr>
        <w:spacing w:after="0" w:line="18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legal and regulatory framework for privacy and security issues is rapidly evolving, and, although we endeavor to comply with these laws and regulations and our own policies and documentation, we may fail to do so or be alleged to have failed to do so. Any actual or perceived failure to comply with legal and regulatory requirements applicable to us, including those relating to privacy or security, or any failure to protect the information that we collect from our Members from cyberattacks, or any similar actual or perceived failure by our third-party service providers and partners, may result in private litigation, regulatory or governmental investigations, administrative enforcement actions, sanctions, civil and criminal liability, and constraints on our ability to continue to operate, among other things. Please see the section titled “</w:t>
      </w:r>
      <w:r>
        <w:rPr>
          <w:rFonts w:ascii="Times New Roman" w:cs="Times New Roman" w:eastAsia="Times New Roman" w:hAnsi="Times New Roman"/>
          <w:sz w:val="18"/>
          <w:szCs w:val="18"/>
          <w:i w:val="1"/>
          <w:iCs w:val="1"/>
          <w:color w:val="auto"/>
        </w:rPr>
        <w:t>Risk Factors—Risks Related to Regulatory and Legal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Stringent and changing laws and regulations relating to privacy and data protection could result in claims against us, harm our results of operations, financial condition, and future prospects, or otherwise harm our business.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Open Banking</w:t>
      </w:r>
      <w:r>
        <w:rPr>
          <w:rFonts w:ascii="Times New Roman" w:cs="Times New Roman" w:eastAsia="Times New Roman" w:hAnsi="Times New Roman"/>
          <w:sz w:val="18"/>
          <w:szCs w:val="18"/>
          <w:color w:val="auto"/>
        </w:rPr>
        <w:t>. In October 2024, the CFPB finalized a rule under the Dodd-Frank Act, which would require a covered entity, including us and our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to, among other things, make available to a consumer, upon request, information in the covered entity’s control or possession concerning the consumer financial product or service that the consumer obtained from the covered entity. The final rule also requires data providers holding a consumer account to establish a developer interface satisfying certain data security specifications and other standards, through which the data provider can receive requests for, and provide, specific types of data covered by</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rule in electronic, usable form to authorized third parties, including data aggregators. Under the final rule, data providers would be prohibited from charging consumers or third parties fees for processing these consumer data requests. The final rule would also place certain data security, authorization, and other obligations on third parties accessing covered data from data providers, which could include us when acting in certain capacities. The final rule would also require third parties to limit their collection, use, and retention of the data received to only what is reasonably necessary to provide the consumers’ requested product or service. Various standards under the final rule would be established by a standard-setting body designated by the CFPB.</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the impact of the rule will depend upon a number of factors, including consumer behavior and the actions of data providers and recipients, open banking initiatives like this final rule have the potential to change the competitive landscape, presenting challenges to our business model, such as by enhancing competitors’ ability to attract our customers, as well as opportunities since we may also act as an authorized third party and receive data from data providers. The nature and kind of this impact will also depend on and our, and our competitors’, ability to meet and comply with standards established by the CFPB’s designated standard-setting body. In October 2024, industry trade associations filed a lawsuit against the CFPB alleging the agency exceeded its statutory authority and asking the court to vacate the rule.</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Laws and Regulations. </w:t>
      </w:r>
      <w:r>
        <w:rPr>
          <w:rFonts w:ascii="Times New Roman" w:cs="Times New Roman" w:eastAsia="Times New Roman" w:hAnsi="Times New Roman"/>
          <w:sz w:val="18"/>
          <w:szCs w:val="18"/>
          <w:color w:val="auto"/>
        </w:rPr>
        <w:t>Various federal and state regulatory agencies in the United States continue to examine a wide variety of issues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us and may impact our business. These issues include consumer protection, marketing, cybersecurity, privacy, electronic transfers, state licensing, and the regulation of overdraft products. As we continue to develop and expand, we monitor for additional rules and regulations that may impact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From time to time, we may consider filing design and utility patents to further enhance the measures of intellectual property protection for the company. However, these laws, agreements, and procedures provide only limited protection. In the United States, we own several registered trademarks and have pending trademark applications in various stages of review. 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including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technology leadership position.</w:t>
      </w:r>
    </w:p>
    <w:p>
      <w:pPr>
        <w:spacing w:after="0" w:line="17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 for a more comprehensive description of risks related to our intellectual property and proprietary rights.</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Our SEC filings are also available free of charge on the Investor Relations portion of our website at dave.com as soon as reasonably practicable after they are filed with or furnished to the SEC. Our website and the information contained on or through that site are not incorporated into this report. All website addresses in this report are intended to be inactive textual references only.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tc>
        <w:tc>
          <w:tcPr>
            <w:tcW w:w="1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36"/>
        </w:trPr>
        <w:tc>
          <w:tcPr>
            <w:tcW w:w="1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Jason Wilk</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B6DEE8"/>
          </w:tcPr>
          <w:p>
            <w:pPr>
              <w:spacing w:after="0"/>
              <w:rPr>
                <w:sz w:val="18"/>
                <w:szCs w:val="18"/>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0" w:type="dxa"/>
            <w:vAlign w:val="bottom"/>
          </w:tcPr>
          <w:p>
            <w:pPr>
              <w:spacing w:after="0"/>
              <w:rPr>
                <w:sz w:val="1"/>
                <w:szCs w:val="1"/>
                <w:color w:val="auto"/>
              </w:rPr>
            </w:pP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Kyle Beilman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Jason Wilk</w:t>
      </w:r>
      <w:r>
        <w:rPr>
          <w:rFonts w:ascii="Times New Roman" w:cs="Times New Roman" w:eastAsia="Times New Roman" w:hAnsi="Times New Roman"/>
          <w:sz w:val="18"/>
          <w:szCs w:val="18"/>
          <w:color w:val="auto"/>
        </w:rPr>
        <w:t>. Mr. Wilk co-founded Dave Inc. and has served as President and Chief Executive Officer since the closing of the Business Combination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Business Combination as Legacy Dave’s Chief Executive Officer since May 2016. Mr. Wilk has over 15 years of experience building digital companies. Prior to Dave, from October 2009 to July 2016, Mr. Wilk founded and served as Chief Executive Officer of AllScreen, an Inc 5000 top 20 technology platform that enabled large media outlets to syndicate their digital content to over 500 publishers. AllScreen was backed by leading investors Y Combinator and Mark Cuban before being acquired in 2015. Mr. Wilk began his career as the founder and Chief Executive Officer of 1DaySports.com, one of the first flash sale websites, which was acquired in 2008. Mr. Wilk holds a B.B.A. from Loyola Marymount University, College of Business Administration where he studied international business and technology.</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Kyle Beilman</w:t>
      </w:r>
      <w:r>
        <w:rPr>
          <w:rFonts w:ascii="Times New Roman" w:cs="Times New Roman" w:eastAsia="Times New Roman" w:hAnsi="Times New Roman"/>
          <w:sz w:val="18"/>
          <w:szCs w:val="18"/>
          <w:color w:val="auto"/>
        </w:rPr>
        <w:t>. Mr. Beilman has served as Chief Financial Officer and Secretary since the closing of the Business Combination and prior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served as Legacy Dave’s Chief Financial Officer since January 2021 and from July 2017 to October 2019 and Chief Operating Officer from October 2019 to January 2021. Since January 2021, Mr. Beilman has served as Vice President of Dave OD Funding I, LLC, a wholly owned subsidiary of Dave (“Dave OD”). Prior to joining Legacy Dave, Mr. Beilman worked in corporate strategy at Red Bull from January 2016 to July 2017. Prior to Red Bull, Mr. Beilman worked in investment banking focused on mergers and acquisitions at Centerview Partners from August 2013 to January 2016 and Moelis &amp; Company from May 2012 to August 2013. Mr. Beilman holds a B.S. from the University of Southern California Marshall School of Business.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18"/>
                <w:szCs w:val="18"/>
                <w:color w:val="auto"/>
              </w:rPr>
            </w:pPr>
          </w:p>
        </w:tc>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Jason Wilk</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B6DEE8"/>
          </w:tcPr>
          <w:p>
            <w:pPr>
              <w:spacing w:after="0"/>
              <w:rPr>
                <w:sz w:val="18"/>
                <w:szCs w:val="18"/>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Imran Khan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8"/>
                <w:szCs w:val="18"/>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Founder &amp; Chief Investment Officer, Proem Asset Management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Brendan Carroll</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B6DEE8"/>
          </w:tcPr>
          <w:p>
            <w:pPr>
              <w:spacing w:after="0"/>
              <w:rPr>
                <w:sz w:val="18"/>
                <w:szCs w:val="18"/>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Senior Partner, Victory Park Capital Advisors, LLC</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Andrea Mitchell</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Law firm of Mitchell Sandler LLC</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Michael Pope</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B6DEE8"/>
          </w:tcPr>
          <w:p>
            <w:pPr>
              <w:spacing w:after="0"/>
              <w:rPr>
                <w:sz w:val="18"/>
                <w:szCs w:val="18"/>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Former Chief Financial Officer &amp; Senior Vice President, Shutterfly, Inc.</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 Preston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8"/>
                <w:szCs w:val="18"/>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Chief Executive Officer &amp; Director, Metromile</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Yadin Rozov</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B6DEE8"/>
          </w:tcPr>
          <w:p>
            <w:pPr>
              <w:spacing w:after="0"/>
              <w:rPr>
                <w:sz w:val="18"/>
                <w:szCs w:val="18"/>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Founder &amp; Managing Partner, Terrace Edge Ventures 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“Cautionary Note Regarding Forward-Looking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the disclosures in this Item 1A refer to Dave Inc. and its consolidated subsidiaries following the consummation of the Business Combination.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in which we operate are highly competitive, which could adversely affect our results of operations.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ExtraCash exposes us to credit risk of our Members and if our underwriting criteria for ExtraCash is not sufficient to mitigate against this risk, or if the data we use to underwrite is inaccurate or incomplete, our financial condition and operating results could be adversely affected if a substantial number of our Members fail to repay the ExtraCash overdraft they receive.</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keep pace with the rapid technological developments in our industry and the larger financial services industry necessary to continue providing our Members with new and innovative products and services, the use of our platform and other products and services could decline. In addition, if the prices we charge for our products and services are unacceptable to our Members, our operating results will be harmed.</w:t>
      </w:r>
    </w:p>
    <w:p>
      <w:pPr>
        <w:spacing w:after="0" w:line="7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artificial intelligence in our operations and product offerings could result in reputational or competitive harm, legal or regulatory liability and adverse impacts on our results of operations.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scale our business on a timely basis to meet our Members’ growing needs, and if we are not able to grow efficiently, our operating results could be harmed.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a single bank partner, and if our present or any future key banking relationships are terminated and we are not able to secure or successfully migrate client portfolios to a new bank partner or partners, or our bank partner becomes subject to regulatory restrictions or other operational disruptions, our business would be adversely affected.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several third-party service providers to process our transactions and provide other important services for our business. If any of our agreements with our service providers are terminated or if we experience any interruption or delay in the services provided by our third-party service providers, delivery of our products and services could be impaired or suspended and our business could suffer.</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including growth in our volume of payments, may not be indicative of our future growth, and if we continue to grow rapidly, we may not be able to manage our growth effectively. Our rapid growth also makes it difficult to evaluate our future prospects and may increase the risk that we will not continue to be successful.</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acquire new Members and retain our current Members or sell additional functionality and services to them, our revenue growth will be adversely affected.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and other illegal activity involving our products and services could lead to reputational damage to us, cause us to incur financial losses, reduce the use of our platform and services and may adversely affect our financial position and results of operations.</w:t>
      </w:r>
    </w:p>
    <w:p>
      <w:pPr>
        <w:spacing w:after="0" w:line="53"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funds from, and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left="1020" w:right="1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has historically incurred losses in the operation of its business. Although we have recently achieved profitability, there is no guarantee that we will sustain profitability.</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experience in managing a public company, and face significant challenges as a new entrant in our industry.</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identified material weaknesses in its internal control over financial reporting in its financial statements for the years ended December 31, 2023 and 2022. If Dave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71"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 and oversight in a variety of areas under federal, state and local laws, and is subject to regulatory investigations and consumer litigation.</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services industry continues to be highly regulated and subject to new laws or regulations in many jurisdictions, including the U.S. states in which we operate, which could restrict the products and services we offer, impose additional compliance costs on us, render our current operations unprofitable or even prohibit our current or future operations.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and changing laws and regulations relating to privacy and data protection could result in claims against us, harm our results of operations, financial condition, and future prospects, or otherwise harm our business.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actions, and compliance issues could subject us to fines, penalties, judgments, remediation costs, and/or other requirements resulting in increased expenses and reputational harm.</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accounting standards change or if our estimates or assumptions relating to our critical accounting policies prove to be incorrect, our results of operations and financial condition could be adversely affected.</w:t>
      </w:r>
    </w:p>
    <w:p>
      <w:pPr>
        <w:spacing w:after="0" w:line="5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guarantee certain obligations of one of our wholly-owned subsidiaries, which guarantee contains financial covenants and other restrictions on our actions, which could limit our operational flexibility and otherwise adversely affect our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which could adversely affect our results of operations.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industries in which we compete are highly competitive and subject to rapid and significant changes. We compete against companies and financial institutions across the retail banking, financial services, consumer technology and financial technology services industries, as well as other nonbank lenders serving credit-challenged consumers, including online marketplace lenders, check cashers, point-of-sale lenders and payday lenders. We may compete with others in the market who may in the future provide offerings similar to ours, particularly companies who may provide money management, lending and other services though a platform similar to our platform. These and other competitors in the banking and financial technology industries are introducing innovative products and services that may compete with ours. We expect that this competition will continue as banking and financial technology industries continue to evolve, particularly if non-traditional non-recourse advance providers and other parties gain greater market share in these industries or if changes in financial services regulation enable new competitors to enter the sector or new means of offering products and services that compete with ours. For example, some earned wage access providers with which Dave competes are evaluating whether to adopt new business models, such as through providing overdraft services through a partner bank or extending a line of credit. If we are unable to differentiate our products and platform from and successfully compete with those of our competitors, or if our competitors adopt business models that more closely resemble our own, we may lose our competitive advantage and our business, results of operations and financial condition may be materially and adversely affected.</w:t>
      </w:r>
    </w:p>
    <w:p>
      <w:pPr>
        <w:spacing w:after="0" w:line="1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Many existing and potential competitors are entities substantially larger in size and more established, including with greater resources, highly diversified revenues and significantly more brand awareness than ours. As such, many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competitors can leverage their size, robust networks, financial wherewithal, brand awareness, pricing power and technological assets to compete with us. To the extent new entrants gain market share, the purchase and use of our products and services would decline. If price competition materially intensifies, we may have to decrease the prices of our products and services, which would likely adversely affect the results of operations.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long-term success depends on our ability to compete effectively against existing and potential competitors that seek to provide banking and financial technology products and services. If we fail to compete effectively against these competitors, our revenues, results of operations, prospects for future growth and overall business will be materially and adversely affected.</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ExtraCash exposes us to credit risk of our Members and if our underwriting criteria for ExtraCash is not sufficient to mitigate against this risk, or if the data we use to underwrite is inaccurate or incomplete, our financial condition and operating results could be adversely affected if a substantial number of our Members fail to repay the ExtraCash overdraft they receive.</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ExtraCash product exposes us to financial losses if Members do not repay the ExtraCash overdraft. The timing and volume of repayments have a significant impact on our financial results and cash flows. If a large number of Members do not repay ExtraCash overdrafts, our financial condition and operating results would be adversely affected.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underwriting standards may not offer adequate protection against the risk of non-payment, especially in periods of economic uncertainty such as existed more recently with rising interest rates, and inflationary pressures. We rely on consumer’s bank account data obtained through a third party in order to develop our underwriting models and in order to underwrite any particular consumer’s ExtraCash overdraft. If this data becomes unavailable or is inaccurate or incomplete, our underwriting may not adequately predict repayment of advances.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accurately forecast performance and determine an appropriate provision and our credit loss allowance, is critical to our business and financial results. The determination of our credit loss allowance requires many assumptions and complex analyses, including management’s evaluation of the risk inherent in the ExtraCash portfolio, composition of the portfolio, specific impaired ExtraCash receivables, and current economic conditions.</w:t>
      </w:r>
    </w:p>
    <w:p>
      <w:pPr>
        <w:spacing w:after="0" w:line="1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 xml:space="preserve">There can be no assurance that our performance forecasts will be accurate. In periods with changing economic conditions, elevated interest rates and persistent inflationary pressures, accurately forecasting repayment of ExtraCash receivables is more difficult. Our credit loss allowance is an estimate, and if actual repayment defaults are materially greater than our credit loss allowance, or more generally, if our forecasts are not accurate, our financial position, liquidity and results of operations could be materially adversely affected. Specifically, we may incur net charge-offs in excess of our reserves, or we may be required to increase our provision for credit losses, either of which would adversely affect our results of operations.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Management’s 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Analysis of Financial Condition and Results of Operations-Critical Accounting Policies and Estimates</w:t>
      </w:r>
      <w:r>
        <w:rPr>
          <w:rFonts w:ascii="Times New Roman" w:cs="Times New Roman" w:eastAsia="Times New Roman" w:hAnsi="Times New Roman"/>
          <w:sz w:val="17"/>
          <w:szCs w:val="17"/>
          <w:color w:val="auto"/>
        </w:rPr>
        <w:t>” in this Annual Report on Form 10-K.</w:t>
      </w:r>
    </w:p>
    <w:p>
      <w:pPr>
        <w:spacing w:after="0" w:line="2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 may not view or treat ExtraCash as having the same significance as other obligations and ExtraCash overdrafts facilitated through our platform are not secured, guaranteed, or insured and involve a high degree of financial risk.</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Members may not view ExtraCash overdrafts facilitated through our platform as having the same significance as other credit obligations arising under more traditional circumstances.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ExtraCash overdrafts facilitated through our platform are not secured by any collateral, not guaranteed or insured by any third party, and not backed by any governmental authority in any way. Therefore, if we purchase ExtraCash receivables from our originating bank partners after they are originated, we are limited in our ability to settle on these overdrafts if a Member is unwilling or unable to repay them. Additionally, because we do not report ExtraCash payment information to consumer reporting agencies, our Members may prioritize payment of obligations to other creditors who do report payment information to these agencies. A Member’s ability and willingness to repay their ExtraCash overdrafts can be negatively impacted by increases in their payment obligations to other lenders under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mortgage, credit card, and other loans. If a consumer neglects his or her payment obligations on an ExtraCash overdraft facilitated through our platform or chooses not to repay his or her overdraft entirely, it will have an adverse effect on our business, results of operations, financial condition, future prospects, and cash flows.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personal loans and ExtraCash are dischargeable in a bankruptcy proceeding involving a borrower without the need for the borrower to file an adversary proceeding. The discharge of a significant amount of ExtraCash overdrafts could adversely affect our financial condition. Furthermore, other characteristics of ExtraCash overdrafts may increase the risk of default or fraud and there are few restrictions on the uses that may be made of ExtraCash overdrafts by borrowers, which may result in increased levels of credit consumption. These factors may reduce the amounts received from ExtraCash receivables and adversely affect our operating results and financial condition.</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ExtraCash, based on a limited performance history, and therefore we have only limited prepayment, loss and delinquency data with respect to ExtraCash on which to base projections.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performance of ExtraCash is significantly dependent on our ability to develop and deploy effective models, with oversight by our bank partner, to evaluate an applicant’s credit profile and likelihood of default based on a variety of factors and originate ExtraCash overdrafts. Despite recession-readiness planning and stress forecasting, there is no assurance that the credit criteria can accurately predict performance under economic conditions such as a prolonged down-cycle or recessionary economic environment or the governmental response to periods of disruption, which may drive unexpected outcomes. If the credit criteria does not accurately reflect credit risk on the ExtraCash overdrafts, greater than expected losses may result on these ExtraCash receivables and our business, operating results, financial condition and prospects could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settlement of ExtraCash overdrafts is ineffective or unsuccessful, the performance of the overdrafts could be adversely affected.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settle ExtraCash overdrafts is dependent on the consumer’s continuing financial stability. Consequently, settlement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ExtraCash overdrafts.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settle amounts owed and due on ExtraCash overdrafts facilitated through our platform, reduce income received from ExtraCash overdrafts facilitated through our platform, or negatively affect our ability to comply with our current financing arrangements or obtain financing with respect to ExtraCash overdrafts facilitated through our platform.</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the rapid technological developments in our industry and the larger financial services industry necessary to continue providing our Members with new and innovative products and services, the use of our platform and other products and services could decline.</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financial services industry is subject to rapid and significant technological changes. We cannot predict the effect of technological changes on our business. We expect that new services and technologies applicable to our industry will continue to emerge, and these new services and technologies may be superior to, or render obsolete, the technologies we currently utilize in our products and services. Our future success will depend, in part, on our ability to develop new technologies and adapt to technological changes and evolving industry standards. These initiatives are inherently risky, and they may not be successful or may have an adverse effect on our business, financial condition and results of operations. Additionally, we may make future investments in, or enter into strategic partnerships to develop new technologies and services or to implement infrastructure to further our strategic objectives, strengthen our existing businesses and remain competitive. However, our ability to transition to new services and technologies that we develop may be inhibited by a lack of industry-wide standards, changes to the regulatory landscape, resistance by consumers to these changes, or by the intellectual property rights of third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prices we charge for our products and services are unacceptable to our Members, our operating results will be harmed.</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recently changed our ExtraCash pricing model from an optional fee model to a simplified 5% overdraft service fee structure including a $5 minimum and $15 maximum. We also generate revenue by charging Members a fixed monthly rate for membership to our platform and from our Dave Banking Product through interchange and out-of-network ATM fees, as well as from our job portal service through referral fees from partner companies. As the market for our platform matures, as new or existing competitors introduce new products or services that compete with ours or if general inflationary pressures continue, we may experience pricing pressure and be unable to retain current Members and attract new Members at prices that are consistent with our pricing model and operating budget. Our pricing strategy for existing or new products and services, including our recent changes to eliminate optional tips and fees, may prove to be unappealing to our Members, and our competitors could choose to bundle certain products and services to be competitive with ours. If this were to occur, it is possible that we would have to change our pricing strategies or reduce our prices, which could harm our revenue, gross profits, and operating results.</w:t>
      </w:r>
    </w:p>
    <w:p>
      <w:pPr>
        <w:spacing w:after="0" w:line="29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artificial intelligence in our operations and product offerings could result in reputational or competitive harm, legal or regulatory liability and adverse impacts on our results of operations.</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have incorporated, and expect to continue to incorporate in the future, AI solutions into our operations and product offerings. For example our underwriting engine, CashAI, contains models that are built using AI technologies such as machine learning. We also have partnered with a third party vendor to offer DaveGPT, a generative AI chat bot that offers self-service customer inquiry resolution through natural language conversations. The use of AI creates various risks and challenges that could adversely affect our business, financial condition or results of operations. The development and deployment of AI systems involve inherent technical complexities and uncertainties, and our AI systems may encounter unexpected technical difficulties, limitations or errors, including inaccuracies in data processing or flawed algorithms, which could compromise the reliability and effectiveness of our products and services based on AI. In addition, our competitors or other third parties may incorporate AI into their products more quickly or more successfully than us, which could impair our ability to compete effectively.</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use of AI applications, including large language models,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or reputational harm, competitive harm, regulatory scrutiny or legal liability.</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introduction of AI technologies into our products and services may result in new or enhanced governmental or regulatory scrutiny, compliance requirements, litigation, confidentiality or security risks, ethical concerns or other complications that could adversely affect our business, reputation or financial results. The regulatory landscape governing AI technologies is evolving rapidly, and changes in laws, regulations or enforcement practices may impose new compliance requirements, restrict certain AI applications or increase our regulatory obligations, which could negatively impact our business and results of operations.</w:t>
      </w:r>
    </w:p>
    <w:p>
      <w:pPr>
        <w:spacing w:after="0" w:line="28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on a timely basis to meet our Members’ growing needs, and if we are not able to grow efficiently, our operating results could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usage of our platform grows and we add additional strategic partners, we will need to devote additional resources to improving and maintaining our infrastructure and computer network and integrating with third-party applications to maintain the performance of our platform. In addition, we will need to appropriately scale our internal business systems and our services organization, including customer support, risk and compliance operations, and professional services, to serve our growing Member base.</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Any failure of or delay in these efforts could result in service interruptions, impaired system performance, and reduced Member satisfaction, which could negatively impact our revenue growth. If sustained or repeated, performance issues could reduce the attractiveness of our platform to Members and could result in lost Member opportunities, which could hurt our revenue growth, Member loyalty, and our reputation. Even if we are successful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2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single bank partner, and if our present or any future key banking relationships are terminated and we are not able to secure or successfully migrate client portfolios to a new bank partner or partners, or our bank partner becomes subject to regulatory restrictions or other operational disruptions, our business would be adversely affected.</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currently rely on agreements with Evolve Bank &amp; Trust (“Evolve”), our only bank partner, to provide ExtraCash and other deposit accounts, debit card services and other transaction services to us and our Members. In June 2024, Evolve became subject to a consent order issued by its primary regulator, the Board of Governors of the Federal Reserve System (“Federal Reserve Board”), that imposes restrictions on Evolve’s operations and risk management practices. The recent bankruptcy of Synapse Financial Technologies, Inc. (“Synapse”), also affected the ability of customers of financial technology companies that used Synapse as a service provider to access funds placed at Synapse’s partner banks, including Evolve, for a number of months. We recently announced that we have entered into a Program Agreement with Coastal Community Bank to become a sponsor for our banking and ExtraCash products. Our Members will begin onboarding to Coastal Community Bank as soon as Q2 2025.</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agreements and corresponding regulations and supervisory expectations governing banks and financial institutions may give Evolve or Coastal Community Bank substantial discretion in approving certain aspects of our business practices, including our application and qualification procedures for Members and require us to comply with certain legal requirements. Our current or future bank partner’s discretionary actions or interpretations of our obligations under these agreements could impose material limitations to, or have a material adverse effect on, our business, financial condition and results of operations. In addition, any disruptions or restrictions on our bank partner’s operations could have an adverse effect on our business, financial condition and results of operations. For example, in May 2024, Evolve experienced a cybersecurity incident that resulted in the leak of certain customer information, including the information of some of our Members.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If our relationship with our bank partner is terminated or if our bank partner is unable to provide the necessary services to us, we would need to find another financial institution to provide those services, which could be difficult and expensive. Transitioning Members’ accounts from one bank partner to another, including the anticipated transition from Evolve to Coastal Community Bank, raises the risk of financial losses as a result of operational errors, including but not limited to, loss or disclosure of Member data and records, software defects, service disruption, employee misconduct, security breaches, or other similar actions or errors as well as from disputes or negotiations with an existing or prospective bank partner. Transitioning Members’ accounts from one bank partner to another also entails risk of disruption to our business from differences in the manner in which the new bank partner provides products and services to Members, including the new bank partner’s credit underwriting, regulatory compliance practices, and customer service practices and difficulties operating with more than one bank partner during any transition. The occurrence of any such events or any such changes in our bank partner’s practices could cause financial losses to our business and our Members, loss of trust, damage to our reputation, or termination of our agreements with strategic partners, each of which could result in loss of Members; loss or delayed market acceptance and sales of our products or services; legal claims against us, including from our existing or prospective bank partner; regulatory enforcement action; or diversion of resources, including through increased service expenses or financial concessions and increased insurance costs. If we are unable to find a replacement financial institution to provide the services we receive from our bank partner, we would not be able to offer ExtraCash, service our deposit accounts, debit cards and other services, which would have a material adverse effect on our business, financial condition and results of operations. Furthermore, our financial results could be adversely affected if our costs associated with using our bank partner materially change or if any penalty or claim for damages is imposed as a result of our breach of our agreements with our bank partner.</w:t>
      </w:r>
    </w:p>
    <w:p>
      <w:pPr>
        <w:spacing w:after="0" w:line="2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requirements relating to deposit insurance, our Members could be harmed in the event of a failure of our bank partner and we could be subject to enforcement actions, claims from third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parties, including our Members, and suffer economic and reputational harm that could have an adverse effect on our business.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Members benefit from deposit insurance with respect to funds that we place on their behalf at our bank partner —or that our bank partner places with other banks through reciprocal deposit arrangements—in accordance with FDIC pass-through deposit insurance requirements, which apply to funds placed and held at an FDIC-insured bank through a third party. Under the pass-through insurance rules, funds owned by a principal or principals and deposited into one or more deposit accounts at an insured bank in the name of an agent, custodian or nominee, can be insured to the same extent as if the funds were deposited in the name of the principal or principals. For purposes of determining pass-through deposit insurance coverage at the time an insured bank fails, the FDIC may rely on records of those other than a failed insured bank to identify depositors and their insured deposits if such records are maintained in good faith and in the regular course of business, the deposited funds are in fact owned by the principal and not by the third party who set up the deposit account, and the insured bank’s account records and account titling indicate the agency or custodial nature of the account. If the regulatory pass-through insurance requirements are satisfied, each of our Members’ interest in deposits that we place on their behalf at our partner bank is separately insured up to the statutory deposit insurance limit, currently $250,000 for deposits held in each deposit ownership category. If the pass-through insurance requirements are not satisfied due to operational failures by us or a third-party service provider, including our partner bank, there would be less deposit insurance coverage with respect to funds that we place on behalf of our Members at our partner bank; our Members could be harmed in the event of a failure of our bank partner; and we could be subject to enforcement actions, claims from third parties, including our consumers, and suffer economic harm that could have an adverse effect on our business. Further, negative publicity arising our Members not benefiting from pass-through deposit insurance in the event of a failure of our partner bank could be damaging to our reputation and may adversely impact use of our products and services, including our platform, and adversely affect our ability to attract new Members and business partners.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 2024, the FDIC announced and published a proposed rulemaking that, if adopted, would increase requirements for certain custodial deposit accounts at insured banks, including requirements related to recordkeeping, internal controls, policies and procedures, as well as a requirement that the depository bank conduct daily reconciliations against the beneficial ownership records of the custodial deposit accounts. If the proposed rulemaking or a similar rulemaking is adopted, it may increase the operational costs and difficulty in placing our Member’s funds at our partner bank and could result in operating difficulties, liabilities and expenses that harm our business.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requirements of our third-party providers, they could seek to suspend or terminate our accounts, which could adversely affect our business.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on agreements with third-party providers to provide services to our Members. These agreements and corresponding regulations governing banks and financial institutions may give them substantial discretion in approving certain aspects of our business practices, including our application and qualification procedures for Members, and require us to comply with certain legal requirements. Our third-party providers’ discretionary actions under these agreements could impose material limitations, or have a material adverse effect, on our business, financial condition and results of operations. Without these relationships, we may not be able to offer certain services, which would have a material adverse effect on our business, financial condition and results of operations. Furthermore, our financial results could be adversely affected if our costs associated with such relationships materially change or if any penalty or claim for damages is imposed as a result of our breach of the agreement with them or their other requirements.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third-party vendor relationships subject us to a variety of risks, and the failure of third parties to comply with legal or regulatory requirements or to provide various services could have an adverse effect on our business, results of operations, financial condition, and future prospects.</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significant third-party vendors that, among other things, provide us with financial, technology, and other services to support our products and other activities, including, for example, data providers, cloud-based data storage and other IT solutions, and payment processing. Institutions may be held responsible for the actions of the companies with which they contract. Accordingly, we could be adversely impacted to the extent our third-party vendors fail to comply with legal requirements applicable to the particular products or services being offered.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some cases, third-party vendors are the sole source, or one of a limited number of sources, of the services they provide to us. For example, we are solely reliant on our agreement with our cloud computing web services provider for the provision of cloud infrastructure services to support our platform. In addition, we rely on a single third-party vendor to provide a number of issuing and processing services across several of our products.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some or all of our current third-party vendors were to terminate their agreements with us or otherwise stop providing services to us on acceptable terms, we may be unable to procure alternatives from other vendors in a timely and efficient manner and on acceptable terms (or at all). If any third-party vendor fails to provide the services we require, fails to meet contractual requirements (including compliance with applicable laws and regulations), fails to maintain adequate data privacy controls and electronic security systems, or suffers a cyber-attack or other security breach, we could be subject to federal and state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29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several third-party service providers to process our transactions and provide other important services for our business. If any of our agreements with our service providers are terminated or if we experience any interruption or delay in the services provided by our third-party service providers, delivery of our products and services could be impaired or suspended and our business could suffer.</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involves processing of large numbers of transactions and management of the data necessary to do so. Our success depends upon the efficient and error-free handling of the money that is collected, remitted or deposited in connection with the provision of our products and services. We rely on the ability of our vendors and third-parties to process and facilitate these transactions, including ACH processing (as we are not a bank), and debit card payment processing, in an efficient, uninterrupted and error-free manner. We also rely on third-party service providers to perform various functions relating to our business, including software development, marketing, operational functions, fraud detection, cloud infrastructure services, information technology, data analysis, and, because we are not a bank and cannot belong or directly access the ACH payment network, ACH processing, and debit card payment processing.</w:t>
      </w:r>
    </w:p>
    <w:p>
      <w:pPr>
        <w:spacing w:after="0" w:line="18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While we oversee these service providers to help ensure they provide services in accordance with our agreements and regulatory requirements, we do not have control over the operations of any of our third-party service providers. In the event that a third-party service provider fails to perform for any reason, including negligence, willful misconduct or fraud, fire, natural disaster, power loss, telecommunication failures, software and hardware defects, terrorist attacks and similar events, our ability to process payments and perform other operational functions for which we currently rely on such third-party service providers will suffer and our business, cash flows and future prospects may be negatively impacted. For example, the recent bankruptcy of Synapse has affected the ability of customers of financial technology companies that used Synapse as a service provider to access funds placed at Synapse’s partner banks, including Evolve, for a number of months. While we were not directly affected by the bankruptcy of Synapse, the occurrence of similar failures by certain of our service providers could similarly cause financial losses to our business and our Members, loss of trust, damage to our reputation, or termination of our agreements with strategic partners, each of which could result in loss of Members; loss or delayed market acceptance and sales of our products or services; legal claims against us; regulatory enforcement action; or diversion of resources, including through increased service expenses or financial concessions and increased insurance costs. In addition, certain federal and state regulators have cited Synapse’s bankruptcy in connection with proposed regulatory initiatives. These initiatives, or similar actions by federal and state regulators, may increase compliance costs associated with our business or impact our relationships with our current partner bank or any future partner bank, limit our ability to offer our Members deposit accounts through “for-benefit-of” arrangements with our partner bank, or restrict the availability or marketing of pass-through deposit insurance for such accounts, which could adversely impact use of our products and services, including our platform, and adversely affect our ability to attract new Members and business partners.</w:t>
      </w:r>
    </w:p>
    <w:p>
      <w:pPr>
        <w:spacing w:after="0" w:line="19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use both internally developed and third-party systems, including cloud computing and storage systems, for our services and certain aspects of transaction processing. Any damage to, or failure of, third party computer network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56" w:lineRule="auto"/>
        <w:rPr>
          <w:sz w:val="20"/>
          <w:szCs w:val="20"/>
          <w:color w:val="auto"/>
        </w:rPr>
      </w:pPr>
      <w:r>
        <w:rPr>
          <w:rFonts w:ascii="Times New Roman" w:cs="Times New Roman" w:eastAsia="Times New Roman" w:hAnsi="Times New Roman"/>
          <w:sz w:val="18"/>
          <w:szCs w:val="18"/>
          <w:color w:val="auto"/>
        </w:rPr>
        <w:t>systems or data centers generally, or those of our vendors (including as a result of disruptions at our third-party data center hosting facilities and cloud providers), or an improper action by our employees, agents or third-party vendors, could result in interruptions in our services, causing Members and other partners to become dissatisfied with our products and services or subject us to potential financial losses. Sustained or repeated system failures could reduce the attractiveness of our products and services, and result in Member attrition, thereby reducing operating revenue and harming our results of operations. Further, negative publicity arising from these types of disruptions could be damaging to our reputation and may adversely impact use of our products and services, including our platform, and adversely affect our ability to attract new Members and business partners.</w:t>
      </w:r>
    </w:p>
    <w:p>
      <w:pPr>
        <w:spacing w:after="0" w:line="29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including growth in our volume of payments, may not be indicative of our future growth, and if we continue to grow rapidly, we may not be able to manage our growth effectively. Our rapid growth also makes it difficult to evaluate our future prospects and may increase the risk that we will not continue to be successful.</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revenues increased from $259.1 million in 2023 to $347.1 million in 2024. Although we have recently experienced significant growth in our revenue and transaction volume, even if our revenue continues to increase, we expect our growth rate will decline in the future as a result of a variety of factors, including the increasing scale of our business. Overall growth of our revenue depends on a number of factors, including our ability to:</w:t>
      </w:r>
    </w:p>
    <w:p>
      <w:pPr>
        <w:spacing w:after="0" w:line="17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and services effectively to attract new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new products and expand the functionality and scope of the products we offer on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rates at which Members subscribe to and continue to use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Members with high-quality support that meets their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our products to new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risks related to fluctuating interest rates and inflation on our business and operations.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it may be difficult to achieve and maintain profitability. You should not rely on our revenue from any prior quarterly or annual periods as any indication of our future revenue or revenue or payment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expect to invest substantial financial and other resources on:</w:t>
      </w:r>
    </w:p>
    <w:p>
      <w:pPr>
        <w:spacing w:after="0" w:line="117" w:lineRule="exact"/>
        <w:rPr>
          <w:sz w:val="20"/>
          <w:szCs w:val="20"/>
          <w:color w:val="auto"/>
        </w:rPr>
      </w:pPr>
    </w:p>
    <w:p>
      <w:pPr>
        <w:ind w:left="1020" w:right="1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customer success;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 risk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or if we encounter difficulties in managing a</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7" w:name="page28"/>
    <w:bookmarkEnd w:id="27"/>
    <w:p>
      <w:pPr>
        <w:spacing w:after="0" w:line="1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growing volume of payments, our business, financial position and operating results will be adversely affected, and we may not be able to achieve or maintain profitability over the long term.</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acquire new Members and retain our current Members or sell additional functionality and services to them, our revenue growth will be adversely affected.</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 increase our revenue, in addition to acquiring new Members, we must continue to retain existing Members and expand their use of our platform by increasing the number of Members and incentivizing them to pay for additional functionality. Our ability to retain our Members and increase their usage could be impaired for a variety of reasons, including Member reaction to changes in the pricing of our products or the other risks described in this Annual Report on Form 10-K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As a result, we may be unable to retain existing Members or increase their usage of our platform, which would have an adverse effect on our business, revenue, gross margins, and other operating results, and accordingly, on the trading price of our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sell additional functionality to our existing Members may require more sophisticated and costly sales efforts. Similarly, the rate at which our Members purchase additional products from us depends on several factors, including general economic conditions, such as fluctuating interest rates and inflation, and the pricing of additional product functionality. If our efforts to sell additional functionality to our Members are not successful, our business and growth prospects would suffer.</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Member subscriptions are open-ended arrangements that can be terminated by the Member without penalty at any time. For us to maintain or improve our operating results, it is important that our Members continue to maintain their subscriptions on the same or more favorable terms. We cannot accurately predict renewal or expansion rates given the diversity of our Member base in terms of size, industry, and geography. Our renewal and expansion rates may decline or fluctuate as a result of several factors, including Member spending levels, Member satisfaction with our platform, decreases in the number of Members, pricing changes, competitive conditions, the acquisition of our Members by other companies, and general economic conditions. If our Members do not renew their subscriptions, or if they reduce their usage of our platform, our revenue and other operating results will decline and our business will be adversely affected. If our renewal or expansion rates fall significantly below the expectations of the public market, securities analysts, or investors, the trading price of our common stock would likely decline.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or if our support is more expensive than anticipated, our business and reputation could suffer.</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Members depend on our customer support services to resolve issues and fully benefit from our platform. High-quality support is essential for attracting new Members and retaining existing ones. We primarily offer customer support via chat, phone, and email. If we do not help our Members quickly resolve issues and provide effective ongoing support, or if our support personnel or methods fail to meet our Members' needs, our ability to retain Members, boost adoption among current Members, and acquire new ones could be compromised and may also harm our reputation with both existing and potential Members. If we are unable to meet our Members' customer support needs through chat, phone, and email during our current support hours, we may need to expand our support coverage, invest in new customer support methods, and provide additional live customer assistance, which could adversely impact our results of operations and profitability</w:t>
      </w:r>
      <w:r>
        <w:rPr>
          <w:rFonts w:ascii="Times New Roman" w:cs="Times New Roman" w:eastAsia="Times New Roman" w:hAnsi="Times New Roman"/>
          <w:sz w:val="12"/>
          <w:szCs w:val="12"/>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may not be available on acceptable terms, if at all.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cash receipts from services and transaction based revenues, equity financings, borrowings under the Debt Facility, issuances of convertible notes and funds received as a result of the business combination.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expect to have sufficient capital to fund our planned operations for the next 12 months. We may need to raise additional funds through the issuance of equity, equity related or debt securities, or through obtaining credit from government, financial institutions or other lenders. We cannot be certain that additional funds will be available to us on favorable terms when required, or at all. If we cannot raise additional funds when we need them, our financial condition, results of operations, business and prospects could be materially adversely affected.</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and other illegal activity involving our products and services could lead to reputational damage to us, cause us to incur financial losses, reduce the use of our platform and services and may adversely affect our financial position and results of operations.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Criminals are using increasingly sophisticated methods to engage in illegal activities using ExtraCash or deposit account products or Member information. Illegal activities involving products and services like ours often include malicious social engineering schemes, fraudulent payment or refund schemes, fabricated identities, account takeovers, identity theft and other fraudulent schemes. We rely upon third parties for transaction processing services, which subjects us and our Members to risks related to the vulnerabilities of those third parties. A single significant incident of fraud, or increases in the overall level of fraud, involving our products and services, have in the past and could in the future, result in operational losses and reputational damage to us. Such damage could reduce the use and acceptance of our products and services, cause our banking and strategic partners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 For example, in December 2024, the CFPB sued JPMorgan Chase, Bank of America, and Wells Fargo for failing to implement anti-fraud measures pertaining to their accountholders’ use of the third party peer-to-peer payment platform, Zelle. The CFPB complaint alleges that failing to investigate notices of unauthorized and incorrect transfers could result in risk under the Electronic Funds Transfer Act and Regulation E.</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address the challenges we face with respect to fraudulent activity of the nature outlined above and other fraudulent activities, we have implemented risk control mechanisms that have made it more difficult for all Members, including legitimate Members, to obtain and use our Dave Banking Product. We believe it is likely that our risk control mechanisms may continue to adversely affect the growth of our Dave Banking Product for the foreseeable future and, as a result, negatively impact our operating revenues.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information provided to us by potential Members or other third parties is incorrect or fraudulent, we may misjudge a Member’s qualifications to receive our products and services and our results of operations may be harmed and could subject us to regulatory scrutiny or penalties.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decisions to provide many of our products and services to Members are based partly on information that they provide to us or authorize us to receive. To the extent that these Members or third parties provide information to us in a manner that we are unable to verify, our decision-making process may not accurately reflect the associated risk. In addition, data provided by third-party sources is a component of our credit decision making and this data may contain inaccuracies. This may result in the inability to either approve otherwise qualified applicants or rejected otherwise unqualified applicants through our platform or accurately analyze credit data, which may adversely impact our business and negatively impact our reputation.</w:t>
      </w:r>
    </w:p>
    <w:p>
      <w:pPr>
        <w:spacing w:after="0" w:line="18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addition, there is risk of fraudulent activity associated with our business, including in connection with service providers and other third parties who handle Member information on our behalf. We use identity and fraud prevention tools to analyze data provided by external databases to authenticate the identity of each applicant that signs up for our products and services, including the products and services provided by our bank partners, however, these checks have failed from time to time and may again fail in the future, and fraud, which can be significant, has and may continue to occur. The level of fraud-related charge-offs on the products and services facilitated through our platform could be adversely affected if fraudulent activity were to significantly increase. We may not be able to recoup funds associated with our products and services made in connection with inaccurate statements, omissions of fact or fraud, in which case our revenue, results of operations and profitability will be harmed. High profile fraudulent activity or significant increases in fraudulent activity could also lead to regulatory intervention, negative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right="180"/>
        <w:spacing w:after="0" w:line="282" w:lineRule="auto"/>
        <w:rPr>
          <w:sz w:val="20"/>
          <w:szCs w:val="20"/>
          <w:color w:val="auto"/>
        </w:rPr>
      </w:pPr>
      <w:r>
        <w:rPr>
          <w:rFonts w:ascii="Times New Roman" w:cs="Times New Roman" w:eastAsia="Times New Roman" w:hAnsi="Times New Roman"/>
          <w:sz w:val="18"/>
          <w:szCs w:val="18"/>
          <w:color w:val="auto"/>
        </w:rPr>
        <w:t>publicity and the erosion of trust from our Members, which could negatively impact our results of operations, brand and reputation, and require us to take steps to reduce fraud risk, which could increase our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losses from Dave banking Member accounts.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Fraudulent activity involving Dave banking accounts may lead to fraudulent or baseless Member disputed transactions, for which Evolve as the card issuer, and we, under our agreement with Evolve, are liable under banking regulations such as the EFTA and its implementing Regulation E, or under the rules set by the payment processing networks through which the card was issued, such as Visa or Mastercard. Our fraud detection and risk control mechanisms may not prevent all fraudulent or illegal activity, and the regulations and payment network rules may become more onerous, causing additional losses for us. To the extent we incur losses from disputed transactions, our business, results of operations and financial condition could be materially and adversely affected. Additionally, our Members can incur charges in excess of the funds available in their accounts, and we may become liable for these overdrafts. While we decline authorization attempts for amounts that exceed the available balance in a Member’s account, the application of payment network rules and the timing of the settlement of transactions, among other things, can result in overdrawn accounts.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Dave Checking account we may also be subject to overdraft exposure arising primarily from late-posting. A late-post occurs when a merchant posts a transaction within a payment network-permitted timeframe, but subsequent to our release of the authorization for that transaction, as permitted by payment network rules. Under payment network rules, we may be liable for the transaction amount even if the Member has made additional purchases in the intervening period and funds are no longer available in the Member’s account at the time the transaction is posted.</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Laws and regulation governing overdrafts continues to evolve and may change. For example, on December 12, 2024, the CFPB proposed regulations that would impose additional obligations and restrict fees on overdraft accounts provided by certain financial institutions. If this proposal or other changes to the laws and regulations governing overdrafts are enacted, our business could be adversely affected.</w:t>
      </w:r>
    </w:p>
    <w:p>
      <w:pPr>
        <w:spacing w:after="0" w:line="28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receive funds from, and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business is subject to the risk of financial losses as a result of operational errors, software defects, service disruption, employee misconduct, security breaches, or other similar actions or errors on our platform. Software errors in our platform and operational errors by our employees may also expose us to losses.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Moreover, our trustworthiness and reputation are fundamental to our business. The occurrence of any operational errors, software defects, service disruption, employee misconduct, security breaches, or other similar actions or errors on our platform could result in financial losses to our business and our Members, loss of trust, damage to our reputation, or termination of our agreements with strategic partners, each of which could result in:</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delayed market acceptance and sales of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resources, including through increased service expenses or financial concessions, and increased insurance costs.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will cover losses or our coverage will be sufficient to cover our losses. If we suffer significant losses or reputational harm as a result, our business, operating results, and financial condition could be adversely affected.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and systems rely on software that is highly technical and complex. In addition, our platform and systems depend on the ability of such software to store, retrieve, process, and manage immense amounts of data. As a result, undetected errors, failures, bugs, or defects may be present in such software or occur in the future in such software, including open source software and software we license from third parties, especially when updates or new products or services are released.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real or perceived errors, failures, bugs, or defects in the software may not be found until our Members use our platform and could result in outages or degraded quality of service on our platform that could adversely impact our business, as well as cause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Members, retain existing Members, or expand their use of our products and services, which would adversely affect our business, results of operations, financial condition, and future prospects.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We also have arrangements in place with certain third-party service providers with which we share consumer information for servicing purposes. Information security risks in the financial services industry continue to increase generally, in part because of new technologies, the use of the Internet and telecommunications technologies (including mobile devices) to conduct financial and other business transactions and the increased sophistication and activities of organized criminals, perpetrators of fraud, hackers, terrorists and other malicious third parties. In addition to cyberattacks and other security breaches involving the theft of sensitive and confidential information, hackers, terrorists, sophisticated nation-state and nation-state supported actors and other malicious third parties recently have engaged in attacks that are designed to disrupt key business services, such as consumer-facing applications and websites.</w:t>
      </w:r>
    </w:p>
    <w:p>
      <w:pPr>
        <w:spacing w:after="0" w:line="2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cybersecurity challenges, including threats to our own IT infrastructure or that of our third-party providers, may take a variety of forms ranging from stolen bank accounts, email compromise, user fraud, account takeover, check fraud and cybersecurity attacks (including ransomware, unauthorized encryption, denial-of-service attacks, social engineering, unauthorized access, spam and other attacks) to “mega breaches” targeted against cloud-based services and other hosted software, which could be initiated by individual or groups of hackers or sophisticated cyber criminals. A cybersecurity incident or breach could result in disclosure of confidential information or intellectual property, or cause service interruptions and compromised data. The techniques used to obtain unauthorized access to or sabotage systems they change frequently and often are not detected until after an incident has occurred, so we may be unable to anticipate or prevent techniques used in the future. Our information technology and infrastructure, as well as those of our third-party service providers, have experienced breaches and may be subject or vulnerable in the future to breaches or attacks. For example, a third-party breach at our bank partner, Evolve, resulted in improper disclosure of certain of certain of our Members’ information, including their names, Social Security numbers, partner bank account numbers, date of birth, and contact information. Any future improper disclosure of our own confidential business information or the information of our Members could materially and adversely affect our business.</w:t>
      </w:r>
    </w:p>
    <w:p>
      <w:pPr>
        <w:spacing w:after="0" w:line="19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Members, prevent us from obtaining new partners and Members, require us to expend significant funds to remedy problems caused by breaches and implement measures to prevent further breaches, and expose us to legal risk and potential liability including from governmental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ind w:right="80"/>
        <w:spacing w:after="0" w:line="256" w:lineRule="auto"/>
        <w:rPr>
          <w:sz w:val="20"/>
          <w:szCs w:val="20"/>
          <w:color w:val="auto"/>
        </w:rPr>
      </w:pPr>
      <w:r>
        <w:rPr>
          <w:rFonts w:ascii="Times New Roman" w:cs="Times New Roman" w:eastAsia="Times New Roman" w:hAnsi="Times New Roman"/>
          <w:sz w:val="18"/>
          <w:szCs w:val="18"/>
          <w:color w:val="auto"/>
        </w:rPr>
        <w:t>regulatory investigations, class action litigation and other lawsuits. If sensitive information is lost or improperly disclosed through a data breach or otherwise or threatened to be disclosed, our partners and Members could lose confidence in the security of our systems, products and services, we could have difficulty obtaining new partners and Members, we could incur significant costs to remedy breaches and implement measures to prevent further breaches, and we could be exposed to legal risk and potential liability and penalties, including from governmental or regulatory investigations, class action litigation and other lawsuits, all of which could adversely affect our reputation and our operating results. Any actual or perceived security breach at a company providing services to us or our Members could have similar effects.</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others of security breaches involving certain types of data. In addition, our agreements with certain partners and service providers may require us to notify them in the event of certain types of security breaches. Such disclosures are costly, could lead to negative publicity, may cause our Members to lose confidence in the effectiveness of our security measures and require us to expend significant capital and other resources to respond to and/or alleviate problems caused by the actual or perceived security breach. A security breach of any of our vendors that processes personally identifiable information of our Members may pose similar risks.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May 2020, an unauthorized third party attempted to gain access to Dave Member accounts and was able to access Member profiles and Members’ partial or incomplete bank account information. We did not uncover any evidence that the attacker was able to take any actions with respect to the data other than gaining read access to it, nor do we believe any unauthorized transactions were made or ExtraCash overdrafts requested on our platform. We provided notice to relevant parties as required under applicable law and agreements and took steps to set up alerts to detect abnormal request volumes and introduced rate limiting at the IP address level. In addition, in June 2020, we were notified of an unauthorized third-party breach of our Dave database. The third party was able to gain access to Dave’s system by breaching the system of one of Dave’s third-party service providers. The attacker was able to download a large data set, including encrypted social security numbers for some Members; however, there was no evidence that unauthorized transactions were made or ExtraCash overdrafts requested on our platform, nor do we believe that the third party gained access to decryption keys or otherwise was able to decrypt the encrypted information. The May 2020 and June 2020 incidents are collectively referred to herein as the “2020 Incidents.” We took remedial measures, including the engagement of an outside security consultant to monitor for ongoing dark web activity and to conduct a security audit and incident investigation, and notified relevant parties as required under applicable law and agreements. As a result of the 2020 Incidents, we settled a purported class action in California for approximately $3.1 million and we settled individual claims outside of California for approximately $4.4 million. In addition, in 2024, our bank partner, Evolve, experienced a data breach that resulted in improper disclosure of certain of our Members’ information, including their names, Social Security numbers, partner bank account numbers, date of birth, and contact information. As we have increased our Member base and our brand has become more widely known and recognized, third parties may continue to seek to compromise our security controls or gain unauthorized access to our sensitive corporate information or our Members’ data.</w:t>
      </w:r>
    </w:p>
    <w:p>
      <w:pPr>
        <w:spacing w:after="0" w:line="19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our banking partner or other strategic partners were to conclude that our systems and security policies and procedures are insufficiently rigorous, they could terminate their relationships with us, and our financial results and business could be adversely affected. Under our terms of service and our contracts with strategic partners, if there is a breach of non-public personal information of our Members that we store, we could be liable to the partner for their losses and related expenses.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as computer malware, viruses, and computer hacking, fraudulent use attempts, and phishing attacks have become more prevalent, we, and third parties upon which we rely, face increased risk in maintaining the performance, reliability, security, and availability of our solutions and related services and technical infrastructure to the satisfaction of our Members. Any computer malware, viruses, computer hacking, fraudulent use attempts, phishing attacks, or other data security breaches related to our network infrastructure or information technology systems or to computer hardware we lease from third parties, could, among other things, harm our reputation and our ability to retain existing Members and attract new Members.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insurance may be insufficient or may not cover all liabilities incurred by cybersecurity incidents. We also cannot be certain that our insurance coverage will be adequate for data handling or data security liabilities actually incurred, that insurance will continue to be available to us on economically reasonable terms, or at all, or that 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ind w:right="460"/>
        <w:spacing w:after="0" w:line="266" w:lineRule="auto"/>
        <w:rPr>
          <w:sz w:val="20"/>
          <w:szCs w:val="20"/>
          <w:color w:val="auto"/>
        </w:rPr>
      </w:pPr>
      <w:r>
        <w:rPr>
          <w:rFonts w:ascii="Times New Roman" w:cs="Times New Roman" w:eastAsia="Times New Roman" w:hAnsi="Times New Roman"/>
          <w:sz w:val="18"/>
          <w:szCs w:val="18"/>
          <w:color w:val="auto"/>
        </w:rPr>
        <w:t>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strive to deliver simple, transparent, and fair financial products, which may conflict with the short-term interests of our stockholders.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core principle, and the foundation on which we have built our company, is to deliver simple, transparent, and fair financial products. Therefore, we have made in the past, and may make in the future, decisions that we believe will benefit our Members and therefore provide long-term benefits for our business, even if our decision negatively impacts our short-term results of operations. For example, on February 20, 2025, we announced the completion of changes to our optional fee revenue model (tips and instant transfer fees) for ExtraCash. The optional fee model was replaced with a simplified 5% overdraft service fee structure including a $5 minimum and $15 maximum, starting with new customers in December 2024, and completely transitioned to existing customers as of February 19, 2025. Our decisions may negatively impact our short-term financial results or not provide the long-term benefits that we expect, in which case the success of our business and results of operations could be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debit interchange rates could adversely affect our business, financial position and results of operations.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interchange revenues from fees charged to merchants by card networks for processing a debit or credit payment to represent a significant percentage of our total operating revenues as adoption of our Dave Banking Product increases. The amount of interchange revenues that we earn is highly dependent on the interchange rates that the payment networks set and adjust from time to time.</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enactment of the Dodd-Frank Act required the Federal Reserve Board to implement regulations that have substantially limited interchange fees for many debit card issuers. While the interchange rates that may be earned by us are exempt from the limitations imposed by the Dodd-Frank Act, there can be no assurance that future regulation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To the extent we change the pricing of our Dave Banking Product, we might find it more difficult to acquire new Members, to maintain or grow Dave banking debit card usage and to retain existing Members. As a result, our total operating revenues, operating results, prospects for future growth and overall business could be materially and adversely affected.</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Dave has historically incurred losses in the operation of its business. Although we have recently achieved profitability, there is no guarantee that we will sustain profitability.</w:t>
      </w:r>
    </w:p>
    <w:p>
      <w:pPr>
        <w:spacing w:after="0" w:line="15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Since incorporation in October 2015, we have been engaged in growth activities related to building our business, which requires substantial capital and other expenditures. We have incurred net losses in previous fiscal years, and although we have recently achieved profitability, there is no guarantee that we will sustain profitability, and we may incur losses again in the future. We expect our cash needs to increase significantly for the next several years as we:</w:t>
      </w:r>
    </w:p>
    <w:p>
      <w:pPr>
        <w:spacing w:after="0" w:line="50"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marketing, client support, engineering, product development and administrative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client support and service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new and upgraded operational and financial systems, procedures and controls.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a result of these continuing costs and expenses, we need to generate significant revenues to attain and maintain profitability and positive cash flow. To date, our operations have been supported by primarily through cash receipts from services and transaction based revenues, equity financings, borrowings under the Debt Facility, issuances of</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33" w:name="page34"/>
    <w:bookmarkEnd w:id="33"/>
    <w:p>
      <w:pPr>
        <w:spacing w:after="0" w:line="1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convertible notes and funds received as a result of the business combination. If we do not continue to increase our revenues, our business, results of operations and financial condition could be materially and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market interest rates have had and could continue to have an adverse effect on our business.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2022, in response to inflationary conditions, the U.S. Federal Reserve began raising the federal funds interest rate and continued to do so through July 2023, with the federal funds interest rate remaining elevated compared to March 2022 rates as of February 2025. Elevated interest rates have had, and may continue to have, an adverse impact on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in the future.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in the future, which may adversely affect our stock price. Fluctuations in our quarterly or annual results of operations might result from a number of factors, many of which are outside of our control, including, but not limited to:</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by our Members on how they use our ExtraCash and Dave Banking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ExtraCash overdraft payments and subscriptions and use of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or service introductions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Member retention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and services that we provide to our Members;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of new product development and initiatives, the timing of costs of existing product roll-outs and the length of time we must invest in those new products before they generate material operating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sell our products through direct-to-consumer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 our competitors’ pricing policies or sales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significant changes in our risk policies and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fraud losses;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commencement and termination of major advertising campaigns, including partnerships and sponsorships;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performance of our products and services, and the associated financial impact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of any major litigation to which we are a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the acquisition of complementary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capital expenditures and operating costs related to the maintenance and expansion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executive leadership team;</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third-party service provider costs and sales and marketing expenses in an increasingly competitive market;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regulatory environment affecting the banking or financial technology service industries.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about us or our industry could adversely affect our business, results of operations, financial condition, and future prospects.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Negative publicity about us or our industry, even if inaccurate, could adversely affect our reputation and the confidence in, and use of our platform, potentially harming our reputation and causing disruptions to our platform. Such negative publicity could involve the: transparency, fairness, our Members’ experience, quality, and reliability of our platform or consumer fintech platforms in general, the effectiveness of our risk models, our ability to effectively manage and resolve complaints, our privacy and security practices, litigation, regulatory activity, misconduct by our employees, funding sources, bank partners and structure of our bank partner products, service providers, or others in our industry, the experience of consumers with our platform or services. Any such reputational harm could further affect the behavior of consumers, including their willingness to use ExtraCash, deposit accounts, and other products and services facilitated through our platform. As a result, our business, results of operations, financial condition, and future prospects would be materially and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may be harmed.</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personnel, or if we are unable to attract and retain executives and employees we need to support our operations and growth, our business may be harmed.</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and other key employees who are critical to our overall management, as well as the continued development of our products, strategic partnerships, our culture and our strategic direction. We currently do not have “key person” insurance on any of our employees. The loss of one or more of our senior management team members or other key employees could disrupt or harm our business, and we may not be able to find adequate replacements. We cannot provide assurance that we will be able to retain the services of any members of our senior management or other key employees or that we would be able to timely replace members of our senior management or other key employees should any of them depart.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Misconduct and errors by our employees, contractors and third-party service providers could harm our business and reputation.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the risk of misconduct and errors by our employees, contractors and third-party service providers. Our business depends on our employees, contractors and third-party service providers to facilitate the operation of our business and process a large number of increasingly complex transactions, and if any of our employees, contractors or third-party service providers provide unsatisfactory service or take, convert or misuse funds, documents or data (including Member and/or internal documents or data), make an error, or fail to follow protocol (including when interacting with Members), we could lose Members, harm our reputation, be liable for damages, be subject to repurchase obligations and be subject to complaints, regulatory actions and penalties.</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While we have internal procedures and oversight functions designed to protect us against these risks, if any of the foregoing nonetheless were to occur, we also could be perceived to have facilitated or participated in the illegal misappropriation of funds, documents or data, or the failure to follow protocol, and therefore be subject to civil or criminal liability.</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Additionally, our use of third-party vendors is subject to increasingly demanding regulatory requirements and oversight by our regulators. Regulations require us to perform due diligence and ongoing monitoring of,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ind w:right="300"/>
        <w:spacing w:after="0" w:line="266" w:lineRule="auto"/>
        <w:rPr>
          <w:sz w:val="20"/>
          <w:szCs w:val="20"/>
          <w:color w:val="auto"/>
        </w:rPr>
      </w:pPr>
      <w:r>
        <w:rPr>
          <w:rFonts w:ascii="Times New Roman" w:cs="Times New Roman" w:eastAsia="Times New Roman" w:hAnsi="Times New Roman"/>
          <w:sz w:val="18"/>
          <w:szCs w:val="18"/>
          <w:color w:val="auto"/>
        </w:rPr>
        <w:t>exercise certain controls over, our third-party vendors and other ongoing third-party business relationships. We expect that our regulators will hold us responsible for deficiencies in our oversight and control of our third-party relationships and in the performance of the parties with which we have these relationships.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Any of these occurrences could result in our diminished ability to operate our business, potential liability to Members, inability to attract future Members, reputational damage, regulatory intervention, enforcement action and financial harm, which could negatively impact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experience in managing a public company, and face significant challenges as a new entrant in our industry.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Legacy Dave was incorporated in October 2015, and we have a relatively short operating history in the financial services industry, which is continuously evolving. We have limited experience to date in building consumer financial services technology. We cannot provide assurance that we will be able to develop products and services on our platform that will enable us to meet quality, price and engineering standards, as well as comply with any regulatory standards we may be subject to. Our business and prospects should be considered in light of the risks and significant challenges we face as a new entrant in our industry, including, among other things, with respect to our ability to:</w:t>
      </w:r>
    </w:p>
    <w:p>
      <w:pPr>
        <w:spacing w:after="0" w:line="7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trusted and respected brand;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Member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our services and successfully anticipate the usage of such services by our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reliable, secure, high-performance and scalable technology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 our future revenues and appropriately budget our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trends that may emerge and affect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may be materially and adversely affected.</w:t>
      </w:r>
    </w:p>
    <w:p>
      <w:pPr>
        <w:spacing w:after="0" w:line="22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Furthermore, many of our senior management team have limited experience in managing a publicly-traded company. Their limited experience with the increasingly complex laws pertaining to public companies could be a significant disadvantage and an increasing amount of their time may be devoted to these activities, which will result in less time being devoted to the management and growth of the company’s operations. We may not have adequate personnel with the appropriate level of knowledge, experience and training in accounting policies, compliance practices or internal controls required of public companies. The development and implementation of the standards and controls and the hiring of experienced personnel necessary to achieve the level of accounting standards required of a public company may require expenditures greater than expected, and a delay could impact our ability to accurately and timely report our operating results, timely file required reports with the SEC and comply with Section 404 of the Sarbanes-Oxley Act of 2002 (the “Sarbanes-Oxley Act”). We have expanded our employee base to support our operations as a public company and it is possible that additional employees may need to be hired, which will increase our operating costs in future periods.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36" w:name="page37"/>
    <w:bookmarkEnd w:id="36"/>
    <w:p>
      <w:pPr>
        <w:spacing w:after="0" w:line="29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Dave identified material weaknesses in its internal control over financial reporting in its financial statements for the years ended December 31, 2023 and 2022. If Dave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audits of our consolidated financial statements for the years ended December 31, 2023 and 2022,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remediation plans are described in Item 9A of this Annual Report on Form 10-K.</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cannot provide assurance that the measures we have taken to date and may take in the future will prevent or avoid potential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or identify additional material weakness in the future, our ability to record, process and report financial information accurately, and to prepare financial statements within the time periods required by the SEC, could be adversely affected which, in turn, may adversely affect our reputation and business and the market price of the Company’s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9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and rights. We rely on a combination of copyrights, trademarks, trade secret laws, and contractual provisions to establish and protect our proprietary rights. However, the steps we take to protect our intellectual property may be inadequate. Any of our trademarks or other intellectual property rights may be challenged or circumvented by others or invalidated through administrative process or litigation. Despite our precautions, it may be possible for unauthorized third parties to copy our products and use information that we regard as proprietary to create products and services that compete with ours.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assurance can be given that the contractual agreements we enter into to establish and protect our proprietary rights will be effective in controlling access to and distribution of our products and proprietary information. Further, these agreements do not prevent our competitors or partners from independently developing technologies that are substantially equivalent or superior to our platform.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subject us to litigation or other actions.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open source software in our products. From time to time, there have been claims challenging the ownership of open source software against companies that incorporate it into their products. As a result, we could be subject to lawsuits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under certain open source licenses, we could be required to make public the source code of our proprietary software products.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catastrophic events, pandemics and man-made problems such as power disruptions, political instability, civil unrest, terrorist activity or war may disrupt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Natural disasters, pandemics, other catastrophic events or man-made disasters may cause damage or disruption to our operations, international commerce and the global economy, and thus could harm our business. We have a large employee presence in Los Angeles, California, and our data centers are located in the Midwest. The west coast of the United States contains active earthquake zones and the greater Los Angeles area has recently experienced major fires, including the significant damage and lasting effects of the January 2025 wildfires, and may experience major fires in the future. In the event of a major earthquake, hurricane or catastrophic event such as fire, power loss, telecommunications failure, political instability, civil unrest, war, or terrorist attack, we may be unable to continue our operations and may experience system interruptions, reputational harm, delays in our application development, lengthy interruptions in the availability of our products and services, breaches of data security, and loss of critical data, all of which could harm our business, operating results, and financial condition.</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insurance we maintain may not cover or may be insufficient to cover our losses resulting from disasters, or other business interruptions, and any incidents may result in loss of, or increased costs of, such insurance.</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financial condition and results of operations.</w:t>
      </w:r>
    </w:p>
    <w:p>
      <w:pPr>
        <w:spacing w:after="0" w:line="15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Since the beginning of March 2023, there have been public reports of instability at various financial institutions, with certain financial institutions being severely impacted. Financial services institutions are interrelated with our business as a result of our reliance on partner banks, card networks, payment processors and others in the financial services industry.</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and adversely affect our financial condition and results of operations. For example, Silicon Valley Bank and Signature Bank were put into FDIC receivership in March 2023 and First Republic Bank was put into FDIC receivership in May 2023. These market developments have negatively impacted customer confidence in the safety and soundness of certain banks. As a result, our Members may choose to maintain deposits with other financial institutions or spread their deposit funds among multiple financial institutions. The closure of financial institutions, even if such financial institutions are unrelated to our business, may result in a deterioration of consumer confidence in banks and the banking system more broadly as well as declines in the price of our stock or reluctance of our Members to use our products and services.</w:t>
      </w:r>
    </w:p>
    <w:p>
      <w:pPr>
        <w:spacing w:after="0" w:line="18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It is likely that, if the banking sector deteriorates, the U.S. and/or other global economies would be adversely affected, including facing the possibility of a recession, the duration and severity of which is difficult to predict. These developments may adversely affect our business, financial condition and results of operations.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impacted, to a significant extent, by the general economy, the creditworthiness of the U.S. consumer and the financial performance of our partners.</w:t>
      </w:r>
    </w:p>
    <w:p>
      <w:pPr>
        <w:spacing w:after="0" w:line="159" w:lineRule="exact"/>
        <w:rPr>
          <w:sz w:val="20"/>
          <w:szCs w:val="20"/>
          <w:color w:val="auto"/>
        </w:rPr>
      </w:pPr>
    </w:p>
    <w:p>
      <w:pPr>
        <w:ind w:right="20" w:firstLine="45"/>
        <w:spacing w:after="0" w:line="256" w:lineRule="auto"/>
        <w:rPr>
          <w:sz w:val="20"/>
          <w:szCs w:val="20"/>
          <w:color w:val="auto"/>
        </w:rPr>
      </w:pPr>
      <w:r>
        <w:rPr>
          <w:rFonts w:ascii="Times New Roman" w:cs="Times New Roman" w:eastAsia="Times New Roman" w:hAnsi="Times New Roman"/>
          <w:sz w:val="18"/>
          <w:szCs w:val="18"/>
          <w:color w:val="auto"/>
        </w:rPr>
        <w:t>Our business, the consumer financial services industry, and our partners’ businesses are sensitive to macroeconomic conditions. Economic factors such as interest rates, changes in monetary and related policies, market volatility, inflationary conditions, student loan obligations, consumer confidence, and unemployment rates are among the most significant factors that impact consumer spending behavior. Weak economic conditions or a significant deterioration in economic conditions, including the current inflationary environment and possibility of a recession, reduce the amount of disposable income consumers have, which in turn reduces consumer spending and the willingness of qualified consumers to use ExtraCash. Such conditions are also likely to affect the ability and willingness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consumers to pay amounts owed under ExtraCash overdrafts facilitated through our platform, each of which would have an adverse effect on our business, results of operations, financial condition, and future prospects.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a commercial partner becomes subject to a voluntary or involuntary bankruptcy proceeding, receivership or liquidation (or if there is a perception that it may become subject to such an action), consumers may have less incentive to pay their outstanding balances on ExtraCash overdrafts facilitated through our platform, which could result in higher charge-off rates than anticipated. Moreover, if the financial condition of a commercial partner deteriorates significantly or a commercial partner becomes subject to a bankruptcy proceeding, we may not be able to recover amounts due to us from the commercial partner.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policies may adversely impact our business, financial condition, and results of operations.</w:t>
      </w:r>
    </w:p>
    <w:p>
      <w:pPr>
        <w:spacing w:after="0" w:line="229" w:lineRule="exact"/>
        <w:rPr>
          <w:sz w:val="20"/>
          <w:szCs w:val="20"/>
          <w:color w:val="auto"/>
        </w:rPr>
      </w:pPr>
    </w:p>
    <w:p>
      <w:pPr>
        <w:ind w:right="80" w:firstLine="45"/>
        <w:spacing w:after="0" w:line="266" w:lineRule="auto"/>
        <w:rPr>
          <w:sz w:val="20"/>
          <w:szCs w:val="20"/>
          <w:color w:val="auto"/>
        </w:rPr>
      </w:pPr>
      <w:r>
        <w:rPr>
          <w:rFonts w:ascii="Times New Roman" w:cs="Times New Roman" w:eastAsia="Times New Roman" w:hAnsi="Times New Roman"/>
          <w:sz w:val="18"/>
          <w:szCs w:val="18"/>
          <w:color w:val="auto"/>
        </w:rPr>
        <w:t>The current U.S. administration has signaled the potential imposition of tariffs and retaliatory tariffs against U.S. trading partners. Potential tariffs and trade restrictions may cause the prices of products to increase, which could reduce our Members’ disposable income, and adversely impact their spending, willingness to use ExtraCash, or ability to repay ExtraCash. This, in turn, could adversely affect our financial condition and results of operations.</w:t>
      </w:r>
    </w:p>
    <w:p>
      <w:pPr>
        <w:spacing w:after="0" w:line="17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current U.S. administration is also proposing and seeking to implement significant changes to the size and scope of the federal government. These changes may include reductions to government funding of various programs and agencies, alteration of the payment systems it uses, changes in policy direction, reduction and possible elimination of various federal agencies and bureaus and reduction of the overall federal government workforce. These changes, which may have a positive impact by reducing the overall federal deficit and reducing regulatory burden, may also have potential negative impacts, including impacts on the economy as a whole or different regions or segments of the economy. Accordingly, it is possible that such comprehensive changes may be materially adverse to our Members, business, financial condition and results of operation.</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cyclical industry. In an economic downturn, default rates may increase, there may be decreased demand for our products, and there may be adverse impacts to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Recent macroeconomic factors, such as elevated interest rates, global events and market volatility, may cause the economy to enter into a period of slower economic growth or a recession, the length and severity of which cannot be predicted. Such uncertainty and negative trends in general economic conditions can have a significant negative impact on our ability to generate adequate revenue and to absorb expected and unexpected losses. Many factors, including factors that are beyond our control, may result in higher default rates by our Members and non-payment by our technology platform clients, a decline in the demand for our products, and potentially impact our ability to make accurate credit assessments, lending decisions or technology platform client selections. Any of these factors could have a detrimental impact on our financial performance and liquidity.</w:t>
      </w:r>
    </w:p>
    <w:p>
      <w:pPr>
        <w:spacing w:after="0" w:line="18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longevity and severity of a downturn or recession will also place pressure on our business and strategy. The timing and extent of a downturn may require us to change, postpone or cancel our strategic initiatives or growth plans to pursue shorter-term sustainability. The longer and more severe an economic downturn, the greater the potential adverse impact on us.</w:t>
      </w:r>
    </w:p>
    <w:p>
      <w:pPr>
        <w:spacing w:after="0" w:line="176"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economic conditions will be favorable for our business, that customer interest in our platform as a service will remain at current levels, or that default rates by Members will not increase. These impacts could limit our access to capital and negatively impact our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33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oversight in a variety of areas under federal, state and local laws, and is subject to regulatory investigations and consumer litigation.</w:t>
      </w:r>
    </w:p>
    <w:p>
      <w:pPr>
        <w:spacing w:after="0" w:line="15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subject to extensive regulation under United States federal and state laws and regulations. Regulators have broad discretion with respect to the interpretation, implementation, and enforcement of these laws and regulations,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9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including through enforcement actions that could subject us to civil money penalties, Member remediation,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or cause us to modify our products and operations or cease our ability to offer certain products altogether, which could materially and adversely affect our business. Moreover, any competitors subject to different, or in some cases less restrictive, legislative or regulatory regimes may have or obtain a competitive advantage over us.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CFPB, which oversees compliance with federal consumer financial protection laws. In addition, our partnership with Evolve and with Coastal Community Bank are subject to the supervisory authority of the Federal Reserve, which is the primary federal bank regulator of Evolve and Coastal Community Bank, and their respective state banking regulators. Any future bank partnership will also be subject to the supervisory authority of the partner bank’s primary federal and any applicable state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w:t>
      </w:r>
    </w:p>
    <w:p>
      <w:pPr>
        <w:spacing w:after="0" w:line="18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For example, 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an enforcement action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The FTC then referred the case to the Department of Justice (the “DOJ”), and on 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On February 28, 2025, we filed a motion to dismiss the DOJ’s Amended Complaint.</w:t>
      </w:r>
    </w:p>
    <w:p>
      <w:pPr>
        <w:spacing w:after="0" w:line="1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Although the Company believes that its practices have at all times been in compliance with applicable law, the outcome of any case in litigation is uncertain. Therefore, for the year ended December 31, 2024, the Company recorded a $7 million litigation and settlement accrual for this matter. Significant changes in the accrual may be required in future periods as the case progresses and additional information becomes available. At this time, the Company is unable to reasonably predict the possible outcome of this matter due to, among other things, the fact that it raises difficult factual and legal issues and is subject to many uncertainties and complexities. There can be no assurance that the Company will be successful in the litigation, and the Company may incur a loss in excess of the amount accrued. The defense or resolution of this matter could involve significant monetary costs and have a material impact on the Company’s business, financial results and operations.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we are also subject to consumer litigation, including putative consumer class actions which allege that we violate federal and/or state laws regulating the financial services industry. For example, in July 2022, a purported class action Lopez v. Dave, Inc. was filed in the U.S. District Court for the Northern District of California alleging violations of California consumer protection laws and state and federal lending laws, among other things, and we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ind w:right="20"/>
        <w:spacing w:after="0" w:line="266" w:lineRule="auto"/>
        <w:rPr>
          <w:sz w:val="20"/>
          <w:szCs w:val="20"/>
          <w:color w:val="auto"/>
        </w:rPr>
      </w:pPr>
      <w:r>
        <w:rPr>
          <w:rFonts w:ascii="Times New Roman" w:cs="Times New Roman" w:eastAsia="Times New Roman" w:hAnsi="Times New Roman"/>
          <w:sz w:val="18"/>
          <w:szCs w:val="18"/>
          <w:color w:val="auto"/>
        </w:rPr>
        <w:t>settled this matter in July 2024. In December 2022, a purported class action Golubiewski and Checchia v. Dave, Inc. was filed in the U.S. District Court for the Middle District of Pennsylvania alleging similar violations under Pennsylvania state and federal laws. We are actively litigating this matter and cannot estimate the likely outcome at this time.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“terms of use” for the Dave App as well as the Evolve agreements related to the ExtraCash and deposit accounts include arbitration clauses, and any future bank partner agreements related to the ExtraCash and deposit accounts are also expected to include arbitration clauses. If our arbitration agreements were to become unenforceable for any reason, we could experience an increase to our consumer litigation costs and exposure to potentially damaging class action lawsuits. Even if our arbitration clause remains enforceable, we may be subject to mass arbitrations in which large groups of consumers bring arbitration claims against the Company simultaneously.</w:t>
      </w:r>
    </w:p>
    <w:p>
      <w:pPr>
        <w:spacing w:after="0" w:line="2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been and may in the future also be subject to investigations and potential enforcement actions that may be brought by state regulatory authorities, state attorneys general or other state enforcement authorities and other governmental agencies. Any such actions could subject us to civil money penalties and fines, Member remediation, 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agencies and consumer advocacy groups are highly focused on potential discrimination resulting from the use of machine learning and “black-box” algorithms.</w:t>
      </w:r>
    </w:p>
    <w:p>
      <w:pPr>
        <w:spacing w:after="0" w:line="159" w:lineRule="exact"/>
        <w:rPr>
          <w:sz w:val="20"/>
          <w:szCs w:val="20"/>
          <w:color w:val="auto"/>
        </w:rPr>
      </w:pPr>
    </w:p>
    <w:p>
      <w:pPr>
        <w:ind w:right="160" w:firstLine="45"/>
        <w:spacing w:after="0" w:line="258" w:lineRule="auto"/>
        <w:rPr>
          <w:sz w:val="20"/>
          <w:szCs w:val="20"/>
          <w:color w:val="auto"/>
        </w:rPr>
      </w:pPr>
      <w:r>
        <w:rPr>
          <w:rFonts w:ascii="Times New Roman" w:cs="Times New Roman" w:eastAsia="Times New Roman" w:hAnsi="Times New Roman"/>
          <w:sz w:val="18"/>
          <w:szCs w:val="18"/>
          <w:color w:val="auto"/>
        </w:rPr>
        <w:t>We face the risk that one or more of the variables included in our proprietary machine learning engine or other models may be deemed a proxy for a protected characteristic such as race, ethnicity, or sex in violation of the ECOA. In addition, our models could inadvertently result in a “disparate impact” on protected groups. If our models were deemed to raise discrimination risk, they may need to be revised or eliminated, which could decrease the effectiveness of our models Although we may review our models for potential fair lending risk, we may be unable to identify and modify or eliminate all practices or variables causing the risk.</w:t>
      </w:r>
    </w:p>
    <w:p>
      <w:pPr>
        <w:spacing w:after="0" w:line="28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continues to be highly regulated and subject to new laws or regulations in many jurisdictions, including the U.S. states in which we operate, which could restrict the products and services we offer, impose additional compliance costs on us, render our current operations unprofitable or even prohibit our current or future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enable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regulators are interpreting existing laws, regulations and rules in new and different ways as they attempt to apply them to novel products and business models such as ours. The regulatory landscape in which we operate continues to evolve, and the CFPB has issued several interpretive statements and guidance that could impact our business practices. For example, in July 2024, the CFPB proposed an interpretive rule on paycheck advance and earned wage access, a model which Dave was originally founded on but transitioned away from beginning in 2022. If the CFPB determines that our current business model and practices fall within the scope of the proposed interpretive rule and finalizes the rule in a form similar to its proposal, we could be subject to additional regulatory requirements and scrutiny. Changes in the laws, regulations and enforcement priorities applicable to our business,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1" w:name="page42"/>
    <w:bookmarkEnd w:id="41"/>
    <w:p>
      <w:pPr>
        <w:ind w:right="80"/>
        <w:spacing w:after="0" w:line="266" w:lineRule="auto"/>
        <w:rPr>
          <w:sz w:val="20"/>
          <w:szCs w:val="20"/>
          <w:color w:val="auto"/>
        </w:rPr>
      </w:pPr>
      <w:r>
        <w:rPr>
          <w:rFonts w:ascii="Times New Roman" w:cs="Times New Roman" w:eastAsia="Times New Roman" w:hAnsi="Times New Roman"/>
          <w:sz w:val="18"/>
          <w:szCs w:val="18"/>
          <w:color w:val="auto"/>
        </w:rPr>
        <w:t>changes in the way existing laws and regulations are interpreted and applied to us, could have a material impact on our business model, operations and financial position. In some cases, these measures could even directly prohibit some or all of our current business activities in certain jurisdictions or render them unprofitable and/or impractical to continue.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as well as unenforceability of ExtraCash overdrafts facilitated through our platform, any of which could have a material adverse effect on our business, financial position, and results of operations.</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Recent actions by the current U.S. administration affecting the operations of the CFPB have led to uncertainty as to the future activities of that agency. These actions may lead to uncertainty in the consumer financial services marketplace and have collateral implications relating to, among other things, the business operations of some market participants, competition, and state agency and private enforcement of consumer protection laws, and which could potentially have adverse impacts on our business and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federal, state, and local laws and regulations relating to consumer financial protection.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and/or our bank partner are or may be subject to federal, state, and local laws and regulations governing consumer financial services. Such laws and regulations include the Truth in Lending Act, Equal Credit Opportunity Act, Fair Credit Reporting Act, Restore Online Shoppers’ Confidence Act, the FTC’s Rule Concerning Recurring Subscriptions and Other Negative Option Programs, the Consumer Financial Protection Act, the Truth in Savings Act, Electronic Fund Transfer Act, Telephone Consumer Protection Act, Controlling the Assault of Non-Solicited Pornography And Marketing Act, Gramm-Leach-Bliley Act, the CFPB’s Payday, Vehicle Title, and Certain High-Cost Installment Loans Rule, Military Lending Act, Servicemembers Civil Relief Act, prohibitions against unfair, deceptive, and abusive acts and practices, regulations implementing the statutes described above and similar state and local laws and regulations, and other laws and regulations relating to consumer credit, fair lending and banking, overdraft services, funds availability, privacy and data protection, open banking and making available consumer financial data (including Section 1033 of the Consumer Financial Protection Act), artificial intelligence, sales and cancellation practices, terms and conditions in agreements for consumer financial products or services including unilateral changes by the provider, licensure and registration, and other topics. Litigation, regulatory actions, and compliance issues relating to these and other laws could subject us to fines, penalties, restrictions on our business practices, judgments, remediation costs, requirements resulting in increased expenses, and reputational harm.</w:t>
      </w:r>
    </w:p>
    <w:p>
      <w:pPr>
        <w:spacing w:after="0" w:line="294" w:lineRule="exact"/>
        <w:rPr>
          <w:sz w:val="20"/>
          <w:szCs w:val="20"/>
          <w:color w:val="auto"/>
        </w:rPr>
      </w:pPr>
    </w:p>
    <w:p>
      <w:pPr>
        <w:ind w:right="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ExtraCash overdrafts or other transactions originated through a bank partner are found to violate applicable state usury laws or other lending laws, it could materially adversely affect our business.</w:t>
      </w:r>
    </w:p>
    <w:p>
      <w:pPr>
        <w:spacing w:after="0" w:line="15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terms and conditions of products originated through a bank partner, including ExtraCash, are based on the overdraft lending authority of the bank partner, which is exempt under federal preemption law from certain state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consumer finance laws, and the non-applicability of certain state consumer finance laws including state licensing and usury restrictions.</w:t>
      </w:r>
    </w:p>
    <w:p>
      <w:pPr>
        <w:spacing w:after="0" w:line="22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Certain recent litigation, regulatory enforcement, and legislation has challenged, or is currently challenging, the characterization of bank partners as the “true lender” in connection with programs involving origination and/or servicing relationships between a bank partner and non-bank lending platform or program manager. For example, several states, including Connecticut, Hawaii, Georgia, Illinois, Maine, Minnesota, Nevada, New Hampshire, New Mexico, and Washington, have adopted statutory “true lender” tests that evaluate whether a bank partner or nonbank entity is the “true lender” based on considerations including which party holds the “predominant economic interest” in a loan and “the totality of the circumstances.”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 enforcement authorities have also brought a number of actions disputing the characterization of a bank partner as the “true lender” when partnering with a nonbank. For example, in June 2020, the Washington, DC Attorney General filed a lawsuit against an online lender, Elevate for allegedly deceptively marketing high-cost loans with interest rates above the Washington, DC usury cap based on the allegation that Elevate, which was not licensed in Washington, DC, and not its partner bank, originated the loans. This case ultimately settled, with Elevate agreeing to charge rates only up to 24% and to refund consumers who were charged rates over what is allowed under Washington, DC law. In August 2020, the Administrator of the Colorado Uniform Consumer Credit Code reached a settlement with respect to complaints against two online lending platforms, including with respect to the role of lending partners originating loans and non-bank purchasers of such loans. In addition, Colorado has passed legislation to opt out of the federal law that allows state-chartered banks to lend at rates that are permissible in their home state. While this legislation became effective on July 1, 2024, it has been enjoined with respect to loans to Colorado residents that are not “made in” Colorado—that is, where the lender is located and performs loan-making functions outside of Colorado. Finally, in June 2024, the Massachusetts Attorney General entered into a settlement with a fintech company it believed to be the true lender of loans originated using a bank partnership model.</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court or a state or federal enforcement agency were to determine that Dave—rather than its bank partner—is the “true lender” for ExtraCash overdrafts, and that for this reason (or any other reason) our business is thus subject to and in violation of certain consumer finance laws and regulations, it could materially adversely affect our business and subject us to fines, damages, injunctive relief (including required modification or discontinuation of our business in certain areas), and other penalties or consequences, and render void or enforceable in whole or in part transactions originated through a bank partner.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vendors and our other ongoing third-party business relationships are subject to increasing regulatory requirements and attention.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regularly use vendors and subcontractors as part of our business. We also depend on our substantial ongoing business relationships with our originating bank partner and other third parties. These types of third-party relationships, including with our bank partner, are subject to increasingly demanding regulatory requirements and oversight by federal bank regulators (such as the Federal Reserve Board, the Office of the Comptroller of the Currency, and the Federal Deposit Insurance Corporation), the CFPB, state and international regulators (see above risk factor: "</w:t>
      </w:r>
      <w:r>
        <w:rPr>
          <w:rFonts w:ascii="Times New Roman" w:cs="Times New Roman" w:eastAsia="Times New Roman" w:hAnsi="Times New Roman"/>
          <w:sz w:val="18"/>
          <w:szCs w:val="18"/>
          <w:i w:val="1"/>
          <w:iCs w:val="1"/>
          <w:color w:val="auto"/>
        </w:rPr>
        <w:t>We currently rely on a single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 and if our present or any future key banking relationships are terminated and we are not able to secure or successfully migrate client portfolios to a new bank partner or partners, or our bank partner becomes subject to regulatory restrictions or other operational disruptions, our business would be adversely affected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state and federal agencies have broad discretion in their interpretation of laws and requirements related to bank partnership programs and may elect to alter standards or the interpretation of the standards applicable to these programs. For example, in the third quarter of 2024, the FDIC issued proposed rules that, if finalized as proposed, would (i) expand the scope of deposits that constitute “brokered deposits,” potentially limiting the ability of our bank partner to accept Members’ deposits without those deposits being considered brokered and therefore disincentivizing partnership with us; and (ii) establish new recordkeeping requirements for “custodial deposit accounts with transactional features,” potentially including deposit accounts offered to our Members by our bank partner, which could greatly increase our compliance and operational costs associated with the partnership. These initiatives and the uncertainty of the federal and state regulatory environments around bank partnership programs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may increase compliance and operational costs associated with our business or impact our relationships with our current partner bank or any future partner bank and mean that our efforts to launch products and services through bank partners may not ultimately be successful, or may be restricted or challenged by legislation or regulatory action.</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If the legal structure underlying our relationship with our partner bank were to be successfully challenged or otherwise restricted, we would need to find an alternative bank relationship. Furthermore, our current or any future bank partners could be subject to enforcement actions, civil monetary penalties, supervisory orders to cease and desist or other remedial actions, which, even if unrelated to our business, could impose restrictions on the bank partner’s ability to continue to extend credit on current terms or offer services that are required for certain of our products. </w:t>
      </w:r>
      <w:r>
        <w:rPr>
          <w:rFonts w:ascii="Times New Roman" w:cs="Times New Roman" w:eastAsia="Times New Roman" w:hAnsi="Times New Roman"/>
          <w:sz w:val="14"/>
          <w:szCs w:val="14"/>
          <w:color w:val="auto"/>
        </w:rPr>
        <w:t>B</w:t>
      </w:r>
      <w:r>
        <w:rPr>
          <w:rFonts w:ascii="Times New Roman" w:cs="Times New Roman" w:eastAsia="Times New Roman" w:hAnsi="Times New Roman"/>
          <w:sz w:val="18"/>
          <w:szCs w:val="18"/>
          <w:color w:val="auto"/>
        </w:rPr>
        <w:t>anking regulators in the United States have recently increased their scrutiny of bank partnerships with third-party financial service providers through the release of statements, requests for information and proposed regulations. These releases have coincided with a significant increase in the number of enforcement actions relating to banks’ third-party arrangements. For example, in June 2024, the Federal Reserve Board issued a cease and desist order against Evolve for alleged deficiencies in its anti-money laundering, risk management and consumer compliance programs. Federal or state regulators may also subject us to increased compliance, legal and operational costs, and could subject our business model to scrutiny and otherwise increase our regulatory requirements, which may require us to expend substantial resources, discontinue certain products, or adversely affect our ability to expand our business.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 parties have not performed appropriately, we could be subject to enforcement actions, including civil money penalties or other administrative or judicial penalties or fines, as well as requirements for consumer remediation.</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bank partnership model, we are and will continue to be subject to third-party risk management obligations, our business model may need to be substantially altered and we may not be able to continue to operate our business as it is currently operated.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Banking products made available through us by our bank partner remain subject to regulation and supervision by our bank partner’s regulators and we, as a service provider to our bank partner, undertake certain compliance obligations. If we were to become directly subject to banking regulations or if the third-party risk management requirements applicable to us were to change, our business model may need to be substantially altered and we may not be able to continue to operate our business as it is currently operated. Failure by us, or any of our business partners, to comply with applicable laws and regulations could have a material adverse effect on our business, financial position and results of operations.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registration, notice filing, or other approval by parties that engage in certain activities regarding consumer finance transactions. For example, several states, including California, Kansas, Missouri, Nevada, South Carolina, and Wisconsin, have adopted regulatory and licensing requirements specific to “earned wage access” products (collectively, “State Earned Wage Access Laws”). The Connecticut Department of Labor also issued guidance regarding earned wage access products, stating that the products may implicate state wage statutes and fees for the products that are passed to the employees must be approved by the Commissioner of Labor. The State Earned Wage Access Laws have exemptions for bank-issued products such as ExtraCash, but it is possible that the relevant states’ regulatory authorities may not agree with the Company’s interpretation of these exemptions. In addition, certain states have adopted laws regulating and requiring licensing by parties that engage in certain activity regarding consumer finance transactions, including facilitating and assisting such transactions in certain circumstances. The application of some consumer finance licensing laws to Dave is uncertain, evolving and unsettled. If we were found to be in violation of one or more of the licensure or State Earned Wage Access Laws, we could be subject to fines, damages, injunctive relief, and other penalties or</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4" w:name="page45"/>
    <w:bookmarkEnd w:id="44"/>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consequences. For example, in November 2024, the Washington, D.C. attorney general filed a complaint against the earned wage access provider EarnIn, alleging that its product is a loan, that fees for instant access to funds are misrepresented to consumers and not properly disclosed, and that the interest rate associated with the fees for instant access to funds exceeds the Washington, D.C. usury cap. Also in November 2024, consumers filed an amended class action complaint against EarnIn in the Northern District of California, alleging that the fees for instant access to funds and tipping on the platform are finance charges, and that EarnIn failed to make required disclosures under the Truth in Lending Act and its implementing regulations.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certain consumer financial licensing laws to our platform and the related activities it performs is not always clear, and regulatory agencies may not agree with our determinations on the applicability of such laws to us. In addition, state licensing requirements may evolve over time, including, in particular, recent trends in legislation seeking to impose licensing requirements and regulation of parties engaged in the business of offering “earned wage access” products to consumers. For example, in 2023, the banking regulators in Connecticut and Maryland issued guidance (and in the case of Maryland, a regulatory change) (collectively, “State Regulatory Changes”) indicating that traditional “earned wage access” products would, under certain circumstances, be considered small loans under the state lending laws, and that optional fees and tips, which the Company previously received in connection with ExtraCash, would be finance charges for purposes of calculating the interest rate under the state’s applicable usury limit under certain circumstances. These State Regulatory Changes would subject those covered by them to licensure and limitations or prohibitions on certain charges. Although we do not believe that ExtraCash is covered by the State Regulatory Changes, there may be uncertainty regarding the application of the State Regulatory Changes to our business.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received an inquiry from the Connecticut banking regulator relating to licensing and the State Regulatory Changes, our relationship with our bank partner, and other issues relating to earned wage access and related products we offer in Connecticut. We have also recently received an inquiry from the Maryland banking regulator regarding licensure and the State Regulatory Changes, and a subpoena from the Maryland Attorney General requesting information regarding any earned wage access and related products that we offer in the state of Maryland, including information relating to marketing practices, fees, our bank partnership, and other issues. Although we believe that our practices and products offered at all times in Maryland and Connecticut have been in compliance with applicable law, the defense or resolution of these matters could involve significant monetary costs or penalties and have a significant impact on our financial results and operations.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in December 2021, we entered into a Memorandum of Understanding (“MOU”) with the California Department of Financial Protection and Innovation (“CA DFPI”). The MOU required us to provide the CA DFPI with certain information as requested by the CA DFPI and adhere to certain practices in connection with our prior ExtraCash product (including certain disclosures related to not being licensed by the CA DFPI). The CA DFPI finalized a new California Consumer Finance Protection Law regulation, effective February 15, 2025, which requires providers of income-based advances (and other providers) to register with the DFPI (the “DFPI Regulation.”) The DFPI Regulation has an exemption for bank-issued products such as ExtraCash. The MOU terminated on the DFPI Regulation’s effective date. The Company's prior advance product was no longer offered after June 2023 and there are no outstanding prior advances of this product with balances owed. Accordingly, the Company believes that the termination of the MOU, as well as the DFPI Regulation, have no material impact on the Company. It is possible that the DFPI may not agree with the Company’s interpretation of the DFPI Regulation, and if we were found to be in violation of the DFPI Regulation, we could be subject to fines, damages, injunctive relief, and other penalties or consequences.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were found to be in violation of applicable state licensing or other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ExtraCash receivables facilitated through our platform could be rendered void in whole or in part, any of which could have an adverse effect on our business, results of operations, and financial condition.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9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Stringent and changing laws and regulations relating to privacy and data protection could result in claims against us, harm our results of operations, financial condition, and future prospects, or otherwise harm our business.</w:t>
      </w:r>
    </w:p>
    <w:p>
      <w:pPr>
        <w:spacing w:after="0" w:line="15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each of which could have a significant impact on our current and planned privacy and data protection-related practices, our processing of consumer or employee information, and our current or planned business activities.</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Compliance with current or future privacy and data protection laws (including those regarding security breach notification) affecting consumer and/or employee data to which we are subject could result in higher compliance and technology costs and restrict our ability to provide certain products and services (such as those that involve sharing information with third parties or storing sensitive information), which could materially and adversely affect our profitability and could reduce income from certain business initiatives.</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failure, or the failure of any third party with whom we work, to comply with privacy and data protection laws could result in potentially significant regulatory investigations and government actions, litigation, fines, or sanctions, consumer, funding source, or bank partner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or others.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new and different self-regulatory standards that may apply to us.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which could have an adverse effect on our business.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Members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Member base and increase revenue. Future restrictions on the collection, use, sharing, or disclosure of data, or additional requirements for express or implied consent of our Members, partners, or end users for the use and disclosure of such information could require us to incur additional costs or modify our platform, possibly in a material manner, and could limit our ability to develop new functionality.</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rely on obtaining our Member’s banking data, with their consent, through a third party, in order to provide ExtraCash, deposit and budgeting products. If such data becomes more difficult or expensive to obtain due to changing laws and regulations, our operating results may be impacted. For example, in October 2024, the CFPB finalized a rule intended to accelerate a shift towards open banking by establishing a comprehensive regulatory framework providing consumers and their authorized third parties with rights to receive access to consumers’ personal financial data held by a financial institution. These rules also propose limitations on authorized third parties’ (such as Dave’s) collection, use and retention of such data including restrictions on using the data 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right="40"/>
        <w:spacing w:after="0" w:line="254" w:lineRule="auto"/>
        <w:rPr>
          <w:sz w:val="20"/>
          <w:szCs w:val="20"/>
          <w:color w:val="auto"/>
        </w:rPr>
      </w:pPr>
      <w:r>
        <w:rPr>
          <w:rFonts w:ascii="Times New Roman" w:cs="Times New Roman" w:eastAsia="Times New Roman" w:hAnsi="Times New Roman"/>
          <w:sz w:val="18"/>
          <w:szCs w:val="18"/>
          <w:color w:val="auto"/>
        </w:rPr>
        <w:t>cross-marketing purposes. If these rules become effective, we and our third-party service providers may be required to annually certify compliance with these requirements and limitations on use as a condition to obtaining Members’ banking data through a third party, which could cause us to lose certain Members and could require us to cease using Members' banking data for cross-marketing purposes. If we or any of our third-party service providers are not able to comply with these laws or regulations, or if we become liable under these laws or regulations, we could be directly or indirectly harmed, including by losing access to our Members’ banking data, and we may be forced to implement new measures to reduce our exposure to this liability. This may require us to expend substantial resources, discontinue certain products, or cease providing services to a certain Members,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relating to memberships and subscriptions may adversely affect our business.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Laws and regulations relating to memberships and subscriptions, including sales and cancellation of such products, may have an adverse effect on our business. These laws and regulations include the Restore Online Shoppers’ Confidence Act, the FTC’s Rule Concerning Recurring Subscriptions and Other Negative Option Programs, prohibitions against unfair, deceptive, and abusive acts and practices, and similar state laws. The interpretation and application of these laws to our business may be unclear and evolving. Any failure or perceived failure to comply with any of these laws or regulations could subject us to lawsuits, governmental actions, regulatory scrutiny, damage to our reputation, and otherwise result in potential liability and have an adverse effect on our business, results of operations, financial condition, future prospects, and cash flows.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anti-money laundering and anti-terrorism financing laws, as well as the Bank Secrecy Act, including through obligations imposed by our third-party service providers. Failure to comply with these obligations could have significant adverse consequences for us.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our controls designed to enable us to comply with all applicable anti-money laundering and anti-terrorism financing laws, as well as the Bank Secrecy Act, and regulations are ineffective in ensuring compliance with all such laws and regulations, our failure to comply with these laws and regulations could result in a breach and termination of certain third-party agreements or criticism by international or state governmental agencies, which would have a material adverse effect on our business, results of operations, financial condition, and future prospects.</w:t>
      </w:r>
    </w:p>
    <w:p>
      <w:pPr>
        <w:spacing w:after="0" w:line="2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regulatory actions, and compliance issues could subject us to fines, penalties, judgments, remediation costs, and/or other requirements resulting in increased expenses and reputational harm.</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Members in connection with commercial disputes, employment claims made by our current or former employees, or claims for reimbursement following misappropriation of Member data. Our business is also subject to increased risks of litigation and regulatory actions as a result of the highly regulated nature of the financial services industry and the focus of state and federal enforcement agencies on the financial services industry in general and consumer financial services in particular.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trading price of our stock.</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ind w:right="80"/>
        <w:spacing w:after="0" w:line="254" w:lineRule="auto"/>
        <w:rPr>
          <w:sz w:val="20"/>
          <w:szCs w:val="20"/>
          <w:color w:val="auto"/>
        </w:rPr>
      </w:pPr>
      <w:r>
        <w:rPr>
          <w:rFonts w:ascii="Times New Roman" w:cs="Times New Roman" w:eastAsia="Times New Roman" w:hAnsi="Times New Roman"/>
          <w:sz w:val="18"/>
          <w:szCs w:val="18"/>
          <w:color w:val="auto"/>
        </w:rPr>
        <w:t>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 jurisdiction of the CFPB and FTC may result in a separate fine for each violation of the statute, which, particularly in the case of class action lawsuits, could result in damages in excess of the amounts we earned from the underlying activities.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Jason Wilk, Dave’s founder, Chief Executive Officer and President and a member of the Dave Board of Directors. This will limit or preclude your ability to influence corporate matters, including the outcome of important transactions, including a change in control.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Shares of Dave Class V Common Stock have 10 votes per share, while shares of Dave Class A Common Stock have one vote per share. Jason Wilk, Dave’s co-founder and its Chief Executive Officer and President, holds all of the issued and outstanding shares of Dave Class V Common Stock. Accordingly, as of February 20, 2025, Mr. Wilk holds approximately 60.0% of the voting power of our capital stock on an outstanding basis and will be able to control matters submitted to our stockholders for approval, including the election of directors, amendments to our organizational documents and any merger, consolidation, sale of all or substantially all of Dave’s assets or other major corporate transactions. Mr. Wilk may have interests that differ from other shareholders’ and may vote in a way with which you disagree and which may be adverse to other shareholder interests. This concentrated control may have the effect of delaying, preventing or deterring a change in control of Dave, could deprive its stockholders of an opportunity to receive a premium for their capital stock as part of a sale of Dave and might ultimately affect the market price of shares of Dave Class A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dual class structure may depress the trading price of our Dave Class A Common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Dave cannot predict whether its dual class structure will result in a lower or more volatile market price of the Dave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 class structures. As a result, the dual class structure of Dave’s Common Stock may cause stockholder advisory firms to publish negative commentary about Dave’s corporate governance practices or otherwise seek to cause Dave to change its capital structure. Any such exclusion from indices or any actions or publications by stockholder advisory firms critical of Dave’s corporate governance practices or capital structure could adversely affect the value and trading market of the Dave Class A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trading price of the Dave Class A Common Stock and Public Warrants is volatile and could be subject to wide fluctuations in response to various factors, some of which are beyond Dave’s control. These factors include:</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Dave provides to the public;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spacing w:after="0" w:line="8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changed recommendations for the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in the industry or related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investments in the growth of the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laws and regulations;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the DOJ's Amended Complaint;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intellectual property or other proprietary rights, including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Dave Class A Common Stock by Dave’s directors, executive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volumes in the Dave Class A Common Stock;</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structure, including future issuances of securities or the incurrence of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fluctuating interest rates.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stock prices of technology companies in particular, have experienced extreme price and volume fluctuations that have often been unrelated or disproportionate to the operating performance of those companies. Broad market and industry factors may seriously affect the market price of Dave Class A Common Stock,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could result in substantial costs and a diversion of management’s attention and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has never paid cash dividends on our capital stock and does not anticipate paying dividends in the foreseeable future.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Dave has never paid cash dividends on our capital stock and currently intends to retain any future earnings to fund the growth of its business. Any determination to pay dividends in the future will be at the discretion of the Board and will depend on Dave’s financial condition, operating results, capital requirements, general business conditions and other factors that the Board may deem relevant. As a result, capital appreciation, if any, of our Dave Class A Common Stock will be the sole source of gain for the foreseeable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and applicable laws could impair a takeover attempt.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afford certain rights and powers to the Board that could contribute to the delay or prevention of an acquisition that it deems undesirable. Dave is also subject to Section 203 of the DGCL and other provisions of Delaware law that limit the ability of stockholders in certain situations to effect certain business combinations. Any of the foregoing provisions and terms that have the effect of delaying or deterring a change in control could limit the opportunity for stockholders to receive a premium for their shares of Dave Class A Common Stock, and could also affect the price that some investors are willing to pay for the Dave Class A Common Stock.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59" w:lineRule="exact"/>
        <w:rPr>
          <w:sz w:val="20"/>
          <w:szCs w:val="20"/>
          <w:color w:val="auto"/>
        </w:rPr>
      </w:pPr>
    </w:p>
    <w:p>
      <w:pPr>
        <w:ind w:right="160" w:firstLine="45"/>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bylaws, (iv) any action or proceeding to interpret, apply, enforce or determine the validity of our amended and restated certificate of incorporation or our bylaws; (v) any action or proceeding as to which the Delaware General Corporation Law confers jurisdiction to the Court of Chancery of the State of Delaware; and (vi) any action asserting a claim against us or any of our current or former directors, officers, stockholders, employees or agents governed by the internal affairs doctrine of the State of Delaware. This provision does not apply to suits brought to enforce any duty or liability created by the Securities Act, or rules and regulations thereunder.</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is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is subject to risks related to taxation in the United States.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Significant judgments based on interpretations of existing tax laws or regulations are required in determining Dave’s provision for income taxes. Dave’s effective income tax rate could be adversely affected by various factors, including, but not limited to, changes in the mix of earnings in tax jurisdictions with different statutory tax rates, changes in the valuation of deferred tax assets and liabilities, changes in existing tax policies, laws, regulations or rates, changes in the level of non-deductible expenses (including share-based compensation), changes in the location of Dave’s operations, changes in Dave’s future levels of research and development spending, mergers and acquisitions or the results of examinations by various tax authorities. Although Dave believes its tax estimates are reasonable, if the IRS or any other taxing authority disagrees with the positions taken on its tax returns, Dave could have additional tax liability, including interest and penalties. If material, payment of such additional amounts upon final adjudication of any disputes could have a material impact on our results of operations and financial position.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Dave’s business and future profitability.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Dave is a U.S. corporation and thus subject to U.S. corporate income tax on its worldwide income. Further, since Dave’s operations and Members are located throughout the United States, Dave will be subject to various U.S. state and local taxes, including local and state sales and use taxes. U.S. federal, state, local and non-U.S. tax laws, policies, statutes, rules, regulations or ordinances could be interpreted, changed, modified or applied adversely to Dave and may have an adverse effect on its business and future profitability.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example, several tax proposals have been set forth that would, if enacted, make significant changes to U.S. tax laws. Such proposals include an increase in the U.S. income tax rate applicable to corporations (such as Dave) from 21% to 28%. Congress may consider, and could include, some or all of these proposals in connection with tax reform that may be undertaken. It is unclear whether these or similar changes will be enacted and, if enacted, how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soon any such changes could take effect. The passage of any legislation as a result of these proposals and other similar changes in U.S. federal income tax laws could adversely affect Dave’s business and future profitability.</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plans to expand Dave’s business operations, including to jurisdictions in which tax laws may not be favorable, its obligations may change or fluctuate, become significantly more complex or become subject to greater risk of examination by taxing authorities, any of which could adversely affect Dave’s after-tax profitability and financial results.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that Dave’s business expands domestically or internationally, its effective tax rates may fluctuate widely in the future. Future effective tax rates could be affected by operating losses in jurisdictions where no tax benefit can be recorded under U.S. Generally Accepted Accounting Principles (“GAAP”), changes in deferred tax assets and liabilities, or changes in tax laws. Factors that could materially affect Dave’s future effective tax rates include, but are not limited to: (a) changes in tax laws or the regulatory environment, (b) changes in accounting and tax standards or practices, (c) changes in the composition of operating income by tax jurisdiction, and (d) pre-tax operating results of Dave’s business.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Dave may be subject to significant income, withholding, and other tax obligations in the United States and may become subject to taxation in numerous additional U.S. state and local and non-U.S. jurisdictions with respect to income, operations and subsidiaries related to those jurisdictions. Dave’s after-tax profitability and financial results could be subject to volatility or be affected by numerous factors, including (a) the availability of tax deductions, credits, exemptions, refunds and other benefits to reduce tax liabilities, (b) changes in the valuation of deferred tax assets and liabilities, if any,</w:t>
      </w:r>
    </w:p>
    <w:p>
      <w:pPr>
        <w:spacing w:after="0" w:line="3" w:lineRule="exact"/>
        <w:rPr>
          <w:sz w:val="20"/>
          <w:szCs w:val="20"/>
          <w:color w:val="auto"/>
        </w:rPr>
      </w:pPr>
    </w:p>
    <w:p>
      <w:pPr>
        <w:ind w:right="40" w:firstLine="8"/>
        <w:spacing w:after="0" w:line="251"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and amount of the release of any tax valuation allowances, (d) the tax treatment of stock-based compensation, (e) changes in the relative amount of earnings subject to tax in the various jurisdictions, (f) the potential business expansion into, or otherwise becoming subject to tax in, additional jurisdictions, (g) changes to existing intercompany structure (and any costs related thereto) and business operations, (h) the extent of intercompany transactions and the extent to which taxing authorities in relevant jurisdictions respect those intercompany transactions, and (i) the ability to structure business operations in an efficient and competitive manner. Outcomes from audits or examinations by taxing authorities could have an adverse effect on Dave’s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Dave’s intercompany charges, cross-jurisdictional transfer pricing or other matters and assess additional taxes. If Dave does not prevail in any such disagreements, Dave’s profitability may be affected.</w:t>
      </w:r>
    </w:p>
    <w:p>
      <w:pPr>
        <w:spacing w:after="0" w:line="19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Dave’s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ability to utilize its net operating loss and tax credit carryforwards to offset future taxable income may be subject to certain limitations.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is subject to limitations on its ability to use its pre-change net operating loss carryforwards (“NOLs”) to offset future taxable income. The limitations apply if a corporation undergoes an “ownership change,” which is generally defined as a greater than 50 percentage point change (by value) in its equity ownership by certain stockholders over a three-year period. If Dave has experienced an ownership change at any time since its incorporation, Dave may be subject to limitations on its ability to utilize its existing NOLs and other tax attributes to offset taxable income or tax liability. In addition, future changes in Dave’s stock ownership, which may be outside of Dave’s control, may trigger an ownership change. Similar provisions of state tax law may also apply to limit Dave’s use of accumulated state tax attributes. As a result, even if Dave earns net taxable income in the future, its ability to use its pre-change NOL carryforwards and other tax attributes to offset such taxable income or tax liability may be subject to limitations, which could potentially result in increased future income tax liability to Dave.</w:t>
      </w:r>
    </w:p>
    <w:p>
      <w:pPr>
        <w:spacing w:after="0" w:line="18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accounting standards change or if our estimates or assumptions relating to our critical accounting policies prove to be incorrect, our results of operations and financial condition could be adversely affected.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94" w:lineRule="exact"/>
        <w:rPr>
          <w:sz w:val="20"/>
          <w:szCs w:val="20"/>
          <w:color w:val="auto"/>
        </w:rPr>
      </w:pPr>
    </w:p>
    <w:p>
      <w:pPr>
        <w:ind w:right="80" w:firstLine="45"/>
        <w:spacing w:after="0" w:line="261" w:lineRule="auto"/>
        <w:rPr>
          <w:sz w:val="20"/>
          <w:szCs w:val="20"/>
          <w:color w:val="auto"/>
        </w:rPr>
      </w:pPr>
      <w:r>
        <w:rPr>
          <w:rFonts w:ascii="Times New Roman" w:cs="Times New Roman" w:eastAsia="Times New Roman" w:hAnsi="Times New Roman"/>
          <w:sz w:val="18"/>
          <w:szCs w:val="18"/>
          <w:color w:val="auto"/>
        </w:rPr>
        <w:t>Our financial statements are subject to the application of GAAP, which is also subject to varying interpretations over time. We are required to adopt new or revised accounting standards or comply with revised interpretations that are issued from time to time by various parties, including accounting standard setters and those who interpret the standards, such as the FASB, the SEC, and bank regulatory authorities. Those changes are beyond our control but could adversely affect our results of operations and financial condition.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the preparation of our financial statements in conformity with GAAP requires estimates and assumptions that affect the amounts reported and disclosed in our financial statements. While we base our estimates and assumptions on historical experience and other assumptions that we believe to be reasonable under the circumstances, our results of operations may be adversely affected if our assumptions change or if actual circumstances differ from those in our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will be in the money at the time they become exercisable, and they may expire worthless.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exercise price for our warrants is $368.00 per share of Dave Class A Common Stock. There is no guarantee that the Public Warrants will be in the money following the time they become exercisable and prior to their expiration, and as such, they may expire worthless.</w:t>
      </w:r>
    </w:p>
    <w:p>
      <w:pPr>
        <w:spacing w:after="0" w:line="266"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of Public Warrants with the approval by the holders of at least 50% of the then-outstanding Public Warrants. As a result, the exercise price of the Public Warrants could be increased, the exercise period could be shortened and the number of shares of Dave Class A Common Stock purchasable upon exercise of a Public Warrant could be decreased, all without a holder’s approval.</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or stock (at a ratio different than initially provided), shorten the exercise period or decrease the number of shares of Dave Class A Common Stock purchasable upon exercise of a Public Warrant.</w:t>
      </w:r>
    </w:p>
    <w:p>
      <w:pPr>
        <w:spacing w:after="0" w:line="29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the Dave Class A Common Stock equals or exceeds $576.00 per share (as adjusted for stock splits, stock dividends, reorganizations, recapitalizations and the like) for any 20 trading days within a 30-trading 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 None of the Private Warrants will be redeemable by us for cash so long as they are held by the initial purchasers or their permitted transferees.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9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redeem your warrants after they become exercisable for a number of shares of Dave Class A Common Stock determined based on the redemption date and the fair market value of the Dave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the Dave Class A Common Stock had your warrants remained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issued and will continue to issue a substantial number of additional shares of Dave Class A Common Stock under an employee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such issuances dilute the interest of our stockholders and likely present other risks.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issued and will continue to issue additional shares of Dave Class A Common Stock under an employee incentive plan. The issuance of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Class A Common Stock:</w:t>
      </w:r>
    </w:p>
    <w:p>
      <w:pPr>
        <w:spacing w:after="0" w:line="9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Dave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the Dave Class A Common Stock and/or the Public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Dave Class A Common Stock will be able to comply with the listing standards of Nasdaq.</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5, 2023, Dave effected a 1-for-32 reverse stock split in order to regain compliance with Nasdaq’s minimum bid price requirement. There can be no assurance that Dave will be able to continue to comply with Nasdaq’s minimum bid price requirement or other Nasdaq listing standards. If The Nasdaq Stock Market delists the Dave Class A Common Stock from trading on its exchange for failure to meet the listing standards, our stockholders could face significant material adverse consequences including: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Dave Class A Common Stock is a “penny stock” which will require brokers trading in the Dave Class A Common Stock to adhere to more stringent rules and possibly result in a reduced level of trading activity in the secondary trading market for our securities;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Dave Class A Common Stock in the public market could occur at any time. This could cause the market price of the Dave Class A Common Stock to drop significantly, even if our business is doing well.</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the Dave Class A Common Stock in the public market could occur at any time. These sales, or the perception in the market that the holders of a large number of shares intend to sell shares, could reduce the market price of the Dave Class A Common Stock. As of February 20, 2025, our current officers and directors hold approximately 16% of the outstanding shares of Common Stock, including the 1,514,082 shares of Dave Class V Common Stock convertible into shares of Dave Class A Common Stock, which represents approximately 60% of the voting power of the outstanding shares of Common Stock.</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Investor Rights Agreement, certain holders are entitled to, among other things, certain registration rights, including the demand of up to three underwritten offerings and customary piggyback registration rights.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 pursuant to the Subscription Agreements, we are also required to register additional shares of Dave Class A Common Stock. To satisfy these obligations, we previously registered up to 10,356,391 shares (on a post-split adjusted basis) of Dave Class A Common Stock, which also covers shares issuable upon exercise of the Public Warrants. The sale of these shares is likely to have an adverse effect on the trading price of the Dave Class A Common Stock.</w:t>
      </w:r>
    </w:p>
    <w:p>
      <w:pPr>
        <w:spacing w:after="0" w:line="28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Dave, its business or its market, or if they change their recommendations regarding the Dave Class A Common Stock adversely, the price and trading volume of the Dave Class A Common Stock could decline.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trading market for the Dave Class A Common Stock will be influenced by the research and reports that industry or securities analysts may publish about Dave, its business, its market or its competitors. If any of the analysts who may cover Dave change their recommendation regarding the Dave Class A Common Stock adversely, or provide more favorable relative recommendations about its competitors, the price of the Dave Class A Common Stock would likely decline. If any analyst who may cover Dave were to cease their coverage or fail to regularly publish reports on Dave, we could lose visibility in the financial markets, which could cause the stock price or trading volume of Dave securities to decline.</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5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We qualify as an “emerging growth company” as defined in Section 2(a)(19) of the Securities Act, as modified by the JOBS Act. We expect to remain an emerging growth company until December 31, 2025 and to take advantage of certain exemptions from various reporting requirements applicable to other public companies that are not emerging growth companies, including (a) the exemption from the auditor attestation requirements with respect to internal control over financial reporting under Section 404 of the Sarbanes-Oxley Act, (b) the exemptions from say-on-pay, say-on-frequency and say-on-golden parachute voting requirements and (c) reduced disclosure obligations regarding executive compensation in our periodic reports and proxy statements. As a result, our stockholders may not have access to certain information they deem important. We will remain an emerging growth company until the earliest of</w:t>
      </w:r>
    </w:p>
    <w:p>
      <w:pPr>
        <w:spacing w:after="0" w:line="5" w:lineRule="exact"/>
        <w:rPr>
          <w:sz w:val="20"/>
          <w:szCs w:val="20"/>
          <w:color w:val="auto"/>
        </w:rPr>
      </w:pPr>
    </w:p>
    <w:p>
      <w:pPr>
        <w:ind w:right="20" w:firstLine="8"/>
        <w:spacing w:after="0" w:line="253"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 following March 4, 2025, the fifth anniversary of our IPO, (ii) in which we have total annual gross revenue of at least $1.07 billion (as adjusted for inflation pursuant to SEC rules from time to time) or (iii) in which we are deemed to be a large accelerated filer, which means the market value of the shares of Dave Class A Common Stock that are held by non-affiliates exceeds $700 million as of the last business day of our prior second fiscal quarter, and (b) the date on which we have issued more than $1.0 billion in non-convertible debt during the prior three year period.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the Dave Class A Common Stock less attractive because we will rely on these exemptions. If some investors find the Dave Class A Common Stock less attractive as a result, there may be a less active trading market for the Dave Class A Common Stock and our share price may be more volatile.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229" w:lineRule="exact"/>
        <w:rPr>
          <w:sz w:val="20"/>
          <w:szCs w:val="20"/>
          <w:color w:val="auto"/>
        </w:rPr>
      </w:pPr>
    </w:p>
    <w:p>
      <w:pPr>
        <w:ind w:right="20" w:firstLine="45"/>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our Debt Facility,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Debt Facility, and any additional indebtedness we incur in the future, could adversely affect our business and financial results.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January 2021, we entered into the Debt Facility, which we subsequently amended four times, which provides for $150.0 million in debt financing that matures in December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had drawn $75.0 million on the Debt Facility and had made no repayments.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make payments on the Debt Facility, to repay the Debt Facility when due, and to fund our business, operations and significant planned capital expenditures will depend on our ability to pay with available cash or generate cash in the future. The Debt Facility, and any additional indebtedness we may incur in the future, could require us to divert funds identified for other purposes to service the Debt Facility. If we cannot generate sufficient cash flow from our operations to service the Debt Facility, we may need to refinance the Debt Facility, dispose of assets, or issue additional equity to obtain the necessary funds. If required to do so, we may be unable to take any of these actions on a timely basis, on terms satisfactory to us or at all.</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the Debt Facility contains certain financial covenants and restrictions on our activities. Compliance with these covenants may require us to divert funds intended for other uses and limit our flexibility to take certain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 11 of the accompanying consolidated financial statements for more information about the Debt Facility</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guarantee certain obligations of one of our wholly-owned subsidiaries, which guarantee contains financial covenants and other restrictions on our actions, which could limit our operational flexibility and otherwise adversely affect our financial condition.</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One of our wholly-owned subsidiaries, Dave OD Funding, has a Debt Facility. We have guaranteed certain of Dave OD Funding’s obligations under the Debt Facility. The Debt Facility contains financial covenants and other restrictions on our actions, which could limit our operational flexibility and otherwise adversely affect our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takes a risk-based approach to cybersecurity and has implemented cybersecurity policies throughout its operations that are designed to address cybersecurity threats and incidents.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cybersecurity program and policies articulate the expectations and requirements with respect to acceptable use, risk management, data privacy, education and awareness, security incident management and reporting, identity and access management, vendor due diligence, security (with respect to physical assets, products, networks, and systems), security monitoring and vulnerability identification. The cybersecurity program and policies are operated by a dedicated cybersecurity team in conjunction with the Company’s enterprise risk management program.</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cyber risk management program is designed to identify, track, escalate, remediate, and report cybersecurity risks across the Company. These risk areas include internal, product, vendor, supply chain, and external services leveraged across the Company. The Company has a vendor management program that evaluates and oversees cybersecurity risks related to third party vendors providing services to the Company. Any identified risks are assessed, prioritized, and addressed via process, technology, and personnel improvements to help ensure ongoing mitigation and tracking.</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cybersecurity strategy is guided by risk priorities and identified areas for improvement, which are informed by regulatory requirements and industry standards, such as the Federal Trade Commission’s Safeguards Rule and the National Institute for Standards and Technology (NIST) Cybersecurity Framework, and evolving business needs. This strategy is shared with the executive leadership at least annually. The Company maintains an incident response plan, coupled with a continuous monitoring program. This plan and program include incident alerting, comprehensive incident criticality assessments, and escalation processes to support teams, senior leadership, and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cybersecurity team manages all facets of the security monitoring and incident program,</w:t>
      </w:r>
    </w:p>
    <w:p>
      <w:pPr>
        <w:spacing w:after="0" w:line="2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coordinating with Company engineers and other staff, along with third parties as needed, across our operating companies. All company employees are provided cybersecurity awareness training, which includes topics on the Company’s policies and procedures for reporting potential incidents. The Company’s cybersecurity team evaluates emerging risks, regulations, and compliance matters and updates the policies and procedures accordingly on an ongoing basis.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other than the 2020 Incidents, the Company has not experienced a cybersecurity threat or incident that has materially affected or that we believe is reasonably likely to materially affect the Company including its business strategy, results of operations or financial condition. Refer to the risk factor captioned “Cyberattacks and other security breaches or disruptions suffered by us or third parties upon which we rely could have a materially adverse effect on our business, harm our reputation and expose us to public scrutiny and liability.” in Part I, Item 1A. “Risk Factors” for additional description of cybersecurity risks and potential related impacts on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Board oversees the Company’s risk management process, including cybersecurity risks, directly and through its committees. Pursuant to the Audit Committee Charter, the Audit Committee of the Board provides compliance oversight to the Company’s risk assessment and risk management policies, including for cybersecurity, and the steps management has taken to monitor and mitigate cybersecurity exposures and risks.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Director of Security and Information Technology (DSIT), in coordination with the Company’s Vice President of Technology, is responsible for leading the assessment and management of cybersecurity risks. The current DSIT has over 18 years of experience in information security. The DSIT reports to the Board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management on cybersecurity risk assessment, policies, incident prevention, detection, mitigation, and remediation of cybersecurity incidents on a quarterly basis or as needed.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operate out of our headquarters in Los Angeles, California. We maintain two sublease agreements for approximately 9,000 square feet located in Los Angeles, California. The subleases for the Los Angeles spaces are scheduled to expire in December 2025 and October 2028,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See Note 12, ”Commitments and Contingencies,” to our consolidated financial statements included in this report for information regarding legal proceedings in which we are involved.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 Market Information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shares of Dave Class A Common Stock and Public Warrants have traded on Nasdaq under the symbols “DAVE” and “DAVEW,” respectively, since January 6,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2024, there were 55 holders of record of Dave Class A common stock, one holder of record of our Class V common stock and 17 holders of record of the public warrants. The number of record holders is based upon the actual number of holders registered on our books at such date and does not include holders of shares in street name or persons, partnerships, associations, corporations or other entities identified in security position listings maintained by depository trust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Dave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Dave Class A Common Stock in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January 29, 2024, the Company repurchased the $105.5 million outstanding balance of the convertible note as of December 31, 2023 for $71.0 million. Refer to Note 9 Convertible Note in the notes to our consolidated financial statements for the year ended December 31, 2024 contained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our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Annual Report on Form 10-K. On January 5, 2023, the Board of Directors approved an amendment to the Company’s certificate of incorporation to complete a 1-for-32 reverse stock split effective January 5, 2023. The effects of the reverse stock split have been reflected in the consolidated financial statements and the footnotes.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Dave was launched in 2017 to provide a faster, more transparent, and lower-cost alternative to traditional financial institutions, particularly for those living paycheck to paycheck. Inspired by the story of David vs. Goliath, we set out to challenge legacy banking by leveraging technology to expand financial access and improve consumer financial health.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spacing w:after="0" w:line="18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have engineered a purpose-driven platform designed to deliver on our mission, making a significant impact across the stakeholder groups we serve. Since our inception, more than 16 million Members have signed up for the Dave app, with over 12 million having used at least one of our products. We have provided Members with more than $15 billion in ExtraCash, offering critical liquidity when they need it most. To further support our communities, we have donated approximately $23 million to charity and important causes since inception.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Customers value our products, as demonstrated by more than 700,000 App Store reviews with an average 4.8-star rating as of February 2025. Our business model is built on transparency and customer alignment and building relationships with our Members that drive positive outcomes for both them and our business.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the core of our success is a world-class team dedicated to delivering on our mission. Dave has been recognized by Built In as a Best Place to Work for five consecutive years, reinforcing our commitment to both our Members and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financial system has historically failed to address the needs of the millions of Americans who are living paycheck to paycheck. According to the Financial Health Network (“FHN”) in 2024, approximately 180 million Americans are classified as financially “coping” or “vulnerable” representing over 70% of the U.S. population, up from 66% in 2021. A December 2024 report by PYMNTS also found that 65% of U.S. consumers were living paycheck to paycheck, up from 60% a year earlier. This market includes both young and financially challenged individuals who have trouble managing cash flow, have minimal savings, regularly overdraft, and pay high fees for access to financial services. FHN research estimates there is approximately $38 billion of fees paid annually for access to basic checking services, including account maintenance fees, overdraft fees and ATM fees and that financially vulnerable and coping populations pay over $200 billion in annual fees and interest for short-term credit. We believe these insights are supported by a Dave study of our Members which reveals that traditional financial institutions charge consumers between $350-$400 of fees annually for access to basic checking services. We also believe these trends underscore a growing need for better financial solutions and illustrate the depth of our total addressable market (“TAM”), which we estimate to be approximately 180 million Americans that do not have access to affordable and effective banking solutions.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59" w:name="page60"/>
    <w:bookmarkEnd w:id="59"/>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that these high costs are the result of the cost structure of incumbents. With expensive brick-and-mortar bank branch networks, antiquated technology, large employee bases, and inefficient customer acquisition strategies, legacy institutions have significant costs to serve their customers, which drives the high price that customers have to pay for access to their services. By leveraging world-class technology and harnessing the power of data and artificial intelligence, we believe that we have dramatically reduced the costs to serve customers in this market. Through this structural advantage, we are able to provide increased access to banking and credit products at lower costs, resulting in a much stronger value proposition to our Members.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 of Financial Information</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and financial position may not be comparable to historical results as a result of the consummation of the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Growth and Activity</w:t>
      </w:r>
    </w:p>
    <w:p>
      <w:pPr>
        <w:spacing w:after="0" w:line="11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Expansion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rely on agreements with Evolve, currently our only active bank partner, to provide ExtraCash and other deposit accounts, debit card services and other transaction services to us and our Members. See Part II Item 1A, “Risk Factors” for additional information. Given the size and consistent growth of our Member base as well as how our product capabilities have been expanding, we recently announced an additional financial institution with which we will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Trends/General Economic Conditions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economic cycles to affect our business, financial performance, and financial condition. Macroeconomic conditions, including, but not limited to, regulatory uncertainty, fluctuating interest rates, inflation, unemployment rates, and consumer sentiment may impact consumer spending behavior and consumer demand for financial products. Although the Company’s business operations have not been materially impacted as of the date of this report, our business, financial condition, results of operations and prospects may be adversely affected due to the ongoing nature of these macroeconomic factors. Interest rates have remained elevated over the last two years which has increased the costs of borrowing on our Debt Facility. Higher interest rates also often lead to higher payment obligations, which may reduce the ability of Members to repay their ExtraCash and, therefore, lead to increased delinquencies, write-offs and decreased recoveries. We also believe that higher interest rates may increase demand for ExtraCash as consumers seek additional sources of liquidity to help them fund higher costs of living. Additionally, higher levels of unemployment could adversely impact Members’ income levels and, hence, the ability of Members to repay, which could lead to deterioration in credit performance. We believe that our underwriting engine is well positioned to evaluate credit risk in a higher unemployment environment as it analyzes bank account transaction data to assess, nearly in real-time, changes in Members’ income, spending, savings, and employment status. We also believe that demand for ExtraCash may increase in periods of higher unemployment as consumers seek additional sources of liquidity to help them meet their financial obligations.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Currently, we conduct business through one operating segment which constitutes a single reportable segment. For more information about our basis of presentation, refer to Note 2 in the accompanying consolidated financial statements of Dave included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based revenue, net</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express processing fees, optional tips, overdraft service fees and subscriptions charged to Members, net of processor-related costs associated with ExtraCash disbursements. Service based revenue, net also consists of lead generation fees from our Side Hustle advertising partners and revenue share from our surveys partner.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based revenue, net</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our Checking Product, net of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 fees and are recognized at the point in time the transactions occur, as the performance obligations are satisfied and the variable consideration is not constrained.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operating expenses into the following five categories: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provision for credit losses primarily consists of an allowance for expected credit losses at a level estimated to be adequate to absorb credit losses inherent in the outstanding ExtraCash receivables, inclusive of outstanding processing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consolidated 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of operations. We consider ExtraCash receivables, aged more than 120 days or which become uncollectible based on information available to us as impaired. All impaired ExtraCash receivables, are deemed uncollectible and subsequently written off and are a direct reduction to the allowance for credit losses. Subsequent recoveries, if any, of Member ExtraCash receivables, written-off are recorded as a reduction to ExtraCash receivables, resulting in a reduction to the allowance for credit losses and a corresponding reduction to the provision for credit losses in the consolidated statements of operations when collected.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 Costs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Processing and servicing fees consist of fees paid to our processing partners for the recovery of ExtraCash, optional tips, optional express processing fees, overdraft service fees and subscriptions. These expenses also include fees paid for services to connect Members’ bank accounts to our application. Except for processing and servicing fees associated with ExtraCash originations which are recorded net against revenue, all other processing and service fees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Other operating expenses consist primarily of technology and infrastructure (third-party Software as a Service or “SaaS”), commitments to charity, checking product costs (program expenses, association fees, processor fees, losses from Member-disputed transactions, bank card fees and fraud), depreciation and amortization of property and equipment and intangible assets, legal fees, rent, certain sales tax related costs, office related expenses, public relations costs, professional services fees, travel and entertainment, and insurance. Costs associated with technology and infrastructure (third-party SaaS), depreciation and amortization of property and equipment and intangible assets, legal fees, rent, office related expenses, public relations costs, professional services fees, travel and entertainment, and insurance vary based upon our investment in infrastructure, business development, risk management and internal controls and are generally not correlated with our operating revenues or other transaction metrics.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expenses consist of interest income, interest expense, gain on extinguishment of convertible debt, earnout liabilities fair value adjustments and changes in fair value of warrant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consists of the federal and state corporate income taxes accrued on income resulting from the sale of our services.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62" w:name="page63"/>
    <w:bookmarkEnd w:id="6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18"/>
                <w:szCs w:val="18"/>
                <w:color w:val="auto"/>
              </w:rPr>
            </w:pPr>
          </w:p>
        </w:tc>
      </w:tr>
      <w:tr>
        <w:trPr>
          <w:trHeight w:val="209"/>
        </w:trPr>
        <w:tc>
          <w:tcPr>
            <w:tcW w:w="4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280" w:type="dxa"/>
            <w:vAlign w:val="bottom"/>
            <w:shd w:val="clear" w:color="auto" w:fill="B6DEE8"/>
          </w:tcPr>
          <w:p>
            <w:pPr>
              <w:spacing w:after="0"/>
              <w:rPr>
                <w:sz w:val="18"/>
                <w:szCs w:val="18"/>
                <w:color w:val="auto"/>
              </w:rPr>
            </w:pPr>
          </w:p>
        </w:tc>
        <w:tc>
          <w:tcPr>
            <w:tcW w:w="92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80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06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102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r>
      <w:tr>
        <w:trPr>
          <w:trHeight w:val="216"/>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218,802</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428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28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67,563</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26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22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428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6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2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(861 )</w:t>
            </w:r>
          </w:p>
        </w:tc>
        <w:tc>
          <w:tcPr>
            <w:tcW w:w="2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35,650</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49"/>
        </w:trPr>
        <w:tc>
          <w:tcPr>
            <w:tcW w:w="42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347,076</w:t>
            </w:r>
          </w:p>
        </w:tc>
        <w:tc>
          <w:tcPr>
            <w:tcW w:w="280" w:type="dxa"/>
            <w:vAlign w:val="bottom"/>
            <w:tcBorders>
              <w:bottom w:val="single" w:sz="8" w:color="B6DEE8"/>
            </w:tcBorders>
            <w:shd w:val="clear" w:color="auto" w:fill="B6DEE8"/>
          </w:tcPr>
          <w:p>
            <w:pPr>
              <w:spacing w:after="0"/>
              <w:rPr>
                <w:sz w:val="21"/>
                <w:szCs w:val="21"/>
                <w:color w:val="auto"/>
              </w:rPr>
            </w:pPr>
          </w:p>
        </w:tc>
        <w:tc>
          <w:tcPr>
            <w:tcW w:w="420" w:type="dxa"/>
            <w:vAlign w:val="bottom"/>
            <w:tcBorders>
              <w:bottom w:val="single" w:sz="8" w:color="auto"/>
            </w:tcBorders>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26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87,983</w:t>
            </w:r>
          </w:p>
        </w:tc>
        <w:tc>
          <w:tcPr>
            <w:tcW w:w="220" w:type="dxa"/>
            <w:vAlign w:val="bottom"/>
            <w:tcBorders>
              <w:bottom w:val="single" w:sz="8" w:color="B6DEE8"/>
            </w:tcBorders>
            <w:shd w:val="clear" w:color="auto" w:fill="B6DEE8"/>
          </w:tcPr>
          <w:p>
            <w:pPr>
              <w:spacing w:after="0"/>
              <w:rPr>
                <w:sz w:val="21"/>
                <w:szCs w:val="21"/>
                <w:color w:val="auto"/>
              </w:rPr>
            </w:pPr>
          </w:p>
        </w:tc>
        <w:tc>
          <w:tcPr>
            <w:tcW w:w="200" w:type="dxa"/>
            <w:vAlign w:val="bottom"/>
            <w:tcBorders>
              <w:bottom w:val="single" w:sz="8" w:color="B6DEE8"/>
            </w:tcBorders>
            <w:shd w:val="clear" w:color="auto" w:fill="B6DEE8"/>
          </w:tcPr>
          <w:p>
            <w:pPr>
              <w:spacing w:after="0"/>
              <w:rPr>
                <w:sz w:val="21"/>
                <w:szCs w:val="21"/>
                <w:color w:val="auto"/>
              </w:rPr>
            </w:pPr>
          </w:p>
        </w:tc>
        <w:tc>
          <w:tcPr>
            <w:tcW w:w="122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-25400</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fees, net</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Processing fees, net of processor costs associated with ExtraCash originations, for the year ended December 31, 2024 were $218.8 million, an increase of $66.3 million, or 43%, from $152.5 million for the year ended December 31, 2023. The increase was primarily attributable to increases in transacting Members, increases in total ExtraCash origination volume from approximately $3.6 billion to approximately $5.1 billion year over year and average ExtraCash origination amounts that increased from $152 to $170 as of the years ended December 31, 2023 and 2024, respectively.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percentage of total ExtraCash volume, processing fees remained relatively flat, year over year. Additionally, the average processing fees Members paid to expedite ExtraCash increased modestly, while the percentage of Members that chose to pay a processing fee to expedite ExtraCash remained relatively flat for the year ended December 31, 2024 as compared to the year ended December 31, 2023, respectively. Going forward, we expect processing fees to increase as expedited ExtraCash volume and average expedited ExtraCash sizes increase, however, processing fees have not always trended ratably. Prior to the implementation of percentage-based processing fees in late 2023, processing fees did not scale ratably with expedited ExtraCash origination amounts.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Tips for the year ended December 31, 2024 were $67.6 million, an increase of $10.6 million, or 19%, from $56.9 million for the year ended December 31, 2023. The increase was primarily attributable to higher tips from Members due primarily to increases in transacting Members, increases in total ExtraCash origination volume from approximately $3.6 billion to approximately $5.1 billion year over year and average ExtraCash origination amounts that increased from $152 to $170 as of the years ended December 31, 2024 and 2023, respectively.</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percentage of total ExtraCash volume, tips decreased from 1.57% to 1.33% for the year ended December 31, 2024 as compared to the year ended December 31, 2023. The average tip Members chose to leave increased modestly while the percentage of Members that chose to leave a tip decreased modestly for the year ended December 31, 2024 as compared to the year ended December 31, 2023. Tip amounts may not always trend ratably as tips can vary depending on the total amount of the ExtraCash, amount of tips Members choose to leave and the percentage of Members who leave a tip.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Subscriptions for the year ended December 31, 2024 were $24.6 million, an increase of $3.1 million, or 15%, from $21.5 million for the year ended December 31, 2023. The increase was primarily attributable to an increase in paying Members on our platform.</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revenue for the year ended December 31, 2024 was $0.5 million, a decrease of $0.9 million, or 65% from $1.3 million for the year ended December 31, 2023. The decrease was primarily attributable to lower revenues resulting from the elimination of our Legacy Rewards product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Transaction based revenue, net for the year ended December 31, 2024 was $35.7 million, an increase of $8.8 million, or 33%, from $26.9 million, for the year ended December 31, 2023. The increase was primarily attributable to interchange revenue earned from the growth in Members engaging with our Checking Product and card spend of $1.9 billion for the year ended December 31, 2024, an increase of 40%, from $1.4 billion for the year ended December 31, 2023, in addition to increases in fees earned from Members' funding and withdrawal-related transactions, offset by an increase of $1.2 million in interest due to Members.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40"/>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700" w:type="dxa"/>
            <w:vAlign w:val="bottom"/>
            <w:gridSpan w:val="2"/>
            <w:shd w:val="clear" w:color="auto" w:fill="B6DEE8"/>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260" w:type="dxa"/>
            <w:vAlign w:val="bottom"/>
            <w:shd w:val="clear" w:color="auto" w:fill="B6DEE8"/>
          </w:tcPr>
          <w:p>
            <w:pPr>
              <w:spacing w:after="0"/>
              <w:rPr>
                <w:sz w:val="18"/>
                <w:szCs w:val="18"/>
                <w:color w:val="auto"/>
              </w:rPr>
            </w:pPr>
          </w:p>
        </w:tc>
        <w:tc>
          <w:tcPr>
            <w:tcW w:w="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(3,760 )</w:t>
            </w:r>
          </w:p>
        </w:tc>
        <w:tc>
          <w:tcPr>
            <w:tcW w:w="2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580" w:type="dxa"/>
            <w:vAlign w:val="bottom"/>
          </w:tcPr>
          <w:p>
            <w:pPr>
              <w:spacing w:after="0"/>
              <w:rPr>
                <w:sz w:val="18"/>
                <w:szCs w:val="18"/>
                <w:color w:val="auto"/>
              </w:rPr>
            </w:pPr>
          </w:p>
        </w:tc>
        <w:tc>
          <w:tcPr>
            <w:tcW w:w="4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8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280" w:type="dxa"/>
            <w:vAlign w:val="bottom"/>
            <w:shd w:val="clear" w:color="auto" w:fill="B6DEE8"/>
          </w:tcPr>
          <w:p>
            <w:pPr>
              <w:spacing w:after="0"/>
              <w:rPr>
                <w:sz w:val="18"/>
                <w:szCs w:val="18"/>
                <w:color w:val="auto"/>
              </w:rPr>
            </w:pPr>
          </w:p>
        </w:tc>
        <w:tc>
          <w:tcPr>
            <w:tcW w:w="42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26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2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(3,488 )</w:t>
            </w:r>
          </w:p>
        </w:tc>
        <w:tc>
          <w:tcPr>
            <w:tcW w:w="2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80" w:type="dxa"/>
            <w:vAlign w:val="bottom"/>
          </w:tcPr>
          <w:p>
            <w:pPr>
              <w:spacing w:after="0"/>
              <w:rPr>
                <w:sz w:val="18"/>
                <w:szCs w:val="18"/>
                <w:color w:val="auto"/>
              </w:rPr>
            </w:pPr>
          </w:p>
        </w:tc>
        <w:tc>
          <w:tcPr>
            <w:tcW w:w="42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Borders>
              <w:bottom w:val="single" w:sz="8" w:color="auto"/>
            </w:tcBorders>
            <w:shd w:val="clear" w:color="auto" w:fill="B6DEE8"/>
          </w:tcPr>
          <w:p>
            <w:pPr>
              <w:spacing w:after="0"/>
              <w:rPr>
                <w:sz w:val="18"/>
                <w:szCs w:val="18"/>
                <w:color w:val="auto"/>
              </w:rPr>
            </w:pPr>
          </w:p>
        </w:tc>
        <w:tc>
          <w:tcPr>
            <w:tcW w:w="9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75,530</w:t>
            </w:r>
          </w:p>
        </w:tc>
        <w:tc>
          <w:tcPr>
            <w:tcW w:w="280" w:type="dxa"/>
            <w:vAlign w:val="bottom"/>
            <w:tcBorders>
              <w:bottom w:val="single" w:sz="8" w:color="B6DEE8"/>
            </w:tcBorders>
            <w:shd w:val="clear" w:color="auto" w:fill="B6DEE8"/>
          </w:tcPr>
          <w:p>
            <w:pPr>
              <w:spacing w:after="0"/>
              <w:rPr>
                <w:sz w:val="18"/>
                <w:szCs w:val="18"/>
                <w:color w:val="auto"/>
              </w:rPr>
            </w:pPr>
          </w:p>
        </w:tc>
        <w:tc>
          <w:tcPr>
            <w:tcW w:w="420" w:type="dxa"/>
            <w:vAlign w:val="bottom"/>
            <w:tcBorders>
              <w:bottom w:val="single" w:sz="8" w:color="auto"/>
            </w:tcBorders>
            <w:shd w:val="clear" w:color="auto" w:fill="B6DEE8"/>
          </w:tcPr>
          <w:p>
            <w:pPr>
              <w:spacing w:after="0"/>
              <w:rPr>
                <w:sz w:val="18"/>
                <w:szCs w:val="18"/>
                <w:color w:val="auto"/>
              </w:rPr>
            </w:pPr>
          </w:p>
        </w:tc>
        <w:tc>
          <w:tcPr>
            <w:tcW w:w="8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70,679</w:t>
            </w:r>
          </w:p>
        </w:tc>
        <w:tc>
          <w:tcPr>
            <w:tcW w:w="260" w:type="dxa"/>
            <w:vAlign w:val="bottom"/>
            <w:tcBorders>
              <w:bottom w:val="single" w:sz="8" w:color="B6DEE8"/>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2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B6DEE8"/>
            </w:tcBorders>
            <w:shd w:val="clear" w:color="auto" w:fill="B6DEE8"/>
          </w:tcPr>
          <w:p>
            <w:pPr>
              <w:spacing w:after="0"/>
              <w:rPr>
                <w:sz w:val="18"/>
                <w:szCs w:val="18"/>
                <w:color w:val="auto"/>
              </w:rPr>
            </w:pPr>
          </w:p>
        </w:tc>
        <w:tc>
          <w:tcPr>
            <w:tcW w:w="122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10"/>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312,465</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301,293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-170815</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totaled $54.6 million for the year ended December 31, 2024, compared to $58.4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The decrease of $3.8 million, or 6%, was primarily attributable to a decrease of $10.3 million related to ExtraCash receivables aged over 120 days and those that have become uncollectible based on information available to us, offset by an increase in provision expense of $6.6 million related to ExtraCash receivables aged 120 days and under.</w:t>
      </w:r>
    </w:p>
    <w:p>
      <w:pPr>
        <w:spacing w:after="0" w:line="1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decrease in provision expense of $10.3 million related to ExtraCash receivables aged over 120 days and those which have become uncollectible based on information available to us, period over period was attributed to improved collections performance due primarily to underwriting modifications related to ExtraCash eligibility requirements and risk detection. This decrease in provision expense occurred despite increases in transacting Members, average ExtraCash originations from $152 to $170 and total ExtraCash origination volume from $3.6 billion to approximately $5.1 billion for the years ended December 31, 2023 and 2024, respectively. All impaired ExtraCash receivables deemed uncollectible are subsequently written-off and are a direct reduction to the allowance for credit losses.</w:t>
      </w:r>
    </w:p>
    <w:p>
      <w:pPr>
        <w:spacing w:after="0" w:line="18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increase in provision expense of $6.6 million related to ExtraCash receivables aged 120 days and under was primarily attributed to an increase in receivables outstanding related to the 43% increase in ExtraCash origination volume, offset by improved collections performance during the year ended December 31, 2024 as compared to the year ended December 31, 2023. This resulted in an increase to the allowance for credit losses and corresponding increase in provision expense during the year ended December 31, 2024 as compared to December 31, 2023. We anticipate volatility in ExtraCash receivables outstanding each period as they are directly correlated with the timing and volume of Member ExtraCash originations and collections during the last 120 days prior to the end of the period.</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Historical loss and collections rates utilized in the calculation of the provision for credit losses improved slightly as compared to historical rates due to continued improvement in historical collections performance. Any changes to our historical loss and collections experience directly affect the historical loss rates utilized in the calculation of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The changes in the allowance for credit losses, period over period, have a direct impact on the provision for credit losses.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information on the aging of ExtraCash receivables and a roll-forward of the allowance for credit losses, refer to the tables in Note 5 ExtraCash Receivables, Net in the accompanying consolidated financial statements of Dave included in this report.</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service costs</w:t>
      </w:r>
      <w:r>
        <w:rPr>
          <w:rFonts w:ascii="Times New Roman" w:cs="Times New Roman" w:eastAsia="Times New Roman" w:hAnsi="Times New Roman"/>
          <w:sz w:val="18"/>
          <w:szCs w:val="18"/>
          <w:color w:val="auto"/>
        </w:rPr>
        <w:t>—Processing and servicing costs totaled $30.4 million for the year ended December 31, 2024, compared to $28.9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The increase of $1.5 million, or 5%, was primarily driven by an increase in process transaction volume year over year, offset by technology enhancements made to our ExtraCash payments structure along with discounts and cost savings due to rebates and price reductions from our processors.</w:t>
      </w:r>
    </w:p>
    <w:p>
      <w:pPr>
        <w:spacing w:after="0" w:line="18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i w:val="1"/>
          <w:iCs w:val="1"/>
          <w:color w:val="auto"/>
        </w:rPr>
        <w:t>Advertising and marketing</w:t>
      </w:r>
      <w:r>
        <w:rPr>
          <w:rFonts w:ascii="Times New Roman" w:cs="Times New Roman" w:eastAsia="Times New Roman" w:hAnsi="Times New Roman"/>
          <w:sz w:val="17"/>
          <w:szCs w:val="17"/>
          <w:color w:val="auto"/>
        </w:rPr>
        <w:t>—Advertising and marketing expenses totaled $44.9 million for the year ended December 31, 2024, compared to $48.4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year ended December 31, 2023. The decrease of $3.5 million, or 7%, was primarily attributable to reductions in our non-media marketing spend including our brand refresh, efficiencies achieved by partnering with new marketing agencies, and optimizing our promotion strategy. We also improved the efficiency of our media investment by reallocating marketing spend to more efficient channels via improved measurement, tracking and attribution.</w:t>
      </w:r>
    </w:p>
    <w:p>
      <w:pPr>
        <w:spacing w:after="0" w:line="164"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$107.0 million for the year ended December 31, 2024, compared to $94.9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2023. The increase of $12.1 million, or 13%, was primarily attributable to the following:</w:t>
      </w:r>
    </w:p>
    <w:p>
      <w:pPr>
        <w:spacing w:after="0" w:line="52" w:lineRule="exact"/>
        <w:rPr>
          <w:sz w:val="20"/>
          <w:szCs w:val="20"/>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of $10.7 million, primarily due to the vesting of certain performance-based restricted stock units during the year ended December 31, 2024 compared to the year ended December 31, 2023, offset by a reduction in stock-based compensation expense related to stock options granted in prior years that have fully vested;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and related costs of $1.8 million, primarily due to average headcount and salary increases and bonuses; offset by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contractor and consulting fees of $0.4 million due to the average increase in employee headcount and corresponding reduction in external support for IT security, finance, marketing, design and customer service resources.</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$75.5 million for the year ended December 31, 2024, compared to $70.7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The increase of $4.9 million, or 7%, was primarily attributable to the following:</w:t>
      </w:r>
    </w:p>
    <w:p>
      <w:pPr>
        <w:spacing w:after="0" w:line="52" w:lineRule="exact"/>
        <w:rPr>
          <w:sz w:val="20"/>
          <w:szCs w:val="20"/>
          <w:color w:val="auto"/>
        </w:rPr>
      </w:pPr>
    </w:p>
    <w:p>
      <w:pPr>
        <w:ind w:left="1020" w:right="5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legal fees of $3.5 million primarily due to ongoing litigation, settlement, compliance, employment and general corporate related matters;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depreciation and amortization of $2.1 million, primarily due to increased internally developed capitalized costs, and depreciation related to leasehold improvements and equipment purchases;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certain expenses related to our checking product of $1.8 million, primarily attributable to processing fees, card fees and fraud related costs associated with the growth in Members and the number of transactions processed;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technology &amp; infrastructure expenses of $0.5 million, primarily due to increased costs to support the growth of our business and development of new products and features; offset by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insurance related costs of $1.1 million, primarily related to reductions in director and officer insurance premiums;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contribution expenses of $0.9 million, primarily due to decreased amounts pledged to charitable meal donations related to Members' tips; and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administrative expenses of $1.1 million, primarily due to reductions in investor and public relations fees, accounting related fees, bank service charges and other administrative expenses.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(2,984 )</w:t>
            </w:r>
          </w:p>
        </w:tc>
        <w:tc>
          <w:tcPr>
            <w:tcW w:w="420" w:type="dxa"/>
            <w:vAlign w:val="bottom"/>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(5,295 )</w:t>
            </w:r>
          </w:p>
        </w:tc>
        <w:tc>
          <w:tcPr>
            <w:tcW w:w="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2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(3,785 )</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28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(33,442 )</w:t>
            </w:r>
          </w:p>
        </w:tc>
        <w:tc>
          <w:tcPr>
            <w:tcW w:w="420" w:type="dxa"/>
            <w:vAlign w:val="bottom"/>
            <w:shd w:val="clear" w:color="auto" w:fill="B6DEE8"/>
          </w:tcPr>
          <w:p>
            <w:pPr>
              <w:spacing w:after="0"/>
              <w:rPr>
                <w:sz w:val="18"/>
                <w:szCs w:val="18"/>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2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(33,442 )</w:t>
            </w:r>
          </w:p>
        </w:tc>
        <w:tc>
          <w:tcPr>
            <w:tcW w:w="2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-4486 %</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280" w:type="dxa"/>
            <w:vAlign w:val="bottom"/>
            <w:shd w:val="clear" w:color="auto" w:fill="B6DEE8"/>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280" w:type="dxa"/>
            <w:vAlign w:val="bottom"/>
            <w:shd w:val="clear" w:color="auto" w:fill="B6DEE8"/>
          </w:tcPr>
          <w:p>
            <w:pPr>
              <w:spacing w:after="0"/>
              <w:rPr>
                <w:sz w:val="17"/>
                <w:szCs w:val="17"/>
                <w:color w:val="auto"/>
              </w:rPr>
            </w:pPr>
          </w:p>
        </w:tc>
        <w:tc>
          <w:tcPr>
            <w:tcW w:w="92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80" w:type="dxa"/>
            <w:vAlign w:val="bottom"/>
            <w:shd w:val="clear" w:color="auto" w:fill="B6DEE8"/>
          </w:tcPr>
          <w:p>
            <w:pPr>
              <w:spacing w:after="0"/>
              <w:rPr>
                <w:sz w:val="17"/>
                <w:szCs w:val="17"/>
                <w:color w:val="auto"/>
              </w:rPr>
            </w:pPr>
          </w:p>
        </w:tc>
        <w:tc>
          <w:tcPr>
            <w:tcW w:w="420" w:type="dxa"/>
            <w:vAlign w:val="bottom"/>
            <w:shd w:val="clear" w:color="auto" w:fill="B6DEE8"/>
          </w:tcPr>
          <w:p>
            <w:pPr>
              <w:spacing w:after="0"/>
              <w:rPr>
                <w:sz w:val="17"/>
                <w:szCs w:val="17"/>
                <w:color w:val="auto"/>
              </w:rPr>
            </w:pPr>
          </w:p>
        </w:tc>
        <w:tc>
          <w:tcPr>
            <w:tcW w:w="1060" w:type="dxa"/>
            <w:vAlign w:val="bottom"/>
            <w:gridSpan w:val="2"/>
            <w:vMerge w:val="restart"/>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(260 )</w:t>
            </w:r>
          </w:p>
        </w:tc>
        <w:tc>
          <w:tcPr>
            <w:tcW w:w="160" w:type="dxa"/>
            <w:vAlign w:val="bottom"/>
            <w:shd w:val="clear" w:color="auto" w:fill="B6DEE8"/>
          </w:tcPr>
          <w:p>
            <w:pPr>
              <w:spacing w:after="0"/>
              <w:rPr>
                <w:sz w:val="17"/>
                <w:szCs w:val="17"/>
                <w:color w:val="auto"/>
              </w:rPr>
            </w:pPr>
          </w:p>
        </w:tc>
        <w:tc>
          <w:tcPr>
            <w:tcW w:w="106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2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102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B6DEE8"/>
          </w:tcPr>
          <w:p>
            <w:pPr>
              <w:spacing w:after="0"/>
              <w:rPr>
                <w:sz w:val="19"/>
                <w:szCs w:val="19"/>
                <w:color w:val="auto"/>
              </w:rPr>
            </w:pPr>
          </w:p>
        </w:tc>
        <w:tc>
          <w:tcPr>
            <w:tcW w:w="920" w:type="dxa"/>
            <w:vAlign w:val="bottom"/>
            <w:vMerge w:val="continue"/>
            <w:shd w:val="clear" w:color="auto" w:fill="B6DEE8"/>
          </w:tcPr>
          <w:p>
            <w:pPr>
              <w:spacing w:after="0"/>
              <w:rPr>
                <w:sz w:val="19"/>
                <w:szCs w:val="19"/>
                <w:color w:val="auto"/>
              </w:rPr>
            </w:pPr>
          </w:p>
        </w:tc>
        <w:tc>
          <w:tcPr>
            <w:tcW w:w="280" w:type="dxa"/>
            <w:vAlign w:val="bottom"/>
            <w:shd w:val="clear" w:color="auto" w:fill="B6DEE8"/>
          </w:tcPr>
          <w:p>
            <w:pPr>
              <w:spacing w:after="0"/>
              <w:rPr>
                <w:sz w:val="19"/>
                <w:szCs w:val="19"/>
                <w:color w:val="auto"/>
              </w:rPr>
            </w:pPr>
          </w:p>
        </w:tc>
        <w:tc>
          <w:tcPr>
            <w:tcW w:w="420" w:type="dxa"/>
            <w:vAlign w:val="bottom"/>
            <w:shd w:val="clear" w:color="auto" w:fill="B6DEE8"/>
          </w:tcPr>
          <w:p>
            <w:pPr>
              <w:spacing w:after="0"/>
              <w:rPr>
                <w:sz w:val="19"/>
                <w:szCs w:val="19"/>
                <w:color w:val="auto"/>
              </w:rPr>
            </w:pPr>
          </w:p>
        </w:tc>
        <w:tc>
          <w:tcPr>
            <w:tcW w:w="1060" w:type="dxa"/>
            <w:vAlign w:val="bottom"/>
            <w:gridSpan w:val="2"/>
            <w:vMerge w:val="continue"/>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1060" w:type="dxa"/>
            <w:vAlign w:val="bottom"/>
            <w:vMerge w:val="continue"/>
            <w:shd w:val="clear" w:color="auto" w:fill="B6DEE8"/>
          </w:tcPr>
          <w:p>
            <w:pPr>
              <w:spacing w:after="0"/>
              <w:rPr>
                <w:sz w:val="19"/>
                <w:szCs w:val="19"/>
                <w:color w:val="auto"/>
              </w:rPr>
            </w:pPr>
          </w:p>
        </w:tc>
        <w:tc>
          <w:tcPr>
            <w:tcW w:w="220" w:type="dxa"/>
            <w:vAlign w:val="bottom"/>
            <w:shd w:val="clear" w:color="auto" w:fill="B6DEE8"/>
          </w:tcPr>
          <w:p>
            <w:pPr>
              <w:spacing w:after="0"/>
              <w:rPr>
                <w:sz w:val="19"/>
                <w:szCs w:val="19"/>
                <w:color w:val="auto"/>
              </w:rPr>
            </w:pPr>
          </w:p>
        </w:tc>
        <w:tc>
          <w:tcPr>
            <w:tcW w:w="200" w:type="dxa"/>
            <w:vAlign w:val="bottom"/>
            <w:shd w:val="clear" w:color="auto" w:fill="B6DEE8"/>
          </w:tcPr>
          <w:p>
            <w:pPr>
              <w:spacing w:after="0"/>
              <w:rPr>
                <w:sz w:val="19"/>
                <w:szCs w:val="19"/>
                <w:color w:val="auto"/>
              </w:rPr>
            </w:pPr>
          </w:p>
        </w:tc>
        <w:tc>
          <w:tcPr>
            <w:tcW w:w="1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-765 %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shd w:val="clear" w:color="auto" w:fill="B6DE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B6DE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200" w:type="dxa"/>
            <w:vAlign w:val="bottom"/>
            <w:shd w:val="clear" w:color="auto" w:fill="B6DEE8"/>
          </w:tcPr>
          <w:p>
            <w:pPr>
              <w:spacing w:after="0" w:line="20" w:lineRule="exact"/>
              <w:rPr>
                <w:sz w:val="1"/>
                <w:szCs w:val="1"/>
                <w:color w:val="auto"/>
              </w:rPr>
            </w:pPr>
          </w:p>
        </w:tc>
        <w:tc>
          <w:tcPr>
            <w:tcW w:w="1020" w:type="dxa"/>
            <w:vAlign w:val="bottom"/>
            <w:shd w:val="clear" w:color="auto" w:fill="B6DEE8"/>
          </w:tcPr>
          <w:p>
            <w:pPr>
              <w:spacing w:after="0" w:line="20" w:lineRule="exact"/>
              <w:rPr>
                <w:sz w:val="1"/>
                <w:szCs w:val="1"/>
                <w:color w:val="auto"/>
              </w:rPr>
            </w:pPr>
          </w:p>
        </w:tc>
        <w:tc>
          <w:tcPr>
            <w:tcW w:w="200" w:type="dxa"/>
            <w:vAlign w:val="bottom"/>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(25,743 )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(31,940 )</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-170815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totaled $3.0 million for the year ended December 31, 2024, compared to $5.3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of $2.3 million, or 44%, was primarily attributable to an average lower balance of investments held during the year ended December 31, 2024 as compared to the year ended December 31, 2023.</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totaled $8.0 million for the year ended December 31, 2024, compared to $11.8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of $3.8 million, or 32%, was primarily attributable to a reduction of interest expense related to the repurchase of the convertible note with FTX Ventures Ltd. in January 2024.</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Gain on extinguishment of convertible debt</w:t>
      </w:r>
      <w:r>
        <w:rPr>
          <w:rFonts w:ascii="Times New Roman" w:cs="Times New Roman" w:eastAsia="Times New Roman" w:hAnsi="Times New Roman"/>
          <w:sz w:val="18"/>
          <w:szCs w:val="18"/>
          <w:color w:val="auto"/>
        </w:rPr>
        <w:t>— The gain on extinguishment of convertible debt totaled $33.4 million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$0 for the year ended December 31, 2023. The increase was primarily attributable to the repurchase of the $105.7 million outstanding balance of the convertible note with FTX Ventures Ltd. for $71.0 million in January 2024. The gain was reduced by unamortized debt issuance costs of $0.03 million at the extinguishment date and third-party costs totaling $1.3 million in conjunction with the settlement of the convertible note.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totaled an expense of $1.0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a benefit of $0.02 million for the year ended December 31, 2024. The increase of $1.0 million, was primarily attributable to fair value adjustments associated with certain earnout shares liability due to increases in our underlying Class A Common Stock price as of the year ended December 31, 2024 as compared to the year ended December 31, 2023.</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fair value of warrant liability totaled an expense of $1.7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total a benefit of $0.3 million for the year ended December 31, 2023. The increase in expense of $2.0 million, or 765%, was primarily attributable to fair value adjustments associated with our public and private warrant liabilities due to increases in our publicly traded warrants price and underlying Class A Common Stock price for the year ended December 31, 2024 as compared to the year ended December 31, 2023.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3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18"/>
                <w:szCs w:val="18"/>
                <w:color w:val="auto"/>
              </w:rPr>
            </w:pPr>
          </w:p>
        </w:tc>
      </w:tr>
      <w:tr>
        <w:trPr>
          <w:trHeight w:val="209"/>
        </w:trPr>
        <w:tc>
          <w:tcPr>
            <w:tcW w:w="42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Borders>
              <w:bottom w:val="single" w:sz="8" w:color="auto"/>
            </w:tcBorders>
            <w:shd w:val="clear" w:color="auto" w:fill="B6DEE8"/>
          </w:tcPr>
          <w:p>
            <w:pPr>
              <w:spacing w:after="0"/>
              <w:rPr>
                <w:sz w:val="18"/>
                <w:szCs w:val="18"/>
                <w:color w:val="auto"/>
              </w:rPr>
            </w:pPr>
          </w:p>
        </w:tc>
        <w:tc>
          <w:tcPr>
            <w:tcW w:w="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8"/>
              </w:rPr>
              <w:t>2,481</w:t>
            </w:r>
          </w:p>
        </w:tc>
        <w:tc>
          <w:tcPr>
            <w:tcW w:w="280" w:type="dxa"/>
            <w:vAlign w:val="bottom"/>
            <w:tcBorders>
              <w:bottom w:val="single" w:sz="8" w:color="B6DEE8"/>
            </w:tcBorders>
            <w:shd w:val="clear" w:color="auto" w:fill="B6DEE8"/>
          </w:tcPr>
          <w:p>
            <w:pPr>
              <w:spacing w:after="0"/>
              <w:rPr>
                <w:sz w:val="18"/>
                <w:szCs w:val="18"/>
                <w:color w:val="auto"/>
              </w:rPr>
            </w:pPr>
          </w:p>
        </w:tc>
        <w:tc>
          <w:tcPr>
            <w:tcW w:w="860" w:type="dxa"/>
            <w:vAlign w:val="bottom"/>
            <w:tcBorders>
              <w:bottom w:val="single" w:sz="8" w:color="auto"/>
            </w:tcBorders>
            <w:shd w:val="clear" w:color="auto" w:fill="B6DEE8"/>
          </w:tcPr>
          <w:p>
            <w:pPr>
              <w:spacing w:after="0"/>
              <w:rPr>
                <w:sz w:val="18"/>
                <w:szCs w:val="18"/>
                <w:color w:val="auto"/>
              </w:rPr>
            </w:pPr>
          </w:p>
        </w:tc>
        <w:tc>
          <w:tcPr>
            <w:tcW w:w="3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Borders>
              <w:bottom w:val="single" w:sz="8" w:color="B6DEE8"/>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2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B6DEE8"/>
            </w:tcBorders>
            <w:shd w:val="clear" w:color="auto" w:fill="B6DEE8"/>
          </w:tcPr>
          <w:p>
            <w:pPr>
              <w:spacing w:after="0"/>
              <w:rPr>
                <w:sz w:val="18"/>
                <w:szCs w:val="18"/>
                <w:color w:val="auto"/>
              </w:rPr>
            </w:pPr>
          </w:p>
        </w:tc>
        <w:tc>
          <w:tcPr>
            <w:tcW w:w="122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1968 %</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2,481</w:t>
            </w:r>
          </w:p>
        </w:tc>
        <w:tc>
          <w:tcPr>
            <w:tcW w:w="11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1968 %</w:t>
            </w:r>
          </w:p>
        </w:tc>
      </w:tr>
      <w:tr>
        <w:trPr>
          <w:trHeight w:val="20"/>
        </w:trPr>
        <w:tc>
          <w:tcPr>
            <w:tcW w:w="4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-170815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Provision for income taxes for the year ended December 31, 2024 increased by approximately $2.4 million compared to the year ended December 31, 2023. This increase was primarily due to a significant increase in income for the year ended December 31, 2024 compared to the year ended December 31, 2023, including a </w:t>
      </w:r>
      <w:r>
        <w:rPr>
          <w:rFonts w:ascii="Times New Roman" w:cs="Times New Roman" w:eastAsia="Times New Roman" w:hAnsi="Times New Roman"/>
          <w:sz w:val="18"/>
          <w:szCs w:val="18"/>
          <w:u w:val="single" w:color="auto"/>
          <w:color w:val="auto"/>
        </w:rPr>
        <w:t>nonrecurring</w:t>
      </w:r>
      <w:r>
        <w:rPr>
          <w:rFonts w:ascii="Times New Roman" w:cs="Times New Roman" w:eastAsia="Times New Roman" w:hAnsi="Times New Roman"/>
          <w:sz w:val="18"/>
          <w:szCs w:val="18"/>
          <w:color w:val="auto"/>
        </w:rPr>
        <w:t xml:space="preserve"> gain on extinguishment of convertible debt of $33.4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and 2022</w:t>
      </w:r>
    </w:p>
    <w:p>
      <w:pPr>
        <w:spacing w:after="0" w:line="229" w:lineRule="exact"/>
        <w:rPr>
          <w:sz w:val="20"/>
          <w:szCs w:val="20"/>
          <w:color w:val="auto"/>
        </w:rPr>
      </w:pPr>
    </w:p>
    <w:p>
      <w:pPr>
        <w:jc w:val="both"/>
        <w:ind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discussion regarding our results of operations for the year ended December 31, 2023 compared to the results for the year ended December 31, 2022 can be found under “Management’s Discussion and Analysis of Financial Condition and Results of Operations of Dave – Results of Operations” in our Form 10-K filed with the SEC on </w:t>
      </w:r>
      <w:hyperlink r:id="rId95">
        <w:r>
          <w:rPr>
            <w:rFonts w:ascii="Times New Roman" w:cs="Times New Roman" w:eastAsia="Times New Roman" w:hAnsi="Times New Roman"/>
            <w:sz w:val="18"/>
            <w:szCs w:val="18"/>
            <w:u w:val="single" w:color="auto"/>
            <w:color w:val="0000FF"/>
          </w:rPr>
          <w:t>March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which is available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-38735</wp:posOffset>
            </wp:positionV>
            <wp:extent cx="6978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“Adjusted EBITDA” is defined as net income (loss) adjusted for interest expense, net, provision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income (loss) to Adjusted EBITDA below should be reviewed, and no single financial measure should be relied upon to evaluate our business.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EBITDA for the years ended December 31, 2024 and 2023:</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340" w:type="dxa"/>
            <w:vAlign w:val="bottom"/>
            <w:shd w:val="clear" w:color="auto" w:fill="B6DEE8"/>
          </w:tcPr>
          <w:p>
            <w:pPr>
              <w:spacing w:after="0"/>
              <w:rPr>
                <w:sz w:val="18"/>
                <w:szCs w:val="18"/>
                <w:color w:val="auto"/>
              </w:rPr>
            </w:pPr>
          </w:p>
        </w:tc>
        <w:tc>
          <w:tcPr>
            <w:tcW w:w="660" w:type="dxa"/>
            <w:vAlign w:val="bottom"/>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(48,517 )</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Pr>
          <w:p>
            <w:pPr>
              <w:spacing w:after="0"/>
              <w:rPr>
                <w:sz w:val="18"/>
                <w:szCs w:val="18"/>
                <w:color w:val="auto"/>
              </w:rPr>
            </w:pPr>
          </w:p>
        </w:tc>
      </w:tr>
      <w:tr>
        <w:trPr>
          <w:trHeight w:val="216"/>
        </w:trPr>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340" w:type="dxa"/>
            <w:vAlign w:val="bottom"/>
            <w:shd w:val="clear" w:color="auto" w:fill="B6DEE8"/>
          </w:tcPr>
          <w:p>
            <w:pPr>
              <w:spacing w:after="0"/>
              <w:rPr>
                <w:sz w:val="18"/>
                <w:szCs w:val="18"/>
                <w:color w:val="auto"/>
              </w:rPr>
            </w:pPr>
          </w:p>
        </w:tc>
        <w:tc>
          <w:tcPr>
            <w:tcW w:w="66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B6DEE8"/>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18"/>
                <w:szCs w:val="18"/>
                <w:color w:val="auto"/>
              </w:rPr>
            </w:pPr>
          </w:p>
        </w:tc>
      </w:tr>
      <w:tr>
        <w:trPr>
          <w:trHeight w:val="216"/>
        </w:trPr>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37,327</w:t>
            </w:r>
          </w:p>
        </w:tc>
        <w:tc>
          <w:tcPr>
            <w:tcW w:w="340" w:type="dxa"/>
            <w:vAlign w:val="bottom"/>
            <w:shd w:val="clear" w:color="auto" w:fill="B6DEE8"/>
          </w:tcPr>
          <w:p>
            <w:pPr>
              <w:spacing w:after="0"/>
              <w:rPr>
                <w:sz w:val="18"/>
                <w:szCs w:val="18"/>
                <w:color w:val="auto"/>
              </w:rPr>
            </w:pPr>
          </w:p>
        </w:tc>
        <w:tc>
          <w:tcPr>
            <w:tcW w:w="66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00" w:type="dxa"/>
            <w:vAlign w:val="bottom"/>
            <w:shd w:val="clear" w:color="auto" w:fill="B6DEE8"/>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and litigation accrual</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1100" w:type="dxa"/>
            <w:vAlign w:val="bottom"/>
            <w:shd w:val="clear" w:color="auto" w:fill="B6DEE8"/>
          </w:tcPr>
          <w:p>
            <w:pPr>
              <w:spacing w:after="0"/>
              <w:rPr>
                <w:sz w:val="18"/>
                <w:szCs w:val="18"/>
                <w:color w:val="auto"/>
              </w:rPr>
            </w:pPr>
          </w:p>
        </w:tc>
        <w:tc>
          <w:tcPr>
            <w:tcW w:w="980" w:type="dxa"/>
            <w:vAlign w:val="bottom"/>
            <w:gridSpan w:val="2"/>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color w:val="auto"/>
              </w:rPr>
              <w:t>(33,442 )</w:t>
            </w:r>
          </w:p>
        </w:tc>
        <w:tc>
          <w:tcPr>
            <w:tcW w:w="66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340" w:type="dxa"/>
            <w:vAlign w:val="bottom"/>
            <w:shd w:val="clear" w:color="auto" w:fill="B6DEE8"/>
          </w:tcPr>
          <w:p>
            <w:pPr>
              <w:spacing w:after="0"/>
              <w:rPr>
                <w:sz w:val="18"/>
                <w:szCs w:val="18"/>
                <w:color w:val="auto"/>
              </w:rPr>
            </w:pPr>
          </w:p>
        </w:tc>
        <w:tc>
          <w:tcPr>
            <w:tcW w:w="66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6160" w:type="dxa"/>
            <w:vAlign w:val="bottom"/>
            <w:shd w:val="clear" w:color="auto" w:fill="B6DEE8"/>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B6DEE8"/>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86,478</w:t>
            </w:r>
          </w:p>
        </w:tc>
        <w:tc>
          <w:tcPr>
            <w:tcW w:w="34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(10,076 )</w:t>
            </w:r>
          </w:p>
        </w:tc>
      </w:tr>
      <w:tr>
        <w:trPr>
          <w:trHeight w:val="20"/>
        </w:trPr>
        <w:tc>
          <w:tcPr>
            <w:tcW w:w="6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past, we have financed our operations primarily from cash receipts from service and transaction-based revenues, equity financings, borrowings under the Debt Facility, issuances of convertible notes and funds received as a result of the business combination. As of December 31, 2024 and 2023, our cash and cash equivalents, marketable securities and investments balance was $90.3 million and $155.9 million, respectively.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an early-stage company, the expenses we have incurred since inception are consistent with our strategy and approach to capital allocation. We expect to incur significant expenses in accordance with our operating plan as we continue to expand and improve upon our financial platform.</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should be sufficient to meet our working capital and capital expenditure requirements and fund our operations for a period of at least 12 months from the date of this report.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we were not in compliance with a specific debt covenant under our existing Debt Facility with Victory Park Management, LLC (“Agent”). In particular, a breach existed relating to the Minimum Receivable Loan-to-Value ("LTV Ratio"), which exceeded the allowable limits set forth in the covenant. The Agent, on behalf of its lenders, provided a one-time limited waiver of this covenant, effective from October 18, 2024 until June 30, 2025. This waiver is solely for that period and for addressing this specific breach, and does not constitute a waiver of any default or event of default under the Debt Facility.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existing cash balances. Dave does not have any “off-balance sheet arrangements,” as defined by the SEC regulations.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terms of approximately 1 to 4 years as of December 31, 2024, and we had a total lease liability of $0.6 million. See Note 13, Leases in the notes to our consolidated financial statements for additional information regarding our lease liabilities as of December 31,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near term, we expect to continue to generate ExtraCash originations relying primarily on our balance sheet cash and Debt Facility, as needed. Interest payments on term loan borrowings under the Debt Facility are required to be made on a monthly basis. At December 31, 2024, $75.0 million of term loans under the Debt Facility were outstanding. See Note 11, Debt Facility in the notes to our consolidated financial statements in this report.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we also had certain contractual payment obligations for interest owed under the $100.0 million Note we issued and sold pursuant to the Note Purchase Agreement entered into with FTX Ventures. Interest payments relating to the Note were required to be made or added to the outstanding principal on a semi-annual basis. On January 29, 2024, we repurchased the $105.5 million outstanding balance of the Note as of December 31, 2023 for $71.0 million. For more information on the Note Purchase Agreement with FTX Ventures, see Note 9, Convertible Note.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use cash to acquire businesses and technologies. The nature of these potential transactions, however, makes it difficult to predict the amount and timing of such cash requirements.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Summary</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5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4"/>
                <w:szCs w:val="24"/>
                <w:color w:val="auto"/>
              </w:rPr>
            </w:pPr>
          </w:p>
        </w:tc>
        <w:tc>
          <w:tcPr>
            <w:tcW w:w="36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10"/>
        </w:trPr>
        <w:tc>
          <w:tcPr>
            <w:tcW w:w="5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125,137</w:t>
            </w:r>
          </w:p>
        </w:tc>
        <w:tc>
          <w:tcPr>
            <w:tcW w:w="340" w:type="dxa"/>
            <w:vAlign w:val="bottom"/>
            <w:shd w:val="clear" w:color="auto" w:fill="B6DEE8"/>
          </w:tcPr>
          <w:p>
            <w:pPr>
              <w:spacing w:after="0"/>
              <w:rPr>
                <w:sz w:val="18"/>
                <w:szCs w:val="18"/>
                <w:color w:val="auto"/>
              </w:rPr>
            </w:pPr>
          </w:p>
        </w:tc>
        <w:tc>
          <w:tcPr>
            <w:tcW w:w="400" w:type="dxa"/>
            <w:vAlign w:val="bottom"/>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(45,843 )</w:t>
            </w:r>
          </w:p>
        </w:tc>
        <w:tc>
          <w:tcPr>
            <w:tcW w:w="4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(14,375 )</w:t>
            </w:r>
          </w:p>
        </w:tc>
      </w:tr>
      <w:tr>
        <w:trPr>
          <w:trHeight w:val="216"/>
        </w:trPr>
        <w:tc>
          <w:tcPr>
            <w:tcW w:w="580" w:type="dxa"/>
            <w:vAlign w:val="bottom"/>
          </w:tcPr>
          <w:p>
            <w:pPr>
              <w:spacing w:after="0"/>
              <w:rPr>
                <w:sz w:val="18"/>
                <w:szCs w:val="18"/>
                <w:color w:val="auto"/>
              </w:rPr>
            </w:pPr>
          </w:p>
        </w:tc>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B6DEE8"/>
          </w:tcPr>
          <w:p>
            <w:pPr>
              <w:spacing w:after="0"/>
              <w:rPr>
                <w:sz w:val="18"/>
                <w:szCs w:val="18"/>
                <w:color w:val="auto"/>
              </w:rPr>
            </w:pPr>
          </w:p>
        </w:tc>
        <w:tc>
          <w:tcPr>
            <w:tcW w:w="1740" w:type="dxa"/>
            <w:vAlign w:val="bottom"/>
            <w:gridSpan w:val="2"/>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color w:val="auto"/>
              </w:rPr>
              <w:t>(70,995 )</w:t>
            </w:r>
          </w:p>
        </w:tc>
        <w:tc>
          <w:tcPr>
            <w:tcW w:w="400" w:type="dxa"/>
            <w:vAlign w:val="bottom"/>
            <w:shd w:val="clear" w:color="auto" w:fill="B6DEE8"/>
          </w:tcPr>
          <w:p>
            <w:pPr>
              <w:spacing w:after="0"/>
              <w:rPr>
                <w:sz w:val="18"/>
                <w:szCs w:val="18"/>
                <w:color w:val="auto"/>
              </w:rPr>
            </w:pPr>
          </w:p>
        </w:tc>
        <w:tc>
          <w:tcPr>
            <w:tcW w:w="13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B6DEE8"/>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16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8,299</w:t>
            </w:r>
          </w:p>
        </w:tc>
        <w:tc>
          <w:tcPr>
            <w:tcW w:w="340" w:type="dxa"/>
            <w:vAlign w:val="bottom"/>
            <w:tcBorders>
              <w:top w:val="single" w:sz="8" w:color="B6DEE8"/>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19,401</w:t>
            </w:r>
          </w:p>
        </w:tc>
        <w:tc>
          <w:tcPr>
            <w:tcW w:w="100" w:type="dxa"/>
            <w:vAlign w:val="bottom"/>
            <w:tcBorders>
              <w:top w:val="single" w:sz="8" w:color="B6DEE8"/>
            </w:tcBorders>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recorded net income of $57.9 million for the year ended December 31, 2024, and a net loss of $48.5 million for the year ended December 31, 2023. We reported cash flows provided by operating activities of $125.1 million for the year ended December 31, 2024 and cash flows provided by operating activities of $33.8 million for the year ended December 31, 2023.</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cash provided by operating activities increased compared to the year ended December 31, 2023 due to decreases in the provision for credit losses, processing costs, marketing and compensation and benefits across the organization. Net cash provided by operating activities for the year ended December 31, 2024 included net income of $57.9 million, and excluding non-cash impacts, included an increase in prepaid expenses and other current assets of $8.2 million and an increase in receivables related to revenue from ExtraCash of $6.2 million. These changes were offset by an increase in accrued expenses of $4.1 million, an increase in legal settlement accrual of $3.8 million, an increase in non-current liabilities of $2.9 million, an increase in accounts payable of $1.3 million, an increase in other current liabilities of $0.3 million and a decrease in prepaid income taxes of $0.1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cash provided by operating activities increased compared to the year ended December 31, 2022 due to decreases in the provision for credit losses, processing costs, marketing and compensation and benefits across the organization. Excluding non-cash impacts, changes in cash flows from operations included an increase in receivables related to revenue from ExtraCash receivables of $4.1 million, a decrease in accounts payable of $5.9 million, a decrease in legal settlement accrual of $6.1 million, and a decrease in other current liabilities of $0.5 million. These changes were offset primarily by a decrease in prepaid income taxes of 0.7 million, a decrease in prepaid expenses and other current assets of $3.3 million and an increase in accrued expenses of $1.7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$45.8 million. This amount included payments for internally developed software costs of $7.3 million, the purchase of property and equipment of $0.3 million, net ExtraCash originations and collections of $111.5 million, the purchase of investments of $111.3 million, and the purchase of marketable securities of $59.3 million, offset by the sale of marketable securities of $60.1 million and the sale and maturity of investments of $183.7 million.</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was $14.4 million. This amount included payments for internally developed software costs of $7.9 million, the purchase of property and equipment of $0.7 million, net ExtraCash originations and collections of $63.0 million, the purchase of investments of $120.0 million, and the purchase of marketable securities of $34.4 million, offset by the sale of marketable securities of $33.7 million and the sale and maturity of investments of $177.9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used in financing activities was $71.0 million, which primarily consisted of the $72.3 million paydown of the convertible note with FTX Ventures Ltd. and associated costs, offset by $1.3 million in proceeds from the issuance of common stock for stock option exercises.</w:t>
      </w:r>
    </w:p>
    <w:p>
      <w:pPr>
        <w:spacing w:after="0" w:line="6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$0.02 million, which primarily consisted of payments of $0.01 million for fractional shares that resulted from our reserve stock spilt and $0.03 million in proceeds from the issuance of common stock for stock option exercises.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p>
    <w:p>
      <w:pPr>
        <w:spacing w:after="0" w:line="187" w:lineRule="exact"/>
        <w:rPr>
          <w:sz w:val="20"/>
          <w:szCs w:val="20"/>
          <w:color w:val="auto"/>
        </w:rPr>
      </w:pPr>
    </w:p>
    <w:p>
      <w:pPr>
        <w:ind w:left="740" w:hanging="223"/>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Please refer to Note 2 in our accompanying consolidated financial statements for the years ended December 31, 2024 and 2023 included in this Annual Report on Form 10-K.</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estimates are described in the notes to our consolidated financial statements, we believe that the following accounting estimates require a greater degree of judgment and complexity and are the most critical to understanding our financial condition and historical and future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receivable amounts reduced by an allowance for expected credit losses. We pool our ExtraCash receivables,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ExtraCash receivables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ExtraCash receivable. Adjustments to the allowance each period for changes in the estimate of lifetime expected credit losses are recognized in operating expenses—provision for credit losses in the consolidated statements of operations.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 we determine that an ExtraCash receivable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ExtraCash receivable may result in an additional allowance for expected credit losses being recognized in the period in which the change occurs.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follow ASC 740, Income Taxes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$2.0 million and $1.3 million of uncertain tax positions as of December 31, 2024 and 2023, respectively, related to state income taxes and federal and state research and development tax credits.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subject to income tax in jurisdictions in which we operate, including the United States. For U.S. income tax purposes, we are taxed as a Subchapter C corporation.</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recognize deferred taxes for temporary differences between the basis of assets and liabilities for financial statement and income tax purposes. We recorded a valuation allowance against our deferred tax assets, net of deferred tax liabilities, at December 31, 2024 and December 31, 2023. Based upon management’s assessment of all available evidence, we have concluded that it is more-likely-than-not that the deferred tax assets, net of deferred tax liabilities, will not be realized.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until December 31, 2025 and to continue to take advantage of the benefits of the extended transition period, although we may decide to early adopt such new or revised accounting standards to the extent permitted by such standards. We expect to use this extended transition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consolidated financial statements included in this report for the recent accounting pronouncements adopted and the recent accounting pronouncements not yet adopted for the years ended December 31, 2024 and 2023.</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(1) the last day of the fiscal year (a) following March 4, 2026, (b) in which we have total annual gross revenue of at least $1.235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of our consolidated financial statements included in this report for a discussion of the impact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4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2"/>
                <w:szCs w:val="12"/>
                <w:color w:val="000000"/>
              </w:rPr>
              <w:t>(PCAOB Firm ID: 34)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160" w:type="dxa"/>
            <w:vAlign w:val="bottom"/>
            <w:tcBorders>
              <w:left w:val="single" w:sz="8" w:color="0000FF"/>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472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4760" w:type="dxa"/>
            <w:vAlign w:val="bottom"/>
            <w:gridSpan w:val="6"/>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196"/>
        </w:trPr>
        <w:tc>
          <w:tcPr>
            <w:tcW w:w="650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and 2023</w:t>
            </w:r>
          </w:p>
        </w:tc>
        <w:tc>
          <w:tcPr>
            <w:tcW w:w="20" w:type="dxa"/>
            <w:vAlign w:val="bottom"/>
            <w:tcBorders>
              <w:bottom w:val="single" w:sz="8" w:color="0000EE"/>
            </w:tcBorders>
          </w:tcPr>
          <w:p>
            <w:pPr>
              <w:spacing w:after="0"/>
              <w:rPr>
                <w:sz w:val="17"/>
                <w:szCs w:val="17"/>
                <w:color w:val="auto"/>
              </w:rPr>
            </w:pPr>
          </w:p>
        </w:tc>
        <w:tc>
          <w:tcPr>
            <w:tcW w:w="2960" w:type="dxa"/>
            <w:vAlign w:val="bottom"/>
            <w:gridSpan w:val="3"/>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948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2024 and 2023</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7920" w:type="dxa"/>
            <w:vAlign w:val="bottom"/>
            <w:tcBorders>
              <w:top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and 2023</w:t>
            </w:r>
          </w:p>
        </w:tc>
        <w:tc>
          <w:tcPr>
            <w:tcW w:w="15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7220" w:type="dxa"/>
            <w:vAlign w:val="bottom"/>
            <w:tcBorders>
              <w:top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w:t>
            </w:r>
            <w:r>
              <w:rPr>
                <w:rFonts w:ascii="Times New Roman" w:cs="Times New Roman" w:eastAsia="Times New Roman" w:hAnsi="Times New Roman"/>
                <w:sz w:val="18"/>
                <w:szCs w:val="18"/>
                <w:color w:val="000000"/>
              </w:rPr>
              <w:t>3</w:t>
            </w:r>
          </w:p>
        </w:tc>
        <w:tc>
          <w:tcPr>
            <w:tcW w:w="226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412"/>
        </w:trPr>
        <w:tc>
          <w:tcPr>
            <w:tcW w:w="64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20" w:type="dxa"/>
            <w:vAlign w:val="bottom"/>
            <w:gridSpan w:val="5"/>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101"/>
        </w:trPr>
        <w:tc>
          <w:tcPr>
            <w:tcW w:w="3160" w:type="dxa"/>
            <w:vAlign w:val="bottom"/>
            <w:tcBorders>
              <w:top w:val="single" w:sz="8" w:color="0000FF"/>
            </w:tcBorders>
          </w:tcPr>
          <w:p>
            <w:pPr>
              <w:spacing w:after="0"/>
              <w:rPr>
                <w:sz w:val="24"/>
                <w:szCs w:val="24"/>
                <w:color w:val="auto"/>
              </w:rPr>
            </w:pPr>
          </w:p>
        </w:tc>
        <w:tc>
          <w:tcPr>
            <w:tcW w:w="33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Dave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Dave Inc. and subsidiaries (the "Company") as of December 31, 2024 and 2023, the related consolidated statements of operations, comprehensive income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B7DEE8"/>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spacing w:after="0"/>
              <w:rPr>
                <w:sz w:val="12"/>
                <w:szCs w:val="12"/>
                <w:color w:val="auto"/>
              </w:rPr>
            </w:pP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49,718</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41,759</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860" w:type="dxa"/>
            <w:vAlign w:val="bottom"/>
            <w:shd w:val="clear" w:color="auto" w:fill="B7DEE8"/>
          </w:tcPr>
          <w:p>
            <w:pPr>
              <w:ind w:left="120"/>
              <w:spacing w:after="0" w:line="126" w:lineRule="exact"/>
              <w:rPr>
                <w:sz w:val="20"/>
                <w:szCs w:val="20"/>
                <w:color w:val="auto"/>
              </w:rPr>
            </w:pPr>
            <w:r>
              <w:rPr>
                <w:rFonts w:ascii="Times New Roman" w:cs="Times New Roman" w:eastAsia="Times New Roman" w:hAnsi="Times New Roman"/>
                <w:sz w:val="14"/>
                <w:szCs w:val="14"/>
                <w:color w:val="auto"/>
              </w:rPr>
              <w:t>ExtraCash receivables, net of allowance for credit losses of $22,703 and $20,310 as of December 31, 2024 and December 31, 2023,</w:t>
            </w:r>
          </w:p>
        </w:tc>
        <w:tc>
          <w:tcPr>
            <w:tcW w:w="140" w:type="dxa"/>
            <w:vAlign w:val="bottom"/>
            <w:shd w:val="clear" w:color="auto" w:fill="B7DEE8"/>
          </w:tcPr>
          <w:p>
            <w:pPr>
              <w:spacing w:after="0"/>
              <w:rPr>
                <w:sz w:val="10"/>
                <w:szCs w:val="10"/>
                <w:color w:val="auto"/>
              </w:rPr>
            </w:pPr>
          </w:p>
        </w:tc>
        <w:tc>
          <w:tcPr>
            <w:tcW w:w="110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175,857</w:t>
            </w:r>
          </w:p>
        </w:tc>
        <w:tc>
          <w:tcPr>
            <w:tcW w:w="360" w:type="dxa"/>
            <w:vAlign w:val="bottom"/>
            <w:shd w:val="clear" w:color="auto" w:fill="B7DEE8"/>
          </w:tcPr>
          <w:p>
            <w:pPr>
              <w:spacing w:after="0"/>
              <w:rPr>
                <w:sz w:val="10"/>
                <w:szCs w:val="10"/>
                <w:color w:val="auto"/>
              </w:rPr>
            </w:pPr>
          </w:p>
        </w:tc>
        <w:tc>
          <w:tcPr>
            <w:tcW w:w="240" w:type="dxa"/>
            <w:vAlign w:val="bottom"/>
            <w:shd w:val="clear" w:color="auto" w:fill="B7DEE8"/>
          </w:tcPr>
          <w:p>
            <w:pPr>
              <w:spacing w:after="0"/>
              <w:rPr>
                <w:sz w:val="10"/>
                <w:szCs w:val="10"/>
                <w:color w:val="auto"/>
              </w:rPr>
            </w:pPr>
          </w:p>
        </w:tc>
        <w:tc>
          <w:tcPr>
            <w:tcW w:w="144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112,846</w:t>
            </w:r>
          </w:p>
        </w:tc>
        <w:tc>
          <w:tcPr>
            <w:tcW w:w="100" w:type="dxa"/>
            <w:vAlign w:val="bottom"/>
            <w:shd w:val="clear" w:color="auto" w:fill="B7DEE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shd w:val="clear" w:color="auto" w:fill="B7DEE8"/>
          </w:tcPr>
          <w:p>
            <w:pPr>
              <w:spacing w:after="0"/>
              <w:rPr>
                <w:sz w:val="14"/>
                <w:szCs w:val="14"/>
                <w:color w:val="auto"/>
              </w:rPr>
            </w:pPr>
          </w:p>
        </w:tc>
        <w:tc>
          <w:tcPr>
            <w:tcW w:w="1100" w:type="dxa"/>
            <w:vAlign w:val="bottom"/>
            <w:vMerge w:val="continue"/>
            <w:shd w:val="clear" w:color="auto" w:fill="B7DEE8"/>
          </w:tcPr>
          <w:p>
            <w:pPr>
              <w:spacing w:after="0"/>
              <w:rPr>
                <w:sz w:val="14"/>
                <w:szCs w:val="14"/>
                <w:color w:val="auto"/>
              </w:rPr>
            </w:pPr>
          </w:p>
        </w:tc>
        <w:tc>
          <w:tcPr>
            <w:tcW w:w="360" w:type="dxa"/>
            <w:vAlign w:val="bottom"/>
            <w:shd w:val="clear" w:color="auto" w:fill="B7DEE8"/>
          </w:tcPr>
          <w:p>
            <w:pPr>
              <w:spacing w:after="0"/>
              <w:rPr>
                <w:sz w:val="14"/>
                <w:szCs w:val="14"/>
                <w:color w:val="auto"/>
              </w:rPr>
            </w:pPr>
          </w:p>
        </w:tc>
        <w:tc>
          <w:tcPr>
            <w:tcW w:w="240" w:type="dxa"/>
            <w:vAlign w:val="bottom"/>
            <w:shd w:val="clear" w:color="auto" w:fill="B7DEE8"/>
          </w:tcPr>
          <w:p>
            <w:pPr>
              <w:spacing w:after="0"/>
              <w:rPr>
                <w:sz w:val="14"/>
                <w:szCs w:val="14"/>
                <w:color w:val="auto"/>
              </w:rPr>
            </w:pPr>
          </w:p>
        </w:tc>
        <w:tc>
          <w:tcPr>
            <w:tcW w:w="1440" w:type="dxa"/>
            <w:vAlign w:val="bottom"/>
            <w:vMerge w:val="continue"/>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40,473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16,127</w:t>
            </w:r>
          </w:p>
        </w:tc>
        <w:tc>
          <w:tcPr>
            <w:tcW w:w="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B7DEE8"/>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282,272</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276,886</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right-of-use assets (related-party of $507 and $773 as of December 31, 2024 and December 31, 2023, respectively)</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773</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13,642</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Debt facility commitment fee, long-term</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1,659</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Borders>
              <w:bottom w:val="single" w:sz="8" w:color="B7DEE8"/>
            </w:tcBorders>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40" w:type="dxa"/>
            <w:vAlign w:val="bottom"/>
            <w:tcBorders>
              <w:bottom w:val="single" w:sz="8" w:color="auto"/>
            </w:tcBorders>
            <w:shd w:val="clear" w:color="auto" w:fill="B7DEE8"/>
          </w:tcPr>
          <w:p>
            <w:pPr>
              <w:spacing w:after="0"/>
              <w:rPr>
                <w:sz w:val="12"/>
                <w:szCs w:val="12"/>
                <w:color w:val="auto"/>
              </w:rPr>
            </w:pPr>
          </w:p>
        </w:tc>
        <w:tc>
          <w:tcPr>
            <w:tcW w:w="110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360" w:type="dxa"/>
            <w:vAlign w:val="bottom"/>
            <w:tcBorders>
              <w:bottom w:val="single" w:sz="8" w:color="B7DEE8"/>
            </w:tcBorders>
            <w:shd w:val="clear" w:color="auto" w:fill="B7DEE8"/>
          </w:tcPr>
          <w:p>
            <w:pPr>
              <w:spacing w:after="0"/>
              <w:rPr>
                <w:sz w:val="12"/>
                <w:szCs w:val="12"/>
                <w:color w:val="auto"/>
              </w:rPr>
            </w:pPr>
          </w:p>
        </w:tc>
        <w:tc>
          <w:tcPr>
            <w:tcW w:w="240" w:type="dxa"/>
            <w:vAlign w:val="bottom"/>
            <w:tcBorders>
              <w:bottom w:val="single" w:sz="8" w:color="auto"/>
            </w:tcBorders>
            <w:shd w:val="clear" w:color="auto" w:fill="B7DEE8"/>
          </w:tcPr>
          <w:p>
            <w:pPr>
              <w:spacing w:after="0"/>
              <w:rPr>
                <w:sz w:val="12"/>
                <w:szCs w:val="12"/>
                <w:color w:val="auto"/>
              </w:rPr>
            </w:pPr>
          </w:p>
        </w:tc>
        <w:tc>
          <w:tcPr>
            <w:tcW w:w="144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B7DEE8"/>
            </w:tcBorders>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299,327</w:t>
            </w:r>
          </w:p>
        </w:tc>
        <w:tc>
          <w:tcPr>
            <w:tcW w:w="36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294,023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60" w:type="dxa"/>
            <w:vAlign w:val="bottom"/>
            <w:shd w:val="clear" w:color="auto" w:fill="B7DEE8"/>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shd w:val="clear" w:color="auto" w:fill="B7DEE8"/>
          </w:tcPr>
          <w:p>
            <w:pPr>
              <w:spacing w:after="0"/>
              <w:rPr>
                <w:sz w:val="11"/>
                <w:szCs w:val="11"/>
                <w:color w:val="auto"/>
              </w:rPr>
            </w:pPr>
          </w:p>
        </w:tc>
        <w:tc>
          <w:tcPr>
            <w:tcW w:w="1100" w:type="dxa"/>
            <w:vAlign w:val="bottom"/>
            <w:shd w:val="clear" w:color="auto" w:fill="B7DEE8"/>
          </w:tcPr>
          <w:p>
            <w:pPr>
              <w:spacing w:after="0"/>
              <w:rPr>
                <w:sz w:val="11"/>
                <w:szCs w:val="11"/>
                <w:color w:val="auto"/>
              </w:rPr>
            </w:pPr>
          </w:p>
        </w:tc>
        <w:tc>
          <w:tcPr>
            <w:tcW w:w="360" w:type="dxa"/>
            <w:vAlign w:val="bottom"/>
            <w:shd w:val="clear" w:color="auto" w:fill="B7DEE8"/>
          </w:tcPr>
          <w:p>
            <w:pPr>
              <w:spacing w:after="0"/>
              <w:rPr>
                <w:sz w:val="11"/>
                <w:szCs w:val="11"/>
                <w:color w:val="auto"/>
              </w:rPr>
            </w:pPr>
          </w:p>
        </w:tc>
        <w:tc>
          <w:tcPr>
            <w:tcW w:w="240" w:type="dxa"/>
            <w:vAlign w:val="bottom"/>
            <w:shd w:val="clear" w:color="auto" w:fill="B7DEE8"/>
          </w:tcPr>
          <w:p>
            <w:pPr>
              <w:spacing w:after="0"/>
              <w:rPr>
                <w:sz w:val="11"/>
                <w:szCs w:val="11"/>
                <w:color w:val="auto"/>
              </w:rPr>
            </w:pPr>
          </w:p>
        </w:tc>
        <w:tc>
          <w:tcPr>
            <w:tcW w:w="1440" w:type="dxa"/>
            <w:vAlign w:val="bottom"/>
            <w:shd w:val="clear" w:color="auto" w:fill="B7DEE8"/>
          </w:tcPr>
          <w:p>
            <w:pPr>
              <w:spacing w:after="0"/>
              <w:rPr>
                <w:sz w:val="11"/>
                <w:szCs w:val="11"/>
                <w:color w:val="auto"/>
              </w:rPr>
            </w:pPr>
          </w:p>
        </w:tc>
        <w:tc>
          <w:tcPr>
            <w:tcW w:w="100" w:type="dxa"/>
            <w:vAlign w:val="bottom"/>
            <w:shd w:val="clear" w:color="auto" w:fill="B7DEE8"/>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5,485</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16,707</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 short-term (related-party of $350 and $298 as of December 31, 2024 and December 31, 2023, respectively)</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Legal settlement accrual</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7,105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Borders>
              <w:bottom w:val="single" w:sz="8" w:color="B7DEE8"/>
            </w:tcBorders>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auto"/>
            </w:tcBorders>
            <w:shd w:val="clear" w:color="auto" w:fill="B7DEE8"/>
          </w:tcPr>
          <w:p>
            <w:pPr>
              <w:spacing w:after="0"/>
              <w:rPr>
                <w:sz w:val="12"/>
                <w:szCs w:val="12"/>
                <w:color w:val="auto"/>
              </w:rPr>
            </w:pPr>
          </w:p>
        </w:tc>
        <w:tc>
          <w:tcPr>
            <w:tcW w:w="110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4,132</w:t>
            </w:r>
          </w:p>
        </w:tc>
        <w:tc>
          <w:tcPr>
            <w:tcW w:w="360" w:type="dxa"/>
            <w:vAlign w:val="bottom"/>
            <w:tcBorders>
              <w:bottom w:val="single" w:sz="8" w:color="B7DEE8"/>
            </w:tcBorders>
            <w:shd w:val="clear" w:color="auto" w:fill="B7DEE8"/>
          </w:tcPr>
          <w:p>
            <w:pPr>
              <w:spacing w:after="0"/>
              <w:rPr>
                <w:sz w:val="12"/>
                <w:szCs w:val="12"/>
                <w:color w:val="auto"/>
              </w:rPr>
            </w:pPr>
          </w:p>
        </w:tc>
        <w:tc>
          <w:tcPr>
            <w:tcW w:w="240" w:type="dxa"/>
            <w:vAlign w:val="bottom"/>
            <w:tcBorders>
              <w:bottom w:val="single" w:sz="8" w:color="auto"/>
            </w:tcBorders>
            <w:shd w:val="clear" w:color="auto" w:fill="B7DEE8"/>
          </w:tcPr>
          <w:p>
            <w:pPr>
              <w:spacing w:after="0"/>
              <w:rPr>
                <w:sz w:val="12"/>
                <w:szCs w:val="12"/>
                <w:color w:val="auto"/>
              </w:rPr>
            </w:pPr>
          </w:p>
        </w:tc>
        <w:tc>
          <w:tcPr>
            <w:tcW w:w="144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3,865</w:t>
            </w:r>
          </w:p>
        </w:tc>
        <w:tc>
          <w:tcPr>
            <w:tcW w:w="100" w:type="dxa"/>
            <w:vAlign w:val="bottom"/>
            <w:tcBorders>
              <w:bottom w:val="single" w:sz="8" w:color="B7DEE8"/>
            </w:tcBorders>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35,061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 long-term (related-party of $204 and $543 as of December 31, 2024 and December 31, 2023, respectively)</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Debt facility, long-term</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debt, long-term</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105,451</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Warrant and earnout liabilities</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Borders>
              <w:bottom w:val="single" w:sz="8" w:color="B7DEE8"/>
            </w:tcBorders>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shd w:val="clear" w:color="auto" w:fill="B7DEE8"/>
          </w:tcPr>
          <w:p>
            <w:pPr>
              <w:spacing w:after="0"/>
              <w:rPr>
                <w:sz w:val="12"/>
                <w:szCs w:val="12"/>
                <w:color w:val="auto"/>
              </w:rPr>
            </w:pPr>
          </w:p>
        </w:tc>
        <w:tc>
          <w:tcPr>
            <w:tcW w:w="110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w:t>
            </w:r>
          </w:p>
        </w:tc>
        <w:tc>
          <w:tcPr>
            <w:tcW w:w="360" w:type="dxa"/>
            <w:vAlign w:val="bottom"/>
            <w:tcBorders>
              <w:bottom w:val="single" w:sz="8" w:color="B7DEE8"/>
            </w:tcBorders>
            <w:shd w:val="clear" w:color="auto" w:fill="B7DEE8"/>
          </w:tcPr>
          <w:p>
            <w:pPr>
              <w:spacing w:after="0"/>
              <w:rPr>
                <w:sz w:val="12"/>
                <w:szCs w:val="12"/>
                <w:color w:val="auto"/>
              </w:rPr>
            </w:pPr>
          </w:p>
        </w:tc>
        <w:tc>
          <w:tcPr>
            <w:tcW w:w="240" w:type="dxa"/>
            <w:vAlign w:val="bottom"/>
            <w:tcBorders>
              <w:bottom w:val="single" w:sz="8" w:color="auto"/>
            </w:tcBorders>
            <w:shd w:val="clear" w:color="auto" w:fill="B7DEE8"/>
          </w:tcPr>
          <w:p>
            <w:pPr>
              <w:spacing w:after="0"/>
              <w:rPr>
                <w:sz w:val="12"/>
                <w:szCs w:val="12"/>
                <w:color w:val="auto"/>
              </w:rPr>
            </w:pPr>
          </w:p>
        </w:tc>
        <w:tc>
          <w:tcPr>
            <w:tcW w:w="1440" w:type="dxa"/>
            <w:vAlign w:val="bottom"/>
            <w:tcBorders>
              <w:bottom w:val="single" w:sz="8" w:color="auto"/>
            </w:tcBorders>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B7DEE8"/>
            </w:tcBorders>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116,226</w:t>
            </w:r>
          </w:p>
        </w:tc>
        <w:tc>
          <w:tcPr>
            <w:tcW w:w="36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206,960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60" w:type="dxa"/>
            <w:vAlign w:val="bottom"/>
            <w:shd w:val="clear" w:color="auto" w:fill="B7DEE8"/>
          </w:tcPr>
          <w:p>
            <w:pPr>
              <w:ind w:left="120"/>
              <w:spacing w:after="0" w:line="129"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140" w:type="dxa"/>
            <w:vAlign w:val="bottom"/>
            <w:shd w:val="clear" w:color="auto" w:fill="B7DEE8"/>
          </w:tcPr>
          <w:p>
            <w:pPr>
              <w:spacing w:after="0"/>
              <w:rPr>
                <w:sz w:val="11"/>
                <w:szCs w:val="11"/>
                <w:color w:val="auto"/>
              </w:rPr>
            </w:pPr>
          </w:p>
        </w:tc>
        <w:tc>
          <w:tcPr>
            <w:tcW w:w="1100" w:type="dxa"/>
            <w:vAlign w:val="bottom"/>
            <w:shd w:val="clear" w:color="auto" w:fill="B7DEE8"/>
          </w:tcPr>
          <w:p>
            <w:pPr>
              <w:spacing w:after="0"/>
              <w:rPr>
                <w:sz w:val="11"/>
                <w:szCs w:val="11"/>
                <w:color w:val="auto"/>
              </w:rPr>
            </w:pPr>
          </w:p>
        </w:tc>
        <w:tc>
          <w:tcPr>
            <w:tcW w:w="360" w:type="dxa"/>
            <w:vAlign w:val="bottom"/>
            <w:shd w:val="clear" w:color="auto" w:fill="B7DEE8"/>
          </w:tcPr>
          <w:p>
            <w:pPr>
              <w:spacing w:after="0"/>
              <w:rPr>
                <w:sz w:val="11"/>
                <w:szCs w:val="11"/>
                <w:color w:val="auto"/>
              </w:rPr>
            </w:pPr>
          </w:p>
        </w:tc>
        <w:tc>
          <w:tcPr>
            <w:tcW w:w="240" w:type="dxa"/>
            <w:vAlign w:val="bottom"/>
            <w:shd w:val="clear" w:color="auto" w:fill="B7DEE8"/>
          </w:tcPr>
          <w:p>
            <w:pPr>
              <w:spacing w:after="0"/>
              <w:rPr>
                <w:sz w:val="11"/>
                <w:szCs w:val="11"/>
                <w:color w:val="auto"/>
              </w:rPr>
            </w:pPr>
          </w:p>
        </w:tc>
        <w:tc>
          <w:tcPr>
            <w:tcW w:w="1440" w:type="dxa"/>
            <w:vAlign w:val="bottom"/>
            <w:shd w:val="clear" w:color="auto" w:fill="B7DEE8"/>
          </w:tcPr>
          <w:p>
            <w:pPr>
              <w:spacing w:after="0"/>
              <w:rPr>
                <w:sz w:val="11"/>
                <w:szCs w:val="11"/>
                <w:color w:val="auto"/>
              </w:rPr>
            </w:pPr>
          </w:p>
        </w:tc>
        <w:tc>
          <w:tcPr>
            <w:tcW w:w="100" w:type="dxa"/>
            <w:vAlign w:val="bottom"/>
            <w:shd w:val="clear" w:color="auto" w:fill="B7DE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860" w:type="dxa"/>
            <w:vAlign w:val="bottom"/>
            <w:shd w:val="clear" w:color="auto" w:fill="B7DEE8"/>
          </w:tcPr>
          <w:p>
            <w:pPr>
              <w:ind w:left="120"/>
              <w:spacing w:after="0" w:line="126" w:lineRule="exact"/>
              <w:rPr>
                <w:sz w:val="20"/>
                <w:szCs w:val="20"/>
                <w:color w:val="auto"/>
              </w:rPr>
            </w:pPr>
            <w:r>
              <w:rPr>
                <w:rFonts w:ascii="Times New Roman" w:cs="Times New Roman" w:eastAsia="Times New Roman" w:hAnsi="Times New Roman"/>
                <w:sz w:val="14"/>
                <w:szCs w:val="14"/>
                <w:color w:val="auto"/>
              </w:rPr>
              <w:t>Preferred stock, par value per share $0.0001, 10,000,000 shares authorized; 0 shares issued and outstanding at December 31, 2024</w:t>
            </w:r>
          </w:p>
        </w:tc>
        <w:tc>
          <w:tcPr>
            <w:tcW w:w="140" w:type="dxa"/>
            <w:vAlign w:val="bottom"/>
            <w:shd w:val="clear" w:color="auto" w:fill="B7DEE8"/>
          </w:tcPr>
          <w:p>
            <w:pPr>
              <w:spacing w:after="0"/>
              <w:rPr>
                <w:sz w:val="10"/>
                <w:szCs w:val="10"/>
                <w:color w:val="auto"/>
              </w:rPr>
            </w:pPr>
          </w:p>
        </w:tc>
        <w:tc>
          <w:tcPr>
            <w:tcW w:w="110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B7DEE8"/>
          </w:tcPr>
          <w:p>
            <w:pPr>
              <w:spacing w:after="0"/>
              <w:rPr>
                <w:sz w:val="10"/>
                <w:szCs w:val="10"/>
                <w:color w:val="auto"/>
              </w:rPr>
            </w:pPr>
          </w:p>
        </w:tc>
        <w:tc>
          <w:tcPr>
            <w:tcW w:w="240" w:type="dxa"/>
            <w:vAlign w:val="bottom"/>
            <w:shd w:val="clear" w:color="auto" w:fill="B7DEE8"/>
          </w:tcPr>
          <w:p>
            <w:pPr>
              <w:spacing w:after="0"/>
              <w:rPr>
                <w:sz w:val="10"/>
                <w:szCs w:val="10"/>
                <w:color w:val="auto"/>
              </w:rPr>
            </w:pPr>
          </w:p>
        </w:tc>
        <w:tc>
          <w:tcPr>
            <w:tcW w:w="144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B7DEE8"/>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860" w:type="dxa"/>
            <w:vAlign w:val="bottom"/>
            <w:vMerge w:val="restart"/>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and December 31, 2023</w:t>
            </w:r>
          </w:p>
        </w:tc>
        <w:tc>
          <w:tcPr>
            <w:tcW w:w="140" w:type="dxa"/>
            <w:vAlign w:val="bottom"/>
            <w:shd w:val="clear" w:color="auto" w:fill="B7DEE8"/>
          </w:tcPr>
          <w:p>
            <w:pPr>
              <w:spacing w:after="0"/>
              <w:rPr>
                <w:sz w:val="9"/>
                <w:szCs w:val="9"/>
                <w:color w:val="auto"/>
              </w:rPr>
            </w:pPr>
          </w:p>
        </w:tc>
        <w:tc>
          <w:tcPr>
            <w:tcW w:w="1100" w:type="dxa"/>
            <w:vAlign w:val="bottom"/>
            <w:vMerge w:val="continue"/>
            <w:shd w:val="clear" w:color="auto" w:fill="B7DEE8"/>
          </w:tcPr>
          <w:p>
            <w:pPr>
              <w:spacing w:after="0"/>
              <w:rPr>
                <w:sz w:val="9"/>
                <w:szCs w:val="9"/>
                <w:color w:val="auto"/>
              </w:rPr>
            </w:pPr>
          </w:p>
        </w:tc>
        <w:tc>
          <w:tcPr>
            <w:tcW w:w="360" w:type="dxa"/>
            <w:vAlign w:val="bottom"/>
            <w:shd w:val="clear" w:color="auto" w:fill="B7DEE8"/>
          </w:tcPr>
          <w:p>
            <w:pPr>
              <w:spacing w:after="0"/>
              <w:rPr>
                <w:sz w:val="9"/>
                <w:szCs w:val="9"/>
                <w:color w:val="auto"/>
              </w:rPr>
            </w:pPr>
          </w:p>
        </w:tc>
        <w:tc>
          <w:tcPr>
            <w:tcW w:w="240" w:type="dxa"/>
            <w:vAlign w:val="bottom"/>
            <w:shd w:val="clear" w:color="auto" w:fill="B7DEE8"/>
          </w:tcPr>
          <w:p>
            <w:pPr>
              <w:spacing w:after="0"/>
              <w:rPr>
                <w:sz w:val="9"/>
                <w:szCs w:val="9"/>
                <w:color w:val="auto"/>
              </w:rPr>
            </w:pPr>
          </w:p>
        </w:tc>
        <w:tc>
          <w:tcPr>
            <w:tcW w:w="1440" w:type="dxa"/>
            <w:vAlign w:val="bottom"/>
            <w:vMerge w:val="continue"/>
            <w:shd w:val="clear" w:color="auto" w:fill="B7DEE8"/>
          </w:tcPr>
          <w:p>
            <w:pPr>
              <w:spacing w:after="0"/>
              <w:rPr>
                <w:sz w:val="9"/>
                <w:szCs w:val="9"/>
                <w:color w:val="auto"/>
              </w:rPr>
            </w:pPr>
          </w:p>
        </w:tc>
        <w:tc>
          <w:tcPr>
            <w:tcW w:w="100" w:type="dxa"/>
            <w:vAlign w:val="bottom"/>
            <w:shd w:val="clear" w:color="auto" w:fill="B7DEE8"/>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860" w:type="dxa"/>
            <w:vAlign w:val="bottom"/>
            <w:vMerge w:val="continue"/>
            <w:shd w:val="clear" w:color="auto" w:fill="B7DEE8"/>
          </w:tcPr>
          <w:p>
            <w:pPr>
              <w:spacing w:after="0"/>
              <w:rPr>
                <w:sz w:val="5"/>
                <w:szCs w:val="5"/>
                <w:color w:val="auto"/>
              </w:rPr>
            </w:pPr>
          </w:p>
        </w:tc>
        <w:tc>
          <w:tcPr>
            <w:tcW w:w="140" w:type="dxa"/>
            <w:vAlign w:val="bottom"/>
            <w:shd w:val="clear" w:color="auto" w:fill="B7DEE8"/>
          </w:tcPr>
          <w:p>
            <w:pPr>
              <w:spacing w:after="0"/>
              <w:rPr>
                <w:sz w:val="5"/>
                <w:szCs w:val="5"/>
                <w:color w:val="auto"/>
              </w:rPr>
            </w:pPr>
          </w:p>
        </w:tc>
        <w:tc>
          <w:tcPr>
            <w:tcW w:w="1100" w:type="dxa"/>
            <w:vAlign w:val="bottom"/>
            <w:shd w:val="clear" w:color="auto" w:fill="B7DEE8"/>
          </w:tcPr>
          <w:p>
            <w:pPr>
              <w:spacing w:after="0"/>
              <w:rPr>
                <w:sz w:val="5"/>
                <w:szCs w:val="5"/>
                <w:color w:val="auto"/>
              </w:rPr>
            </w:pPr>
          </w:p>
        </w:tc>
        <w:tc>
          <w:tcPr>
            <w:tcW w:w="360" w:type="dxa"/>
            <w:vAlign w:val="bottom"/>
            <w:shd w:val="clear" w:color="auto" w:fill="B7DEE8"/>
          </w:tcPr>
          <w:p>
            <w:pPr>
              <w:spacing w:after="0"/>
              <w:rPr>
                <w:sz w:val="5"/>
                <w:szCs w:val="5"/>
                <w:color w:val="auto"/>
              </w:rPr>
            </w:pPr>
          </w:p>
        </w:tc>
        <w:tc>
          <w:tcPr>
            <w:tcW w:w="240" w:type="dxa"/>
            <w:vAlign w:val="bottom"/>
            <w:shd w:val="clear" w:color="auto" w:fill="B7DEE8"/>
          </w:tcPr>
          <w:p>
            <w:pPr>
              <w:spacing w:after="0"/>
              <w:rPr>
                <w:sz w:val="5"/>
                <w:szCs w:val="5"/>
                <w:color w:val="auto"/>
              </w:rPr>
            </w:pPr>
          </w:p>
        </w:tc>
        <w:tc>
          <w:tcPr>
            <w:tcW w:w="1440" w:type="dxa"/>
            <w:vAlign w:val="bottom"/>
            <w:shd w:val="clear" w:color="auto" w:fill="B7DEE8"/>
          </w:tcPr>
          <w:p>
            <w:pPr>
              <w:spacing w:after="0"/>
              <w:rPr>
                <w:sz w:val="5"/>
                <w:szCs w:val="5"/>
                <w:color w:val="auto"/>
              </w:rPr>
            </w:pPr>
          </w:p>
        </w:tc>
        <w:tc>
          <w:tcPr>
            <w:tcW w:w="100" w:type="dxa"/>
            <w:vAlign w:val="bottom"/>
            <w:shd w:val="clear" w:color="auto" w:fill="B7DEE8"/>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78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common stock, par value per share $0.0001, 500,000,000 shares authorized; 11,551,528 and 10,683,736 shares issued at</w:t>
            </w: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December 31, 2024 and December 31, 2023, respectively; 11,501,965 and 10,634,173 shares outstanding at December 31, 2024 and</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60" w:type="dxa"/>
            <w:vAlign w:val="bottom"/>
            <w:shd w:val="clear" w:color="auto" w:fill="B7DEE8"/>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V common stock, par value per share $0.0001, 100,000,000 shares authorized; 1,514,082 shares issued and outstanding at</w:t>
            </w:r>
          </w:p>
        </w:tc>
        <w:tc>
          <w:tcPr>
            <w:tcW w:w="140" w:type="dxa"/>
            <w:vAlign w:val="bottom"/>
            <w:shd w:val="clear" w:color="auto" w:fill="B7DEE8"/>
          </w:tcPr>
          <w:p>
            <w:pPr>
              <w:spacing w:after="0"/>
              <w:rPr>
                <w:sz w:val="10"/>
                <w:szCs w:val="10"/>
                <w:color w:val="auto"/>
              </w:rPr>
            </w:pPr>
          </w:p>
        </w:tc>
        <w:tc>
          <w:tcPr>
            <w:tcW w:w="110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7DEE8"/>
          </w:tcPr>
          <w:p>
            <w:pPr>
              <w:spacing w:after="0"/>
              <w:rPr>
                <w:sz w:val="10"/>
                <w:szCs w:val="10"/>
                <w:color w:val="auto"/>
              </w:rPr>
            </w:pPr>
          </w:p>
        </w:tc>
        <w:tc>
          <w:tcPr>
            <w:tcW w:w="240" w:type="dxa"/>
            <w:vAlign w:val="bottom"/>
            <w:shd w:val="clear" w:color="auto" w:fill="B7DEE8"/>
          </w:tcPr>
          <w:p>
            <w:pPr>
              <w:spacing w:after="0"/>
              <w:rPr>
                <w:sz w:val="10"/>
                <w:szCs w:val="10"/>
                <w:color w:val="auto"/>
              </w:rPr>
            </w:pPr>
          </w:p>
        </w:tc>
        <w:tc>
          <w:tcPr>
            <w:tcW w:w="144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tc>
        <w:tc>
          <w:tcPr>
            <w:tcW w:w="140" w:type="dxa"/>
            <w:vAlign w:val="bottom"/>
            <w:shd w:val="clear" w:color="auto" w:fill="B7DEE8"/>
          </w:tcPr>
          <w:p>
            <w:pPr>
              <w:spacing w:after="0"/>
              <w:rPr>
                <w:sz w:val="14"/>
                <w:szCs w:val="14"/>
                <w:color w:val="auto"/>
              </w:rPr>
            </w:pPr>
          </w:p>
        </w:tc>
        <w:tc>
          <w:tcPr>
            <w:tcW w:w="1100" w:type="dxa"/>
            <w:vAlign w:val="bottom"/>
            <w:vMerge w:val="continue"/>
            <w:shd w:val="clear" w:color="auto" w:fill="B7DEE8"/>
          </w:tcPr>
          <w:p>
            <w:pPr>
              <w:spacing w:after="0"/>
              <w:rPr>
                <w:sz w:val="14"/>
                <w:szCs w:val="14"/>
                <w:color w:val="auto"/>
              </w:rPr>
            </w:pPr>
          </w:p>
        </w:tc>
        <w:tc>
          <w:tcPr>
            <w:tcW w:w="360" w:type="dxa"/>
            <w:vAlign w:val="bottom"/>
            <w:shd w:val="clear" w:color="auto" w:fill="B7DEE8"/>
          </w:tcPr>
          <w:p>
            <w:pPr>
              <w:spacing w:after="0"/>
              <w:rPr>
                <w:sz w:val="14"/>
                <w:szCs w:val="14"/>
                <w:color w:val="auto"/>
              </w:rPr>
            </w:pPr>
          </w:p>
        </w:tc>
        <w:tc>
          <w:tcPr>
            <w:tcW w:w="240" w:type="dxa"/>
            <w:vAlign w:val="bottom"/>
            <w:shd w:val="clear" w:color="auto" w:fill="B7DEE8"/>
          </w:tcPr>
          <w:p>
            <w:pPr>
              <w:spacing w:after="0"/>
              <w:rPr>
                <w:sz w:val="14"/>
                <w:szCs w:val="14"/>
                <w:color w:val="auto"/>
              </w:rPr>
            </w:pPr>
          </w:p>
        </w:tc>
        <w:tc>
          <w:tcPr>
            <w:tcW w:w="1440" w:type="dxa"/>
            <w:vAlign w:val="bottom"/>
            <w:vMerge w:val="continue"/>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335,326</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gain</w:t>
            </w:r>
          </w:p>
        </w:tc>
        <w:tc>
          <w:tcPr>
            <w:tcW w:w="140" w:type="dxa"/>
            <w:vAlign w:val="bottom"/>
            <w:shd w:val="clear" w:color="auto" w:fill="B7DEE8"/>
          </w:tcPr>
          <w:p>
            <w:pPr>
              <w:spacing w:after="0"/>
              <w:rPr>
                <w:sz w:val="12"/>
                <w:szCs w:val="12"/>
                <w:color w:val="auto"/>
              </w:rPr>
            </w:pPr>
          </w:p>
        </w:tc>
        <w:tc>
          <w:tcPr>
            <w:tcW w:w="110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shd w:val="clear" w:color="auto" w:fill="B7DEE8"/>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2"/>
                <w:szCs w:val="12"/>
                <w:color w:val="auto"/>
              </w:rPr>
            </w:pPr>
          </w:p>
        </w:tc>
        <w:tc>
          <w:tcPr>
            <w:tcW w:w="14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(152,447 )</w:t>
            </w:r>
          </w:p>
        </w:tc>
        <w:tc>
          <w:tcPr>
            <w:tcW w:w="240" w:type="dxa"/>
            <w:vAlign w:val="bottom"/>
          </w:tcPr>
          <w:p>
            <w:pPr>
              <w:spacing w:after="0"/>
              <w:rPr>
                <w:sz w:val="12"/>
                <w:szCs w:val="12"/>
                <w:color w:val="auto"/>
              </w:rPr>
            </w:pPr>
          </w:p>
        </w:tc>
        <w:tc>
          <w:tcPr>
            <w:tcW w:w="1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(210,320 )</w:t>
            </w:r>
          </w:p>
        </w:tc>
        <w:tc>
          <w:tcPr>
            <w:tcW w:w="0" w:type="dxa"/>
            <w:vAlign w:val="bottom"/>
          </w:tcPr>
          <w:p>
            <w:pPr>
              <w:spacing w:after="0"/>
              <w:rPr>
                <w:sz w:val="1"/>
                <w:szCs w:val="1"/>
                <w:color w:val="auto"/>
              </w:rPr>
            </w:pPr>
          </w:p>
        </w:tc>
      </w:tr>
      <w:tr>
        <w:trPr>
          <w:trHeight w:val="182"/>
        </w:trPr>
        <w:tc>
          <w:tcPr>
            <w:tcW w:w="7860" w:type="dxa"/>
            <w:vAlign w:val="bottom"/>
            <w:tcBorders>
              <w:bottom w:val="single" w:sz="8" w:color="B7DEE8"/>
            </w:tcBorders>
            <w:shd w:val="clear" w:color="auto" w:fill="B7DEE8"/>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40" w:type="dxa"/>
            <w:vAlign w:val="bottom"/>
            <w:tcBorders>
              <w:top w:val="single" w:sz="8" w:color="auto"/>
              <w:bottom w:val="single" w:sz="8" w:color="auto"/>
            </w:tcBorders>
            <w:shd w:val="clear" w:color="auto" w:fill="B7DEE8"/>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B7DEE8"/>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183,101</w:t>
            </w:r>
          </w:p>
        </w:tc>
        <w:tc>
          <w:tcPr>
            <w:tcW w:w="360" w:type="dxa"/>
            <w:vAlign w:val="bottom"/>
            <w:tcBorders>
              <w:bottom w:val="single" w:sz="8" w:color="B7DEE8"/>
            </w:tcBorders>
            <w:shd w:val="clear" w:color="auto" w:fill="B7DEE8"/>
          </w:tcPr>
          <w:p>
            <w:pPr>
              <w:spacing w:after="0"/>
              <w:rPr>
                <w:sz w:val="15"/>
                <w:szCs w:val="15"/>
                <w:color w:val="auto"/>
              </w:rPr>
            </w:pPr>
          </w:p>
        </w:tc>
        <w:tc>
          <w:tcPr>
            <w:tcW w:w="240" w:type="dxa"/>
            <w:vAlign w:val="bottom"/>
            <w:tcBorders>
              <w:top w:val="single" w:sz="8" w:color="auto"/>
              <w:bottom w:val="single" w:sz="8" w:color="auto"/>
            </w:tcBorders>
            <w:shd w:val="clear" w:color="auto" w:fill="B7DEE8"/>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top w:val="single" w:sz="8" w:color="auto"/>
              <w:bottom w:val="single" w:sz="8" w:color="auto"/>
            </w:tcBorders>
            <w:shd w:val="clear" w:color="auto" w:fill="B7DEE8"/>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87,063</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860" w:type="dxa"/>
            <w:vAlign w:val="bottom"/>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299,327</w:t>
            </w:r>
          </w:p>
        </w:tc>
        <w:tc>
          <w:tcPr>
            <w:tcW w:w="360" w:type="dxa"/>
            <w:vAlign w:val="bottom"/>
          </w:tcPr>
          <w:p>
            <w:pPr>
              <w:spacing w:after="0"/>
              <w:rPr>
                <w:sz w:val="11"/>
                <w:szCs w:val="11"/>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294,023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-2870835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-2082165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-1508125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-145415</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-128270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a consolidated variable interest entity (“VIE”), which are included in the consolidated balance sheets above. The assets in the table below may only be used to settle obligations of consolidated VIEs and are in excess of those obligations. All intercompany accounts have been eliminated.</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40" w:type="dxa"/>
            <w:vAlign w:val="bottom"/>
          </w:tcPr>
          <w:p>
            <w:pPr>
              <w:spacing w:after="0"/>
              <w:rPr>
                <w:sz w:val="18"/>
                <w:szCs w:val="18"/>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130"/>
        </w:trPr>
        <w:tc>
          <w:tcPr>
            <w:tcW w:w="5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46,106</w:t>
            </w:r>
          </w:p>
        </w:tc>
        <w:tc>
          <w:tcPr>
            <w:tcW w:w="1100" w:type="dxa"/>
            <w:vAlign w:val="bottom"/>
            <w:gridSpan w:val="2"/>
            <w:shd w:val="clear" w:color="auto" w:fill="B6DEE8"/>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37,684</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ExtraCash receivables, net of allowance for credit losses</w:t>
            </w:r>
          </w:p>
        </w:tc>
        <w:tc>
          <w:tcPr>
            <w:tcW w:w="380" w:type="dxa"/>
            <w:vAlign w:val="bottom"/>
            <w:shd w:val="clear" w:color="auto" w:fill="B6DEE8"/>
          </w:tcPr>
          <w:p>
            <w:pPr>
              <w:spacing w:after="0"/>
              <w:rPr>
                <w:sz w:val="18"/>
                <w:szCs w:val="18"/>
                <w:color w:val="auto"/>
              </w:rPr>
            </w:pP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158,447</w:t>
            </w:r>
          </w:p>
        </w:tc>
        <w:tc>
          <w:tcPr>
            <w:tcW w:w="340" w:type="dxa"/>
            <w:vAlign w:val="bottom"/>
            <w:shd w:val="clear" w:color="auto" w:fill="B6DEE8"/>
          </w:tcPr>
          <w:p>
            <w:pPr>
              <w:spacing w:after="0"/>
              <w:rPr>
                <w:sz w:val="18"/>
                <w:szCs w:val="18"/>
                <w:color w:val="auto"/>
              </w:rPr>
            </w:pPr>
          </w:p>
        </w:tc>
        <w:tc>
          <w:tcPr>
            <w:tcW w:w="760" w:type="dxa"/>
            <w:vAlign w:val="bottom"/>
            <w:shd w:val="clear" w:color="auto" w:fill="B6DEE8"/>
          </w:tcPr>
          <w:p>
            <w:pPr>
              <w:spacing w:after="0"/>
              <w:rPr>
                <w:sz w:val="18"/>
                <w:szCs w:val="18"/>
                <w:color w:val="auto"/>
              </w:rPr>
            </w:pP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95,812</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facility commitment fee, current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B6DEE8"/>
            </w:tcBorders>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Debt facility commitment fee, long-term</w:t>
            </w:r>
          </w:p>
        </w:tc>
        <w:tc>
          <w:tcPr>
            <w:tcW w:w="380" w:type="dxa"/>
            <w:vAlign w:val="bottom"/>
            <w:tcBorders>
              <w:bottom w:val="single" w:sz="8" w:color="auto"/>
            </w:tcBorders>
            <w:shd w:val="clear" w:color="auto" w:fill="B6DEE8"/>
          </w:tcPr>
          <w:p>
            <w:pPr>
              <w:spacing w:after="0"/>
              <w:rPr>
                <w:sz w:val="18"/>
                <w:szCs w:val="18"/>
                <w:color w:val="auto"/>
              </w:rPr>
            </w:pPr>
          </w:p>
        </w:tc>
        <w:tc>
          <w:tcPr>
            <w:tcW w:w="13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tcBorders>
              <w:bottom w:val="single" w:sz="8" w:color="B6DEE8"/>
            </w:tcBorders>
            <w:shd w:val="clear" w:color="auto" w:fill="B6DEE8"/>
          </w:tcPr>
          <w:p>
            <w:pPr>
              <w:spacing w:after="0"/>
              <w:rPr>
                <w:sz w:val="18"/>
                <w:szCs w:val="18"/>
                <w:color w:val="auto"/>
              </w:rPr>
            </w:pPr>
          </w:p>
        </w:tc>
        <w:tc>
          <w:tcPr>
            <w:tcW w:w="760" w:type="dxa"/>
            <w:vAlign w:val="bottom"/>
            <w:tcBorders>
              <w:bottom w:val="single" w:sz="8" w:color="auto"/>
            </w:tcBorders>
            <w:shd w:val="clear" w:color="auto" w:fill="B6DEE8"/>
          </w:tcPr>
          <w:p>
            <w:pPr>
              <w:spacing w:after="0"/>
              <w:rPr>
                <w:sz w:val="18"/>
                <w:szCs w:val="18"/>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224,034</w:t>
            </w:r>
          </w:p>
        </w:tc>
        <w:tc>
          <w:tcPr>
            <w:tcW w:w="1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B6DEE8"/>
          </w:tcPr>
          <w:p>
            <w:pPr>
              <w:spacing w:after="0"/>
              <w:rPr>
                <w:sz w:val="17"/>
                <w:szCs w:val="17"/>
                <w:color w:val="auto"/>
              </w:rPr>
            </w:pPr>
          </w:p>
        </w:tc>
        <w:tc>
          <w:tcPr>
            <w:tcW w:w="1320" w:type="dxa"/>
            <w:vAlign w:val="bottom"/>
            <w:shd w:val="clear" w:color="auto" w:fill="B6DEE8"/>
          </w:tcPr>
          <w:p>
            <w:pPr>
              <w:spacing w:after="0"/>
              <w:rPr>
                <w:sz w:val="17"/>
                <w:szCs w:val="17"/>
                <w:color w:val="auto"/>
              </w:rPr>
            </w:pPr>
          </w:p>
        </w:tc>
        <w:tc>
          <w:tcPr>
            <w:tcW w:w="340" w:type="dxa"/>
            <w:vAlign w:val="bottom"/>
            <w:shd w:val="clear" w:color="auto" w:fill="B6DEE8"/>
          </w:tcPr>
          <w:p>
            <w:pPr>
              <w:spacing w:after="0"/>
              <w:rPr>
                <w:sz w:val="17"/>
                <w:szCs w:val="17"/>
                <w:color w:val="auto"/>
              </w:rPr>
            </w:pPr>
          </w:p>
        </w:tc>
        <w:tc>
          <w:tcPr>
            <w:tcW w:w="760" w:type="dxa"/>
            <w:vAlign w:val="bottom"/>
            <w:shd w:val="clear" w:color="auto" w:fill="B6DEE8"/>
          </w:tcPr>
          <w:p>
            <w:pPr>
              <w:spacing w:after="0"/>
              <w:rPr>
                <w:sz w:val="17"/>
                <w:szCs w:val="17"/>
                <w:color w:val="auto"/>
              </w:rPr>
            </w:pPr>
          </w:p>
        </w:tc>
        <w:tc>
          <w:tcPr>
            <w:tcW w:w="126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B6DEE8"/>
            </w:tcBorders>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Long-term debt facility</w:t>
            </w:r>
          </w:p>
        </w:tc>
        <w:tc>
          <w:tcPr>
            <w:tcW w:w="380" w:type="dxa"/>
            <w:vAlign w:val="bottom"/>
            <w:tcBorders>
              <w:bottom w:val="single" w:sz="8" w:color="auto"/>
            </w:tcBorders>
            <w:shd w:val="clear" w:color="auto" w:fill="B6DEE8"/>
          </w:tcPr>
          <w:p>
            <w:pPr>
              <w:spacing w:after="0"/>
              <w:rPr>
                <w:sz w:val="18"/>
                <w:szCs w:val="18"/>
                <w:color w:val="auto"/>
              </w:rPr>
            </w:pPr>
          </w:p>
        </w:tc>
        <w:tc>
          <w:tcPr>
            <w:tcW w:w="13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tcBorders>
              <w:bottom w:val="single" w:sz="8" w:color="B6DEE8"/>
            </w:tcBorders>
            <w:shd w:val="clear" w:color="auto" w:fill="B6DEE8"/>
          </w:tcPr>
          <w:p>
            <w:pPr>
              <w:spacing w:after="0"/>
              <w:rPr>
                <w:sz w:val="18"/>
                <w:szCs w:val="18"/>
                <w:color w:val="auto"/>
              </w:rPr>
            </w:pPr>
          </w:p>
        </w:tc>
        <w:tc>
          <w:tcPr>
            <w:tcW w:w="760" w:type="dxa"/>
            <w:vAlign w:val="bottom"/>
            <w:tcBorders>
              <w:bottom w:val="single" w:sz="8" w:color="auto"/>
            </w:tcBorders>
            <w:shd w:val="clear" w:color="auto" w:fill="B6DEE8"/>
          </w:tcPr>
          <w:p>
            <w:pPr>
              <w:spacing w:after="0"/>
              <w:rPr>
                <w:sz w:val="18"/>
                <w:szCs w:val="18"/>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75,605</w:t>
            </w:r>
          </w:p>
        </w:tc>
        <w:tc>
          <w:tcPr>
            <w:tcW w:w="1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-753745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3" w:right="759" w:bottom="1440" w:gutter="0" w:footer="0" w:header="0"/>
        </w:sectPr>
      </w:pPr>
    </w:p>
    <w:bookmarkStart w:id="76" w:name="page77"/>
    <w:bookmarkEnd w:id="7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6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38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4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3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232,241</w:t>
            </w:r>
          </w:p>
        </w:tc>
        <w:tc>
          <w:tcPr>
            <w:tcW w:w="100" w:type="dxa"/>
            <w:vAlign w:val="bottom"/>
          </w:tcPr>
          <w:p>
            <w:pPr>
              <w:spacing w:after="0"/>
              <w:rPr>
                <w:sz w:val="18"/>
                <w:szCs w:val="18"/>
                <w:color w:val="auto"/>
              </w:rPr>
            </w:pPr>
          </w:p>
        </w:tc>
      </w:tr>
      <w:tr>
        <w:trPr>
          <w:trHeight w:val="216"/>
        </w:trPr>
        <w:tc>
          <w:tcPr>
            <w:tcW w:w="638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200" w:type="dxa"/>
            <w:vAlign w:val="bottom"/>
            <w:tcBorders>
              <w:bottom w:val="single" w:sz="8" w:color="auto"/>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4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35,650</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bottom w:val="single" w:sz="8" w:color="auto"/>
            </w:tcBorders>
            <w:shd w:val="clear" w:color="auto" w:fill="B7DEE8"/>
          </w:tcPr>
          <w:p>
            <w:pPr>
              <w:spacing w:after="0"/>
              <w:rPr>
                <w:sz w:val="18"/>
                <w:szCs w:val="18"/>
                <w:color w:val="auto"/>
              </w:rPr>
            </w:pPr>
          </w:p>
        </w:tc>
        <w:tc>
          <w:tcPr>
            <w:tcW w:w="400" w:type="dxa"/>
            <w:vAlign w:val="bottom"/>
            <w:tcBorders>
              <w:bottom w:val="single" w:sz="8" w:color="auto"/>
            </w:tcBorders>
            <w:shd w:val="clear" w:color="auto" w:fill="B7DEE8"/>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100" w:type="dxa"/>
            <w:vAlign w:val="bottom"/>
            <w:tcBorders>
              <w:bottom w:val="single" w:sz="8" w:color="B7DEE8"/>
            </w:tcBorders>
            <w:shd w:val="clear" w:color="auto" w:fill="B7DEE8"/>
          </w:tcPr>
          <w:p>
            <w:pPr>
              <w:spacing w:after="0"/>
              <w:rPr>
                <w:sz w:val="18"/>
                <w:szCs w:val="18"/>
                <w:color w:val="auto"/>
              </w:rPr>
            </w:pP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347,076</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100" w:type="dxa"/>
            <w:vAlign w:val="bottom"/>
          </w:tcPr>
          <w:p>
            <w:pPr>
              <w:spacing w:after="0"/>
              <w:rPr>
                <w:sz w:val="18"/>
                <w:szCs w:val="18"/>
                <w:color w:val="auto"/>
              </w:rPr>
            </w:pPr>
          </w:p>
        </w:tc>
      </w:tr>
      <w:tr>
        <w:trPr>
          <w:trHeight w:val="209"/>
        </w:trPr>
        <w:tc>
          <w:tcPr>
            <w:tcW w:w="638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4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3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00" w:type="dxa"/>
            <w:vAlign w:val="bottom"/>
          </w:tcPr>
          <w:p>
            <w:pPr>
              <w:spacing w:after="0"/>
              <w:rPr>
                <w:sz w:val="18"/>
                <w:szCs w:val="18"/>
                <w:color w:val="auto"/>
              </w:rPr>
            </w:pPr>
          </w:p>
        </w:tc>
      </w:tr>
      <w:tr>
        <w:trPr>
          <w:trHeight w:val="216"/>
        </w:trPr>
        <w:tc>
          <w:tcPr>
            <w:tcW w:w="63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28,926</w:t>
            </w:r>
          </w:p>
        </w:tc>
        <w:tc>
          <w:tcPr>
            <w:tcW w:w="100" w:type="dxa"/>
            <w:vAlign w:val="bottom"/>
            <w:shd w:val="clear" w:color="auto" w:fill="B7DEE8"/>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100" w:type="dxa"/>
            <w:vAlign w:val="bottom"/>
          </w:tcPr>
          <w:p>
            <w:pPr>
              <w:spacing w:after="0"/>
              <w:rPr>
                <w:sz w:val="18"/>
                <w:szCs w:val="18"/>
                <w:color w:val="auto"/>
              </w:rPr>
            </w:pPr>
          </w:p>
        </w:tc>
      </w:tr>
      <w:tr>
        <w:trPr>
          <w:trHeight w:val="216"/>
        </w:trPr>
        <w:tc>
          <w:tcPr>
            <w:tcW w:w="63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107,028</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100" w:type="dxa"/>
            <w:vAlign w:val="bottom"/>
            <w:shd w:val="clear" w:color="auto" w:fill="B7DEE8"/>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75,530</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70,679</w:t>
            </w:r>
          </w:p>
        </w:tc>
        <w:tc>
          <w:tcPr>
            <w:tcW w:w="100" w:type="dxa"/>
            <w:vAlign w:val="bottom"/>
          </w:tcPr>
          <w:p>
            <w:pPr>
              <w:spacing w:after="0"/>
              <w:rPr>
                <w:sz w:val="18"/>
                <w:szCs w:val="18"/>
                <w:color w:val="auto"/>
              </w:rPr>
            </w:pPr>
          </w:p>
        </w:tc>
      </w:tr>
      <w:tr>
        <w:trPr>
          <w:trHeight w:val="210"/>
        </w:trPr>
        <w:tc>
          <w:tcPr>
            <w:tcW w:w="638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bottom w:val="single" w:sz="8" w:color="auto"/>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4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312,465</w:t>
            </w:r>
          </w:p>
        </w:tc>
        <w:tc>
          <w:tcPr>
            <w:tcW w:w="100" w:type="dxa"/>
            <w:vAlign w:val="bottom"/>
            <w:tcBorders>
              <w:bottom w:val="single" w:sz="8" w:color="B7DEE8"/>
            </w:tcBorders>
            <w:shd w:val="clear" w:color="auto" w:fill="B7DEE8"/>
          </w:tcPr>
          <w:p>
            <w:pPr>
              <w:spacing w:after="0"/>
              <w:rPr>
                <w:sz w:val="18"/>
                <w:szCs w:val="18"/>
                <w:color w:val="auto"/>
              </w:rPr>
            </w:pPr>
          </w:p>
        </w:tc>
        <w:tc>
          <w:tcPr>
            <w:tcW w:w="80" w:type="dxa"/>
            <w:vAlign w:val="bottom"/>
            <w:tcBorders>
              <w:bottom w:val="single" w:sz="8" w:color="auto"/>
            </w:tcBorders>
            <w:shd w:val="clear" w:color="auto" w:fill="B7DEE8"/>
          </w:tcPr>
          <w:p>
            <w:pPr>
              <w:spacing w:after="0"/>
              <w:rPr>
                <w:sz w:val="18"/>
                <w:szCs w:val="18"/>
                <w:color w:val="auto"/>
              </w:rPr>
            </w:pPr>
          </w:p>
        </w:tc>
        <w:tc>
          <w:tcPr>
            <w:tcW w:w="400" w:type="dxa"/>
            <w:vAlign w:val="bottom"/>
            <w:tcBorders>
              <w:bottom w:val="single" w:sz="8" w:color="auto"/>
            </w:tcBorders>
            <w:shd w:val="clear" w:color="auto" w:fill="B7DEE8"/>
          </w:tcPr>
          <w:p>
            <w:pPr>
              <w:spacing w:after="0"/>
              <w:rPr>
                <w:sz w:val="18"/>
                <w:szCs w:val="18"/>
                <w:color w:val="auto"/>
              </w:rPr>
            </w:pPr>
          </w:p>
        </w:tc>
        <w:tc>
          <w:tcPr>
            <w:tcW w:w="13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301,293</w:t>
            </w:r>
          </w:p>
        </w:tc>
        <w:tc>
          <w:tcPr>
            <w:tcW w:w="100" w:type="dxa"/>
            <w:vAlign w:val="bottom"/>
            <w:tcBorders>
              <w:bottom w:val="single" w:sz="8" w:color="B7DEE8"/>
            </w:tcBorders>
            <w:shd w:val="clear" w:color="auto" w:fill="B7DEE8"/>
          </w:tcPr>
          <w:p>
            <w:pPr>
              <w:spacing w:after="0"/>
              <w:rPr>
                <w:sz w:val="18"/>
                <w:szCs w:val="18"/>
                <w:color w:val="auto"/>
              </w:rPr>
            </w:pP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5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(2,984 )</w:t>
            </w: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46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(5,295 )</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Pr>
          <w:p>
            <w:pPr>
              <w:spacing w:after="0"/>
              <w:rPr>
                <w:sz w:val="18"/>
                <w:szCs w:val="18"/>
                <w:color w:val="auto"/>
              </w:rPr>
            </w:pPr>
          </w:p>
        </w:tc>
      </w:tr>
      <w:tr>
        <w:trPr>
          <w:trHeight w:val="216"/>
        </w:trPr>
        <w:tc>
          <w:tcPr>
            <w:tcW w:w="63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5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(33,442 )</w:t>
            </w: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63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46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6380" w:type="dxa"/>
            <w:vAlign w:val="bottom"/>
            <w:shd w:val="clear" w:color="auto" w:fill="B7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(25,743 )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8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before provision for income taxes</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60,354</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46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(48,397 )</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r>
      <w:tr>
        <w:trPr>
          <w:trHeight w:val="250"/>
        </w:trPr>
        <w:tc>
          <w:tcPr>
            <w:tcW w:w="638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00" w:type="dxa"/>
            <w:vAlign w:val="bottom"/>
            <w:gridSpan w:val="2"/>
            <w:shd w:val="clear" w:color="auto" w:fill="B7DEE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57,873</w:t>
            </w:r>
          </w:p>
        </w:tc>
        <w:tc>
          <w:tcPr>
            <w:tcW w:w="100" w:type="dxa"/>
            <w:vAlign w:val="bottom"/>
            <w:shd w:val="clear" w:color="auto" w:fill="B7DEE8"/>
          </w:tcPr>
          <w:p>
            <w:pPr>
              <w:spacing w:after="0"/>
              <w:rPr>
                <w:sz w:val="21"/>
                <w:szCs w:val="21"/>
                <w:color w:val="auto"/>
              </w:rPr>
            </w:pPr>
          </w:p>
        </w:tc>
        <w:tc>
          <w:tcPr>
            <w:tcW w:w="80" w:type="dxa"/>
            <w:vAlign w:val="bottom"/>
            <w:shd w:val="clear" w:color="auto" w:fill="B7DEE8"/>
          </w:tcPr>
          <w:p>
            <w:pPr>
              <w:spacing w:after="0"/>
              <w:rPr>
                <w:sz w:val="21"/>
                <w:szCs w:val="21"/>
                <w:color w:val="auto"/>
              </w:rPr>
            </w:pPr>
          </w:p>
        </w:tc>
        <w:tc>
          <w:tcPr>
            <w:tcW w:w="400" w:type="dxa"/>
            <w:vAlign w:val="bottom"/>
            <w:shd w:val="clear" w:color="auto" w:fill="B7DEE8"/>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(48,517 )</w:t>
            </w:r>
          </w:p>
        </w:tc>
      </w:tr>
      <w:tr>
        <w:trPr>
          <w:trHeight w:val="196"/>
        </w:trPr>
        <w:tc>
          <w:tcPr>
            <w:tcW w:w="6380" w:type="dxa"/>
            <w:vAlign w:val="bottom"/>
            <w:tcBorders>
              <w:top w:val="single" w:sz="8" w:color="B7DE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B7DEE8"/>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B7DEE8"/>
            </w:tcBorders>
          </w:tcPr>
          <w:p>
            <w:pPr>
              <w:spacing w:after="0"/>
              <w:rPr>
                <w:sz w:val="17"/>
                <w:szCs w:val="17"/>
                <w:color w:val="auto"/>
              </w:rPr>
            </w:pPr>
          </w:p>
        </w:tc>
      </w:tr>
      <w:tr>
        <w:trPr>
          <w:trHeight w:val="216"/>
        </w:trPr>
        <w:tc>
          <w:tcPr>
            <w:tcW w:w="638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4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3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(4.07 )</w:t>
            </w:r>
          </w:p>
        </w:tc>
      </w:tr>
      <w:tr>
        <w:trPr>
          <w:trHeight w:val="216"/>
        </w:trPr>
        <w:tc>
          <w:tcPr>
            <w:tcW w:w="638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shd w:val="clear" w:color="auto" w:fill="B7DE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(4.07 )</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to compute net income (loss) per share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12,520,789</w:t>
            </w:r>
          </w:p>
        </w:tc>
        <w:tc>
          <w:tcPr>
            <w:tcW w:w="10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11,934,699</w:t>
            </w:r>
          </w:p>
        </w:tc>
        <w:tc>
          <w:tcPr>
            <w:tcW w:w="100" w:type="dxa"/>
            <w:vAlign w:val="bottom"/>
            <w:shd w:val="clear" w:color="auto" w:fill="B7DEE8"/>
          </w:tcPr>
          <w:p>
            <w:pPr>
              <w:spacing w:after="0"/>
              <w:rPr>
                <w:sz w:val="18"/>
                <w:szCs w:val="18"/>
                <w:color w:val="auto"/>
              </w:rPr>
            </w:pPr>
          </w:p>
        </w:tc>
      </w:tr>
      <w:tr>
        <w:trPr>
          <w:trHeight w:val="234"/>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13,822,582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11,934,699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5267960</wp:posOffset>
            </wp:positionH>
            <wp:positionV relativeFrom="paragraph">
              <wp:posOffset>-3525520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-3525520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-2402840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-2402840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-1570990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-1570990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-996950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-979805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-996950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-979805</wp:posOffset>
            </wp:positionV>
            <wp:extent cx="59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1413" w:right="77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Dave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63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3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80" w:type="dxa"/>
            <w:vAlign w:val="bottom"/>
            <w:shd w:val="clear" w:color="auto" w:fill="B6DEE8"/>
          </w:tcPr>
          <w:p>
            <w:pPr>
              <w:spacing w:after="0"/>
              <w:rPr>
                <w:sz w:val="18"/>
                <w:szCs w:val="18"/>
                <w:color w:val="auto"/>
              </w:rPr>
            </w:pPr>
          </w:p>
        </w:tc>
        <w:tc>
          <w:tcPr>
            <w:tcW w:w="560" w:type="dxa"/>
            <w:vAlign w:val="bottom"/>
            <w:shd w:val="clear" w:color="auto" w:fill="B6DEE8"/>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(48,517 )</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20" w:type="dxa"/>
            <w:vAlign w:val="bottom"/>
            <w:shd w:val="clear" w:color="auto" w:fill="B6DEE8"/>
          </w:tcPr>
          <w:p>
            <w:pPr>
              <w:spacing w:after="0"/>
              <w:rPr>
                <w:sz w:val="18"/>
                <w:szCs w:val="18"/>
                <w:color w:val="auto"/>
              </w:rPr>
            </w:pPr>
          </w:p>
        </w:tc>
        <w:tc>
          <w:tcPr>
            <w:tcW w:w="17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(428 )</w:t>
            </w:r>
          </w:p>
        </w:tc>
        <w:tc>
          <w:tcPr>
            <w:tcW w:w="56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B6DEE8"/>
          </w:tcPr>
          <w:p>
            <w:pPr>
              <w:spacing w:after="0"/>
              <w:rPr>
                <w:sz w:val="18"/>
                <w:szCs w:val="18"/>
                <w:color w:val="auto"/>
              </w:rPr>
            </w:pPr>
          </w:p>
        </w:tc>
      </w:tr>
      <w:tr>
        <w:trPr>
          <w:trHeight w:val="20"/>
        </w:trPr>
        <w:tc>
          <w:tcPr>
            <w:tcW w:w="6300" w:type="dxa"/>
            <w:vAlign w:val="bottom"/>
            <w:shd w:val="clear" w:color="auto" w:fill="B6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2"/>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57,445</w:t>
            </w:r>
          </w:p>
        </w:tc>
        <w:tc>
          <w:tcPr>
            <w:tcW w:w="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(46,193 )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-159385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-159385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20" w:right="89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p>
      <w:pPr>
        <w:spacing w:after="0" w:line="6" w:lineRule="exact"/>
        <w:rPr>
          <w:sz w:val="20"/>
          <w:szCs w:val="20"/>
          <w:color w:val="auto"/>
        </w:rPr>
      </w:pPr>
    </w:p>
    <w:p>
      <w:pPr>
        <w:ind w:left="20"/>
        <w:spacing w:after="0" w:line="221"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w:t>
      </w:r>
    </w:p>
    <w:p>
      <w:pPr>
        <w:ind w:left="20"/>
        <w:spacing w:after="0" w:line="222" w:lineRule="auto"/>
        <w:rPr>
          <w:sz w:val="20"/>
          <w:szCs w:val="20"/>
          <w:color w:val="auto"/>
        </w:rPr>
      </w:pPr>
      <w:r>
        <w:rPr>
          <w:rFonts w:ascii="Times New Roman" w:cs="Times New Roman" w:eastAsia="Times New Roman" w:hAnsi="Times New Roman"/>
          <w:sz w:val="14"/>
          <w:szCs w:val="14"/>
          <w:color w:val="auto"/>
        </w:rPr>
        <w:t>Payment for fractional shares after reverse stock</w:t>
      </w:r>
    </w:p>
    <w:p>
      <w:pPr>
        <w:ind w:left="20"/>
        <w:spacing w:after="0" w:line="221" w:lineRule="auto"/>
        <w:rPr>
          <w:sz w:val="20"/>
          <w:szCs w:val="20"/>
          <w:color w:val="auto"/>
        </w:rPr>
      </w:pPr>
      <w:r>
        <w:rPr>
          <w:rFonts w:ascii="Times New Roman" w:cs="Times New Roman" w:eastAsia="Times New Roman" w:hAnsi="Times New Roman"/>
          <w:sz w:val="14"/>
          <w:szCs w:val="14"/>
          <w:color w:val="auto"/>
        </w:rPr>
        <w:t>split</w:t>
      </w:r>
    </w:p>
    <w:p>
      <w:pPr>
        <w:ind w:left="20"/>
        <w:spacing w:after="0" w:line="221"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1" w:lineRule="exact"/>
        <w:rPr>
          <w:sz w:val="20"/>
          <w:szCs w:val="20"/>
          <w:color w:val="auto"/>
        </w:rPr>
      </w:pPr>
    </w:p>
    <w:p>
      <w:pPr>
        <w:ind w:left="20" w:right="120"/>
        <w:spacing w:after="0" w:line="239" w:lineRule="auto"/>
        <w:rPr>
          <w:sz w:val="20"/>
          <w:szCs w:val="20"/>
          <w:color w:val="auto"/>
        </w:rPr>
      </w:pPr>
      <w:r>
        <w:rPr>
          <w:rFonts w:ascii="Times New Roman" w:cs="Times New Roman" w:eastAsia="Times New Roman" w:hAnsi="Times New Roman"/>
          <w:sz w:val="14"/>
          <w:szCs w:val="14"/>
          <w:color w:val="auto"/>
        </w:rPr>
        <w:t>Unrealized gain on available-for-sale securities Net loss</w:t>
      </w: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Issuance of Class A common stock in connection</w:t>
      </w:r>
    </w:p>
    <w:p>
      <w:pPr>
        <w:ind w:left="20"/>
        <w:spacing w:after="0" w:line="221" w:lineRule="auto"/>
        <w:rPr>
          <w:sz w:val="20"/>
          <w:szCs w:val="20"/>
          <w:color w:val="auto"/>
        </w:rPr>
      </w:pPr>
      <w:r>
        <w:rPr>
          <w:rFonts w:ascii="Times New Roman" w:cs="Times New Roman" w:eastAsia="Times New Roman" w:hAnsi="Times New Roman"/>
          <w:sz w:val="14"/>
          <w:szCs w:val="14"/>
          <w:color w:val="auto"/>
        </w:rPr>
        <w:t>with stock plans</w:t>
      </w:r>
    </w:p>
    <w:p>
      <w:pPr>
        <w:ind w:left="20"/>
        <w:spacing w:after="0" w:line="221" w:lineRule="auto"/>
        <w:rPr>
          <w:sz w:val="20"/>
          <w:szCs w:val="20"/>
          <w:color w:val="auto"/>
        </w:rPr>
      </w:pPr>
      <w:r>
        <w:rPr>
          <w:rFonts w:ascii="Times New Roman" w:cs="Times New Roman" w:eastAsia="Times New Roman" w:hAnsi="Times New Roman"/>
          <w:sz w:val="14"/>
          <w:szCs w:val="14"/>
          <w:color w:val="auto"/>
        </w:rPr>
        <w:t>Stock-based compensation</w:t>
      </w:r>
    </w:p>
    <w:p>
      <w:pPr>
        <w:ind w:left="20"/>
        <w:spacing w:after="0" w:line="222" w:lineRule="auto"/>
        <w:rPr>
          <w:sz w:val="20"/>
          <w:szCs w:val="20"/>
          <w:color w:val="auto"/>
        </w:rPr>
      </w:pPr>
      <w:r>
        <w:rPr>
          <w:rFonts w:ascii="Times New Roman" w:cs="Times New Roman" w:eastAsia="Times New Roman" w:hAnsi="Times New Roman"/>
          <w:sz w:val="14"/>
          <w:szCs w:val="14"/>
          <w:color w:val="auto"/>
        </w:rPr>
        <w:t>Unrealized loss on available-for-sale securities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4"/>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gridSpan w:val="3"/>
            <w:vMerge w:val="restart"/>
          </w:tcPr>
          <w:p>
            <w:pPr>
              <w:jc w:val="right"/>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10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110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3"/>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880" w:type="dxa"/>
            <w:vAlign w:val="bottom"/>
            <w:gridSpan w:val="3"/>
            <w:vMerge w:val="restart"/>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d deficit</w:t>
            </w: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center"/>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10,284,657</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0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270,037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(1,675</w:t>
            </w:r>
          </w:p>
        </w:tc>
        <w:tc>
          <w:tcPr>
            <w:tcW w:w="10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(161,803</w:t>
            </w:r>
          </w:p>
        </w:tc>
        <w:tc>
          <w:tcPr>
            <w:tcW w:w="10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106,560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(12 )</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(12 )</w:t>
            </w:r>
          </w:p>
        </w:tc>
        <w:tc>
          <w:tcPr>
            <w:tcW w:w="0" w:type="dxa"/>
            <w:vAlign w:val="bottom"/>
          </w:tcPr>
          <w:p>
            <w:pPr>
              <w:spacing w:after="0"/>
              <w:rPr>
                <w:sz w:val="1"/>
                <w:szCs w:val="1"/>
                <w:color w:val="auto"/>
              </w:rPr>
            </w:pPr>
          </w:p>
        </w:tc>
      </w:tr>
      <w:tr>
        <w:trPr>
          <w:trHeight w:val="18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(48,517 )</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(48,517 )</w:t>
            </w:r>
          </w:p>
        </w:tc>
        <w:tc>
          <w:tcPr>
            <w:tcW w:w="0" w:type="dxa"/>
            <w:vAlign w:val="bottom"/>
          </w:tcPr>
          <w:p>
            <w:pPr>
              <w:spacing w:after="0"/>
              <w:rPr>
                <w:sz w:val="1"/>
                <w:szCs w:val="1"/>
                <w:color w:val="auto"/>
              </w:rPr>
            </w:pPr>
          </w:p>
        </w:tc>
      </w:tr>
      <w:tr>
        <w:trPr>
          <w:trHeight w:val="142"/>
        </w:trPr>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10,634,173</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1,514,082</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296,733</w:t>
            </w: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(210,320</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87,063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867,792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37,327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(428 )</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-1255395</wp:posOffset>
            </wp:positionV>
            <wp:extent cx="713232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-972185</wp:posOffset>
            </wp:positionV>
            <wp:extent cx="713232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-689610</wp:posOffset>
            </wp:positionV>
            <wp:extent cx="7132320" cy="93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-183515</wp:posOffset>
            </wp:positionV>
            <wp:extent cx="713232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-492125</wp:posOffset>
            </wp:positionV>
            <wp:extent cx="713232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60" w:space="120"/>
            <w:col w:w="826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980" w:type="dxa"/>
            <w:vAlign w:val="bottom"/>
            <w:tcBorders>
              <w:bottom w:val="single" w:sz="8" w:color="B7DEE8"/>
            </w:tcBorders>
            <w:shd w:val="clear" w:color="auto" w:fill="B7DEE8"/>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68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104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66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62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320" w:type="dxa"/>
            <w:vAlign w:val="bottom"/>
            <w:tcBorders>
              <w:bottom w:val="single" w:sz="8" w:color="auto"/>
            </w:tcBorders>
            <w:shd w:val="clear" w:color="auto" w:fill="B7DEE8"/>
          </w:tcPr>
          <w:p>
            <w:pPr>
              <w:spacing w:after="0"/>
              <w:rPr>
                <w:sz w:val="13"/>
                <w:szCs w:val="13"/>
                <w:color w:val="auto"/>
              </w:rPr>
            </w:pPr>
          </w:p>
        </w:tc>
        <w:tc>
          <w:tcPr>
            <w:tcW w:w="100" w:type="dxa"/>
            <w:vAlign w:val="bottom"/>
            <w:tcBorders>
              <w:bottom w:val="single" w:sz="8" w:color="B7DEE8"/>
            </w:tcBorders>
            <w:shd w:val="clear" w:color="auto" w:fill="B7DEE8"/>
          </w:tcPr>
          <w:p>
            <w:pPr>
              <w:spacing w:after="0"/>
              <w:rPr>
                <w:sz w:val="13"/>
                <w:szCs w:val="13"/>
                <w:color w:val="auto"/>
              </w:rPr>
            </w:pPr>
          </w:p>
        </w:tc>
        <w:tc>
          <w:tcPr>
            <w:tcW w:w="120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80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color w:val="auto"/>
              </w:rPr>
              <w:t>57,873</w:t>
            </w:r>
          </w:p>
        </w:tc>
        <w:tc>
          <w:tcPr>
            <w:tcW w:w="100" w:type="dxa"/>
            <w:vAlign w:val="bottom"/>
            <w:tcBorders>
              <w:bottom w:val="single" w:sz="8" w:color="B7DEE8"/>
            </w:tcBorders>
            <w:shd w:val="clear" w:color="auto" w:fill="B7DEE8"/>
          </w:tcPr>
          <w:p>
            <w:pPr>
              <w:spacing w:after="0"/>
              <w:rPr>
                <w:sz w:val="13"/>
                <w:szCs w:val="13"/>
                <w:color w:val="auto"/>
              </w:rPr>
            </w:pPr>
          </w:p>
        </w:tc>
        <w:tc>
          <w:tcPr>
            <w:tcW w:w="108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57,873</w:t>
            </w:r>
          </w:p>
        </w:tc>
        <w:tc>
          <w:tcPr>
            <w:tcW w:w="100" w:type="dxa"/>
            <w:vAlign w:val="bottom"/>
            <w:tcBorders>
              <w:bottom w:val="single" w:sz="8" w:color="B7DEE8"/>
            </w:tcBorders>
            <w:shd w:val="clear" w:color="auto" w:fill="B7DEE8"/>
          </w:tcPr>
          <w:p>
            <w:pPr>
              <w:spacing w:after="0"/>
              <w:rPr>
                <w:sz w:val="13"/>
                <w:szCs w:val="13"/>
                <w:color w:val="auto"/>
              </w:rPr>
            </w:pPr>
          </w:p>
        </w:tc>
      </w:tr>
      <w:tr>
        <w:trPr>
          <w:trHeight w:val="142"/>
        </w:trPr>
        <w:tc>
          <w:tcPr>
            <w:tcW w:w="29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11,501,965</w:t>
            </w: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c>
          <w:tcPr>
            <w:tcW w:w="1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1,514,082</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335,326</w:t>
            </w:r>
          </w:p>
        </w:tc>
        <w:tc>
          <w:tcPr>
            <w:tcW w:w="4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221</w:t>
            </w:r>
          </w:p>
        </w:tc>
        <w:tc>
          <w:tcPr>
            <w:tcW w:w="10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(152,447 )</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183,101</w:t>
            </w:r>
          </w:p>
        </w:tc>
        <w:tc>
          <w:tcPr>
            <w:tcW w:w="100" w:type="dxa"/>
            <w:vAlign w:val="bottom"/>
          </w:tcPr>
          <w:p>
            <w:pPr>
              <w:spacing w:after="0"/>
              <w:rPr>
                <w:sz w:val="12"/>
                <w:szCs w:val="12"/>
                <w:color w:val="auto"/>
              </w:rPr>
            </w:pPr>
          </w:p>
        </w:tc>
      </w:tr>
      <w:tr>
        <w:trPr>
          <w:trHeight w:val="20"/>
        </w:trPr>
        <w:tc>
          <w:tcPr>
            <w:tcW w:w="2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-128270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-128270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-128270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-128270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-128270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-128270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-128270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-128270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c>
          <w:tcPr>
            <w:tcW w:w="0" w:type="dxa"/>
            <w:vAlign w:val="bottom"/>
          </w:tcPr>
          <w:p>
            <w:pPr>
              <w:spacing w:after="0"/>
              <w:rPr>
                <w:sz w:val="1"/>
                <w:szCs w:val="1"/>
                <w:color w:val="auto"/>
              </w:rPr>
            </w:pPr>
          </w:p>
        </w:tc>
      </w:tr>
      <w:tr>
        <w:trPr>
          <w:trHeight w:val="238"/>
        </w:trPr>
        <w:tc>
          <w:tcPr>
            <w:tcW w:w="8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(48,517 )</w:t>
            </w: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used in operating activities: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9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(33,442 )</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37,327</w:t>
            </w: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B7DEE8"/>
          </w:tcPr>
          <w:p>
            <w:pPr>
              <w:spacing w:after="0"/>
              <w:rPr>
                <w:sz w:val="18"/>
                <w:szCs w:val="18"/>
                <w:color w:val="auto"/>
              </w:rPr>
            </w:pPr>
          </w:p>
        </w:tc>
        <w:tc>
          <w:tcPr>
            <w:tcW w:w="116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shd w:val="clear" w:color="auto" w:fill="B7DEE8"/>
          </w:tcPr>
          <w:p>
            <w:pPr>
              <w:spacing w:after="0"/>
              <w:rPr>
                <w:sz w:val="18"/>
                <w:szCs w:val="18"/>
                <w:color w:val="auto"/>
              </w:rPr>
            </w:pPr>
          </w:p>
        </w:tc>
        <w:tc>
          <w:tcPr>
            <w:tcW w:w="9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fair value of marketable securities and investments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ExtraCash receivables, service based revenue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(6,160 )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(4,082 )</w:t>
            </w: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(8,157 )</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9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(5,935 )</w:t>
            </w: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Legal settlement accrual</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9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(6,120 )</w:t>
            </w: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10"/>
        </w:trPr>
        <w:tc>
          <w:tcPr>
            <w:tcW w:w="872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top w:val="single" w:sz="8" w:color="auto"/>
              <w:bottom w:val="single" w:sz="8" w:color="auto"/>
            </w:tcBorders>
            <w:shd w:val="clear" w:color="auto" w:fill="B7DEE8"/>
          </w:tcPr>
          <w:p>
            <w:pPr>
              <w:spacing w:after="0"/>
              <w:rPr>
                <w:sz w:val="18"/>
                <w:szCs w:val="18"/>
                <w:color w:val="auto"/>
              </w:rPr>
            </w:pPr>
          </w:p>
        </w:tc>
        <w:tc>
          <w:tcPr>
            <w:tcW w:w="86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125,137</w:t>
            </w:r>
          </w:p>
        </w:tc>
        <w:tc>
          <w:tcPr>
            <w:tcW w:w="300" w:type="dxa"/>
            <w:vAlign w:val="bottom"/>
            <w:tcBorders>
              <w:bottom w:val="single" w:sz="8" w:color="B7DEE8"/>
            </w:tcBorders>
            <w:shd w:val="clear" w:color="auto" w:fill="B7DEE8"/>
          </w:tcPr>
          <w:p>
            <w:pPr>
              <w:spacing w:after="0"/>
              <w:rPr>
                <w:sz w:val="18"/>
                <w:szCs w:val="18"/>
                <w:color w:val="auto"/>
              </w:rPr>
            </w:pPr>
          </w:p>
        </w:tc>
        <w:tc>
          <w:tcPr>
            <w:tcW w:w="220" w:type="dxa"/>
            <w:vAlign w:val="bottom"/>
            <w:tcBorders>
              <w:top w:val="single" w:sz="8" w:color="auto"/>
              <w:bottom w:val="single" w:sz="8" w:color="auto"/>
            </w:tcBorders>
            <w:shd w:val="clear" w:color="auto" w:fill="B7DEE8"/>
          </w:tcPr>
          <w:p>
            <w:pPr>
              <w:spacing w:after="0"/>
              <w:rPr>
                <w:sz w:val="18"/>
                <w:szCs w:val="18"/>
                <w:color w:val="auto"/>
              </w:rPr>
            </w:pPr>
          </w:p>
        </w:tc>
        <w:tc>
          <w:tcPr>
            <w:tcW w:w="8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33,754</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internally developed software costs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(7,300 )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(7,895 )</w:t>
            </w: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B7DEE8"/>
          </w:tcPr>
          <w:p>
            <w:pPr>
              <w:spacing w:after="0"/>
              <w:rPr>
                <w:sz w:val="18"/>
                <w:szCs w:val="18"/>
                <w:color w:val="auto"/>
              </w:rPr>
            </w:pPr>
          </w:p>
        </w:tc>
        <w:tc>
          <w:tcPr>
            <w:tcW w:w="116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(262 )</w:t>
            </w:r>
          </w:p>
        </w:tc>
        <w:tc>
          <w:tcPr>
            <w:tcW w:w="220" w:type="dxa"/>
            <w:vAlign w:val="bottom"/>
            <w:shd w:val="clear" w:color="auto" w:fill="B7DEE8"/>
          </w:tcPr>
          <w:p>
            <w:pPr>
              <w:spacing w:after="0"/>
              <w:rPr>
                <w:sz w:val="18"/>
                <w:szCs w:val="18"/>
                <w:color w:val="auto"/>
              </w:rPr>
            </w:pPr>
          </w:p>
        </w:tc>
        <w:tc>
          <w:tcPr>
            <w:tcW w:w="9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(688 )</w:t>
            </w: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originations and collections of ExtraCash receivables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(111,477 )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(62,967 )</w:t>
            </w: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220" w:type="dxa"/>
            <w:vAlign w:val="bottom"/>
            <w:shd w:val="clear" w:color="auto" w:fill="B7DEE8"/>
          </w:tcPr>
          <w:p>
            <w:pPr>
              <w:spacing w:after="0"/>
              <w:rPr>
                <w:sz w:val="18"/>
                <w:szCs w:val="18"/>
                <w:color w:val="auto"/>
              </w:rPr>
            </w:pPr>
          </w:p>
        </w:tc>
        <w:tc>
          <w:tcPr>
            <w:tcW w:w="116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(111,311 )</w:t>
            </w:r>
          </w:p>
        </w:tc>
        <w:tc>
          <w:tcPr>
            <w:tcW w:w="220" w:type="dxa"/>
            <w:vAlign w:val="bottom"/>
            <w:shd w:val="clear" w:color="auto" w:fill="B7DEE8"/>
          </w:tcPr>
          <w:p>
            <w:pPr>
              <w:spacing w:after="0"/>
              <w:rPr>
                <w:sz w:val="18"/>
                <w:szCs w:val="18"/>
                <w:color w:val="auto"/>
              </w:rPr>
            </w:pPr>
          </w:p>
        </w:tc>
        <w:tc>
          <w:tcPr>
            <w:tcW w:w="9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(120,016 )</w:t>
            </w: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and maturity of investments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20" w:type="dxa"/>
            <w:vAlign w:val="bottom"/>
            <w:shd w:val="clear" w:color="auto" w:fill="B7DEE8"/>
          </w:tcPr>
          <w:p>
            <w:pPr>
              <w:spacing w:after="0"/>
              <w:rPr>
                <w:sz w:val="18"/>
                <w:szCs w:val="18"/>
                <w:color w:val="auto"/>
              </w:rPr>
            </w:pPr>
          </w:p>
        </w:tc>
        <w:tc>
          <w:tcPr>
            <w:tcW w:w="116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(59,274 )</w:t>
            </w:r>
          </w:p>
        </w:tc>
        <w:tc>
          <w:tcPr>
            <w:tcW w:w="220" w:type="dxa"/>
            <w:vAlign w:val="bottom"/>
            <w:shd w:val="clear" w:color="auto" w:fill="B7DEE8"/>
          </w:tcPr>
          <w:p>
            <w:pPr>
              <w:spacing w:after="0"/>
              <w:rPr>
                <w:sz w:val="18"/>
                <w:szCs w:val="18"/>
                <w:color w:val="auto"/>
              </w:rPr>
            </w:pPr>
          </w:p>
        </w:tc>
        <w:tc>
          <w:tcPr>
            <w:tcW w:w="9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(34,399 )</w:t>
            </w: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60,129</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2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shd w:val="clear" w:color="auto" w:fill="B7DEE8"/>
          </w:tcPr>
          <w:p>
            <w:pPr>
              <w:spacing w:after="0"/>
              <w:rPr>
                <w:sz w:val="18"/>
                <w:szCs w:val="18"/>
                <w:color w:val="auto"/>
              </w:rPr>
            </w:pPr>
          </w:p>
        </w:tc>
        <w:tc>
          <w:tcPr>
            <w:tcW w:w="116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(45,843 )</w:t>
            </w:r>
          </w:p>
        </w:tc>
        <w:tc>
          <w:tcPr>
            <w:tcW w:w="220" w:type="dxa"/>
            <w:vAlign w:val="bottom"/>
            <w:shd w:val="clear" w:color="auto" w:fill="B7DEE8"/>
          </w:tcPr>
          <w:p>
            <w:pPr>
              <w:spacing w:after="0"/>
              <w:rPr>
                <w:sz w:val="18"/>
                <w:szCs w:val="18"/>
                <w:color w:val="auto"/>
              </w:rPr>
            </w:pPr>
          </w:p>
        </w:tc>
        <w:tc>
          <w:tcPr>
            <w:tcW w:w="9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(14,375 )</w:t>
            </w:r>
          </w:p>
        </w:tc>
        <w:tc>
          <w:tcPr>
            <w:tcW w:w="0" w:type="dxa"/>
            <w:vAlign w:val="bottom"/>
          </w:tcPr>
          <w:p>
            <w:pPr>
              <w:spacing w:after="0"/>
              <w:rPr>
                <w:sz w:val="1"/>
                <w:szCs w:val="1"/>
                <w:color w:val="auto"/>
              </w:rPr>
            </w:pPr>
          </w:p>
        </w:tc>
      </w:tr>
      <w:tr>
        <w:trPr>
          <w:trHeight w:val="210"/>
        </w:trPr>
        <w:tc>
          <w:tcPr>
            <w:tcW w:w="8720" w:type="dxa"/>
            <w:vAlign w:val="bottom"/>
            <w:tcBorders>
              <w:top w:val="single" w:sz="8" w:color="B7DE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B7DE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for fractional shares on reverse stock split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for stock option exercises</w:t>
            </w:r>
          </w:p>
        </w:tc>
        <w:tc>
          <w:tcPr>
            <w:tcW w:w="220" w:type="dxa"/>
            <w:vAlign w:val="bottom"/>
            <w:shd w:val="clear" w:color="auto" w:fill="B7DEE8"/>
          </w:tcPr>
          <w:p>
            <w:pPr>
              <w:spacing w:after="0"/>
              <w:rPr>
                <w:sz w:val="18"/>
                <w:szCs w:val="18"/>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costs for extinguishment of convertible debt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(1,261 )</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Repayment of borrowings on convertible debt, long-term</w:t>
            </w:r>
          </w:p>
        </w:tc>
        <w:tc>
          <w:tcPr>
            <w:tcW w:w="220" w:type="dxa"/>
            <w:vAlign w:val="bottom"/>
            <w:shd w:val="clear" w:color="auto" w:fill="B7DEE8"/>
          </w:tcPr>
          <w:p>
            <w:pPr>
              <w:spacing w:after="0"/>
              <w:rPr>
                <w:sz w:val="18"/>
                <w:szCs w:val="18"/>
                <w:color w:val="auto"/>
              </w:rPr>
            </w:pPr>
          </w:p>
        </w:tc>
        <w:tc>
          <w:tcPr>
            <w:tcW w:w="116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(71,000 )</w:t>
            </w:r>
          </w:p>
        </w:tc>
        <w:tc>
          <w:tcPr>
            <w:tcW w:w="220" w:type="dxa"/>
            <w:vAlign w:val="bottom"/>
            <w:shd w:val="clear" w:color="auto" w:fill="B7DEE8"/>
          </w:tcPr>
          <w:p>
            <w:pPr>
              <w:spacing w:after="0"/>
              <w:rPr>
                <w:sz w:val="18"/>
                <w:szCs w:val="18"/>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shd w:val="clear" w:color="auto" w:fill="B7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B7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(70,995 )</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20" w:type="dxa"/>
            <w:vAlign w:val="bottom"/>
            <w:shd w:val="clear" w:color="auto" w:fill="B7DEE8"/>
          </w:tcPr>
          <w:p>
            <w:pPr>
              <w:spacing w:after="0"/>
              <w:rPr>
                <w:sz w:val="18"/>
                <w:szCs w:val="18"/>
                <w:color w:val="auto"/>
              </w:rPr>
            </w:pPr>
          </w:p>
        </w:tc>
        <w:tc>
          <w:tcPr>
            <w:tcW w:w="220" w:type="dxa"/>
            <w:vAlign w:val="bottom"/>
            <w:tcBorders>
              <w:top w:val="single" w:sz="8" w:color="auto"/>
            </w:tcBorders>
            <w:shd w:val="clear" w:color="auto" w:fill="B7DEE8"/>
          </w:tcPr>
          <w:p>
            <w:pPr>
              <w:spacing w:after="0"/>
              <w:rPr>
                <w:sz w:val="18"/>
                <w:szCs w:val="18"/>
                <w:color w:val="auto"/>
              </w:rPr>
            </w:pPr>
          </w:p>
        </w:tc>
        <w:tc>
          <w:tcPr>
            <w:tcW w:w="860" w:type="dxa"/>
            <w:vAlign w:val="bottom"/>
            <w:tcBorders>
              <w:top w:val="single" w:sz="8" w:color="auto"/>
            </w:tcBorders>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220" w:type="dxa"/>
            <w:vAlign w:val="bottom"/>
            <w:tcBorders>
              <w:top w:val="single" w:sz="8" w:color="auto"/>
            </w:tcBorders>
            <w:shd w:val="clear" w:color="auto" w:fill="B7DEE8"/>
          </w:tcPr>
          <w:p>
            <w:pPr>
              <w:spacing w:after="0"/>
              <w:rPr>
                <w:sz w:val="18"/>
                <w:szCs w:val="18"/>
                <w:color w:val="auto"/>
              </w:rPr>
            </w:pPr>
          </w:p>
        </w:tc>
        <w:tc>
          <w:tcPr>
            <w:tcW w:w="820" w:type="dxa"/>
            <w:vAlign w:val="bottom"/>
            <w:tcBorders>
              <w:top w:val="single" w:sz="8" w:color="auto"/>
            </w:tcBorders>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the period</w:t>
            </w:r>
          </w:p>
        </w:tc>
        <w:tc>
          <w:tcPr>
            <w:tcW w:w="220" w:type="dxa"/>
            <w:vAlign w:val="bottom"/>
            <w:tcBorders>
              <w:bottom w:val="single" w:sz="8" w:color="auto"/>
            </w:tcBorders>
            <w:shd w:val="clear" w:color="auto" w:fill="B7DEE8"/>
          </w:tcPr>
          <w:p>
            <w:pPr>
              <w:spacing w:after="0"/>
              <w:rPr>
                <w:sz w:val="18"/>
                <w:szCs w:val="18"/>
                <w:color w:val="auto"/>
              </w:rPr>
            </w:pPr>
          </w:p>
        </w:tc>
        <w:tc>
          <w:tcPr>
            <w:tcW w:w="8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300" w:type="dxa"/>
            <w:vAlign w:val="bottom"/>
            <w:tcBorders>
              <w:bottom w:val="single" w:sz="8" w:color="B7DEE8"/>
            </w:tcBorders>
            <w:shd w:val="clear" w:color="auto" w:fill="B7DEE8"/>
          </w:tcPr>
          <w:p>
            <w:pPr>
              <w:spacing w:after="0"/>
              <w:rPr>
                <w:sz w:val="18"/>
                <w:szCs w:val="18"/>
                <w:color w:val="auto"/>
              </w:rPr>
            </w:pPr>
          </w:p>
        </w:tc>
        <w:tc>
          <w:tcPr>
            <w:tcW w:w="220" w:type="dxa"/>
            <w:vAlign w:val="bottom"/>
            <w:tcBorders>
              <w:bottom w:val="single" w:sz="8" w:color="auto"/>
            </w:tcBorders>
            <w:shd w:val="clear" w:color="auto" w:fill="B7DEE8"/>
          </w:tcPr>
          <w:p>
            <w:pPr>
              <w:spacing w:after="0"/>
              <w:rPr>
                <w:sz w:val="18"/>
                <w:szCs w:val="18"/>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the period</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51,377</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-7332980</wp:posOffset>
            </wp:positionV>
            <wp:extent cx="9398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-7332980</wp:posOffset>
            </wp:positionV>
            <wp:extent cx="9398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-3865245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-1645285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-1079500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56"/>
        </w:trPr>
        <w:tc>
          <w:tcPr>
            <w:tcW w:w="8700" w:type="dxa"/>
            <w:vAlign w:val="bottom"/>
            <w:tcBorders>
              <w:top w:val="single" w:sz="8" w:color="B7DEE8"/>
            </w:tcBorders>
            <w:shd w:val="clear" w:color="auto" w:fill="B7DEE8"/>
          </w:tcPr>
          <w:p>
            <w:pPr>
              <w:spacing w:after="0"/>
              <w:rPr>
                <w:sz w:val="22"/>
                <w:szCs w:val="22"/>
                <w:color w:val="auto"/>
              </w:rPr>
            </w:pPr>
          </w:p>
        </w:tc>
        <w:tc>
          <w:tcPr>
            <w:tcW w:w="340" w:type="dxa"/>
            <w:vAlign w:val="bottom"/>
            <w:tcBorders>
              <w:top w:val="single" w:sz="8" w:color="auto"/>
            </w:tcBorders>
            <w:shd w:val="clear" w:color="auto" w:fill="B7DEE8"/>
          </w:tcPr>
          <w:p>
            <w:pPr>
              <w:spacing w:after="0"/>
              <w:rPr>
                <w:sz w:val="22"/>
                <w:szCs w:val="22"/>
                <w:color w:val="auto"/>
              </w:rPr>
            </w:pPr>
          </w:p>
        </w:tc>
        <w:tc>
          <w:tcPr>
            <w:tcW w:w="740" w:type="dxa"/>
            <w:vAlign w:val="bottom"/>
            <w:tcBorders>
              <w:top w:val="single" w:sz="8" w:color="auto"/>
            </w:tcBorders>
            <w:shd w:val="clear" w:color="auto" w:fill="B7DEE8"/>
          </w:tcPr>
          <w:p>
            <w:pPr>
              <w:spacing w:after="0"/>
              <w:rPr>
                <w:sz w:val="22"/>
                <w:szCs w:val="22"/>
                <w:color w:val="auto"/>
              </w:rPr>
            </w:pPr>
          </w:p>
        </w:tc>
        <w:tc>
          <w:tcPr>
            <w:tcW w:w="320" w:type="dxa"/>
            <w:vAlign w:val="bottom"/>
            <w:tcBorders>
              <w:top w:val="single" w:sz="8" w:color="B7DEE8"/>
            </w:tcBorders>
            <w:shd w:val="clear" w:color="auto" w:fill="B7DEE8"/>
          </w:tcPr>
          <w:p>
            <w:pPr>
              <w:spacing w:after="0"/>
              <w:rPr>
                <w:sz w:val="22"/>
                <w:szCs w:val="22"/>
                <w:color w:val="auto"/>
              </w:rPr>
            </w:pPr>
          </w:p>
        </w:tc>
        <w:tc>
          <w:tcPr>
            <w:tcW w:w="300" w:type="dxa"/>
            <w:vAlign w:val="bottom"/>
            <w:tcBorders>
              <w:top w:val="single" w:sz="8" w:color="auto"/>
            </w:tcBorders>
            <w:shd w:val="clear" w:color="auto" w:fill="B7DEE8"/>
          </w:tcPr>
          <w:p>
            <w:pPr>
              <w:spacing w:after="0"/>
              <w:rPr>
                <w:sz w:val="22"/>
                <w:szCs w:val="22"/>
                <w:color w:val="auto"/>
              </w:rPr>
            </w:pPr>
          </w:p>
        </w:tc>
        <w:tc>
          <w:tcPr>
            <w:tcW w:w="720" w:type="dxa"/>
            <w:vAlign w:val="bottom"/>
            <w:tcBorders>
              <w:top w:val="single" w:sz="8" w:color="auto"/>
            </w:tcBorders>
            <w:shd w:val="clear" w:color="auto" w:fill="B7DEE8"/>
          </w:tcPr>
          <w:p>
            <w:pPr>
              <w:spacing w:after="0"/>
              <w:rPr>
                <w:sz w:val="22"/>
                <w:szCs w:val="22"/>
                <w:color w:val="auto"/>
              </w:rPr>
            </w:pPr>
          </w:p>
        </w:tc>
        <w:tc>
          <w:tcPr>
            <w:tcW w:w="120" w:type="dxa"/>
            <w:vAlign w:val="bottom"/>
            <w:tcBorders>
              <w:top w:val="single" w:sz="8" w:color="B7DEE8"/>
            </w:tcBorders>
            <w:shd w:val="clear" w:color="auto" w:fill="B7DEE8"/>
          </w:tcPr>
          <w:p>
            <w:pPr>
              <w:spacing w:after="0"/>
              <w:rPr>
                <w:sz w:val="22"/>
                <w:szCs w:val="22"/>
                <w:color w:val="auto"/>
              </w:rPr>
            </w:pPr>
          </w:p>
        </w:tc>
      </w:tr>
      <w:tr>
        <w:trPr>
          <w:trHeight w:val="216"/>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Property and equipment purchases in accounts payable and accrued liabilities</w:t>
            </w:r>
          </w:p>
        </w:tc>
        <w:tc>
          <w:tcPr>
            <w:tcW w:w="340" w:type="dxa"/>
            <w:vAlign w:val="bottom"/>
            <w:shd w:val="clear" w:color="auto" w:fill="B7DE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7DEE8"/>
          </w:tcPr>
          <w:p>
            <w:pPr>
              <w:spacing w:after="0"/>
              <w:rPr>
                <w:sz w:val="18"/>
                <w:szCs w:val="18"/>
                <w:color w:val="auto"/>
              </w:rPr>
            </w:pPr>
          </w:p>
        </w:tc>
        <w:tc>
          <w:tcPr>
            <w:tcW w:w="30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B7DEE8"/>
          </w:tcPr>
          <w:p>
            <w:pPr>
              <w:spacing w:after="0"/>
              <w:rPr>
                <w:sz w:val="18"/>
                <w:szCs w:val="18"/>
                <w:color w:val="auto"/>
              </w:rPr>
            </w:pPr>
          </w:p>
        </w:tc>
      </w:tr>
      <w:tr>
        <w:trPr>
          <w:trHeight w:val="216"/>
        </w:trPr>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 of use assets recognized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8"/>
                <w:szCs w:val="18"/>
                <w:color w:val="auto"/>
              </w:rPr>
            </w:pPr>
          </w:p>
        </w:tc>
      </w:tr>
      <w:tr>
        <w:trPr>
          <w:trHeight w:val="216"/>
        </w:trPr>
        <w:tc>
          <w:tcPr>
            <w:tcW w:w="8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recognized</w:t>
            </w:r>
          </w:p>
        </w:tc>
        <w:tc>
          <w:tcPr>
            <w:tcW w:w="340" w:type="dxa"/>
            <w:vAlign w:val="bottom"/>
            <w:shd w:val="clear" w:color="auto" w:fill="B7DE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7DEE8"/>
          </w:tcPr>
          <w:p>
            <w:pPr>
              <w:spacing w:after="0"/>
              <w:rPr>
                <w:sz w:val="18"/>
                <w:szCs w:val="18"/>
                <w:color w:val="auto"/>
              </w:rPr>
            </w:pPr>
          </w:p>
        </w:tc>
        <w:tc>
          <w:tcPr>
            <w:tcW w:w="30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B7DEE8"/>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 for:</w:t>
            </w:r>
          </w:p>
        </w:tc>
        <w:tc>
          <w:tcPr>
            <w:tcW w:w="340" w:type="dxa"/>
            <w:vAlign w:val="bottom"/>
            <w:shd w:val="clear" w:color="auto" w:fill="B7DEE8"/>
          </w:tcPr>
          <w:p>
            <w:pPr>
              <w:spacing w:after="0"/>
              <w:rPr>
                <w:sz w:val="18"/>
                <w:szCs w:val="18"/>
                <w:color w:val="auto"/>
              </w:rPr>
            </w:pPr>
          </w:p>
        </w:tc>
        <w:tc>
          <w:tcPr>
            <w:tcW w:w="74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72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r>
      <w:tr>
        <w:trPr>
          <w:trHeight w:val="216"/>
        </w:trPr>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(586 )</w:t>
            </w:r>
          </w:p>
        </w:tc>
      </w:tr>
      <w:tr>
        <w:trPr>
          <w:trHeight w:val="216"/>
        </w:trPr>
        <w:tc>
          <w:tcPr>
            <w:tcW w:w="8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B7DE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320" w:type="dxa"/>
            <w:vAlign w:val="bottom"/>
            <w:shd w:val="clear" w:color="auto" w:fill="B7DEE8"/>
          </w:tcPr>
          <w:p>
            <w:pPr>
              <w:spacing w:after="0"/>
              <w:rPr>
                <w:sz w:val="18"/>
                <w:szCs w:val="18"/>
                <w:color w:val="auto"/>
              </w:rPr>
            </w:pPr>
          </w:p>
        </w:tc>
        <w:tc>
          <w:tcPr>
            <w:tcW w:w="30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20" w:type="dxa"/>
            <w:vAlign w:val="bottom"/>
            <w:shd w:val="clear" w:color="auto" w:fill="B7DEE8"/>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700" w:type="dxa"/>
            <w:vAlign w:val="bottom"/>
            <w:shd w:val="clear" w:color="auto" w:fill="B7DEE8"/>
          </w:tcPr>
          <w:p>
            <w:pPr>
              <w:ind w:left="20"/>
              <w:spacing w:after="0" w:line="198" w:lineRule="exact"/>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w:t>
            </w:r>
          </w:p>
        </w:tc>
        <w:tc>
          <w:tcPr>
            <w:tcW w:w="340" w:type="dxa"/>
            <w:vAlign w:val="bottom"/>
            <w:shd w:val="clear" w:color="auto" w:fill="B7DEE8"/>
          </w:tcPr>
          <w:p>
            <w:pPr>
              <w:spacing w:after="0"/>
              <w:rPr>
                <w:sz w:val="17"/>
                <w:szCs w:val="17"/>
                <w:color w:val="auto"/>
              </w:rPr>
            </w:pPr>
          </w:p>
        </w:tc>
        <w:tc>
          <w:tcPr>
            <w:tcW w:w="740" w:type="dxa"/>
            <w:vAlign w:val="bottom"/>
            <w:shd w:val="clear" w:color="auto" w:fill="B7DEE8"/>
          </w:tcPr>
          <w:p>
            <w:pPr>
              <w:spacing w:after="0"/>
              <w:rPr>
                <w:sz w:val="17"/>
                <w:szCs w:val="17"/>
                <w:color w:val="auto"/>
              </w:rPr>
            </w:pPr>
          </w:p>
        </w:tc>
        <w:tc>
          <w:tcPr>
            <w:tcW w:w="320" w:type="dxa"/>
            <w:vAlign w:val="bottom"/>
            <w:shd w:val="clear" w:color="auto" w:fill="B7DEE8"/>
          </w:tcPr>
          <w:p>
            <w:pPr>
              <w:spacing w:after="0"/>
              <w:rPr>
                <w:sz w:val="17"/>
                <w:szCs w:val="17"/>
                <w:color w:val="auto"/>
              </w:rPr>
            </w:pPr>
          </w:p>
        </w:tc>
        <w:tc>
          <w:tcPr>
            <w:tcW w:w="300" w:type="dxa"/>
            <w:vAlign w:val="bottom"/>
            <w:shd w:val="clear" w:color="auto" w:fill="B7DEE8"/>
          </w:tcPr>
          <w:p>
            <w:pPr>
              <w:spacing w:after="0"/>
              <w:rPr>
                <w:sz w:val="17"/>
                <w:szCs w:val="17"/>
                <w:color w:val="auto"/>
              </w:rPr>
            </w:pPr>
          </w:p>
        </w:tc>
        <w:tc>
          <w:tcPr>
            <w:tcW w:w="7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r>
      <w:tr>
        <w:trPr>
          <w:trHeight w:val="234"/>
        </w:trPr>
        <w:tc>
          <w:tcPr>
            <w:tcW w:w="870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consolidated balance sheets with the same as shown in the consolidated statement of cash flows</w:t>
            </w:r>
          </w:p>
        </w:tc>
        <w:tc>
          <w:tcPr>
            <w:tcW w:w="340" w:type="dxa"/>
            <w:vAlign w:val="bottom"/>
            <w:shd w:val="clear" w:color="auto" w:fill="B7DEE8"/>
          </w:tcPr>
          <w:p>
            <w:pPr>
              <w:spacing w:after="0"/>
              <w:rPr>
                <w:sz w:val="20"/>
                <w:szCs w:val="20"/>
                <w:color w:val="auto"/>
              </w:rPr>
            </w:pPr>
          </w:p>
        </w:tc>
        <w:tc>
          <w:tcPr>
            <w:tcW w:w="740" w:type="dxa"/>
            <w:vAlign w:val="bottom"/>
            <w:shd w:val="clear" w:color="auto" w:fill="B7DEE8"/>
          </w:tcPr>
          <w:p>
            <w:pPr>
              <w:spacing w:after="0"/>
              <w:rPr>
                <w:sz w:val="20"/>
                <w:szCs w:val="20"/>
                <w:color w:val="auto"/>
              </w:rPr>
            </w:pPr>
          </w:p>
        </w:tc>
        <w:tc>
          <w:tcPr>
            <w:tcW w:w="320" w:type="dxa"/>
            <w:vAlign w:val="bottom"/>
            <w:shd w:val="clear" w:color="auto" w:fill="B7DEE8"/>
          </w:tcPr>
          <w:p>
            <w:pPr>
              <w:spacing w:after="0"/>
              <w:rPr>
                <w:sz w:val="20"/>
                <w:szCs w:val="20"/>
                <w:color w:val="auto"/>
              </w:rPr>
            </w:pPr>
          </w:p>
        </w:tc>
        <w:tc>
          <w:tcPr>
            <w:tcW w:w="300" w:type="dxa"/>
            <w:vAlign w:val="bottom"/>
            <w:shd w:val="clear" w:color="auto" w:fill="B7DEE8"/>
          </w:tcPr>
          <w:p>
            <w:pPr>
              <w:spacing w:after="0"/>
              <w:rPr>
                <w:sz w:val="20"/>
                <w:szCs w:val="20"/>
                <w:color w:val="auto"/>
              </w:rPr>
            </w:pPr>
          </w:p>
        </w:tc>
        <w:tc>
          <w:tcPr>
            <w:tcW w:w="720" w:type="dxa"/>
            <w:vAlign w:val="bottom"/>
            <w:shd w:val="clear" w:color="auto" w:fill="B7DEE8"/>
          </w:tcPr>
          <w:p>
            <w:pPr>
              <w:spacing w:after="0"/>
              <w:rPr>
                <w:sz w:val="20"/>
                <w:szCs w:val="20"/>
                <w:color w:val="auto"/>
              </w:rPr>
            </w:pPr>
          </w:p>
        </w:tc>
        <w:tc>
          <w:tcPr>
            <w:tcW w:w="120" w:type="dxa"/>
            <w:vAlign w:val="bottom"/>
            <w:shd w:val="clear" w:color="auto" w:fill="B7DEE8"/>
          </w:tcPr>
          <w:p>
            <w:pPr>
              <w:spacing w:after="0"/>
              <w:rPr>
                <w:sz w:val="20"/>
                <w:szCs w:val="20"/>
                <w:color w:val="auto"/>
              </w:rPr>
            </w:pPr>
          </w:p>
        </w:tc>
      </w:tr>
      <w:tr>
        <w:trPr>
          <w:trHeight w:val="216"/>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41,759</w:t>
            </w:r>
          </w:p>
        </w:tc>
        <w:tc>
          <w:tcPr>
            <w:tcW w:w="120" w:type="dxa"/>
            <w:vAlign w:val="bottom"/>
          </w:tcPr>
          <w:p>
            <w:pPr>
              <w:spacing w:after="0"/>
              <w:rPr>
                <w:sz w:val="18"/>
                <w:szCs w:val="18"/>
                <w:color w:val="auto"/>
              </w:rPr>
            </w:pPr>
          </w:p>
        </w:tc>
      </w:tr>
      <w:tr>
        <w:trPr>
          <w:trHeight w:val="216"/>
        </w:trPr>
        <w:tc>
          <w:tcPr>
            <w:tcW w:w="870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shd w:val="clear" w:color="auto" w:fill="B7DEE8"/>
          </w:tcPr>
          <w:p>
            <w:pPr>
              <w:spacing w:after="0"/>
              <w:rPr>
                <w:sz w:val="18"/>
                <w:szCs w:val="18"/>
                <w:color w:val="auto"/>
              </w:rPr>
            </w:pPr>
          </w:p>
        </w:tc>
        <w:tc>
          <w:tcPr>
            <w:tcW w:w="7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20" w:type="dxa"/>
            <w:vAlign w:val="bottom"/>
            <w:tcBorders>
              <w:bottom w:val="single" w:sz="8" w:color="B7DEE8"/>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7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bottom w:val="single" w:sz="8" w:color="B7DEE8"/>
            </w:tcBorders>
            <w:shd w:val="clear" w:color="auto" w:fill="B7DEE8"/>
          </w:tcPr>
          <w:p>
            <w:pPr>
              <w:spacing w:after="0"/>
              <w:rPr>
                <w:sz w:val="18"/>
                <w:szCs w:val="18"/>
                <w:color w:val="auto"/>
              </w:rPr>
            </w:pPr>
          </w:p>
        </w:tc>
      </w:tr>
      <w:tr>
        <w:trPr>
          <w:trHeight w:val="20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end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51,377</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43,078</w:t>
            </w:r>
          </w:p>
        </w:tc>
        <w:tc>
          <w:tcPr>
            <w:tcW w:w="12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6414770</wp:posOffset>
            </wp:positionH>
            <wp:positionV relativeFrom="page">
              <wp:posOffset>911860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7263130</wp:posOffset>
            </wp:positionH>
            <wp:positionV relativeFrom="page">
              <wp:posOffset>911860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-2099945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-2099945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1" w:name="page82"/>
    <w:bookmarkEnd w:id="8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Dave ("the Company") was launched in 2017 to provide a faster, more transparent, and lower-cost alternative to traditional financial institutions, particularly for those living paycheck to paycheck. Inspired by the story of David vs. Goliath, the Company set out to challenge legacy banking by leveraging technology to expand financial access and improve consumer financial health. Through its fully integrated, mobile-first platform, the Company delivers innovative financial products designed to help underserved consumers manage their money more effectively. The Company's mission is to level the financial playing field by providing intuitive, transparent, and accessible solutions that empower its Members to navigate life’s financial challenges with confidence.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and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ExtraCash</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ExtraCash is a 0% interest overdraft product offered through the Company's bank partner that provides Members with up to $500 of credit to bridge liquidity gaps between paychecks. Using its proprietary AI-powered underwriting system, CashAI, the Company analyzes a Member’s checking account transaction data to determine eligibility and set the credit amount. This fully automated process requires no credit check and does not rely on FICO or credit bureau data. Once an ExtraCash transaction is initiated, repayment is scheduled based on the Member’s forecasted next paycheck or deposit date.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designs and manages the complete risk management value chain—including underwriting, fraud and risk mitigation, payment processing, servicing, and collections. Each ExtraCash transaction is underwritten by CashAI when a Member accesses the Dave App, enabling near real-time evaluation of transaction data. This approach determines the optimal amount a Member can responsibly repay, delivering benefits for both the Member and the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Dave Checking:</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Dave Checking is a digital demand deposit account offered through its bank partner with premium features, no account minimums or corresponding fees, and FDIC pass-through insurance. Members can open a Dave Checking account in minutes through the Dave mobile application, add funds to their account, and begin spending using a Dave Checking virtual debit card. Dave Checking accounts also include a physical Dave branded debit Mastercard (“Dave Card”) that can be used for everyday purchases and spending transactions as well as at any of the approximately 40,000 MoneyPass ATM network locations to make no-fee withdrawals at these in-network ATMs.</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Dave Checking revenues are primarily driven by merchant interchange, incentives from Mastercard, interest on deposits paid by our partner banks, and other ancillary fees paid by customers (e.g. out of network ATM fees, instant withdrawal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Financial Management</w:t>
      </w:r>
    </w:p>
    <w:p>
      <w:pPr>
        <w:spacing w:after="0" w:line="22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Budget: The Budget tool utilizes historical bank account data to identify recurring and common charges, enabling Members to anticipate upcoming transactions that may affect their account balances. It also provides timely notifications when there is a risk of an overdraft.</w:t>
      </w:r>
    </w:p>
    <w:p>
      <w:pPr>
        <w:spacing w:after="0" w:line="162"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Side Hustle: Side Hustle is a streamlined job application portal for Dave Members to find supplemental or temporary work. The portal focuses on “gig economy,” part-time, seasonal, remote and other flexible types of employment opportunities. Members can apply to dozens of jobs in-app using saved information and credentials. A side hustle can be an important part of a Member’s long-term financial health, as it allows Members to quickly address unexpected expenses or cash needs with incremental income.</w:t>
      </w:r>
    </w:p>
    <w:p>
      <w:pPr>
        <w:spacing w:after="0" w:line="180"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Surveys: The Company's Surveys product allows for additional earning opportunities, allowing Members to take paid surveys anytime within the Dave mobile application. This functionality drives engagement within the Dave ecosystem and deepens its relationship to its Members’ financial wellbeing.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monthly subscription revenue from Members enrolled in the Company's Personal Financial Management service.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of America (“U.S. GAAP”).</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4, 2023, the Board approved an amendment to the Company’s certificate of incorporation to complete a 1-for-32 reverse stock split effective January 5, 2023. At a special meeting held on December 13, 2022, stockholders approved the reverse stock split. The primary goal of the reverse stock split was to bring the Company’s stock price above the share bid price requirement for continued listing on Nasdaq. The effects of the reverse stock split have been reflected in the consolidated financial statements and the footnotes.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 variable interest entity (“VIE”). All intercompany transactions and balances have been eliminated upon consolidation.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help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consolidated balance sheets. The assets of Dave OD are restricted and may only be used to settle obligations of Dave 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the Company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spacing w:after="0" w:line="79" w:lineRule="exact"/>
        <w:rPr>
          <w:sz w:val="20"/>
          <w:szCs w:val="20"/>
          <w:color w:val="auto"/>
        </w:rPr>
      </w:pPr>
    </w:p>
    <w:p>
      <w:pPr>
        <w:ind w:left="740" w:hanging="223"/>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is detail of operating revenues (in thousands):</w:t>
            </w: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7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18"/>
                <w:szCs w:val="18"/>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1420" w:type="dxa"/>
            <w:vAlign w:val="bottom"/>
            <w:shd w:val="clear" w:color="auto" w:fill="B6DEE8"/>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218,802</w:t>
            </w:r>
          </w:p>
        </w:tc>
        <w:tc>
          <w:tcPr>
            <w:tcW w:w="1600" w:type="dxa"/>
            <w:vAlign w:val="bottom"/>
            <w:gridSpan w:val="2"/>
            <w:shd w:val="clear" w:color="auto" w:fill="B6DEE8"/>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152,490</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67,563</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420" w:type="dxa"/>
            <w:vAlign w:val="bottom"/>
            <w:shd w:val="clear" w:color="auto" w:fill="B6DEE8"/>
          </w:tcPr>
          <w:p>
            <w:pPr>
              <w:spacing w:after="0"/>
              <w:rPr>
                <w:sz w:val="18"/>
                <w:szCs w:val="18"/>
                <w:color w:val="auto"/>
              </w:rPr>
            </w:pPr>
          </w:p>
        </w:tc>
        <w:tc>
          <w:tcPr>
            <w:tcW w:w="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180" w:type="dxa"/>
            <w:vAlign w:val="bottom"/>
            <w:shd w:val="clear" w:color="auto" w:fill="B6DEE8"/>
          </w:tcPr>
          <w:p>
            <w:pPr>
              <w:spacing w:after="0"/>
              <w:rPr>
                <w:sz w:val="18"/>
                <w:szCs w:val="18"/>
                <w:color w:val="auto"/>
              </w:rPr>
            </w:pPr>
          </w:p>
        </w:tc>
        <w:tc>
          <w:tcPr>
            <w:tcW w:w="1420" w:type="dxa"/>
            <w:vAlign w:val="bottom"/>
            <w:shd w:val="clear" w:color="auto" w:fill="B6DEE8"/>
          </w:tcPr>
          <w:p>
            <w:pPr>
              <w:spacing w:after="0"/>
              <w:rPr>
                <w:sz w:val="18"/>
                <w:szCs w:val="18"/>
                <w:color w:val="auto"/>
              </w:rPr>
            </w:pPr>
          </w:p>
        </w:tc>
        <w:tc>
          <w:tcPr>
            <w:tcW w:w="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1420" w:type="dxa"/>
            <w:vAlign w:val="bottom"/>
            <w:shd w:val="clear" w:color="auto" w:fill="B6DEE8"/>
          </w:tcPr>
          <w:p>
            <w:pPr>
              <w:spacing w:after="0"/>
              <w:rPr>
                <w:sz w:val="18"/>
                <w:szCs w:val="18"/>
                <w:color w:val="auto"/>
              </w:rPr>
            </w:pPr>
          </w:p>
        </w:tc>
        <w:tc>
          <w:tcPr>
            <w:tcW w:w="76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420" w:type="dxa"/>
            <w:vAlign w:val="bottom"/>
            <w:shd w:val="clear" w:color="auto" w:fill="B6DEE8"/>
          </w:tcPr>
          <w:p>
            <w:pPr>
              <w:spacing w:after="0"/>
              <w:rPr>
                <w:sz w:val="18"/>
                <w:szCs w:val="18"/>
                <w:color w:val="auto"/>
              </w:rPr>
            </w:pPr>
          </w:p>
        </w:tc>
        <w:tc>
          <w:tcPr>
            <w:tcW w:w="76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Interchange revenue, net</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ATM revenue, net</w:t>
            </w:r>
          </w:p>
        </w:tc>
        <w:tc>
          <w:tcPr>
            <w:tcW w:w="1420" w:type="dxa"/>
            <w:vAlign w:val="bottom"/>
            <w:shd w:val="clear" w:color="auto" w:fill="B6DEE8"/>
          </w:tcPr>
          <w:p>
            <w:pPr>
              <w:spacing w:after="0"/>
              <w:rPr>
                <w:sz w:val="18"/>
                <w:szCs w:val="18"/>
                <w:color w:val="auto"/>
              </w:rPr>
            </w:pPr>
          </w:p>
        </w:tc>
        <w:tc>
          <w:tcPr>
            <w:tcW w:w="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80" w:type="dxa"/>
            <w:vAlign w:val="bottom"/>
            <w:shd w:val="clear" w:color="auto" w:fill="B6DEE8"/>
          </w:tcPr>
          <w:p>
            <w:pPr>
              <w:spacing w:after="0"/>
              <w:rPr>
                <w:sz w:val="18"/>
                <w:szCs w:val="18"/>
                <w:color w:val="auto"/>
              </w:rPr>
            </w:pPr>
          </w:p>
        </w:tc>
        <w:tc>
          <w:tcPr>
            <w:tcW w:w="1420" w:type="dxa"/>
            <w:vAlign w:val="bottom"/>
            <w:shd w:val="clear" w:color="auto" w:fill="B6DEE8"/>
          </w:tcPr>
          <w:p>
            <w:pPr>
              <w:spacing w:after="0"/>
              <w:rPr>
                <w:sz w:val="18"/>
                <w:szCs w:val="18"/>
                <w:color w:val="auto"/>
              </w:rPr>
            </w:pPr>
          </w:p>
        </w:tc>
        <w:tc>
          <w:tcPr>
            <w:tcW w:w="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54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1420" w:type="dxa"/>
            <w:vAlign w:val="bottom"/>
            <w:tcBorders>
              <w:bottom w:val="single" w:sz="8" w:color="auto"/>
            </w:tcBorders>
            <w:shd w:val="clear" w:color="auto" w:fill="B6DEE8"/>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347,076</w:t>
            </w:r>
          </w:p>
        </w:tc>
        <w:tc>
          <w:tcPr>
            <w:tcW w:w="180" w:type="dxa"/>
            <w:vAlign w:val="bottom"/>
            <w:tcBorders>
              <w:bottom w:val="single" w:sz="8" w:color="B6DEE8"/>
            </w:tcBorders>
            <w:shd w:val="clear" w:color="auto" w:fill="B6DEE8"/>
          </w:tcPr>
          <w:p>
            <w:pPr>
              <w:spacing w:after="0"/>
              <w:rPr>
                <w:sz w:val="21"/>
                <w:szCs w:val="21"/>
                <w:color w:val="auto"/>
              </w:rPr>
            </w:pPr>
          </w:p>
        </w:tc>
        <w:tc>
          <w:tcPr>
            <w:tcW w:w="1420" w:type="dxa"/>
            <w:vAlign w:val="bottom"/>
            <w:tcBorders>
              <w:bottom w:val="single" w:sz="8" w:color="auto"/>
            </w:tcBorders>
            <w:shd w:val="clear" w:color="auto" w:fill="B6DEE8"/>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100" w:type="dxa"/>
            <w:vAlign w:val="bottom"/>
            <w:tcBorders>
              <w:bottom w:val="single" w:sz="8" w:color="B6DEE8"/>
            </w:tcBorders>
            <w:shd w:val="clear" w:color="auto" w:fill="B6DEE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-25400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Based Revenue, Net: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tips, optional processing fees, and subscriptions charged to Members, net of processor costs associated with ExtraCash originations. ExtraCash receivables are treated as financial receivables under ASC 310 Receivables (“ASC 310”) and processing fees, net and tips are also accounted for in accordance with ASC 310.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Net</w:t>
      </w:r>
    </w:p>
    <w:p>
      <w:pPr>
        <w:spacing w:after="0" w:line="11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Processing fees and overdraft service fees apply when a Member requests expedited ExtraCash. At the Member’s election, the Company expedites the funding of ExtraCash funds within hours of the ExtraCash approval, as opposed to the customary two or three business days for ExtraCash that is transferring via the ACH network. Processing fees are accounted for as non-refundable loan origination fees and are recognized as revenues over the average expected contractual term of its ExtraCash transactions.</w:t>
      </w:r>
    </w:p>
    <w:p>
      <w:pPr>
        <w:spacing w:after="0" w:line="7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Costs incurred by the Company to originate ExtraCash are treated as direct loan origination costs. These direct loan origination costs are netted against ExtraCash-related income over the average expected contractual term of an ExtraCash. Direct origination costs recognized as a reduction of ExtraCash-related income during the years ended December 31, 2024 and 2023, were $3.5 million and $3.3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Tips</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encourages, but does not contractually require its Members who receive ExtraCash to leave a discretionary tip. For accounting purposes, the Company treats tips as an adjustment of yield to ExtraCash and are recognized over the average expected contractual term of its ExtraCash receivables.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w:t>
      </w:r>
    </w:p>
    <w:p>
      <w:pPr>
        <w:spacing w:after="0" w:line="1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subscriptions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w:t>
      </w:r>
    </w:p>
    <w:p>
      <w:pPr>
        <w:spacing w:after="0" w:line="18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Subscription fees are received on a monthly basis from Members who subscribe to the Company’s application. The Company continually fulfills its obligation to each Member over the subscription term. The series of distinct services represents a single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ind w:right="440"/>
        <w:spacing w:after="0" w:line="282" w:lineRule="auto"/>
        <w:rPr>
          <w:sz w:val="20"/>
          <w:szCs w:val="20"/>
          <w:color w:val="auto"/>
        </w:rPr>
      </w:pPr>
      <w:r>
        <w:rPr>
          <w:rFonts w:ascii="Times New Roman" w:cs="Times New Roman" w:eastAsia="Times New Roman" w:hAnsi="Times New Roman"/>
          <w:sz w:val="18"/>
          <w:szCs w:val="18"/>
          <w:color w:val="auto"/>
        </w:rPr>
        <w:t>performance obligation that is satisfied over time. The Company recognizes revenue ratably as the Member receives and consumes the benefits of the platform throughout the monthly contract period.</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service based revenue consists of lead generation fees from the Company’s Side Hustle advertising partners and revenue share from the Company's Surveys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Based Revenue, Net: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the Member’s usage of out-of-network reduced by related ATM transaction costs during the years ended December 31, 2024 and 2023, were $3.1 million and $2.6 million, respectively. ATM-related fees recognized as a reduction of transaction based revenue during the years ended December 31, 2024 and 2023, were $2.1 million and $1.8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and Servicing Costs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Processing costs consist of amounts paid to third party processors for the recovery of ExtraCash, tips, processing fees and subscriptions. These expenses also include fees paid for services to connect Member’s bank accounts to the Company’s application. Except for processing and service fees associated with ExtraCash originations, which are recorded net against revenue, all other processing and service fees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all highly liquid instruments with an original maturity of three months or less as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represents cash held at financial institutions that is pledged as collateral for specific accounts that may become overdrawn.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Marketable securities consist of a publicly traded money market mutual fund. The underlying money market instruments are primarily comprised of certificates of deposit and financial company asset backed commercial paper.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(other than credit related impairment) reported as a separate component of other comprehensive income (loss).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consolidated statements of comprehensive income (loss). Any related amounts recorded in accumulated other comprehensive income (loss) are reclassified to earnings (on a pretax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ExtraCash Receivables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ExtraCash Receivables include ExtraCash, fees, and tips, net of certain direct origination costs and allowance for credit losses. Management’s intent is to hold ExtraCash Receivables until the earlier of repayment or payoff date. Members’ ExtraCash Receivables are treated as financial receivables under ASC 310 .</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ExtraCash Receivables to Members are not interest-bearing. The Company recognizes these ExtraCash Receivables at the origination amount and does not use discounting techniques to determine present value of originations due to their short-term nature.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modifications to ExtraCash and does not charge late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origination amounts, inclusive of outstanding processing fees and tips, and reduced by an allowance for expected credit losses. The Company pools its ExtraCash receivables,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expected credit losses at the time of the ExtraCash origination. Adjustments to the allowance each period for changes in the estimate of lifetime expected credit losses are recognized in operating expenses—provision for credit losses in the consolidated statements of operations.</w:t>
      </w:r>
    </w:p>
    <w:p>
      <w:pPr>
        <w:spacing w:after="0" w:line="190"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When the Company determines that an ExtraCash receivable is not collectible, or after 120 days from origination has passed, the uncollectible amount is written-off as a reduction to both the allowance and the gross asset balance. Based on the average ExtraCash outstanding term of approximately 11 days, ExtraCash receivables outstanding 12 or more days from origination may be considered past due. Subsequent recoveries are recorded when received and are recorded as a recovery of the allowance for expected credit losses. Any change in circumstances related to a specific Member ExtraCash receivables may result in an additional allowance for expected credit losses being recognized in the period in which the change occurs.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consolidated balance sheets as intangible assets, net. Other costs are expensed as incurred and included within other operating expenses in the consolidated statements of operations. Capitalized costs for the years ended December 31, 2024 and 2023, were $7.3 million and $7.6 million, respectively. Additionally, $7.7 million related to the Company's legacy advance application software asset has been fully amortized and written off as of June 2023 and $1.4 million related to internally developed software no longer in service was fully amortized and written off as of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internally developed software commences when the software is ready for its intended use (i.e., after all substantial testing is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developed software is amortized over its estimated useful life of 3 years.</w:t>
      </w:r>
    </w:p>
    <w:p>
      <w:pPr>
        <w:spacing w:after="0" w:line="20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6" w:name="page87"/>
    <w:bookmarkEnd w:id="86"/>
    <w:p>
      <w:pPr>
        <w:spacing w:after="0" w:line="1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ASC 820, Fair Value Measurement (“ASC 820”), provides a single definition of fair value and a common framework for measuring fair value as well as disclosure requirements for fair value measurements used in the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jc w:val="both"/>
        <w:ind w:left="580" w:right="48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3—Valuations are based on inputs that are unobservable and significant to the overall fair value measurement of the assets or liabilities.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 date.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principally consist of cash and cash equivalents, restricted cash, ExtraCash receivables, and accounts receivable. The Company’s cash and cash equivalents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restricted cash in excess of the Federal Deposit Insurance Corporation insured limits were approximately $61.1 million and $40.9 million at December 31, 2024 and 2023,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relies on agreements with Evolve, currently its only active bank partner, to provide ExtraCash and other deposit accounts, debit card services and other transaction services to them and their Members. Given the size and consistent growth of the Company's Member base as well as how its product capabilities have been expanding, the Company recently announced an additional financial institution with which it will partner. Refer to Note 21, Subsequent Events for further details regarding the Program Agreement entered into with Coastal Community Bank to become a sponsor for the Company's banking and ExtraCash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Member individually exceeded 10% or more of the Company’s ExtraCash receivables balance as of December 31,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ASC 842, Leases (“ASC 842”) requires lessees to recognize most leases on the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Awards: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13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Restricted stock units (“RSUs”) are valued on the grant date. The fair value of the RSUs that vest based solely on a service condition is equal to the estimated fair value of the Company’s Class A common stock on the grant date. This compensation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ind w:right="20"/>
        <w:spacing w:after="0" w:line="258" w:lineRule="auto"/>
        <w:rPr>
          <w:sz w:val="20"/>
          <w:szCs w:val="20"/>
          <w:color w:val="auto"/>
        </w:rPr>
      </w:pPr>
      <w:r>
        <w:rPr>
          <w:rFonts w:ascii="Times New Roman" w:cs="Times New Roman" w:eastAsia="Times New Roman" w:hAnsi="Times New Roman"/>
          <w:sz w:val="18"/>
          <w:szCs w:val="18"/>
          <w:color w:val="auto"/>
        </w:rPr>
        <w:t>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consolidated statements of operations. The Company recognizes forfeitures as they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 Awards: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Performance-based RSUs are valued on the grant date and the compensation cost is recognized over the requisite service period if and when the Company concludes it is probable that the performance metrics will be satisfied. The grant-date fair value of the awards are not subsequently remeasured; however, the Company reassesses the probability of vesting at each reporting period and records a cumulative adjustment to compensation expense based on the likelihood the performance metric will be achieved. These costs are a component of stock-based compensation expense, presented within compensation and benefits in the consolidated statements of operations. The Company recognizes forfeitures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for the years ended December 31, 2024 and 2023, were $44.9 million and $48.4 million, respectively, and is presented within advertising and marketing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follows ASC 740, Income Taxes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$2.0 million and $1.3 million of uncertain tax positions as of December 31, 2024 and 2023, respectively, related to state income taxes. and federal and state research and development tax credits.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accrued on any unrecognized tax benefits as a component of income tax expense within the statement of operations. The Company recognized $0.036 million and $0.005 million of interest expense and penalties as a component of income tax expense during the year ended December 31, 2024 and 2023, respectively. There were $0.052 million and $0.016 million of accrued interest expense and penalties as of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determines its operating segment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operations of the Company constitutes a single operating segment and reportable segment. Refer to Note 20 Segment Information in the accompanying notes to the consolidated financial statements for further details.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Stockholders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two classes of participating securities (Class A common stock, par value $0.0001 per share, and Class V common stock, par value $0.0001 per share) issued and outstanding as of December 31, 2024 and December 31, 2023 (the Class V common stock and together with the Class A common stock, the “Common Stock”). The rights, including the liquidation and dividend rights, of the holders of the Class A common stock and Class V common stock are identical, except with respect to voting.</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Basic net income (loss) attributable to holders of Common Stock per share is calculated by dividing net income (loss) attributable to holders of Common Stock by the weighted-average number of shares outstanding.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(loss) per share attributable to holders of common stock is computed by dividing net income (loss) per share attributable to stockholders and the weighted-average number of shares outstanding and the effect of potentially dilutive stock options, warrants, and restricted stock using the treasury stock method.</w:t>
      </w:r>
    </w:p>
    <w:p>
      <w:pPr>
        <w:spacing w:after="0" w:line="17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attributable to holders of common stock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share data</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6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 attributed to common stockholders—basic and diluted</w:t>
            </w:r>
          </w:p>
        </w:tc>
        <w:tc>
          <w:tcPr>
            <w:tcW w:w="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42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(48,517 )</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80" w:type="dxa"/>
            <w:vAlign w:val="bottom"/>
            <w:gridSpan w:val="4"/>
            <w:shd w:val="clear" w:color="auto" w:fill="B6DEE8"/>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B6DEE8"/>
          </w:tcPr>
          <w:p>
            <w:pPr>
              <w:spacing w:after="0"/>
              <w:rPr>
                <w:sz w:val="15"/>
                <w:szCs w:val="15"/>
                <w:color w:val="auto"/>
              </w:rPr>
            </w:pPr>
          </w:p>
        </w:tc>
        <w:tc>
          <w:tcPr>
            <w:tcW w:w="1420" w:type="dxa"/>
            <w:vAlign w:val="bottom"/>
            <w:shd w:val="clear" w:color="auto" w:fill="B6DEE8"/>
          </w:tcPr>
          <w:p>
            <w:pPr>
              <w:spacing w:after="0"/>
              <w:rPr>
                <w:sz w:val="15"/>
                <w:szCs w:val="15"/>
                <w:color w:val="auto"/>
              </w:rPr>
            </w:pPr>
          </w:p>
        </w:tc>
        <w:tc>
          <w:tcPr>
            <w:tcW w:w="100" w:type="dxa"/>
            <w:vAlign w:val="bottom"/>
            <w:shd w:val="clear" w:color="auto" w:fill="B6DEE8"/>
          </w:tcPr>
          <w:p>
            <w:pPr>
              <w:spacing w:after="0"/>
              <w:rPr>
                <w:sz w:val="15"/>
                <w:szCs w:val="15"/>
                <w:color w:val="auto"/>
              </w:rPr>
            </w:pPr>
          </w:p>
        </w:tc>
        <w:tc>
          <w:tcPr>
            <w:tcW w:w="320" w:type="dxa"/>
            <w:vAlign w:val="bottom"/>
            <w:shd w:val="clear" w:color="auto" w:fill="B6DEE8"/>
          </w:tcPr>
          <w:p>
            <w:pPr>
              <w:spacing w:after="0"/>
              <w:rPr>
                <w:sz w:val="15"/>
                <w:szCs w:val="15"/>
                <w:color w:val="auto"/>
              </w:rPr>
            </w:pPr>
          </w:p>
        </w:tc>
        <w:tc>
          <w:tcPr>
            <w:tcW w:w="1020" w:type="dxa"/>
            <w:vAlign w:val="bottom"/>
            <w:shd w:val="clear" w:color="auto" w:fill="B6DEE8"/>
          </w:tcPr>
          <w:p>
            <w:pPr>
              <w:spacing w:after="0"/>
              <w:rPr>
                <w:sz w:val="15"/>
                <w:szCs w:val="15"/>
                <w:color w:val="auto"/>
              </w:rPr>
            </w:pPr>
          </w:p>
        </w:tc>
        <w:tc>
          <w:tcPr>
            <w:tcW w:w="100" w:type="dxa"/>
            <w:vAlign w:val="bottom"/>
            <w:shd w:val="clear" w:color="auto" w:fill="B6DEE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B6DEE8"/>
          </w:tcPr>
          <w:p>
            <w:pPr>
              <w:spacing w:after="0" w:line="20" w:lineRule="exact"/>
              <w:rPr>
                <w:sz w:val="1"/>
                <w:szCs w:val="1"/>
                <w:color w:val="auto"/>
              </w:rPr>
            </w:pPr>
          </w:p>
        </w:tc>
        <w:tc>
          <w:tcPr>
            <w:tcW w:w="160" w:type="dxa"/>
            <w:vAlign w:val="bottom"/>
            <w:tcBorders>
              <w:top w:val="single" w:sz="8" w:color="auto"/>
            </w:tcBorders>
            <w:shd w:val="clear" w:color="auto" w:fill="B6DEE8"/>
          </w:tcPr>
          <w:p>
            <w:pPr>
              <w:spacing w:after="0" w:line="20" w:lineRule="exact"/>
              <w:rPr>
                <w:sz w:val="1"/>
                <w:szCs w:val="1"/>
                <w:color w:val="auto"/>
              </w:rPr>
            </w:pPr>
          </w:p>
        </w:tc>
        <w:tc>
          <w:tcPr>
            <w:tcW w:w="1060" w:type="dxa"/>
            <w:vAlign w:val="bottom"/>
            <w:tcBorders>
              <w:top w:val="single" w:sz="8" w:color="B6DEE8"/>
            </w:tcBorders>
            <w:shd w:val="clear" w:color="auto" w:fill="B6DEE8"/>
          </w:tcPr>
          <w:p>
            <w:pPr>
              <w:spacing w:after="0" w:line="20" w:lineRule="exact"/>
              <w:rPr>
                <w:sz w:val="1"/>
                <w:szCs w:val="1"/>
                <w:color w:val="auto"/>
              </w:rPr>
            </w:pPr>
          </w:p>
        </w:tc>
        <w:tc>
          <w:tcPr>
            <w:tcW w:w="4900" w:type="dxa"/>
            <w:vAlign w:val="bottom"/>
            <w:tcBorders>
              <w:top w:val="single" w:sz="8" w:color="B6DEE8"/>
            </w:tcBorders>
            <w:shd w:val="clear" w:color="auto" w:fill="B6DEE8"/>
          </w:tcPr>
          <w:p>
            <w:pPr>
              <w:spacing w:after="0" w:line="20" w:lineRule="exact"/>
              <w:rPr>
                <w:sz w:val="1"/>
                <w:szCs w:val="1"/>
                <w:color w:val="auto"/>
              </w:rPr>
            </w:pPr>
          </w:p>
        </w:tc>
        <w:tc>
          <w:tcPr>
            <w:tcW w:w="160" w:type="dxa"/>
            <w:vAlign w:val="bottom"/>
            <w:tcBorders>
              <w:top w:val="single" w:sz="8" w:color="B6DEE8"/>
            </w:tcBorders>
            <w:shd w:val="clear" w:color="auto" w:fill="B6DEE8"/>
          </w:tcPr>
          <w:p>
            <w:pPr>
              <w:spacing w:after="0" w:line="20" w:lineRule="exact"/>
              <w:rPr>
                <w:sz w:val="1"/>
                <w:szCs w:val="1"/>
                <w:color w:val="auto"/>
              </w:rPr>
            </w:pPr>
          </w:p>
        </w:tc>
        <w:tc>
          <w:tcPr>
            <w:tcW w:w="142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320" w:type="dxa"/>
            <w:vAlign w:val="bottom"/>
            <w:tcBorders>
              <w:top w:val="single" w:sz="8" w:color="B6DEE8"/>
            </w:tcBorders>
            <w:shd w:val="clear" w:color="auto" w:fill="B6DEE8"/>
          </w:tcPr>
          <w:p>
            <w:pPr>
              <w:spacing w:after="0" w:line="20" w:lineRule="exact"/>
              <w:rPr>
                <w:sz w:val="1"/>
                <w:szCs w:val="1"/>
                <w:color w:val="auto"/>
              </w:rPr>
            </w:pPr>
          </w:p>
        </w:tc>
        <w:tc>
          <w:tcPr>
            <w:tcW w:w="102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60" w:type="dxa"/>
            <w:vAlign w:val="bottom"/>
            <w:shd w:val="clear" w:color="auto" w:fill="B6DEE8"/>
          </w:tcPr>
          <w:p>
            <w:pPr>
              <w:spacing w:after="0"/>
              <w:rPr>
                <w:sz w:val="18"/>
                <w:szCs w:val="18"/>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298,088</w:t>
            </w:r>
          </w:p>
        </w:tc>
        <w:tc>
          <w:tcPr>
            <w:tcW w:w="10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Dilutive effect of RSU</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160" w:type="dxa"/>
            <w:vAlign w:val="bottom"/>
            <w:shd w:val="clear" w:color="auto" w:fill="B6DEE8"/>
          </w:tcPr>
          <w:p>
            <w:pPr>
              <w:spacing w:after="0"/>
              <w:rPr>
                <w:sz w:val="18"/>
                <w:szCs w:val="18"/>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13,822,582</w:t>
            </w:r>
          </w:p>
        </w:tc>
        <w:tc>
          <w:tcPr>
            <w:tcW w:w="10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11,934,699</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80" w:type="dxa"/>
            <w:vAlign w:val="bottom"/>
            <w:gridSpan w:val="4"/>
            <w:shd w:val="clear" w:color="auto" w:fill="B6DEE8"/>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60" w:type="dxa"/>
            <w:vAlign w:val="bottom"/>
            <w:shd w:val="clear" w:color="auto" w:fill="B6DEE8"/>
          </w:tcPr>
          <w:p>
            <w:pPr>
              <w:spacing w:after="0"/>
              <w:rPr>
                <w:sz w:val="17"/>
                <w:szCs w:val="17"/>
                <w:color w:val="auto"/>
              </w:rPr>
            </w:pPr>
          </w:p>
        </w:tc>
        <w:tc>
          <w:tcPr>
            <w:tcW w:w="14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320" w:type="dxa"/>
            <w:vAlign w:val="bottom"/>
            <w:shd w:val="clear" w:color="auto" w:fill="B6DEE8"/>
          </w:tcPr>
          <w:p>
            <w:pPr>
              <w:spacing w:after="0"/>
              <w:rPr>
                <w:sz w:val="17"/>
                <w:szCs w:val="17"/>
                <w:color w:val="auto"/>
              </w:rPr>
            </w:pPr>
          </w:p>
        </w:tc>
        <w:tc>
          <w:tcPr>
            <w:tcW w:w="10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900" w:type="dxa"/>
            <w:vAlign w:val="bottom"/>
            <w:tcBorders>
              <w:top w:val="single" w:sz="8" w:color="B6DEE8"/>
            </w:tcBorders>
          </w:tcPr>
          <w:p>
            <w:pPr>
              <w:spacing w:after="0"/>
              <w:rPr>
                <w:sz w:val="18"/>
                <w:szCs w:val="18"/>
                <w:color w:val="auto"/>
              </w:rPr>
            </w:pPr>
          </w:p>
        </w:tc>
        <w:tc>
          <w:tcPr>
            <w:tcW w:w="16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20" w:type="dxa"/>
            <w:vAlign w:val="bottom"/>
            <w:tcBorders>
              <w:top w:val="single" w:sz="8" w:color="B6DEE8"/>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B6DEE8"/>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16"/>
        </w:trPr>
        <w:tc>
          <w:tcPr>
            <w:tcW w:w="6980" w:type="dxa"/>
            <w:vAlign w:val="bottom"/>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2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for the periods presented because including them would have been antidilutive:</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31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10"/>
        </w:trPr>
        <w:tc>
          <w:tcPr>
            <w:tcW w:w="696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9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Equity incentive awards</w:t>
            </w:r>
          </w:p>
        </w:tc>
        <w:tc>
          <w:tcPr>
            <w:tcW w:w="15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475,520</w:t>
            </w:r>
          </w:p>
        </w:tc>
        <w:tc>
          <w:tcPr>
            <w:tcW w:w="14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2,493,468</w:t>
            </w:r>
          </w:p>
        </w:tc>
        <w:tc>
          <w:tcPr>
            <w:tcW w:w="100" w:type="dxa"/>
            <w:vAlign w:val="bottom"/>
            <w:shd w:val="clear" w:color="auto" w:fill="B6DEE8"/>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tcPr>
          <w:p>
            <w:pPr>
              <w:spacing w:after="0"/>
              <w:rPr>
                <w:sz w:val="18"/>
                <w:szCs w:val="18"/>
                <w:color w:val="auto"/>
              </w:rPr>
            </w:pPr>
          </w:p>
        </w:tc>
      </w:tr>
      <w:tr>
        <w:trPr>
          <w:trHeight w:val="249"/>
        </w:trPr>
        <w:tc>
          <w:tcPr>
            <w:tcW w:w="69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475,520</w:t>
            </w:r>
          </w:p>
        </w:tc>
        <w:tc>
          <w:tcPr>
            <w:tcW w:w="100" w:type="dxa"/>
            <w:vAlign w:val="bottom"/>
            <w:tcBorders>
              <w:bottom w:val="single" w:sz="8" w:color="B6DEE8"/>
            </w:tcBorders>
            <w:shd w:val="clear" w:color="auto" w:fill="B6DEE8"/>
          </w:tcPr>
          <w:p>
            <w:pPr>
              <w:spacing w:after="0"/>
              <w:rPr>
                <w:sz w:val="21"/>
                <w:szCs w:val="21"/>
                <w:color w:val="auto"/>
              </w:rPr>
            </w:pPr>
          </w:p>
        </w:tc>
        <w:tc>
          <w:tcPr>
            <w:tcW w:w="13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2,805,968</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also excluded 11,444,235 public and private warrants and 49,563 earnout shares that were potentially dilutive from the computation of diluted net income (loss) for the years ended December 31, 2024 and 2023, respectively, as including them would have been antidilutive. Refer to Note 10 Warrant Liabilities and Note 14 Fair Value of Financial Instruments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Not Yet Adopted:</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Income Taxes - Improvements to Income Tax Disclosures. The amendments require enhanced disclosures in connection with an entity's effective tax rate reconciliation, income taxes paid disaggregated by jurisdiction, and clarification on uncertain tax positions and related financial statement impacts. The amendments are effective for annual periods beginning after December 15, 2024. The Company is currently evaluating the impact of this amendment on its financial statement disclosures.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Statement-Reporting Comprehensive Income - Expense Disaggregation Disclosures (Subtopic 220-40): Disaggregation of Income Statement Expenses and in January 2025, the FASB issued ASU No. 2025-01, Clarifying the Effective Date. The amendments requires </w:t>
      </w:r>
      <w:r>
        <w:rPr>
          <w:rFonts w:ascii="Times New Roman" w:cs="Times New Roman" w:eastAsia="Times New Roman" w:hAnsi="Times New Roman"/>
          <w:sz w:val="18"/>
          <w:szCs w:val="18"/>
          <w:color w:val="00172E"/>
        </w:rPr>
        <w:t>entities to disclose the following amounts in each relevant income statement expense captions: purchases of inventory,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172E"/>
        </w:rPr>
        <w:t>compensation, depreciation and intangible asset amortization. Entities are also required to disclose the total amount of selling expense and the entities definition of selling expenses</w:t>
      </w:r>
      <w:r>
        <w:rPr>
          <w:rFonts w:ascii="Times New Roman" w:cs="Times New Roman" w:eastAsia="Times New Roman" w:hAnsi="Times New Roman"/>
          <w:sz w:val="18"/>
          <w:szCs w:val="18"/>
          <w:color w:val="000000"/>
        </w:rPr>
        <w:t>. The amendments, as clarified by ASU No. 2025-01, are effective for fiscal years beginning after December 15, 2026, with</w:t>
      </w:r>
      <w:r>
        <w:rPr>
          <w:rFonts w:ascii="Times New Roman" w:cs="Times New Roman" w:eastAsia="Times New Roman" w:hAnsi="Times New Roman"/>
          <w:sz w:val="18"/>
          <w:szCs w:val="18"/>
          <w:color w:val="00172E"/>
        </w:rPr>
        <w:t xml:space="preserve"> </w:t>
      </w:r>
      <w:r>
        <w:rPr>
          <w:rFonts w:ascii="Times New Roman" w:cs="Times New Roman" w:eastAsia="Times New Roman" w:hAnsi="Times New Roman"/>
          <w:sz w:val="18"/>
          <w:szCs w:val="18"/>
          <w:color w:val="000000"/>
        </w:rPr>
        <w:t>early adoption permitted, and may be applied retrospectively or prospectively. The Company is currently evaluating the impact of this standard on its financial statement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 Improvements to Reportable Segment Disclosures. The amendments require disclosure of incremental segment information on an annual and interim basis. The amendments also require companies with a single reportable segment to provide all disclosures required by this amendment and all existing segment disclosures in Accounting Standards Codification 280, Segment Reporting. The amendments are effective for fiscal years beginning after December 15, 2023, and interim periods beginning after December 15, 2024. While the adoption has no impact on the Company's financial statements, it has resulted in incremental disclosures within the footnotes to its consolidated financial statements. Refer to Note 20 Segment Information in the accompanying notes to the consolidated financial statements for further details.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Measurement of Credit Losses on Financial Instruments (“ASU 2016-13”)</w:t>
      </w:r>
      <w:r>
        <w:rPr>
          <w:rFonts w:ascii="Times New Roman" w:cs="Times New Roman" w:eastAsia="Times New Roman" w:hAnsi="Times New Roman"/>
          <w:sz w:val="18"/>
          <w:szCs w:val="18"/>
          <w:color w:val="auto"/>
        </w:rPr>
        <w:t>. ASU 2016-13 introduced a new credit loss methodology,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The Company adopted this ASU on January 1, 2023 and determined that ASU 2016-13 had no material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marketable securities (in thousands):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36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2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940" w:type="dxa"/>
            <w:vAlign w:val="bottom"/>
            <w:tcBorders>
              <w:bottom w:val="single" w:sz="8" w:color="auto"/>
            </w:tcBorders>
            <w:shd w:val="clear" w:color="auto" w:fill="B6DEE8"/>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B6DEE8"/>
          </w:tcPr>
          <w:p>
            <w:pPr>
              <w:spacing w:after="0"/>
              <w:rPr>
                <w:sz w:val="18"/>
                <w:szCs w:val="18"/>
                <w:color w:val="auto"/>
              </w:rPr>
            </w:pPr>
          </w:p>
        </w:tc>
        <w:tc>
          <w:tcPr>
            <w:tcW w:w="240" w:type="dxa"/>
            <w:vAlign w:val="bottom"/>
            <w:tcBorders>
              <w:bottom w:val="single" w:sz="8" w:color="auto"/>
            </w:tcBorders>
            <w:shd w:val="clear" w:color="auto" w:fill="B6DEE8"/>
          </w:tcPr>
          <w:p>
            <w:pPr>
              <w:spacing w:after="0"/>
              <w:rPr>
                <w:sz w:val="18"/>
                <w:szCs w:val="18"/>
                <w:color w:val="auto"/>
              </w:rPr>
            </w:pPr>
          </w:p>
        </w:tc>
        <w:tc>
          <w:tcPr>
            <w:tcW w:w="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B6DEE8"/>
            </w:tcBorders>
            <w:shd w:val="clear" w:color="auto" w:fill="B6DEE8"/>
          </w:tcPr>
          <w:p>
            <w:pPr>
              <w:spacing w:after="0"/>
              <w:rPr>
                <w:sz w:val="18"/>
                <w:szCs w:val="18"/>
                <w:color w:val="auto"/>
              </w:rPr>
            </w:pPr>
          </w:p>
        </w:tc>
        <w:tc>
          <w:tcPr>
            <w:tcW w:w="600" w:type="dxa"/>
            <w:vAlign w:val="bottom"/>
            <w:tcBorders>
              <w:bottom w:val="single" w:sz="8" w:color="auto"/>
            </w:tcBorders>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tcBorders>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09"/>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952</w:t>
            </w:r>
          </w:p>
        </w:tc>
        <w:tc>
          <w:tcPr>
            <w:tcW w:w="100" w:type="dxa"/>
            <w:vAlign w:val="bottom"/>
          </w:tcPr>
          <w:p>
            <w:pPr>
              <w:spacing w:after="0"/>
              <w:rPr>
                <w:sz w:val="18"/>
                <w:szCs w:val="18"/>
                <w:color w:val="auto"/>
              </w:rPr>
            </w:pPr>
          </w:p>
        </w:tc>
      </w:tr>
      <w:tr>
        <w:trPr>
          <w:trHeight w:val="20"/>
        </w:trPr>
        <w:tc>
          <w:tcPr>
            <w:tcW w:w="28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-170815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At December 31, 2024 and 2023, the Company’s marketable securities consisted of investments in a publicly traded money market mutual fund. The underlying money market instruments were primarily comprised of certificates of deposit and financial company asset backed commercial paper. At December 31, 2024 and 2023, the investment portfolio had a weighted-average maturity of 18 days and 40 days, respectively. The gain recognized in connection with the investment in marketable securities for the year ended December 31, 2024, was approximately $0.08 million and recorded as a component of interest income in the consolidated statements of operations. The gain recognized in connection with the investment in marketable securities for the year ended December 31, 2023, was $0.4 million and was recorded as a component of interest income in the consolidated statements of operations.</w:t>
      </w: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2" w:name="page93"/>
    <w:bookmarkEnd w:id="9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2024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r>
      <w:tr>
        <w:trPr>
          <w:trHeight w:val="209"/>
        </w:trPr>
        <w:tc>
          <w:tcPr>
            <w:tcW w:w="31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980" w:type="dxa"/>
            <w:vAlign w:val="bottom"/>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560" w:type="dxa"/>
            <w:vAlign w:val="bottom"/>
            <w:gridSpan w:val="3"/>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3"/>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shd w:val="clear" w:color="auto" w:fill="B6DEE8"/>
          </w:tcPr>
          <w:p>
            <w:pPr>
              <w:spacing w:after="0"/>
              <w:rPr>
                <w:sz w:val="18"/>
                <w:szCs w:val="18"/>
                <w:color w:val="auto"/>
              </w:rPr>
            </w:pPr>
          </w:p>
        </w:tc>
        <w:tc>
          <w:tcPr>
            <w:tcW w:w="240" w:type="dxa"/>
            <w:vAlign w:val="bottom"/>
            <w:shd w:val="clear" w:color="auto" w:fill="B6DE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shd w:val="clear" w:color="auto" w:fill="B6DEE8"/>
          </w:tcPr>
          <w:p>
            <w:pPr>
              <w:spacing w:after="0"/>
              <w:rPr>
                <w:sz w:val="18"/>
                <w:szCs w:val="18"/>
                <w:color w:val="auto"/>
              </w:rPr>
            </w:pPr>
          </w:p>
        </w:tc>
      </w:tr>
      <w:tr>
        <w:trPr>
          <w:trHeight w:val="216"/>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20" w:type="dxa"/>
            <w:vAlign w:val="bottom"/>
          </w:tcPr>
          <w:p>
            <w:pPr>
              <w:spacing w:after="0"/>
              <w:rPr>
                <w:sz w:val="18"/>
                <w:szCs w:val="18"/>
                <w:color w:val="auto"/>
              </w:rPr>
            </w:pPr>
          </w:p>
        </w:tc>
      </w:tr>
      <w:tr>
        <w:trPr>
          <w:trHeight w:val="230"/>
        </w:trPr>
        <w:tc>
          <w:tcPr>
            <w:tcW w:w="31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40,252</w:t>
            </w:r>
          </w:p>
        </w:tc>
        <w:tc>
          <w:tcPr>
            <w:tcW w:w="100" w:type="dxa"/>
            <w:vAlign w:val="bottom"/>
            <w:shd w:val="clear" w:color="auto" w:fill="B6DEE8"/>
          </w:tcPr>
          <w:p>
            <w:pPr>
              <w:spacing w:after="0"/>
              <w:rPr>
                <w:sz w:val="19"/>
                <w:szCs w:val="19"/>
                <w:color w:val="auto"/>
              </w:rPr>
            </w:pPr>
          </w:p>
        </w:tc>
        <w:tc>
          <w:tcPr>
            <w:tcW w:w="46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00" w:type="dxa"/>
            <w:vAlign w:val="bottom"/>
            <w:shd w:val="clear" w:color="auto" w:fill="B6DEE8"/>
          </w:tcPr>
          <w:p>
            <w:pPr>
              <w:spacing w:after="0"/>
              <w:rPr>
                <w:sz w:val="19"/>
                <w:szCs w:val="19"/>
                <w:color w:val="auto"/>
              </w:rPr>
            </w:pPr>
          </w:p>
        </w:tc>
        <w:tc>
          <w:tcPr>
            <w:tcW w:w="46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(38 )</w:t>
            </w:r>
          </w:p>
        </w:tc>
        <w:tc>
          <w:tcPr>
            <w:tcW w:w="140" w:type="dxa"/>
            <w:vAlign w:val="bottom"/>
            <w:shd w:val="clear" w:color="auto" w:fill="B6DEE8"/>
          </w:tcPr>
          <w:p>
            <w:pPr>
              <w:spacing w:after="0"/>
              <w:rPr>
                <w:sz w:val="19"/>
                <w:szCs w:val="19"/>
                <w:color w:val="auto"/>
              </w:rPr>
            </w:pPr>
          </w:p>
        </w:tc>
        <w:tc>
          <w:tcPr>
            <w:tcW w:w="240" w:type="dxa"/>
            <w:vAlign w:val="bottom"/>
            <w:shd w:val="clear" w:color="auto" w:fill="B6DE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40,473</w:t>
            </w:r>
          </w:p>
        </w:tc>
        <w:tc>
          <w:tcPr>
            <w:tcW w:w="120" w:type="dxa"/>
            <w:vAlign w:val="bottom"/>
            <w:shd w:val="clear" w:color="auto" w:fill="B6DEE8"/>
          </w:tcPr>
          <w:p>
            <w:pPr>
              <w:spacing w:after="0"/>
              <w:rPr>
                <w:sz w:val="19"/>
                <w:szCs w:val="19"/>
                <w:color w:val="auto"/>
              </w:rPr>
            </w:pPr>
          </w:p>
        </w:tc>
      </w:tr>
      <w:tr>
        <w:trPr>
          <w:trHeight w:val="20"/>
        </w:trPr>
        <w:tc>
          <w:tcPr>
            <w:tcW w:w="3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-24765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2023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69,412</w:t>
            </w:r>
          </w:p>
        </w:tc>
        <w:tc>
          <w:tcPr>
            <w:tcW w:w="100" w:type="dxa"/>
            <w:vAlign w:val="bottom"/>
          </w:tcPr>
          <w:p>
            <w:pPr>
              <w:spacing w:after="0"/>
              <w:rPr>
                <w:sz w:val="18"/>
                <w:szCs w:val="18"/>
                <w:color w:val="auto"/>
              </w:rPr>
            </w:pPr>
          </w:p>
        </w:tc>
      </w:tr>
      <w:tr>
        <w:trPr>
          <w:trHeight w:val="216"/>
        </w:trPr>
        <w:tc>
          <w:tcPr>
            <w:tcW w:w="32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B6DEE8"/>
          </w:tcPr>
          <w:p>
            <w:pPr>
              <w:spacing w:after="0"/>
              <w:rPr>
                <w:sz w:val="18"/>
                <w:szCs w:val="18"/>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B6DEE8"/>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43,502</w:t>
            </w:r>
          </w:p>
        </w:tc>
        <w:tc>
          <w:tcPr>
            <w:tcW w:w="100" w:type="dxa"/>
            <w:vAlign w:val="bottom"/>
          </w:tcPr>
          <w:p>
            <w:pPr>
              <w:spacing w:after="0"/>
              <w:rPr>
                <w:sz w:val="18"/>
                <w:szCs w:val="18"/>
                <w:color w:val="auto"/>
              </w:rPr>
            </w:pPr>
          </w:p>
        </w:tc>
      </w:tr>
      <w:tr>
        <w:trPr>
          <w:trHeight w:val="249"/>
        </w:trPr>
        <w:tc>
          <w:tcPr>
            <w:tcW w:w="324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112,577</w:t>
            </w:r>
          </w:p>
        </w:tc>
        <w:tc>
          <w:tcPr>
            <w:tcW w:w="100" w:type="dxa"/>
            <w:vAlign w:val="bottom"/>
            <w:tcBorders>
              <w:bottom w:val="single" w:sz="8" w:color="B6DEE8"/>
            </w:tcBorders>
            <w:shd w:val="clear" w:color="auto" w:fill="B6DEE8"/>
          </w:tcPr>
          <w:p>
            <w:pPr>
              <w:spacing w:after="0"/>
              <w:rPr>
                <w:sz w:val="21"/>
                <w:szCs w:val="21"/>
                <w:color w:val="auto"/>
              </w:rPr>
            </w:pPr>
          </w:p>
        </w:tc>
        <w:tc>
          <w:tcPr>
            <w:tcW w:w="460" w:type="dxa"/>
            <w:vAlign w:val="bottom"/>
            <w:tcBorders>
              <w:top w:val="single" w:sz="8" w:color="auto"/>
              <w:bottom w:val="single" w:sz="8" w:color="auto"/>
            </w:tcBorders>
            <w:gridSpan w:val="2"/>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tcBorders>
              <w:bottom w:val="single" w:sz="8" w:color="B6DEE8"/>
            </w:tcBorders>
            <w:shd w:val="clear" w:color="auto" w:fill="B6DEE8"/>
          </w:tcPr>
          <w:p>
            <w:pPr>
              <w:spacing w:after="0"/>
              <w:rPr>
                <w:sz w:val="21"/>
                <w:szCs w:val="21"/>
                <w:color w:val="auto"/>
              </w:rPr>
            </w:pPr>
          </w:p>
        </w:tc>
        <w:tc>
          <w:tcPr>
            <w:tcW w:w="440" w:type="dxa"/>
            <w:vAlign w:val="bottom"/>
            <w:tcBorders>
              <w:top w:val="single" w:sz="8" w:color="auto"/>
              <w:bottom w:val="single" w:sz="8" w:color="auto"/>
            </w:tcBorders>
            <w:gridSpan w:val="2"/>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8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B6DEE8"/>
          </w:tcPr>
          <w:p>
            <w:pPr>
              <w:spacing w:after="0"/>
              <w:rPr>
                <w:sz w:val="21"/>
                <w:szCs w:val="21"/>
                <w:color w:val="auto"/>
              </w:rPr>
            </w:pPr>
          </w:p>
        </w:tc>
        <w:tc>
          <w:tcPr>
            <w:tcW w:w="220" w:type="dxa"/>
            <w:vAlign w:val="bottom"/>
            <w:tcBorders>
              <w:top w:val="single" w:sz="8" w:color="auto"/>
              <w:bottom w:val="single" w:sz="8" w:color="auto"/>
            </w:tcBorders>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113,226</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-25400</wp:posOffset>
            </wp:positionV>
            <wp:extent cx="59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-25400</wp:posOffset>
            </wp:positionV>
            <wp:extent cx="59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unrealized losses and fair values of available-for-sale investment securities that were in unrealized loss positions were as follows (in thousands):</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0"/>
                <w:szCs w:val="20"/>
                <w:color w:val="auto"/>
              </w:rPr>
            </w:pPr>
          </w:p>
        </w:tc>
        <w:tc>
          <w:tcPr>
            <w:tcW w:w="2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0" w:type="dxa"/>
            <w:vAlign w:val="bottom"/>
          </w:tcPr>
          <w:p>
            <w:pPr>
              <w:spacing w:after="0"/>
              <w:rPr>
                <w:sz w:val="1"/>
                <w:szCs w:val="1"/>
                <w:color w:val="auto"/>
              </w:rPr>
            </w:pPr>
          </w:p>
        </w:tc>
      </w:tr>
      <w:tr>
        <w:trPr>
          <w:trHeight w:val="191"/>
        </w:trPr>
        <w:tc>
          <w:tcPr>
            <w:tcW w:w="23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2,257</w:t>
            </w:r>
          </w:p>
        </w:tc>
        <w:tc>
          <w:tcPr>
            <w:tcW w:w="100" w:type="dxa"/>
            <w:vAlign w:val="bottom"/>
            <w:shd w:val="clear" w:color="auto" w:fill="B6DEE8"/>
          </w:tcPr>
          <w:p>
            <w:pPr>
              <w:spacing w:after="0"/>
              <w:rPr>
                <w:sz w:val="19"/>
                <w:szCs w:val="19"/>
                <w:color w:val="auto"/>
              </w:rPr>
            </w:pP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(19 )</w:t>
            </w:r>
          </w:p>
        </w:tc>
        <w:tc>
          <w:tcPr>
            <w:tcW w:w="120" w:type="dxa"/>
            <w:vAlign w:val="bottom"/>
            <w:shd w:val="clear" w:color="auto" w:fill="B6DEE8"/>
          </w:tcPr>
          <w:p>
            <w:pPr>
              <w:spacing w:after="0"/>
              <w:rPr>
                <w:sz w:val="19"/>
                <w:szCs w:val="19"/>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(19 )</w:t>
            </w:r>
          </w:p>
        </w:tc>
        <w:tc>
          <w:tcPr>
            <w:tcW w:w="120" w:type="dxa"/>
            <w:vAlign w:val="bottom"/>
            <w:shd w:val="clear" w:color="auto" w:fill="B6DEE8"/>
          </w:tcPr>
          <w:p>
            <w:pPr>
              <w:spacing w:after="0"/>
              <w:rPr>
                <w:sz w:val="19"/>
                <w:szCs w:val="19"/>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(38 )</w:t>
            </w:r>
          </w:p>
        </w:tc>
        <w:tc>
          <w:tcPr>
            <w:tcW w:w="0" w:type="dxa"/>
            <w:vAlign w:val="bottom"/>
          </w:tcPr>
          <w:p>
            <w:pPr>
              <w:spacing w:after="0"/>
              <w:rPr>
                <w:sz w:val="1"/>
                <w:szCs w:val="1"/>
                <w:color w:val="auto"/>
              </w:rPr>
            </w:pPr>
          </w:p>
        </w:tc>
      </w:tr>
      <w:tr>
        <w:trPr>
          <w:trHeight w:val="20"/>
        </w:trPr>
        <w:tc>
          <w:tcPr>
            <w:tcW w:w="2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2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24"/>
                <w:szCs w:val="24"/>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0" w:type="dxa"/>
            <w:vAlign w:val="bottom"/>
          </w:tcPr>
          <w:p>
            <w:pPr>
              <w:spacing w:after="0"/>
              <w:rPr>
                <w:sz w:val="1"/>
                <w:szCs w:val="1"/>
                <w:color w:val="auto"/>
              </w:rPr>
            </w:pPr>
          </w:p>
        </w:tc>
      </w:tr>
      <w:tr>
        <w:trPr>
          <w:trHeight w:val="191"/>
        </w:trPr>
        <w:tc>
          <w:tcPr>
            <w:tcW w:w="23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16"/>
        </w:trPr>
        <w:tc>
          <w:tcPr>
            <w:tcW w:w="2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13,084</w:t>
            </w:r>
          </w:p>
        </w:tc>
        <w:tc>
          <w:tcPr>
            <w:tcW w:w="100" w:type="dxa"/>
            <w:vAlign w:val="bottom"/>
            <w:shd w:val="clear" w:color="auto" w:fill="B6DEE8"/>
          </w:tcPr>
          <w:p>
            <w:pPr>
              <w:spacing w:after="0"/>
              <w:rPr>
                <w:sz w:val="19"/>
                <w:szCs w:val="19"/>
                <w:color w:val="auto"/>
              </w:rPr>
            </w:pP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(63 )</w:t>
            </w:r>
          </w:p>
        </w:tc>
        <w:tc>
          <w:tcPr>
            <w:tcW w:w="120" w:type="dxa"/>
            <w:vAlign w:val="bottom"/>
            <w:shd w:val="clear" w:color="auto" w:fill="B6DEE8"/>
          </w:tcPr>
          <w:p>
            <w:pPr>
              <w:spacing w:after="0"/>
              <w:rPr>
                <w:sz w:val="19"/>
                <w:szCs w:val="19"/>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15,263</w:t>
            </w:r>
          </w:p>
        </w:tc>
        <w:tc>
          <w:tcPr>
            <w:tcW w:w="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(296 )</w:t>
            </w:r>
          </w:p>
        </w:tc>
        <w:tc>
          <w:tcPr>
            <w:tcW w:w="120" w:type="dxa"/>
            <w:vAlign w:val="bottom"/>
            <w:shd w:val="clear" w:color="auto" w:fill="B6DEE8"/>
          </w:tcPr>
          <w:p>
            <w:pPr>
              <w:spacing w:after="0"/>
              <w:rPr>
                <w:sz w:val="19"/>
                <w:szCs w:val="19"/>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28,348</w:t>
            </w:r>
          </w:p>
        </w:tc>
        <w:tc>
          <w:tcPr>
            <w:tcW w:w="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(359 )</w:t>
            </w:r>
          </w:p>
        </w:tc>
        <w:tc>
          <w:tcPr>
            <w:tcW w:w="0" w:type="dxa"/>
            <w:vAlign w:val="bottom"/>
          </w:tcPr>
          <w:p>
            <w:pPr>
              <w:spacing w:after="0"/>
              <w:rPr>
                <w:sz w:val="1"/>
                <w:szCs w:val="1"/>
                <w:color w:val="auto"/>
              </w:rPr>
            </w:pPr>
          </w:p>
        </w:tc>
      </w:tr>
      <w:tr>
        <w:trPr>
          <w:trHeight w:val="20"/>
        </w:trPr>
        <w:tc>
          <w:tcPr>
            <w:tcW w:w="2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-1310640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-1293495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-1310640</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-1293495</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-1310640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-1293495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-1310640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-1293495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-1310640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-1293495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-1310640</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-1293495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59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-25400</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-25400</wp:posOffset>
            </wp:positionV>
            <wp:extent cx="59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net realized gain recorded in connection with the sale of investments for the year ended December 31, 2024, was $0.8 million, and was recorded as a component of interest income in the consolidated statements of operations. The net realized gain recorded in connection with the sale of investments for the year ended December 31, 2023, was $0.9 million, and was recorded as a component of interest income in the consolidated statements of operations. Accrued interest of $0.09 million and $0.8 million is included in investments within the consolidated balance sheets for the years ended December 31, 2024 and December 31, 2023, respectively.</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Unrealized losses on the available-for-sale investment securities as of December 31, 2024 and December 31, 2023 are primarily the result of increases in interest rates as a significant portion of the investments were purchased prior to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66" w:lineRule="auto"/>
        <w:rPr>
          <w:sz w:val="20"/>
          <w:szCs w:val="20"/>
          <w:color w:val="auto"/>
        </w:rPr>
      </w:pPr>
      <w:r>
        <w:rPr>
          <w:rFonts w:ascii="Times New Roman" w:cs="Times New Roman" w:eastAsia="Times New Roman" w:hAnsi="Times New Roman"/>
          <w:sz w:val="18"/>
          <w:szCs w:val="18"/>
          <w:color w:val="auto"/>
        </w:rPr>
        <w:t>Federal reserve commenced interest rate increases in 2022.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year ended December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contractual maturities of available-for-sale investment securities were as follows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880" w:type="dxa"/>
            <w:vAlign w:val="bottom"/>
            <w:tcBorders>
              <w:top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80" w:type="dxa"/>
            <w:vAlign w:val="bottom"/>
            <w:tcBorders>
              <w:bottom w:val="single" w:sz="8" w:color="auto"/>
            </w:tcBorders>
            <w:shd w:val="clear" w:color="auto" w:fill="B6DEE8"/>
          </w:tcPr>
          <w:p>
            <w:pPr>
              <w:spacing w:after="0"/>
              <w:rPr>
                <w:sz w:val="18"/>
                <w:szCs w:val="18"/>
                <w:color w:val="auto"/>
              </w:rPr>
            </w:pPr>
          </w:p>
        </w:tc>
        <w:tc>
          <w:tcPr>
            <w:tcW w:w="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Borders>
              <w:bottom w:val="single" w:sz="8" w:color="B6DEE8"/>
            </w:tcBorders>
            <w:shd w:val="clear" w:color="auto" w:fill="B6DEE8"/>
          </w:tcPr>
          <w:p>
            <w:pPr>
              <w:spacing w:after="0"/>
              <w:rPr>
                <w:sz w:val="18"/>
                <w:szCs w:val="18"/>
                <w:color w:val="auto"/>
              </w:rPr>
            </w:pPr>
          </w:p>
        </w:tc>
        <w:tc>
          <w:tcPr>
            <w:tcW w:w="240" w:type="dxa"/>
            <w:vAlign w:val="bottom"/>
            <w:tcBorders>
              <w:bottom w:val="single" w:sz="8" w:color="auto"/>
            </w:tcBorders>
            <w:shd w:val="clear" w:color="auto" w:fill="B6DEE8"/>
          </w:tcPr>
          <w:p>
            <w:pPr>
              <w:spacing w:after="0"/>
              <w:rPr>
                <w:sz w:val="18"/>
                <w:szCs w:val="18"/>
                <w:color w:val="auto"/>
              </w:rPr>
            </w:pPr>
          </w:p>
        </w:tc>
        <w:tc>
          <w:tcPr>
            <w:tcW w:w="440" w:type="dxa"/>
            <w:vAlign w:val="bottom"/>
            <w:tcBorders>
              <w:bottom w:val="single" w:sz="8" w:color="auto"/>
            </w:tcBorders>
            <w:shd w:val="clear" w:color="auto" w:fill="B6DEE8"/>
          </w:tcPr>
          <w:p>
            <w:pPr>
              <w:spacing w:after="0"/>
              <w:rPr>
                <w:sz w:val="18"/>
                <w:szCs w:val="18"/>
                <w:color w:val="auto"/>
              </w:rPr>
            </w:pPr>
          </w:p>
        </w:tc>
        <w:tc>
          <w:tcPr>
            <w:tcW w:w="19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40,252</w:t>
            </w:r>
          </w:p>
        </w:tc>
        <w:tc>
          <w:tcPr>
            <w:tcW w:w="7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ExtraCash Receivables, Net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ExtraCash receivables, net, represent outstanding originations, tips, and processing fees, net of direct origination costs, less an allowance for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December 31, 2024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ExtraCash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ExtraCash</w:t>
            </w:r>
          </w:p>
        </w:tc>
      </w:tr>
      <w:tr>
        <w:trPr>
          <w:trHeight w:val="211"/>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4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8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3240" w:type="dxa"/>
            <w:vAlign w:val="bottom"/>
            <w:shd w:val="clear" w:color="auto" w:fill="B6DEE8"/>
          </w:tcPr>
          <w:p>
            <w:pPr>
              <w:spacing w:after="0"/>
              <w:rPr>
                <w:sz w:val="17"/>
                <w:szCs w:val="17"/>
                <w:color w:val="auto"/>
              </w:rPr>
            </w:pPr>
          </w:p>
        </w:tc>
        <w:tc>
          <w:tcPr>
            <w:tcW w:w="14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142,623</w:t>
            </w:r>
          </w:p>
        </w:tc>
        <w:tc>
          <w:tcPr>
            <w:tcW w:w="580" w:type="dxa"/>
            <w:vAlign w:val="bottom"/>
            <w:gridSpan w:val="3"/>
            <w:shd w:val="clear" w:color="auto" w:fill="B6DEE8"/>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B6DEE8"/>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(2,112 )</w:t>
            </w:r>
          </w:p>
        </w:tc>
        <w:tc>
          <w:tcPr>
            <w:tcW w:w="22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140,511</w:t>
            </w:r>
          </w:p>
        </w:tc>
        <w:tc>
          <w:tcPr>
            <w:tcW w:w="100" w:type="dxa"/>
            <w:vAlign w:val="bottom"/>
            <w:shd w:val="clear" w:color="auto" w:fill="B6DEE8"/>
          </w:tcPr>
          <w:p>
            <w:pPr>
              <w:spacing w:after="0"/>
              <w:rPr>
                <w:sz w:val="17"/>
                <w:szCs w:val="17"/>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(6,223 )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100" w:type="dxa"/>
            <w:vAlign w:val="bottom"/>
          </w:tcPr>
          <w:p>
            <w:pPr>
              <w:spacing w:after="0"/>
              <w:rPr>
                <w:sz w:val="18"/>
                <w:szCs w:val="18"/>
                <w:color w:val="auto"/>
              </w:rPr>
            </w:pPr>
          </w:p>
        </w:tc>
      </w:tr>
      <w:tr>
        <w:trPr>
          <w:trHeight w:val="21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32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(4,937 )</w:t>
            </w:r>
          </w:p>
        </w:tc>
        <w:tc>
          <w:tcPr>
            <w:tcW w:w="22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B6DEE8"/>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(4,712 )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8"/>
                <w:szCs w:val="18"/>
                <w:color w:val="auto"/>
              </w:rPr>
            </w:pPr>
          </w:p>
        </w:tc>
      </w:tr>
      <w:tr>
        <w:trPr>
          <w:trHeight w:val="21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32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(4,719 )</w:t>
            </w:r>
          </w:p>
        </w:tc>
        <w:tc>
          <w:tcPr>
            <w:tcW w:w="22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B6DEE8"/>
          </w:tcPr>
          <w:p>
            <w:pPr>
              <w:spacing w:after="0"/>
              <w:rPr>
                <w:sz w:val="18"/>
                <w:szCs w:val="18"/>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1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198,560</w:t>
            </w:r>
          </w:p>
        </w:tc>
        <w:tc>
          <w:tcPr>
            <w:tcW w:w="10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(22,703 )</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175,857</w:t>
            </w:r>
          </w:p>
        </w:tc>
        <w:tc>
          <w:tcPr>
            <w:tcW w:w="100" w:type="dxa"/>
            <w:vAlign w:val="bottom"/>
          </w:tcPr>
          <w:p>
            <w:pPr>
              <w:spacing w:after="0"/>
              <w:rPr>
                <w:sz w:val="18"/>
                <w:szCs w:val="18"/>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-170815</wp:posOffset>
            </wp:positionV>
            <wp:extent cx="596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December 31, 2023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ExtraCash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ExtraCash</w:t>
            </w:r>
          </w:p>
        </w:tc>
      </w:tr>
      <w:tr>
        <w:trPr>
          <w:trHeight w:val="211"/>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4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8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3240" w:type="dxa"/>
            <w:vAlign w:val="bottom"/>
            <w:shd w:val="clear" w:color="auto" w:fill="B6DEE8"/>
          </w:tcPr>
          <w:p>
            <w:pPr>
              <w:spacing w:after="0"/>
              <w:rPr>
                <w:sz w:val="17"/>
                <w:szCs w:val="17"/>
                <w:color w:val="auto"/>
              </w:rPr>
            </w:pPr>
          </w:p>
        </w:tc>
        <w:tc>
          <w:tcPr>
            <w:tcW w:w="14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98,553</w:t>
            </w:r>
          </w:p>
        </w:tc>
        <w:tc>
          <w:tcPr>
            <w:tcW w:w="580" w:type="dxa"/>
            <w:vAlign w:val="bottom"/>
            <w:gridSpan w:val="3"/>
            <w:shd w:val="clear" w:color="auto" w:fill="B6DEE8"/>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B6DEE8"/>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(2,676 )</w:t>
            </w:r>
          </w:p>
        </w:tc>
        <w:tc>
          <w:tcPr>
            <w:tcW w:w="22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95,877</w:t>
            </w:r>
          </w:p>
        </w:tc>
        <w:tc>
          <w:tcPr>
            <w:tcW w:w="100" w:type="dxa"/>
            <w:vAlign w:val="bottom"/>
            <w:shd w:val="clear" w:color="auto" w:fill="B6DEE8"/>
          </w:tcPr>
          <w:p>
            <w:pPr>
              <w:spacing w:after="0"/>
              <w:rPr>
                <w:sz w:val="17"/>
                <w:szCs w:val="17"/>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(4,020 )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18"/>
                <w:szCs w:val="18"/>
                <w:color w:val="auto"/>
              </w:rPr>
            </w:pPr>
          </w:p>
        </w:tc>
      </w:tr>
      <w:tr>
        <w:trPr>
          <w:trHeight w:val="21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32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(4,576 )</w:t>
            </w:r>
          </w:p>
        </w:tc>
        <w:tc>
          <w:tcPr>
            <w:tcW w:w="22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B6DEE8"/>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(4,470 )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r>
      <w:tr>
        <w:trPr>
          <w:trHeight w:val="21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32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(4,568 )</w:t>
            </w:r>
          </w:p>
        </w:tc>
        <w:tc>
          <w:tcPr>
            <w:tcW w:w="22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B6DEE8"/>
          </w:tcPr>
          <w:p>
            <w:pPr>
              <w:spacing w:after="0"/>
              <w:rPr>
                <w:sz w:val="18"/>
                <w:szCs w:val="18"/>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1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133,156</w:t>
            </w:r>
          </w:p>
        </w:tc>
        <w:tc>
          <w:tcPr>
            <w:tcW w:w="10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(20,310 )</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112,846</w:t>
            </w:r>
          </w:p>
        </w:tc>
        <w:tc>
          <w:tcPr>
            <w:tcW w:w="100" w:type="dxa"/>
            <w:vAlign w:val="bottom"/>
          </w:tcPr>
          <w:p>
            <w:pPr>
              <w:spacing w:after="0"/>
              <w:rPr>
                <w:sz w:val="18"/>
                <w:szCs w:val="18"/>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-170815</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4" w:name="page95"/>
    <w:bookmarkEnd w:id="94"/>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roll-forward of the allowance for credit losses is as follows (in thousands):</w:t>
            </w: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2024</w:t>
            </w:r>
          </w:p>
        </w:tc>
        <w:tc>
          <w:tcPr>
            <w:tcW w:w="2220" w:type="dxa"/>
            <w:vAlign w:val="bottom"/>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20,310</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2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2220" w:type="dxa"/>
            <w:vAlign w:val="bottom"/>
            <w:shd w:val="clear" w:color="auto" w:fill="B6DEE8"/>
          </w:tcPr>
          <w:p>
            <w:pPr>
              <w:spacing w:after="0"/>
              <w:rPr>
                <w:sz w:val="18"/>
                <w:szCs w:val="18"/>
                <w:color w:val="auto"/>
              </w:rPr>
            </w:pP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2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(64,671 )</w:t>
            </w:r>
          </w:p>
        </w:tc>
      </w:tr>
      <w:tr>
        <w:trPr>
          <w:trHeight w:val="250"/>
        </w:trPr>
        <w:tc>
          <w:tcPr>
            <w:tcW w:w="580" w:type="dxa"/>
            <w:vAlign w:val="bottom"/>
          </w:tcPr>
          <w:p>
            <w:pPr>
              <w:spacing w:after="0"/>
              <w:rPr>
                <w:sz w:val="21"/>
                <w:szCs w:val="21"/>
                <w:color w:val="auto"/>
              </w:rPr>
            </w:pPr>
          </w:p>
        </w:tc>
        <w:tc>
          <w:tcPr>
            <w:tcW w:w="646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December 31, 2024</w:t>
            </w:r>
          </w:p>
        </w:tc>
        <w:tc>
          <w:tcPr>
            <w:tcW w:w="2220" w:type="dxa"/>
            <w:vAlign w:val="bottom"/>
            <w:tcBorders>
              <w:top w:val="single" w:sz="8" w:color="auto"/>
              <w:bottom w:val="single" w:sz="8" w:color="auto"/>
            </w:tcBorders>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2023</w:t>
            </w:r>
          </w:p>
        </w:tc>
        <w:tc>
          <w:tcPr>
            <w:tcW w:w="2220" w:type="dxa"/>
            <w:vAlign w:val="bottom"/>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24,501</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2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2220" w:type="dxa"/>
            <w:vAlign w:val="bottom"/>
            <w:shd w:val="clear" w:color="auto" w:fill="B6DEE8"/>
          </w:tcPr>
          <w:p>
            <w:pPr>
              <w:spacing w:after="0"/>
              <w:rPr>
                <w:sz w:val="18"/>
                <w:szCs w:val="18"/>
                <w:color w:val="auto"/>
              </w:rPr>
            </w:pP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2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(75,262 )</w:t>
            </w:r>
          </w:p>
        </w:tc>
      </w:tr>
      <w:tr>
        <w:trPr>
          <w:trHeight w:val="250"/>
        </w:trPr>
        <w:tc>
          <w:tcPr>
            <w:tcW w:w="580" w:type="dxa"/>
            <w:vAlign w:val="bottom"/>
          </w:tcPr>
          <w:p>
            <w:pPr>
              <w:spacing w:after="0"/>
              <w:rPr>
                <w:sz w:val="21"/>
                <w:szCs w:val="21"/>
                <w:color w:val="auto"/>
              </w:rPr>
            </w:pPr>
          </w:p>
        </w:tc>
        <w:tc>
          <w:tcPr>
            <w:tcW w:w="646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December 31, 2023</w:t>
            </w:r>
          </w:p>
        </w:tc>
        <w:tc>
          <w:tcPr>
            <w:tcW w:w="2220" w:type="dxa"/>
            <w:vAlign w:val="bottom"/>
            <w:tcBorders>
              <w:top w:val="single" w:sz="8" w:color="auto"/>
              <w:bottom w:val="single" w:sz="8" w:color="auto"/>
            </w:tcBorders>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20,310</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-882015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provision for credit losses for the year ended December 31, 2024 was lower compared the year ended December 31, 2023, due primarily to improved collections performance throughout the year, offset by increased provision expense due to higher amounts outstanding 120 days and under. The decrease in amounts written-off for the year ended December 31, 2024 compared to the year ended December 31, 2023, were also primarily as result of improved collections performance year over year despite higher ExtraCash originations, which increased to $5.1 billion from $3.6 billion year over year.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
        </w:trPr>
        <w:tc>
          <w:tcPr>
            <w:tcW w:w="3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0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0" w:type="dxa"/>
            <w:vAlign w:val="bottom"/>
            <w:shd w:val="clear" w:color="auto" w:fill="B6DEE8"/>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B6DEE8"/>
          </w:tcPr>
          <w:p>
            <w:pPr>
              <w:spacing w:after="0"/>
              <w:rPr>
                <w:sz w:val="18"/>
                <w:szCs w:val="18"/>
                <w:color w:val="auto"/>
              </w:rPr>
            </w:pPr>
          </w:p>
        </w:tc>
        <w:tc>
          <w:tcPr>
            <w:tcW w:w="60" w:type="dxa"/>
            <w:vAlign w:val="bottom"/>
            <w:shd w:val="clear" w:color="auto" w:fill="B6DEE8"/>
          </w:tcPr>
          <w:p>
            <w:pPr>
              <w:spacing w:after="0"/>
              <w:rPr>
                <w:sz w:val="18"/>
                <w:szCs w:val="18"/>
                <w:color w:val="auto"/>
              </w:rPr>
            </w:pPr>
          </w:p>
        </w:tc>
        <w:tc>
          <w:tcPr>
            <w:tcW w:w="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40" w:type="dxa"/>
            <w:vAlign w:val="bottom"/>
            <w:gridSpan w:val="2"/>
            <w:shd w:val="clear" w:color="auto" w:fill="B6DE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B6DEE8"/>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r>
      <w:tr>
        <w:trPr>
          <w:trHeight w:val="216"/>
        </w:trPr>
        <w:tc>
          <w:tcPr>
            <w:tcW w:w="30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0" w:type="dxa"/>
            <w:vAlign w:val="bottom"/>
            <w:tcBorders>
              <w:bottom w:val="single" w:sz="8" w:color="auto"/>
            </w:tcBorders>
            <w:shd w:val="clear" w:color="auto" w:fill="B6DEE8"/>
          </w:tcPr>
          <w:p>
            <w:pPr>
              <w:spacing w:after="0"/>
              <w:rPr>
                <w:sz w:val="18"/>
                <w:szCs w:val="18"/>
                <w:color w:val="auto"/>
              </w:rPr>
            </w:pPr>
          </w:p>
        </w:tc>
        <w:tc>
          <w:tcPr>
            <w:tcW w:w="1460" w:type="dxa"/>
            <w:vAlign w:val="bottom"/>
            <w:tcBorders>
              <w:bottom w:val="single" w:sz="8" w:color="auto"/>
            </w:tcBorders>
            <w:shd w:val="clear" w:color="auto" w:fill="B6DEE8"/>
          </w:tcPr>
          <w:p>
            <w:pPr>
              <w:spacing w:after="0"/>
              <w:rPr>
                <w:sz w:val="18"/>
                <w:szCs w:val="18"/>
                <w:color w:val="auto"/>
              </w:rPr>
            </w:pPr>
          </w:p>
        </w:tc>
        <w:tc>
          <w:tcPr>
            <w:tcW w:w="60" w:type="dxa"/>
            <w:vAlign w:val="bottom"/>
            <w:tcBorders>
              <w:bottom w:val="single" w:sz="8" w:color="auto"/>
            </w:tcBorders>
            <w:shd w:val="clear" w:color="auto" w:fill="B6DEE8"/>
          </w:tcPr>
          <w:p>
            <w:pPr>
              <w:spacing w:after="0"/>
              <w:rPr>
                <w:sz w:val="18"/>
                <w:szCs w:val="18"/>
                <w:color w:val="auto"/>
              </w:rPr>
            </w:pPr>
          </w:p>
        </w:tc>
        <w:tc>
          <w:tcPr>
            <w:tcW w:w="5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B6DEE8"/>
            </w:tcBorders>
            <w:shd w:val="clear" w:color="auto" w:fill="B6DEE8"/>
          </w:tcPr>
          <w:p>
            <w:pPr>
              <w:spacing w:after="0"/>
              <w:rPr>
                <w:sz w:val="18"/>
                <w:szCs w:val="18"/>
                <w:color w:val="auto"/>
              </w:rPr>
            </w:pPr>
          </w:p>
        </w:tc>
        <w:tc>
          <w:tcPr>
            <w:tcW w:w="760" w:type="dxa"/>
            <w:vAlign w:val="bottom"/>
            <w:tcBorders>
              <w:bottom w:val="single" w:sz="8" w:color="auto"/>
            </w:tcBorders>
            <w:shd w:val="clear" w:color="auto" w:fill="B6DEE8"/>
          </w:tcPr>
          <w:p>
            <w:pPr>
              <w:spacing w:after="0"/>
              <w:rPr>
                <w:sz w:val="18"/>
                <w:szCs w:val="18"/>
                <w:color w:val="auto"/>
              </w:rPr>
            </w:pPr>
          </w:p>
        </w:tc>
        <w:tc>
          <w:tcPr>
            <w:tcW w:w="2260" w:type="dxa"/>
            <w:vAlign w:val="bottom"/>
            <w:tcBorders>
              <w:bottom w:val="single" w:sz="8" w:color="auto"/>
            </w:tcBorders>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B6DEE8"/>
            </w:tcBorders>
            <w:shd w:val="clear" w:color="auto" w:fill="B6DEE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20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2,404</w:t>
            </w:r>
          </w:p>
        </w:tc>
        <w:tc>
          <w:tcPr>
            <w:tcW w:w="100" w:type="dxa"/>
            <w:vAlign w:val="bottom"/>
          </w:tcPr>
          <w:p>
            <w:pPr>
              <w:spacing w:after="0"/>
              <w:rPr>
                <w:sz w:val="18"/>
                <w:szCs w:val="18"/>
                <w:color w:val="auto"/>
              </w:rPr>
            </w:pPr>
          </w:p>
        </w:tc>
      </w:tr>
      <w:tr>
        <w:trPr>
          <w:trHeight w:val="216"/>
        </w:trPr>
        <w:tc>
          <w:tcPr>
            <w:tcW w:w="33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80" w:type="dxa"/>
            <w:vAlign w:val="bottom"/>
            <w:shd w:val="clear" w:color="auto" w:fill="B6DEE8"/>
          </w:tcPr>
          <w:p>
            <w:pPr>
              <w:spacing w:after="0"/>
              <w:rPr>
                <w:sz w:val="18"/>
                <w:szCs w:val="18"/>
                <w:color w:val="auto"/>
              </w:rPr>
            </w:pPr>
          </w:p>
        </w:tc>
        <w:tc>
          <w:tcPr>
            <w:tcW w:w="15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(1,671 )</w:t>
            </w:r>
          </w:p>
        </w:tc>
        <w:tc>
          <w:tcPr>
            <w:tcW w:w="1520" w:type="dxa"/>
            <w:vAlign w:val="bottom"/>
            <w:shd w:val="clear" w:color="auto" w:fill="B6DEE8"/>
          </w:tcPr>
          <w:p>
            <w:pPr>
              <w:spacing w:after="0"/>
              <w:rPr>
                <w:sz w:val="18"/>
                <w:szCs w:val="18"/>
                <w:color w:val="auto"/>
              </w:rPr>
            </w:pPr>
          </w:p>
        </w:tc>
        <w:tc>
          <w:tcPr>
            <w:tcW w:w="16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(1,286 )</w:t>
            </w:r>
          </w:p>
        </w:tc>
      </w:tr>
      <w:tr>
        <w:trPr>
          <w:trHeight w:val="210"/>
        </w:trPr>
        <w:tc>
          <w:tcPr>
            <w:tcW w:w="3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08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80" w:type="dxa"/>
            <w:vAlign w:val="bottom"/>
            <w:tcBorders>
              <w:top w:val="single" w:sz="8" w:color="B6DEE8"/>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100" w:type="dxa"/>
            <w:vAlign w:val="bottom"/>
            <w:tcBorders>
              <w:top w:val="single" w:sz="8" w:color="B6DEE8"/>
            </w:tcBorders>
          </w:tcPr>
          <w:p>
            <w:pPr>
              <w:spacing w:after="0"/>
              <w:rPr>
                <w:sz w:val="18"/>
                <w:szCs w:val="18"/>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-170815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approximately $0.7 million and $0.6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224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Useful</w:t>
            </w:r>
          </w:p>
        </w:tc>
        <w:tc>
          <w:tcPr>
            <w:tcW w:w="1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Lives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191"/>
        </w:trPr>
        <w:tc>
          <w:tcPr>
            <w:tcW w:w="2240" w:type="dxa"/>
            <w:vAlign w:val="bottom"/>
            <w:shd w:val="clear" w:color="auto" w:fill="B6DEE8"/>
          </w:tcPr>
          <w:p>
            <w:pPr>
              <w:ind w:left="20"/>
              <w:spacing w:after="0" w:line="191" w:lineRule="exact"/>
              <w:rPr>
                <w:sz w:val="20"/>
                <w:szCs w:val="20"/>
                <w:color w:val="auto"/>
              </w:rPr>
            </w:pPr>
            <w:r>
              <w:rPr>
                <w:rFonts w:ascii="Times New Roman" w:cs="Times New Roman" w:eastAsia="Times New Roman" w:hAnsi="Times New Roman"/>
                <w:sz w:val="18"/>
                <w:szCs w:val="18"/>
                <w:color w:val="auto"/>
              </w:rPr>
              <w:t>Internally developed</w:t>
            </w:r>
          </w:p>
        </w:tc>
        <w:tc>
          <w:tcPr>
            <w:tcW w:w="122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140" w:type="dxa"/>
            <w:vAlign w:val="bottom"/>
            <w:tcBorders>
              <w:top w:val="single" w:sz="8" w:color="auto"/>
            </w:tcBorders>
            <w:shd w:val="clear" w:color="auto" w:fill="B6DEE8"/>
          </w:tcPr>
          <w:p>
            <w:pPr>
              <w:spacing w:after="0"/>
              <w:rPr>
                <w:sz w:val="16"/>
                <w:szCs w:val="16"/>
                <w:color w:val="auto"/>
              </w:rPr>
            </w:pPr>
          </w:p>
        </w:tc>
        <w:tc>
          <w:tcPr>
            <w:tcW w:w="700" w:type="dxa"/>
            <w:vAlign w:val="bottom"/>
            <w:tcBorders>
              <w:top w:val="single" w:sz="8" w:color="auto"/>
            </w:tcBorders>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440" w:type="dxa"/>
            <w:vAlign w:val="bottom"/>
            <w:tcBorders>
              <w:top w:val="single" w:sz="8" w:color="auto"/>
            </w:tcBorders>
            <w:shd w:val="clear" w:color="auto" w:fill="B6DEE8"/>
          </w:tcPr>
          <w:p>
            <w:pPr>
              <w:spacing w:after="0"/>
              <w:rPr>
                <w:sz w:val="16"/>
                <w:szCs w:val="16"/>
                <w:color w:val="auto"/>
              </w:rPr>
            </w:pPr>
          </w:p>
        </w:tc>
        <w:tc>
          <w:tcPr>
            <w:tcW w:w="780" w:type="dxa"/>
            <w:vAlign w:val="bottom"/>
            <w:tcBorders>
              <w:top w:val="single" w:sz="8" w:color="auto"/>
            </w:tcBorders>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240" w:type="dxa"/>
            <w:vAlign w:val="bottom"/>
            <w:tcBorders>
              <w:top w:val="single" w:sz="8" w:color="auto"/>
            </w:tcBorders>
            <w:shd w:val="clear" w:color="auto" w:fill="B6DEE8"/>
          </w:tcPr>
          <w:p>
            <w:pPr>
              <w:spacing w:after="0"/>
              <w:rPr>
                <w:sz w:val="16"/>
                <w:szCs w:val="16"/>
                <w:color w:val="auto"/>
              </w:rPr>
            </w:pPr>
          </w:p>
        </w:tc>
        <w:tc>
          <w:tcPr>
            <w:tcW w:w="98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120" w:type="dxa"/>
            <w:vAlign w:val="bottom"/>
            <w:tcBorders>
              <w:top w:val="single" w:sz="8" w:color="auto"/>
            </w:tcBorders>
            <w:shd w:val="clear" w:color="auto" w:fill="B6DEE8"/>
          </w:tcPr>
          <w:p>
            <w:pPr>
              <w:spacing w:after="0"/>
              <w:rPr>
                <w:sz w:val="16"/>
                <w:szCs w:val="16"/>
                <w:color w:val="auto"/>
              </w:rPr>
            </w:pPr>
          </w:p>
        </w:tc>
        <w:tc>
          <w:tcPr>
            <w:tcW w:w="900" w:type="dxa"/>
            <w:vAlign w:val="bottom"/>
            <w:tcBorders>
              <w:top w:val="single" w:sz="8" w:color="auto"/>
            </w:tcBorders>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400" w:type="dxa"/>
            <w:vAlign w:val="bottom"/>
            <w:tcBorders>
              <w:top w:val="single" w:sz="8" w:color="auto"/>
            </w:tcBorders>
            <w:shd w:val="clear" w:color="auto" w:fill="B6DEE8"/>
          </w:tcPr>
          <w:p>
            <w:pPr>
              <w:spacing w:after="0"/>
              <w:rPr>
                <w:sz w:val="16"/>
                <w:szCs w:val="16"/>
                <w:color w:val="auto"/>
              </w:rPr>
            </w:pPr>
          </w:p>
        </w:tc>
        <w:tc>
          <w:tcPr>
            <w:tcW w:w="760" w:type="dxa"/>
            <w:vAlign w:val="bottom"/>
            <w:tcBorders>
              <w:top w:val="single" w:sz="8" w:color="auto"/>
            </w:tcBorders>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100" w:type="dxa"/>
            <w:vAlign w:val="bottom"/>
            <w:tcBorders>
              <w:top w:val="single" w:sz="8" w:color="auto"/>
            </w:tcBorders>
            <w:shd w:val="clear" w:color="auto" w:fill="B6DEE8"/>
          </w:tcPr>
          <w:p>
            <w:pPr>
              <w:spacing w:after="0"/>
              <w:rPr>
                <w:sz w:val="16"/>
                <w:szCs w:val="16"/>
                <w:color w:val="auto"/>
              </w:rPr>
            </w:pPr>
          </w:p>
        </w:tc>
        <w:tc>
          <w:tcPr>
            <w:tcW w:w="132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r>
      <w:tr>
        <w:trPr>
          <w:trHeight w:val="234"/>
        </w:trPr>
        <w:tc>
          <w:tcPr>
            <w:tcW w:w="224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22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8"/>
              </w:rPr>
              <w:t>3.0 Years</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560" w:type="dxa"/>
            <w:vAlign w:val="bottom"/>
            <w:gridSpan w:val="2"/>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(13,917 )</w:t>
            </w: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34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520" w:type="dxa"/>
            <w:vAlign w:val="bottom"/>
            <w:gridSpan w:val="2"/>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(8,461 ) $</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shd w:val="clear" w:color="auto" w:fill="B6DEE8"/>
          </w:tcPr>
          <w:p>
            <w:pPr>
              <w:spacing w:after="0"/>
              <w:rPr>
                <w:sz w:val="20"/>
                <w:szCs w:val="20"/>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Domain name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24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20" w:type="dxa"/>
            <w:vAlign w:val="bottom"/>
            <w:shd w:val="clear" w:color="auto" w:fill="B6DEE8"/>
          </w:tcPr>
          <w:p>
            <w:pPr>
              <w:spacing w:after="0"/>
              <w:rPr>
                <w:sz w:val="19"/>
                <w:szCs w:val="19"/>
                <w:color w:val="auto"/>
              </w:rPr>
            </w:pP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27,622</w:t>
            </w:r>
          </w:p>
        </w:tc>
        <w:tc>
          <w:tcPr>
            <w:tcW w:w="120" w:type="dxa"/>
            <w:vAlign w:val="bottom"/>
            <w:shd w:val="clear" w:color="auto" w:fill="B6DEE8"/>
          </w:tcPr>
          <w:p>
            <w:pPr>
              <w:spacing w:after="0"/>
              <w:rPr>
                <w:sz w:val="19"/>
                <w:szCs w:val="19"/>
                <w:color w:val="auto"/>
              </w:rPr>
            </w:pPr>
          </w:p>
        </w:tc>
        <w:tc>
          <w:tcPr>
            <w:tcW w:w="44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(13,980 )</w:t>
            </w: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13,642</w:t>
            </w:r>
          </w:p>
        </w:tc>
        <w:tc>
          <w:tcPr>
            <w:tcW w:w="34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21,722</w:t>
            </w:r>
          </w:p>
        </w:tc>
        <w:tc>
          <w:tcPr>
            <w:tcW w:w="520" w:type="dxa"/>
            <w:vAlign w:val="bottom"/>
            <w:gridSpan w:val="2"/>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(8,516 ) $</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13,206</w:t>
            </w:r>
          </w:p>
        </w:tc>
        <w:tc>
          <w:tcPr>
            <w:tcW w:w="100" w:type="dxa"/>
            <w:vAlign w:val="bottom"/>
            <w:shd w:val="clear" w:color="auto" w:fill="B6DEE8"/>
          </w:tcPr>
          <w:p>
            <w:pPr>
              <w:spacing w:after="0"/>
              <w:rPr>
                <w:sz w:val="19"/>
                <w:szCs w:val="19"/>
                <w:color w:val="auto"/>
              </w:rPr>
            </w:pPr>
          </w:p>
        </w:tc>
      </w:tr>
      <w:tr>
        <w:trPr>
          <w:trHeight w:val="20"/>
        </w:trPr>
        <w:tc>
          <w:tcPr>
            <w:tcW w:w="2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The future estimated amortization expenses as of December 31, 2024, were as follows (in thousands):</w:t>
            </w:r>
          </w:p>
        </w:tc>
        <w:tc>
          <w:tcPr>
            <w:tcW w:w="1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80" w:type="dxa"/>
            <w:vAlign w:val="bottom"/>
            <w:shd w:val="clear" w:color="auto" w:fill="B6DEE8"/>
          </w:tcPr>
          <w:p>
            <w:pPr>
              <w:spacing w:after="0"/>
              <w:rPr>
                <w:sz w:val="18"/>
                <w:szCs w:val="18"/>
                <w:color w:val="auto"/>
              </w:rPr>
            </w:pPr>
          </w:p>
        </w:tc>
        <w:tc>
          <w:tcPr>
            <w:tcW w:w="1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B6DEE8"/>
          </w:tcPr>
          <w:p>
            <w:pPr>
              <w:spacing w:after="0"/>
              <w:rPr>
                <w:sz w:val="18"/>
                <w:szCs w:val="18"/>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Pr>
          <w:p>
            <w:pPr>
              <w:spacing w:after="0"/>
              <w:rPr>
                <w:sz w:val="18"/>
                <w:szCs w:val="18"/>
                <w:color w:val="auto"/>
              </w:rPr>
            </w:pPr>
          </w:p>
        </w:tc>
      </w:tr>
      <w:tr>
        <w:trPr>
          <w:trHeight w:val="216"/>
        </w:trPr>
        <w:tc>
          <w:tcPr>
            <w:tcW w:w="794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80" w:type="dxa"/>
            <w:vAlign w:val="bottom"/>
            <w:shd w:val="clear" w:color="auto" w:fill="B6DEE8"/>
          </w:tcPr>
          <w:p>
            <w:pPr>
              <w:spacing w:after="0"/>
              <w:rPr>
                <w:sz w:val="18"/>
                <w:szCs w:val="18"/>
                <w:color w:val="auto"/>
              </w:rPr>
            </w:pPr>
          </w:p>
        </w:tc>
        <w:tc>
          <w:tcPr>
            <w:tcW w:w="1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B6DEE8"/>
          </w:tcPr>
          <w:p>
            <w:pPr>
              <w:spacing w:after="0"/>
              <w:rPr>
                <w:sz w:val="18"/>
                <w:szCs w:val="18"/>
                <w:color w:val="auto"/>
              </w:rPr>
            </w:pPr>
          </w:p>
        </w:tc>
      </w:tr>
      <w:tr>
        <w:trPr>
          <w:trHeight w:val="216"/>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8"/>
                <w:szCs w:val="18"/>
                <w:color w:val="auto"/>
              </w:rPr>
            </w:pPr>
          </w:p>
        </w:tc>
      </w:tr>
      <w:tr>
        <w:trPr>
          <w:trHeight w:val="250"/>
        </w:trPr>
        <w:tc>
          <w:tcPr>
            <w:tcW w:w="7940" w:type="dxa"/>
            <w:vAlign w:val="bottom"/>
            <w:tcBorders>
              <w:bottom w:val="single" w:sz="8" w:color="auto"/>
            </w:tcBorders>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amortization</w:t>
            </w:r>
          </w:p>
        </w:tc>
        <w:tc>
          <w:tcPr>
            <w:tcW w:w="1680" w:type="dxa"/>
            <w:vAlign w:val="bottom"/>
            <w:tcBorders>
              <w:bottom w:val="single" w:sz="8" w:color="auto"/>
            </w:tcBorders>
            <w:shd w:val="clear" w:color="auto" w:fill="B6DEE8"/>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13,642</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2024 and 2023, was $6.9 million and $4.9 million, respectively. No impairment charges were recognized related to long-lived assets for the years ended December 31,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change in useful life of a certain definite-lived intangible asset for the year ended December 31, 2024 was $0.8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change in useful life of a certain definite-lived intangible asset for the year ended December 31, 2023 was $0.3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Borders>
              <w:top w:val="single" w:sz="8" w:color="auto"/>
            </w:tcBorders>
            <w:shd w:val="clear" w:color="auto" w:fill="B6DEE8"/>
          </w:tcPr>
          <w:p>
            <w:pPr>
              <w:spacing w:after="0"/>
              <w:rPr>
                <w:sz w:val="18"/>
                <w:szCs w:val="18"/>
                <w:color w:val="auto"/>
              </w:rPr>
            </w:pPr>
          </w:p>
        </w:tc>
        <w:tc>
          <w:tcPr>
            <w:tcW w:w="20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shd w:val="clear" w:color="auto" w:fill="B6DEE8"/>
          </w:tcPr>
          <w:p>
            <w:pPr>
              <w:spacing w:after="0"/>
              <w:rPr>
                <w:sz w:val="18"/>
                <w:szCs w:val="18"/>
                <w:color w:val="auto"/>
              </w:rPr>
            </w:pPr>
          </w:p>
        </w:tc>
        <w:tc>
          <w:tcPr>
            <w:tcW w:w="440" w:type="dxa"/>
            <w:vAlign w:val="bottom"/>
            <w:tcBorders>
              <w:top w:val="single" w:sz="8" w:color="auto"/>
            </w:tcBorders>
            <w:shd w:val="clear" w:color="auto" w:fill="B6DEE8"/>
          </w:tcPr>
          <w:p>
            <w:pPr>
              <w:spacing w:after="0"/>
              <w:rPr>
                <w:sz w:val="18"/>
                <w:szCs w:val="18"/>
                <w:color w:val="auto"/>
              </w:rPr>
            </w:pPr>
          </w:p>
        </w:tc>
        <w:tc>
          <w:tcPr>
            <w:tcW w:w="200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program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18"/>
                <w:szCs w:val="18"/>
                <w:color w:val="auto"/>
              </w:rPr>
            </w:pPr>
          </w:p>
        </w:tc>
      </w:tr>
      <w:tr>
        <w:trPr>
          <w:trHeight w:val="216"/>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charitable contributions</w:t>
            </w:r>
          </w:p>
        </w:tc>
        <w:tc>
          <w:tcPr>
            <w:tcW w:w="280" w:type="dxa"/>
            <w:vAlign w:val="bottom"/>
            <w:shd w:val="clear" w:color="auto" w:fill="B6DEE8"/>
          </w:tcPr>
          <w:p>
            <w:pPr>
              <w:spacing w:after="0"/>
              <w:rPr>
                <w:sz w:val="18"/>
                <w:szCs w:val="18"/>
                <w:color w:val="auto"/>
              </w:rPr>
            </w:pP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negative account balances</w:t>
            </w: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r>
      <w:tr>
        <w:trPr>
          <w:trHeight w:val="216"/>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B6DEE8"/>
          </w:tcPr>
          <w:p>
            <w:pPr>
              <w:spacing w:after="0"/>
              <w:rPr>
                <w:sz w:val="18"/>
                <w:szCs w:val="18"/>
                <w:color w:val="auto"/>
              </w:rPr>
            </w:pP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8"/>
                <w:szCs w:val="18"/>
                <w:color w:val="auto"/>
              </w:rPr>
            </w:pPr>
          </w:p>
        </w:tc>
      </w:tr>
      <w:tr>
        <w:trPr>
          <w:trHeight w:val="216"/>
        </w:trPr>
        <w:tc>
          <w:tcPr>
            <w:tcW w:w="51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B6DEE8"/>
          </w:tcPr>
          <w:p>
            <w:pPr>
              <w:spacing w:after="0"/>
              <w:rPr>
                <w:sz w:val="18"/>
                <w:szCs w:val="18"/>
                <w:color w:val="auto"/>
              </w:rPr>
            </w:pPr>
          </w:p>
        </w:tc>
        <w:tc>
          <w:tcPr>
            <w:tcW w:w="2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B6DEE8"/>
            </w:tcBorders>
            <w:shd w:val="clear" w:color="auto" w:fill="B6DEE8"/>
          </w:tcPr>
          <w:p>
            <w:pPr>
              <w:spacing w:after="0"/>
              <w:rPr>
                <w:sz w:val="18"/>
                <w:szCs w:val="18"/>
                <w:color w:val="auto"/>
              </w:rPr>
            </w:pPr>
          </w:p>
        </w:tc>
        <w:tc>
          <w:tcPr>
            <w:tcW w:w="440" w:type="dxa"/>
            <w:vAlign w:val="bottom"/>
            <w:tcBorders>
              <w:bottom w:val="single" w:sz="8" w:color="auto"/>
            </w:tcBorders>
            <w:shd w:val="clear" w:color="auto" w:fill="B6DEE8"/>
          </w:tcPr>
          <w:p>
            <w:pPr>
              <w:spacing w:after="0"/>
              <w:rPr>
                <w:sz w:val="18"/>
                <w:szCs w:val="18"/>
                <w:color w:val="auto"/>
              </w:rPr>
            </w:pPr>
          </w:p>
        </w:tc>
        <w:tc>
          <w:tcPr>
            <w:tcW w:w="2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16,707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12,626</w:t>
            </w:r>
          </w:p>
        </w:tc>
        <w:tc>
          <w:tcPr>
            <w:tcW w:w="100" w:type="dxa"/>
            <w:vAlign w:val="bottom"/>
          </w:tcPr>
          <w:p>
            <w:pPr>
              <w:spacing w:after="0"/>
              <w:rPr>
                <w:sz w:val="18"/>
                <w:szCs w:val="18"/>
                <w:color w:val="auto"/>
              </w:rPr>
            </w:pP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-170815</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Accrued charitable contributions includes amounts the Company has pledged related to charitable meal donations. The Company uses a portion of tips received to make a charitable cash donation to third parties who use the funds to provide meals to those in need. For the years ended December 31, 2024 and 2023, the Company pledged $4.3 million and $5.1 million related to charitable donations, respectively. These costs are expensed as incurred and are presented within other general and administrative expenses in the consolidated statements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current liabilities consisted of the following (dollars in thousands):</w:t>
      </w:r>
    </w:p>
    <w:p>
      <w:pPr>
        <w:spacing w:after="0" w:line="320"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3500" w:type="dxa"/>
            <w:vAlign w:val="bottom"/>
            <w:tcBorders>
              <w:bottom w:val="single" w:sz="8" w:color="B6DEE8"/>
            </w:tcBorders>
            <w:shd w:val="clear" w:color="auto" w:fill="B6DEE8"/>
          </w:tcPr>
          <w:p>
            <w:pPr>
              <w:spacing w:after="0"/>
              <w:rPr>
                <w:sz w:val="19"/>
                <w:szCs w:val="19"/>
                <w:color w:val="auto"/>
              </w:rPr>
            </w:pPr>
          </w:p>
        </w:tc>
        <w:tc>
          <w:tcPr>
            <w:tcW w:w="2020" w:type="dxa"/>
            <w:vAlign w:val="bottom"/>
            <w:tcBorders>
              <w:bottom w:val="single" w:sz="8" w:color="B6DEE8"/>
            </w:tcBorders>
            <w:shd w:val="clear" w:color="auto" w:fill="B6DEE8"/>
          </w:tcPr>
          <w:p>
            <w:pPr>
              <w:spacing w:after="0"/>
              <w:rPr>
                <w:sz w:val="19"/>
                <w:szCs w:val="19"/>
                <w:color w:val="auto"/>
              </w:rPr>
            </w:pPr>
          </w:p>
        </w:tc>
        <w:tc>
          <w:tcPr>
            <w:tcW w:w="14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420" w:type="dxa"/>
            <w:vAlign w:val="bottom"/>
            <w:tcBorders>
              <w:bottom w:val="single" w:sz="8" w:color="B6DEE8"/>
            </w:tcBorders>
            <w:shd w:val="clear" w:color="auto" w:fill="B6DEE8"/>
          </w:tcPr>
          <w:p>
            <w:pPr>
              <w:spacing w:after="0"/>
              <w:rPr>
                <w:sz w:val="19"/>
                <w:szCs w:val="19"/>
                <w:color w:val="auto"/>
              </w:rPr>
            </w:pPr>
          </w:p>
        </w:tc>
        <w:tc>
          <w:tcPr>
            <w:tcW w:w="100" w:type="dxa"/>
            <w:vAlign w:val="bottom"/>
            <w:tcBorders>
              <w:bottom w:val="single" w:sz="8" w:color="B6DEE8"/>
            </w:tcBorders>
            <w:shd w:val="clear" w:color="auto" w:fill="B6DEE8"/>
          </w:tcPr>
          <w:p>
            <w:pPr>
              <w:spacing w:after="0"/>
              <w:rPr>
                <w:sz w:val="19"/>
                <w:szCs w:val="19"/>
                <w:color w:val="auto"/>
              </w:rPr>
            </w:pPr>
          </w:p>
        </w:tc>
        <w:tc>
          <w:tcPr>
            <w:tcW w:w="620" w:type="dxa"/>
            <w:vAlign w:val="bottom"/>
            <w:tcBorders>
              <w:bottom w:val="single" w:sz="8" w:color="B6DEE8"/>
            </w:tcBorders>
            <w:shd w:val="clear" w:color="auto" w:fill="B6DEE8"/>
          </w:tcPr>
          <w:p>
            <w:pPr>
              <w:spacing w:after="0"/>
              <w:rPr>
                <w:sz w:val="19"/>
                <w:szCs w:val="19"/>
                <w:color w:val="auto"/>
              </w:rPr>
            </w:pPr>
          </w:p>
        </w:tc>
        <w:tc>
          <w:tcPr>
            <w:tcW w:w="14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520" w:type="dxa"/>
            <w:vAlign w:val="bottom"/>
            <w:tcBorders>
              <w:bottom w:val="single" w:sz="8" w:color="B6DEE8"/>
            </w:tcBorders>
            <w:gridSpan w:val="2"/>
            <w:shd w:val="clear" w:color="auto" w:fill="B6DEE8"/>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3,150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18"/>
                <w:szCs w:val="18"/>
                <w:color w:val="auto"/>
              </w:rPr>
            </w:pPr>
          </w:p>
        </w:tc>
      </w:tr>
      <w:tr>
        <w:trPr>
          <w:trHeight w:val="216"/>
        </w:trPr>
        <w:tc>
          <w:tcPr>
            <w:tcW w:w="350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auto"/>
            </w:tcBorders>
            <w:shd w:val="clear" w:color="auto" w:fill="B6DEE8"/>
          </w:tcPr>
          <w:p>
            <w:pPr>
              <w:spacing w:after="0"/>
              <w:rPr>
                <w:sz w:val="18"/>
                <w:szCs w:val="18"/>
                <w:color w:val="auto"/>
              </w:rPr>
            </w:pPr>
          </w:p>
        </w:tc>
        <w:tc>
          <w:tcPr>
            <w:tcW w:w="1460" w:type="dxa"/>
            <w:vAlign w:val="bottom"/>
            <w:tcBorders>
              <w:bottom w:val="single" w:sz="8" w:color="auto"/>
            </w:tcBorders>
            <w:shd w:val="clear" w:color="auto" w:fill="B6DEE8"/>
          </w:tcPr>
          <w:p>
            <w:pPr>
              <w:spacing w:after="0"/>
              <w:rPr>
                <w:sz w:val="18"/>
                <w:szCs w:val="18"/>
                <w:color w:val="auto"/>
              </w:rPr>
            </w:pPr>
          </w:p>
        </w:tc>
        <w:tc>
          <w:tcPr>
            <w:tcW w:w="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B6DEE8"/>
            </w:tcBorders>
            <w:shd w:val="clear" w:color="auto" w:fill="B6DEE8"/>
          </w:tcPr>
          <w:p>
            <w:pPr>
              <w:spacing w:after="0"/>
              <w:rPr>
                <w:sz w:val="18"/>
                <w:szCs w:val="18"/>
                <w:color w:val="auto"/>
              </w:rPr>
            </w:pPr>
          </w:p>
        </w:tc>
        <w:tc>
          <w:tcPr>
            <w:tcW w:w="620" w:type="dxa"/>
            <w:vAlign w:val="bottom"/>
            <w:tcBorders>
              <w:bottom w:val="single" w:sz="8" w:color="auto"/>
            </w:tcBorders>
            <w:shd w:val="clear" w:color="auto" w:fill="B6DEE8"/>
          </w:tcPr>
          <w:p>
            <w:pPr>
              <w:spacing w:after="0"/>
              <w:rPr>
                <w:sz w:val="18"/>
                <w:szCs w:val="18"/>
                <w:color w:val="auto"/>
              </w:rPr>
            </w:pPr>
          </w:p>
        </w:tc>
        <w:tc>
          <w:tcPr>
            <w:tcW w:w="188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4,132</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3,865</w:t>
            </w:r>
          </w:p>
        </w:tc>
        <w:tc>
          <w:tcPr>
            <w:tcW w:w="100" w:type="dxa"/>
            <w:vAlign w:val="bottom"/>
          </w:tcPr>
          <w:p>
            <w:pPr>
              <w:spacing w:after="0"/>
              <w:rPr>
                <w:sz w:val="18"/>
                <w:szCs w:val="18"/>
                <w:color w:val="auto"/>
              </w:rPr>
            </w:pPr>
          </w:p>
        </w:tc>
      </w:tr>
      <w:tr>
        <w:trPr>
          <w:trHeight w:val="20"/>
        </w:trPr>
        <w:tc>
          <w:tcPr>
            <w:tcW w:w="35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current liabilities includes deferred transaction costs associated with the Business Combination. These transaction costs were also capitalized and included within APIC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Convertible Note</w:t>
      </w:r>
    </w:p>
    <w:p>
      <w:pPr>
        <w:spacing w:after="0" w:line="13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March 21, 2022, the Company entered into a Convertible Note Purchase Agreement (“Note Purchase Agreement”) with FTX Ventures Ltd., (the “Purchaser”) owner of FTX US (“FTX”), providing for the purchase and sale of a convertible note in the initial principal amount of $100.0 million (the “Note”). The Note bore interest at a rate of 3.00%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ind w:right="40"/>
        <w:spacing w:after="0" w:line="258" w:lineRule="auto"/>
        <w:rPr>
          <w:sz w:val="20"/>
          <w:szCs w:val="20"/>
          <w:color w:val="auto"/>
        </w:rPr>
      </w:pPr>
      <w:r>
        <w:rPr>
          <w:rFonts w:ascii="Times New Roman" w:cs="Times New Roman" w:eastAsia="Times New Roman" w:hAnsi="Times New Roman"/>
          <w:sz w:val="18"/>
          <w:szCs w:val="18"/>
          <w:color w:val="auto"/>
        </w:rPr>
        <w:t>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would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repurchased the $105.7 million outstanding balance of the Note as of January 29, 2024 for $71.0 million. The Company reduced the net carrying amount of debt by unamortized debt issuance costs of $0.03 million at the extinguishment date. The Company also incurred third-party costs totaling $1.3 million in conjunction with the settlement of the Note. The third-party costs are included in the reacquisition price and the gain on extinguishment of $33.4 million was calculated as the difference between the net carrying amount of debt and the reacquisition price.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 Liabilities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of December 31, 2024, there were 6,344,021 public warrants (“Public Warrants”) outstanding and 5,100,214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Public Warrants and the Private Warrants have an exercise price of $368.00 per share, subject to adjustments and will expire five years after the completion of the Business Combination or earlier upon redemption or liquidation.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when the price per share of Class A Common Stock equals or exceeds $576.00: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 for cash:</w:t>
      </w:r>
    </w:p>
    <w:p>
      <w:pPr>
        <w:spacing w:after="0" w:line="117"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right="300" w:firstLine="8"/>
        <w:spacing w:after="0" w:line="266" w:lineRule="auto"/>
        <w:tabs>
          <w:tab w:leader="none" w:pos="4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for when the price per share of Class A Common Stock equals or exceeds $320.00: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4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67" w:lineRule="exact"/>
        <w:rPr>
          <w:rFonts w:ascii="Times New Roman" w:cs="Times New Roman" w:eastAsia="Times New Roman" w:hAnsi="Times New Roman"/>
          <w:sz w:val="18"/>
          <w:szCs w:val="18"/>
          <w:color w:val="auto"/>
        </w:rPr>
      </w:pPr>
    </w:p>
    <w:p>
      <w:pPr>
        <w:ind w:right="220" w:firstLine="8"/>
        <w:spacing w:after="0" w:line="282" w:lineRule="auto"/>
        <w:tabs>
          <w:tab w:leader="none" w:pos="4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Common Stock equals or exceeds $320.00 per Public Share (as adjusted) for any 20 trading days within the 30-trading day period ending three trading days before the Company sends notice of redemption to the warrant holders.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w:t>
      </w:r>
    </w:p>
    <w:p>
      <w:pPr>
        <w:spacing w:after="0" w:line="1" w:lineRule="exact"/>
        <w:rPr>
          <w:sz w:val="20"/>
          <w:szCs w:val="20"/>
          <w:color w:val="auto"/>
        </w:rPr>
      </w:pPr>
    </w:p>
    <w:p>
      <w:pPr>
        <w:ind w:firstLine="8"/>
        <w:spacing w:after="0" w:line="251"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1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Immediately prior to the close of the Business Combination, all, or 1,664,394 of the vested warrants were exercised and net settled for 14,087 shares of Legacy Dave’s Class A Common Stock after applying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11 Debt Facility</w:t>
      </w:r>
    </w:p>
    <w:p>
      <w:pPr>
        <w:spacing w:after="0" w:line="13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In January 2021, Dave OD Funding I, LLC (“Borrower”) entered into a delayed draw senior secured loan facility (the “Debt Facility”) with Victory Park Management, LLC (“Agent”), and allowed the Borrower to draw up to $100 million from various lenders (the “Lenders”) associated with Victory Park Management, LLC.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$15.0 million.</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13, 2023, the Company executed the Third Amendment to the Debt Facility with the existing Lenders. The Third Amendment, among other things: (i) increases the secured loan facility commitment amount by $50 million to a total of $150 million; (ii) extends the maturity date of the Debt Facility from January 2025 to December 2026; (iii) adds a liquidity trigger threshold, measured as of the last day of any calendar month, equal to the lesser of (a) the trailing six-month EBITDA as of such date, (b) the product of (A) the trailing three-month EBITDA as of such date, multiplied by (B) two (2), and (c) zero ($0); (iv) increases the minimum liquidity threshold, a requirement to maintain a minimum cash, cash equivalents, or marketable securities balance, from $8.0 million to $15 million (v) replaces LIBOR with the secured overnight financing rate ("SOFR") and updates interest rates to the base rate (or if greater, SOFR for such date for a 3-month tenor and 3.00%) plus 5.00% per annum on that portion of the aggregate outstanding principal balance that is less than or equal to $75 million, plus the base rate plus 4.50% per annum on that portion of the aggregate outstanding principal balance, if any, that is greater than $75 million; (vi) updates prepayment premiums for early or voluntary principal repayments and (vii) the Company's guaranty (the limited guaranty was secured by a first-priority lien against substantially all of the Company's assets) of up to $25 million of the Borrower's obligations under the Debt Facility has been terminated.</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Payments of the loan draws are due at the following dates: (i) within five business days after the date of receipt by the Borrower of any net cash proceeds in excess of $0.25 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 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 million in respect of clause (a) above and (y) 100% of such extraordinary receipts in respect of clause (b) above.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18, 2024, the Company executed the Fourth Amendment to the Debt Facility with the existing Lenders to expand the Company's borrowing capacity. The amendment also updates interest rates to the sum of the base rate plus 5.00% per annum on the aggregate outstanding principal balance and updates prepayment premiums for early or voluntary principal repayments, among other administrative terms. The Fourth Amendment was accounted for as a debt modification and, accordingly, the Company incurred $0.03 million in associated costs which will be recognized within the consolidated statement of operations evenly through maturity date of the Debt Facility, and no gain or loss was recognized. As of December 31, 2024, the Company was not in compliance with a specific debt covenant under its existing Debt Facility. In particular, a breach existed relating to the Minimum Receivable Loan-to-Value ("LTV Ratio"), which exceeded the allowable limits set forth in the covenant. The Agent, on behalf of the Lenders, provided a one-time limited waiver of this covenant, effective from October 18, 2024 until June 30, 2025. This waiver is solely for that period and for addressing this specific breach, and does not constitute a waiver of any default or event of default under the Debt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had drawn $75.0 million on the Debt Facility and had made no repayments.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9" w:name="page100"/>
    <w:bookmarkEnd w:id="99"/>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various other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spacing w:after="0" w:line="181" w:lineRule="exact"/>
        <w:rPr>
          <w:sz w:val="20"/>
          <w:szCs w:val="20"/>
          <w:color w:val="auto"/>
        </w:rPr>
      </w:pPr>
    </w:p>
    <w:p>
      <w:pPr>
        <w:ind w:right="800" w:firstLine="8"/>
        <w:spacing w:after="0" w:line="284" w:lineRule="auto"/>
        <w:tabs>
          <w:tab w:leader="none" w:pos="18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United States of America v. Dave, Inc. and Jason Wilk (filed December 30, 2024 in the United States District Court for the Central District of California)</w:t>
      </w:r>
    </w:p>
    <w:p>
      <w:pPr>
        <w:spacing w:after="0" w:line="16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an enforcement action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w:t>
      </w:r>
      <w:r>
        <w:rPr>
          <w:rFonts w:ascii="Times New Roman" w:cs="Times New Roman" w:eastAsia="Times New Roman" w:hAnsi="Times New Roman"/>
          <w:sz w:val="18"/>
          <w:szCs w:val="18"/>
          <w:color w:val="1D1C1D"/>
        </w:rPr>
        <w:t>The FTC then referred the case to the Department of Justice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“DOJ”), and on 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On February 28, 2025, we filed a motion to dismiss the DOJ’s Amended Complaint.</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Although the Company believes that its practices have at all times been in compliance with applicable law, the outcome of any case in litigation is uncertain. Therefore, for the year ended December 31, 2024, the Company recorded a $7 million litigation and settlement accrual for this matter. Significant changes in the accrual may be required in future periods as the case progresses and additional information becomes available. At this time, the Company is unable to reasonably predict the possible outcome of this matter due to, among other things, the fact that it raises difficult factual and legal issues and is subject to many uncertainties and complexities. There can be no assurance that the Company will be successful in the litigation, and the Company may incur a loss in excess of the amount accrued. The defense or resolution of this matter could involve significant monetary costs and have a material impact on the Company’s business, financial results and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 lease agreement with PCJW Properties LLC (“PCJW”) for office space located in Los Angeles, California. The lease term is seven years, beginning January 1, 2019 and ending December 31, 2025. Monthly rent is $0.02 million, subject to an annual escalation of 5%.</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 sublease agreement with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Company extended the sublease for five more years ending October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2028. Under the terms of the sublease, the current monthly rent is $0.006 million, subject to an annual escalation of 4%.</w:t>
      </w:r>
    </w:p>
    <w:p>
      <w:pPr>
        <w:spacing w:after="0" w:line="26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All leases were classified as operating and operating lease expenses are presented within Other operating expenses in the consolidated statements of operations. The Company does not have any finance leases or sublease arrangements where the Company is the sublessor. The Company’s leasing activities are as follows (in thousands):</w:t>
      </w:r>
    </w:p>
    <w:p>
      <w:pPr>
        <w:spacing w:after="0" w:line="172"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61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300" w:type="dxa"/>
            <w:vAlign w:val="bottom"/>
            <w:gridSpan w:val="2"/>
            <w:shd w:val="clear" w:color="auto" w:fill="B6DEE8"/>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shd w:val="clear" w:color="auto" w:fill="B6DEE8"/>
          </w:tcPr>
          <w:p>
            <w:pPr>
              <w:spacing w:after="0"/>
              <w:rPr>
                <w:sz w:val="18"/>
                <w:szCs w:val="18"/>
                <w:color w:val="auto"/>
              </w:rPr>
            </w:pPr>
          </w:p>
        </w:tc>
        <w:tc>
          <w:tcPr>
            <w:tcW w:w="1480" w:type="dxa"/>
            <w:vAlign w:val="bottom"/>
            <w:gridSpan w:val="2"/>
            <w:shd w:val="clear" w:color="auto" w:fill="B6DEE8"/>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B6DEE8"/>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440" w:type="dxa"/>
            <w:vAlign w:val="bottom"/>
          </w:tcPr>
          <w:p>
            <w:pPr>
              <w:spacing w:after="0"/>
              <w:rPr>
                <w:sz w:val="21"/>
                <w:szCs w:val="21"/>
                <w:color w:val="auto"/>
              </w:rPr>
            </w:pPr>
          </w:p>
        </w:tc>
        <w:tc>
          <w:tcPr>
            <w:tcW w:w="612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300" w:type="dxa"/>
            <w:vAlign w:val="bottom"/>
            <w:tcBorders>
              <w:bottom w:val="single" w:sz="8" w:color="auto"/>
            </w:tcBorders>
            <w:gridSpan w:val="2"/>
            <w:shd w:val="clear" w:color="auto" w:fill="B6DEE8"/>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347</w:t>
            </w:r>
          </w:p>
        </w:tc>
        <w:tc>
          <w:tcPr>
            <w:tcW w:w="20" w:type="dxa"/>
            <w:vAlign w:val="bottom"/>
            <w:tcBorders>
              <w:bottom w:val="single" w:sz="8" w:color="B6DEE8"/>
            </w:tcBorders>
            <w:shd w:val="clear" w:color="auto" w:fill="B6DEE8"/>
          </w:tcPr>
          <w:p>
            <w:pPr>
              <w:spacing w:after="0"/>
              <w:rPr>
                <w:sz w:val="21"/>
                <w:szCs w:val="21"/>
                <w:color w:val="auto"/>
              </w:rPr>
            </w:pPr>
          </w:p>
        </w:tc>
        <w:tc>
          <w:tcPr>
            <w:tcW w:w="80" w:type="dxa"/>
            <w:vAlign w:val="bottom"/>
            <w:tcBorders>
              <w:bottom w:val="single" w:sz="8" w:color="B6DEE8"/>
            </w:tcBorders>
            <w:shd w:val="clear" w:color="auto" w:fill="B6DEE8"/>
          </w:tcPr>
          <w:p>
            <w:pPr>
              <w:spacing w:after="0"/>
              <w:rPr>
                <w:sz w:val="21"/>
                <w:szCs w:val="21"/>
                <w:color w:val="auto"/>
              </w:rPr>
            </w:pPr>
          </w:p>
        </w:tc>
        <w:tc>
          <w:tcPr>
            <w:tcW w:w="1400" w:type="dxa"/>
            <w:vAlign w:val="bottom"/>
            <w:tcBorders>
              <w:bottom w:val="single" w:sz="8" w:color="auto"/>
            </w:tcBorders>
            <w:shd w:val="clear" w:color="auto" w:fill="B6DEE8"/>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390"/>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61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2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2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40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w:t>
            </w: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spacing w:after="0"/>
              <w:rPr>
                <w:sz w:val="18"/>
                <w:szCs w:val="18"/>
                <w:color w:val="auto"/>
              </w:rPr>
            </w:pPr>
          </w:p>
        </w:tc>
        <w:tc>
          <w:tcPr>
            <w:tcW w:w="4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B6DEE8"/>
          </w:tcPr>
          <w:p>
            <w:pPr>
              <w:spacing w:after="0"/>
              <w:rPr>
                <w:sz w:val="18"/>
                <w:szCs w:val="18"/>
                <w:color w:val="auto"/>
              </w:rPr>
            </w:pPr>
          </w:p>
        </w:tc>
        <w:tc>
          <w:tcPr>
            <w:tcW w:w="2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400" w:type="dxa"/>
            <w:vAlign w:val="bottom"/>
            <w:shd w:val="clear" w:color="auto" w:fill="B6DEE8"/>
          </w:tcPr>
          <w:p>
            <w:pPr>
              <w:spacing w:after="0"/>
              <w:rPr>
                <w:sz w:val="18"/>
                <w:szCs w:val="18"/>
                <w:color w:val="auto"/>
              </w:rPr>
            </w:pPr>
          </w:p>
        </w:tc>
        <w:tc>
          <w:tcPr>
            <w:tcW w:w="4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414"/>
        </w:trPr>
        <w:tc>
          <w:tcPr>
            <w:tcW w:w="7860" w:type="dxa"/>
            <w:vAlign w:val="bottom"/>
            <w:gridSpan w:val="5"/>
          </w:tcPr>
          <w:p>
            <w:pPr>
              <w:jc w:val="right"/>
              <w:ind w:right="950"/>
              <w:spacing w:after="0"/>
              <w:rPr>
                <w:sz w:val="20"/>
                <w:szCs w:val="20"/>
                <w:color w:val="auto"/>
              </w:rPr>
            </w:pPr>
            <w:r>
              <w:rPr>
                <w:rFonts w:ascii="Times New Roman" w:cs="Times New Roman" w:eastAsia="Times New Roman" w:hAnsi="Times New Roman"/>
                <w:sz w:val="18"/>
                <w:szCs w:val="18"/>
                <w:color w:val="auto"/>
                <w:w w:val="99"/>
              </w:rPr>
              <w:t>The future minimum lease payments as of December 31, 2024, were as follows (in thousands):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Related-Party Commitment</w:t>
            </w:r>
          </w:p>
        </w:tc>
      </w:tr>
      <w:tr>
        <w:trPr>
          <w:trHeight w:val="20"/>
        </w:trPr>
        <w:tc>
          <w:tcPr>
            <w:tcW w:w="4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574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160" w:type="dxa"/>
            <w:vAlign w:val="bottom"/>
            <w:shd w:val="clear" w:color="auto" w:fill="B6DEE8"/>
          </w:tcPr>
          <w:p>
            <w:pPr>
              <w:spacing w:after="0"/>
              <w:rPr>
                <w:sz w:val="17"/>
                <w:szCs w:val="17"/>
                <w:color w:val="auto"/>
              </w:rPr>
            </w:pPr>
          </w:p>
        </w:tc>
        <w:tc>
          <w:tcPr>
            <w:tcW w:w="580" w:type="dxa"/>
            <w:vAlign w:val="bottom"/>
            <w:gridSpan w:val="3"/>
            <w:shd w:val="clear" w:color="auto" w:fill="B6DEE8"/>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1400" w:type="dxa"/>
            <w:vAlign w:val="bottom"/>
            <w:shd w:val="clear" w:color="auto" w:fill="B6DEE8"/>
          </w:tcPr>
          <w:p>
            <w:pPr>
              <w:spacing w:after="0"/>
              <w:rPr>
                <w:sz w:val="17"/>
                <w:szCs w:val="17"/>
                <w:color w:val="auto"/>
              </w:rPr>
            </w:pPr>
          </w:p>
        </w:tc>
        <w:tc>
          <w:tcPr>
            <w:tcW w:w="500" w:type="dxa"/>
            <w:vAlign w:val="bottom"/>
            <w:gridSpan w:val="2"/>
            <w:shd w:val="clear" w:color="auto" w:fill="B6DEE8"/>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B6DEE8"/>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7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spacing w:after="0"/>
              <w:rPr>
                <w:sz w:val="18"/>
                <w:szCs w:val="18"/>
                <w:color w:val="auto"/>
              </w:rPr>
            </w:pPr>
          </w:p>
        </w:tc>
        <w:tc>
          <w:tcPr>
            <w:tcW w:w="400" w:type="dxa"/>
            <w:vAlign w:val="bottom"/>
            <w:shd w:val="clear" w:color="auto" w:fill="B6DEE8"/>
          </w:tcPr>
          <w:p>
            <w:pPr>
              <w:spacing w:after="0"/>
              <w:rPr>
                <w:sz w:val="18"/>
                <w:szCs w:val="18"/>
                <w:color w:val="auto"/>
              </w:rPr>
            </w:pPr>
          </w:p>
        </w:tc>
        <w:tc>
          <w:tcPr>
            <w:tcW w:w="2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2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400" w:type="dxa"/>
            <w:vAlign w:val="bottom"/>
            <w:shd w:val="clear" w:color="auto" w:fill="B6DEE8"/>
          </w:tcPr>
          <w:p>
            <w:pPr>
              <w:spacing w:after="0"/>
              <w:rPr>
                <w:sz w:val="18"/>
                <w:szCs w:val="18"/>
                <w:color w:val="auto"/>
              </w:rPr>
            </w:pPr>
          </w:p>
        </w:tc>
        <w:tc>
          <w:tcPr>
            <w:tcW w:w="5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B6DEE8"/>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612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40" w:type="dxa"/>
            <w:vAlign w:val="bottom"/>
            <w:tcBorders>
              <w:bottom w:val="single" w:sz="8" w:color="auto"/>
            </w:tcBorders>
            <w:shd w:val="clear" w:color="auto" w:fill="B6DEE8"/>
          </w:tcPr>
          <w:p>
            <w:pPr>
              <w:spacing w:after="0"/>
              <w:rPr>
                <w:sz w:val="18"/>
                <w:szCs w:val="18"/>
                <w:color w:val="auto"/>
              </w:rPr>
            </w:pPr>
          </w:p>
        </w:tc>
        <w:tc>
          <w:tcPr>
            <w:tcW w:w="1160" w:type="dxa"/>
            <w:vAlign w:val="bottom"/>
            <w:tcBorders>
              <w:bottom w:val="single" w:sz="8" w:color="auto"/>
            </w:tcBorders>
            <w:shd w:val="clear" w:color="auto" w:fill="B6DEE8"/>
          </w:tcPr>
          <w:p>
            <w:pPr>
              <w:spacing w:after="0"/>
              <w:rPr>
                <w:sz w:val="18"/>
                <w:szCs w:val="18"/>
                <w:color w:val="auto"/>
              </w:rPr>
            </w:pPr>
          </w:p>
        </w:tc>
        <w:tc>
          <w:tcPr>
            <w:tcW w:w="580" w:type="dxa"/>
            <w:vAlign w:val="bottom"/>
            <w:tcBorders>
              <w:bottom w:val="single" w:sz="8" w:color="auto"/>
            </w:tcBorders>
            <w:gridSpan w:val="3"/>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B6DEE8"/>
          </w:tcPr>
          <w:p>
            <w:pPr>
              <w:spacing w:after="0"/>
              <w:rPr>
                <w:sz w:val="18"/>
                <w:szCs w:val="18"/>
                <w:color w:val="auto"/>
              </w:rPr>
            </w:pPr>
          </w:p>
        </w:tc>
        <w:tc>
          <w:tcPr>
            <w:tcW w:w="80" w:type="dxa"/>
            <w:vAlign w:val="bottom"/>
            <w:tcBorders>
              <w:bottom w:val="single" w:sz="8" w:color="auto"/>
            </w:tcBorders>
            <w:shd w:val="clear" w:color="auto" w:fill="B6DEE8"/>
          </w:tcPr>
          <w:p>
            <w:pPr>
              <w:spacing w:after="0"/>
              <w:rPr>
                <w:sz w:val="18"/>
                <w:szCs w:val="18"/>
                <w:color w:val="auto"/>
              </w:rPr>
            </w:pPr>
          </w:p>
        </w:tc>
        <w:tc>
          <w:tcPr>
            <w:tcW w:w="1400" w:type="dxa"/>
            <w:vAlign w:val="bottom"/>
            <w:tcBorders>
              <w:bottom w:val="single" w:sz="8" w:color="auto"/>
            </w:tcBorders>
            <w:shd w:val="clear" w:color="auto" w:fill="B6DEE8"/>
          </w:tcPr>
          <w:p>
            <w:pPr>
              <w:spacing w:after="0"/>
              <w:rPr>
                <w:sz w:val="18"/>
                <w:szCs w:val="18"/>
                <w:color w:val="auto"/>
              </w:rPr>
            </w:pPr>
          </w:p>
        </w:tc>
        <w:tc>
          <w:tcPr>
            <w:tcW w:w="50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09"/>
        </w:trPr>
        <w:tc>
          <w:tcPr>
            <w:tcW w:w="44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r>
      <w:tr>
        <w:trPr>
          <w:trHeight w:val="250"/>
        </w:trPr>
        <w:tc>
          <w:tcPr>
            <w:tcW w:w="440" w:type="dxa"/>
            <w:vAlign w:val="bottom"/>
          </w:tcPr>
          <w:p>
            <w:pPr>
              <w:spacing w:after="0"/>
              <w:rPr>
                <w:sz w:val="21"/>
                <w:szCs w:val="21"/>
                <w:color w:val="auto"/>
              </w:rPr>
            </w:pPr>
          </w:p>
        </w:tc>
        <w:tc>
          <w:tcPr>
            <w:tcW w:w="612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40" w:type="dxa"/>
            <w:vAlign w:val="bottom"/>
            <w:tcBorders>
              <w:top w:val="single" w:sz="8" w:color="auto"/>
              <w:bottom w:val="single" w:sz="8" w:color="auto"/>
            </w:tcBorders>
            <w:shd w:val="clear" w:color="auto" w:fill="B6DEE8"/>
          </w:tcPr>
          <w:p>
            <w:pPr>
              <w:spacing w:after="0"/>
              <w:rPr>
                <w:sz w:val="21"/>
                <w:szCs w:val="21"/>
                <w:color w:val="auto"/>
              </w:rPr>
            </w:pPr>
          </w:p>
        </w:tc>
        <w:tc>
          <w:tcPr>
            <w:tcW w:w="1160" w:type="dxa"/>
            <w:vAlign w:val="bottom"/>
            <w:tcBorders>
              <w:top w:val="single" w:sz="8" w:color="auto"/>
              <w:bottom w:val="single" w:sz="8" w:color="auto"/>
            </w:tcBorders>
            <w:shd w:val="clear" w:color="auto" w:fill="B6DEE8"/>
          </w:tcPr>
          <w:p>
            <w:pPr>
              <w:spacing w:after="0"/>
              <w:rPr>
                <w:sz w:val="21"/>
                <w:szCs w:val="21"/>
                <w:color w:val="auto"/>
              </w:rPr>
            </w:pPr>
          </w:p>
        </w:tc>
        <w:tc>
          <w:tcPr>
            <w:tcW w:w="580" w:type="dxa"/>
            <w:vAlign w:val="bottom"/>
            <w:tcBorders>
              <w:top w:val="single" w:sz="8" w:color="auto"/>
              <w:bottom w:val="single" w:sz="8" w:color="auto"/>
            </w:tcBorders>
            <w:gridSpan w:val="3"/>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auto"/>
            </w:tcBorders>
            <w:shd w:val="clear" w:color="auto" w:fill="B6DEE8"/>
          </w:tcPr>
          <w:p>
            <w:pPr>
              <w:spacing w:after="0"/>
              <w:rPr>
                <w:sz w:val="21"/>
                <w:szCs w:val="21"/>
                <w:color w:val="auto"/>
              </w:rPr>
            </w:pPr>
          </w:p>
        </w:tc>
        <w:tc>
          <w:tcPr>
            <w:tcW w:w="80" w:type="dxa"/>
            <w:vAlign w:val="bottom"/>
            <w:tcBorders>
              <w:top w:val="single" w:sz="8" w:color="auto"/>
              <w:bottom w:val="single" w:sz="8" w:color="auto"/>
            </w:tcBorders>
            <w:shd w:val="clear" w:color="auto" w:fill="B6DEE8"/>
          </w:tcPr>
          <w:p>
            <w:pPr>
              <w:spacing w:after="0"/>
              <w:rPr>
                <w:sz w:val="21"/>
                <w:szCs w:val="21"/>
                <w:color w:val="auto"/>
              </w:rPr>
            </w:pPr>
          </w:p>
        </w:tc>
        <w:tc>
          <w:tcPr>
            <w:tcW w:w="1400" w:type="dxa"/>
            <w:vAlign w:val="bottom"/>
            <w:tcBorders>
              <w:top w:val="single" w:sz="8" w:color="auto"/>
              <w:bottom w:val="single" w:sz="8" w:color="auto"/>
            </w:tcBorders>
            <w:shd w:val="clear" w:color="auto" w:fill="B6DEE8"/>
          </w:tcPr>
          <w:p>
            <w:pPr>
              <w:spacing w:after="0"/>
              <w:rPr>
                <w:sz w:val="21"/>
                <w:szCs w:val="21"/>
                <w:color w:val="auto"/>
              </w:rPr>
            </w:pPr>
          </w:p>
        </w:tc>
        <w:tc>
          <w:tcPr>
            <w:tcW w:w="500" w:type="dxa"/>
            <w:vAlign w:val="bottom"/>
            <w:tcBorders>
              <w:top w:val="single" w:sz="8" w:color="auto"/>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554</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-2562225</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-2545080</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-2562225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-2545080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Instruments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are the major categories of assets and liabilities measured at fair value on a recurring basis as of December 31, 2024 and 2023, using quoted prices in active markets for identical assets (Level 1), significant other observable inputs (Level 2), and significant unobservable inputs (Level 3) (in thousands):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shd w:val="clear" w:color="auto" w:fill="B6DEE8"/>
          </w:tcPr>
          <w:p>
            <w:pPr>
              <w:spacing w:after="0"/>
              <w:rPr>
                <w:sz w:val="17"/>
                <w:szCs w:val="17"/>
                <w:color w:val="auto"/>
              </w:rPr>
            </w:pPr>
          </w:p>
        </w:tc>
        <w:tc>
          <w:tcPr>
            <w:tcW w:w="426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B6DEE8"/>
          </w:tcPr>
          <w:p>
            <w:pPr>
              <w:spacing w:after="0"/>
              <w:rPr>
                <w:sz w:val="17"/>
                <w:szCs w:val="17"/>
                <w:color w:val="auto"/>
              </w:rPr>
            </w:pPr>
          </w:p>
        </w:tc>
        <w:tc>
          <w:tcPr>
            <w:tcW w:w="9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8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100" w:type="dxa"/>
            <w:vAlign w:val="bottom"/>
            <w:shd w:val="clear" w:color="auto" w:fill="B6DEE8"/>
          </w:tcPr>
          <w:p>
            <w:pPr>
              <w:spacing w:after="0"/>
              <w:rPr>
                <w:sz w:val="17"/>
                <w:szCs w:val="17"/>
                <w:color w:val="auto"/>
              </w:rPr>
            </w:pPr>
          </w:p>
        </w:tc>
        <w:tc>
          <w:tcPr>
            <w:tcW w:w="48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360" w:type="dxa"/>
            <w:vAlign w:val="bottom"/>
            <w:shd w:val="clear" w:color="auto" w:fill="B6DEE8"/>
          </w:tcPr>
          <w:p>
            <w:pPr>
              <w:spacing w:after="0"/>
              <w:rPr>
                <w:sz w:val="17"/>
                <w:szCs w:val="17"/>
                <w:color w:val="auto"/>
              </w:rPr>
            </w:pPr>
          </w:p>
        </w:tc>
        <w:tc>
          <w:tcPr>
            <w:tcW w:w="130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auto"/>
            </w:tcBorders>
            <w:shd w:val="clear" w:color="auto" w:fill="B6DEE8"/>
          </w:tcPr>
          <w:p>
            <w:pPr>
              <w:spacing w:after="0"/>
              <w:rPr>
                <w:sz w:val="18"/>
                <w:szCs w:val="18"/>
                <w:color w:val="auto"/>
              </w:rPr>
            </w:pPr>
          </w:p>
        </w:tc>
        <w:tc>
          <w:tcPr>
            <w:tcW w:w="4260" w:type="dxa"/>
            <w:vAlign w:val="bottom"/>
            <w:tcBorders>
              <w:bottom w:val="single" w:sz="8" w:color="auto"/>
            </w:tcBorders>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Borders>
              <w:bottom w:val="single" w:sz="8" w:color="auto"/>
            </w:tcBorders>
            <w:shd w:val="clear" w:color="auto" w:fill="B6DEE8"/>
          </w:tcPr>
          <w:p>
            <w:pPr>
              <w:spacing w:after="0"/>
              <w:rPr>
                <w:sz w:val="18"/>
                <w:szCs w:val="18"/>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180" w:type="dxa"/>
            <w:vAlign w:val="bottom"/>
            <w:tcBorders>
              <w:bottom w:val="single" w:sz="8" w:color="auto"/>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8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00" w:type="dxa"/>
            <w:vAlign w:val="bottom"/>
            <w:tcBorders>
              <w:bottom w:val="single" w:sz="8" w:color="B6DEE8"/>
            </w:tcBorders>
            <w:shd w:val="clear" w:color="auto" w:fill="B6DEE8"/>
          </w:tcPr>
          <w:p>
            <w:pPr>
              <w:spacing w:after="0"/>
              <w:rPr>
                <w:sz w:val="18"/>
                <w:szCs w:val="18"/>
                <w:color w:val="auto"/>
              </w:rPr>
            </w:pPr>
          </w:p>
        </w:tc>
        <w:tc>
          <w:tcPr>
            <w:tcW w:w="180" w:type="dxa"/>
            <w:vAlign w:val="bottom"/>
            <w:tcBorders>
              <w:bottom w:val="single" w:sz="8" w:color="auto"/>
            </w:tcBorders>
            <w:shd w:val="clear" w:color="auto" w:fill="B6DEE8"/>
          </w:tcPr>
          <w:p>
            <w:pPr>
              <w:spacing w:after="0"/>
              <w:rPr>
                <w:sz w:val="18"/>
                <w:szCs w:val="18"/>
                <w:color w:val="auto"/>
              </w:rPr>
            </w:pPr>
          </w:p>
        </w:tc>
        <w:tc>
          <w:tcPr>
            <w:tcW w:w="1100" w:type="dxa"/>
            <w:vAlign w:val="bottom"/>
            <w:tcBorders>
              <w:bottom w:val="single" w:sz="8" w:color="auto"/>
            </w:tcBorders>
            <w:shd w:val="clear" w:color="auto" w:fill="B6DEE8"/>
          </w:tcPr>
          <w:p>
            <w:pPr>
              <w:spacing w:after="0"/>
              <w:rPr>
                <w:sz w:val="18"/>
                <w:szCs w:val="18"/>
                <w:color w:val="auto"/>
              </w:rPr>
            </w:pPr>
          </w:p>
        </w:tc>
        <w:tc>
          <w:tcPr>
            <w:tcW w:w="4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B6DEE8"/>
            </w:tcBorders>
            <w:shd w:val="clear" w:color="auto" w:fill="B6DEE8"/>
          </w:tcPr>
          <w:p>
            <w:pPr>
              <w:spacing w:after="0"/>
              <w:rPr>
                <w:sz w:val="18"/>
                <w:szCs w:val="18"/>
                <w:color w:val="auto"/>
              </w:rPr>
            </w:pPr>
          </w:p>
        </w:tc>
        <w:tc>
          <w:tcPr>
            <w:tcW w:w="200" w:type="dxa"/>
            <w:vAlign w:val="bottom"/>
            <w:tcBorders>
              <w:bottom w:val="single" w:sz="8" w:color="auto"/>
            </w:tcBorders>
            <w:shd w:val="clear" w:color="auto" w:fill="B6DEE8"/>
          </w:tcPr>
          <w:p>
            <w:pPr>
              <w:spacing w:after="0"/>
              <w:rPr>
                <w:sz w:val="18"/>
                <w:szCs w:val="18"/>
                <w:color w:val="auto"/>
              </w:rPr>
            </w:pPr>
          </w:p>
        </w:tc>
        <w:tc>
          <w:tcPr>
            <w:tcW w:w="360" w:type="dxa"/>
            <w:vAlign w:val="bottom"/>
            <w:tcBorders>
              <w:bottom w:val="single" w:sz="8" w:color="auto"/>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40,473</w:t>
            </w:r>
          </w:p>
        </w:tc>
        <w:tc>
          <w:tcPr>
            <w:tcW w:w="138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40,570</w:t>
            </w:r>
          </w:p>
        </w:tc>
        <w:tc>
          <w:tcPr>
            <w:tcW w:w="100" w:type="dxa"/>
            <w:vAlign w:val="bottom"/>
          </w:tcPr>
          <w:p>
            <w:pPr>
              <w:spacing w:after="0"/>
              <w:rPr>
                <w:sz w:val="18"/>
                <w:szCs w:val="18"/>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shd w:val="clear" w:color="auto" w:fill="B6DEE8"/>
          </w:tcPr>
          <w:p>
            <w:pPr>
              <w:spacing w:after="0"/>
              <w:rPr>
                <w:sz w:val="17"/>
                <w:szCs w:val="17"/>
                <w:color w:val="auto"/>
              </w:rPr>
            </w:pPr>
          </w:p>
        </w:tc>
        <w:tc>
          <w:tcPr>
            <w:tcW w:w="426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B6DEE8"/>
          </w:tcPr>
          <w:p>
            <w:pPr>
              <w:spacing w:after="0"/>
              <w:rPr>
                <w:sz w:val="17"/>
                <w:szCs w:val="17"/>
                <w:color w:val="auto"/>
              </w:rPr>
            </w:pPr>
          </w:p>
        </w:tc>
        <w:tc>
          <w:tcPr>
            <w:tcW w:w="94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8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100" w:type="dxa"/>
            <w:vAlign w:val="bottom"/>
            <w:shd w:val="clear" w:color="auto" w:fill="B6DEE8"/>
          </w:tcPr>
          <w:p>
            <w:pPr>
              <w:spacing w:after="0"/>
              <w:rPr>
                <w:sz w:val="17"/>
                <w:szCs w:val="17"/>
                <w:color w:val="auto"/>
              </w:rPr>
            </w:pPr>
          </w:p>
        </w:tc>
        <w:tc>
          <w:tcPr>
            <w:tcW w:w="48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200" w:type="dxa"/>
            <w:vAlign w:val="bottom"/>
            <w:shd w:val="clear" w:color="auto" w:fill="B6DEE8"/>
          </w:tcPr>
          <w:p>
            <w:pPr>
              <w:spacing w:after="0"/>
              <w:rPr>
                <w:sz w:val="17"/>
                <w:szCs w:val="17"/>
                <w:color w:val="auto"/>
              </w:rPr>
            </w:pPr>
          </w:p>
        </w:tc>
        <w:tc>
          <w:tcPr>
            <w:tcW w:w="360" w:type="dxa"/>
            <w:vAlign w:val="bottom"/>
            <w:shd w:val="clear" w:color="auto" w:fill="B6DEE8"/>
          </w:tcPr>
          <w:p>
            <w:pPr>
              <w:spacing w:after="0"/>
              <w:rPr>
                <w:sz w:val="17"/>
                <w:szCs w:val="17"/>
                <w:color w:val="auto"/>
              </w:rPr>
            </w:pPr>
          </w:p>
        </w:tc>
        <w:tc>
          <w:tcPr>
            <w:tcW w:w="130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r>
      <w:tr>
        <w:trPr>
          <w:trHeight w:val="216"/>
        </w:trPr>
        <w:tc>
          <w:tcPr>
            <w:tcW w:w="20" w:type="dxa"/>
            <w:vAlign w:val="bottom"/>
            <w:shd w:val="clear" w:color="auto" w:fill="B6DEE8"/>
          </w:tcPr>
          <w:p>
            <w:pPr>
              <w:spacing w:after="0"/>
              <w:rPr>
                <w:sz w:val="18"/>
                <w:szCs w:val="18"/>
                <w:color w:val="auto"/>
              </w:rPr>
            </w:pPr>
          </w:p>
        </w:tc>
        <w:tc>
          <w:tcPr>
            <w:tcW w:w="4260" w:type="dxa"/>
            <w:vAlign w:val="bottom"/>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80" w:type="dxa"/>
            <w:vAlign w:val="bottom"/>
            <w:shd w:val="clear" w:color="auto" w:fill="B6DEE8"/>
          </w:tcPr>
          <w:p>
            <w:pPr>
              <w:spacing w:after="0"/>
              <w:rPr>
                <w:sz w:val="18"/>
                <w:szCs w:val="18"/>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8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4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360" w:type="dxa"/>
            <w:vAlign w:val="bottom"/>
            <w:shd w:val="clear" w:color="auto" w:fill="B6DEE8"/>
          </w:tcPr>
          <w:p>
            <w:pPr>
              <w:spacing w:after="0"/>
              <w:rPr>
                <w:sz w:val="18"/>
                <w:szCs w:val="18"/>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B6DEE8"/>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Earnout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8"/>
                <w:szCs w:val="18"/>
                <w:color w:val="auto"/>
              </w:rPr>
            </w:pPr>
          </w:p>
        </w:tc>
      </w:tr>
      <w:tr>
        <w:trPr>
          <w:trHeight w:val="250"/>
        </w:trPr>
        <w:tc>
          <w:tcPr>
            <w:tcW w:w="20" w:type="dxa"/>
            <w:vAlign w:val="bottom"/>
            <w:tcBorders>
              <w:bottom w:val="single" w:sz="8" w:color="auto"/>
            </w:tcBorders>
            <w:shd w:val="clear" w:color="auto" w:fill="B6DEE8"/>
          </w:tcPr>
          <w:p>
            <w:pPr>
              <w:spacing w:after="0"/>
              <w:rPr>
                <w:sz w:val="21"/>
                <w:szCs w:val="21"/>
                <w:color w:val="auto"/>
              </w:rPr>
            </w:pPr>
          </w:p>
        </w:tc>
        <w:tc>
          <w:tcPr>
            <w:tcW w:w="426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tcBorders>
              <w:bottom w:val="single" w:sz="8" w:color="B6DEE8"/>
            </w:tcBorders>
            <w:shd w:val="clear" w:color="auto" w:fill="B6DEE8"/>
          </w:tcPr>
          <w:p>
            <w:pPr>
              <w:spacing w:after="0"/>
              <w:rPr>
                <w:sz w:val="21"/>
                <w:szCs w:val="21"/>
                <w:color w:val="auto"/>
              </w:rPr>
            </w:pPr>
          </w:p>
        </w:tc>
        <w:tc>
          <w:tcPr>
            <w:tcW w:w="340" w:type="dxa"/>
            <w:vAlign w:val="bottom"/>
            <w:tcBorders>
              <w:bottom w:val="single" w:sz="8" w:color="auto"/>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280" w:type="dxa"/>
            <w:vAlign w:val="bottom"/>
            <w:tcBorders>
              <w:bottom w:val="single" w:sz="8" w:color="auto"/>
            </w:tcBorders>
            <w:gridSpan w:val="2"/>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80" w:type="dxa"/>
            <w:vAlign w:val="bottom"/>
            <w:tcBorders>
              <w:bottom w:val="single" w:sz="8" w:color="B6DEE8"/>
            </w:tcBorders>
            <w:shd w:val="clear" w:color="auto" w:fill="B6DEE8"/>
          </w:tcPr>
          <w:p>
            <w:pPr>
              <w:spacing w:after="0"/>
              <w:rPr>
                <w:sz w:val="21"/>
                <w:szCs w:val="21"/>
                <w:color w:val="auto"/>
              </w:rPr>
            </w:pPr>
          </w:p>
        </w:tc>
        <w:tc>
          <w:tcPr>
            <w:tcW w:w="560" w:type="dxa"/>
            <w:vAlign w:val="bottom"/>
            <w:tcBorders>
              <w:bottom w:val="single" w:sz="8" w:color="auto"/>
            </w:tcBorders>
            <w:gridSpan w:val="2"/>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-890905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-890905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-890905</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-890905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596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596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assets and liabilities measured at fair value on a non-recurring basis as of December 31, 2024 and 2023.</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01" w:name="page102"/>
    <w:bookmarkEnd w:id="101"/>
    <w:p>
      <w:pPr>
        <w:spacing w:after="0" w:line="1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also has financial instruments not measured at fair value. The Company has evaluated cash (Level 1), restricted cash (Level 1), accounts payable (Level 2), accrued expenses (Level 2) and ExtraCash receivables (Level 3) and believes the carrying value approximates the fair value due to the short-term nature of these balances. The fair value of the debt facility (Level 2) approximates its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13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the fair value of investments held as of December 31, 2024 and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fair value of U.S. government securities is estimated by independent pricing services who use computerized valuation formulas to calculate current values. U.S. government securities are categorized in Level 2 of the fair value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Bonds and Notes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Securities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discussed further in Note 10,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loss related to the change in fair value of the public warrant liability for year ended December 31, 2024, was $0.9 million, which is presented within changes in fair value of public warrant liability in the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Level 1 public warrant liability is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50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4200" w:type="dxa"/>
            <w:vAlign w:val="bottom"/>
            <w:tcBorders>
              <w:bottom w:val="single" w:sz="8" w:color="B6DEE8"/>
            </w:tcBorders>
            <w:shd w:val="clear" w:color="auto" w:fill="B6DEE8"/>
          </w:tcPr>
          <w:p>
            <w:pPr>
              <w:spacing w:after="0"/>
              <w:rPr>
                <w:sz w:val="18"/>
                <w:szCs w:val="18"/>
                <w:color w:val="auto"/>
              </w:rPr>
            </w:pPr>
          </w:p>
        </w:tc>
        <w:tc>
          <w:tcPr>
            <w:tcW w:w="820" w:type="dxa"/>
            <w:vAlign w:val="bottom"/>
            <w:tcBorders>
              <w:bottom w:val="single" w:sz="8" w:color="auto"/>
            </w:tcBorders>
            <w:shd w:val="clear" w:color="auto" w:fill="B6DEE8"/>
          </w:tcPr>
          <w:p>
            <w:pPr>
              <w:spacing w:after="0"/>
              <w:rPr>
                <w:sz w:val="18"/>
                <w:szCs w:val="18"/>
                <w:color w:val="auto"/>
              </w:rPr>
            </w:pPr>
          </w:p>
        </w:tc>
        <w:tc>
          <w:tcPr>
            <w:tcW w:w="11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B6DEE8"/>
            </w:tcBorders>
            <w:shd w:val="clear" w:color="auto" w:fill="B6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2024</w:t>
            </w:r>
          </w:p>
        </w:tc>
        <w:tc>
          <w:tcPr>
            <w:tcW w:w="50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0" w:type="dxa"/>
            <w:vAlign w:val="bottom"/>
            <w:vMerge w:val="restart"/>
          </w:tcPr>
          <w:p>
            <w:pPr>
              <w:jc w:val="right"/>
              <w:ind w:right="277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-1216660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further in Note 10,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consolidated statement of operations. The derivative liability was subsequently recorded at fair value at each reporting period, with changes in fair value reflected in earnings. The loss related to the change in fair value of the private warrant liability for year ended December 31, 2024 was $0.8 million, which is presented within changes in fair value of private warrant liability in the consolidated statements of operations.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private warrant liability is as follows (in thousands):</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04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80" w:type="dxa"/>
            <w:vAlign w:val="bottom"/>
            <w:tcBorders>
              <w:bottom w:val="single" w:sz="8" w:color="auto"/>
            </w:tcBorders>
            <w:shd w:val="clear" w:color="auto" w:fill="B6DEE8"/>
          </w:tcPr>
          <w:p>
            <w:pPr>
              <w:spacing w:after="0"/>
              <w:rPr>
                <w:sz w:val="18"/>
                <w:szCs w:val="18"/>
                <w:color w:val="auto"/>
              </w:rPr>
            </w:pP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2024</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 used a Black-Scholes option pricing model to determine the fair value of the private warrant liability. The following table presents the assumptions used to value the private warrant liability for the year ended December 31, 2024:</w:t>
      </w:r>
    </w:p>
    <w:tbl>
      <w:tblPr>
        <w:tblLayout w:type="fixed"/>
        <w:tblInd w:w="58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47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40" w:type="dxa"/>
            <w:vAlign w:val="bottom"/>
            <w:shd w:val="clear" w:color="auto" w:fill="B7DEE8"/>
          </w:tcPr>
          <w:p>
            <w:pPr>
              <w:spacing w:after="0"/>
              <w:rPr>
                <w:sz w:val="18"/>
                <w:szCs w:val="18"/>
                <w:color w:val="auto"/>
              </w:rPr>
            </w:pPr>
          </w:p>
        </w:tc>
        <w:tc>
          <w:tcPr>
            <w:tcW w:w="14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66.9 %</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16"/>
        </w:trPr>
        <w:tc>
          <w:tcPr>
            <w:tcW w:w="47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3840" w:type="dxa"/>
            <w:vAlign w:val="bottom"/>
            <w:shd w:val="clear" w:color="auto" w:fill="B7DEE8"/>
          </w:tcPr>
          <w:p>
            <w:pPr>
              <w:spacing w:after="0"/>
              <w:rPr>
                <w:sz w:val="18"/>
                <w:szCs w:val="18"/>
                <w:color w:val="auto"/>
              </w:rPr>
            </w:pPr>
          </w:p>
        </w:tc>
        <w:tc>
          <w:tcPr>
            <w:tcW w:w="148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2.01 years</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Liability:</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part of the recapitalization and business combination in January 2022, 49,563 shares of Class A Common Stock held by founders of VPCC are subject to forfeiture if the vesting condition is not met over the five year term following the Closing Date (“Founder Holder Earnout Shares”). These Founder Holder Earnout Shares were initially recorded as a liability at fair value and subsequently recorded at fair value at each reporting period, with changes in fair value reflected in earnings. The loss related to the change in fair value of the Founder Holder Earnout Shares liabilities for year ended December 31, 2024, was $1.0 million, which is presented within changes in fair value of earnout liabilities in the consolidated statements of operations.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Founder Holder Earnout Shares liability is as follows (in thousands):</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04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80" w:type="dxa"/>
            <w:vAlign w:val="bottom"/>
            <w:tcBorders>
              <w:bottom w:val="single" w:sz="8" w:color="auto"/>
            </w:tcBorders>
            <w:shd w:val="clear" w:color="auto" w:fill="B6DEE8"/>
          </w:tcPr>
          <w:p>
            <w:pPr>
              <w:spacing w:after="0"/>
              <w:rPr>
                <w:sz w:val="18"/>
                <w:szCs w:val="18"/>
                <w:color w:val="auto"/>
              </w:rPr>
            </w:pP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2024</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used a Monte Carlo Simulation Method to determine the fair value of the Founder Holder Earnout Shares liability. The following table presents the assumptions used to value the Founder Holder Earnout Shares liability for the year ended December 31, 2024:</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76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$400-$480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73.4 %</w:t>
            </w:r>
          </w:p>
        </w:tc>
      </w:t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 years</w:t>
            </w:r>
          </w:p>
        </w:tc>
      </w:t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other assets or liabilities that were required to be measured at fair value on a recurring basis as of December 31, 2024 and December 31, 2023.</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 of December 31, 2024, no shares of preferred stock were outstanding, and the Company has no present plans to issue any shares of preferred stock. Pursuant to the terms of the Company’s amended and restated certificate of incorporation, shares of preferred stock may be issued from time to time in one or more series. The Company’s Board of Directors are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are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V Common Stock:</w:t>
      </w:r>
    </w:p>
    <w:p>
      <w:pPr>
        <w:spacing w:after="0" w:line="26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Class V Common Stock are convertible into shares of Class A Common Stock on a one-to-one basis at the option of the holders of Class V Common Stock at any time upon written notice to the Company. As of December 31, 2024, the Company had 11,551,528 and 1,514,082 of Class A Common Stock and Class V Common Stock issued, respectively. As of December 31, 2024, the Company had 11,501,965 and 1,514,082 of Class A Common Stock and Class V Common Stock outstanding,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Stock-Based Compensation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recognized $37.3 million and $26.7 million of stock-based compensation expense arising from stock options, restricted stock unit grants and performance-based restricted stock unit grants which is recorded as a component of compensation and benefits in the consolidated statements of operations for the years ended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spacing w:after="0" w:line="200"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of time that options are expected to be outstanding. As the Company does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behavior, it determines the expected life assumption using the simplified method, which is an average of the contractual term of the option and its vesting period.</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 free interest rate</w:t>
      </w:r>
      <w:r>
        <w:rPr>
          <w:rFonts w:ascii="Times New Roman" w:cs="Times New Roman" w:eastAsia="Times New Roman" w:hAnsi="Times New Roman"/>
          <w:sz w:val="18"/>
          <w:szCs w:val="18"/>
          <w:color w:val="auto"/>
        </w:rPr>
        <w:t>—The risk-free interest rate is based on the implied yield available on U.S. Treasury issues with an equivalent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the options depending on the date of the grant and expected life of the options.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bases the expected dividend yield assumption on the fact that it has never paid cash dividends and has no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to pay cash dividends.</w:t>
      </w:r>
    </w:p>
    <w:p>
      <w:pPr>
        <w:spacing w:after="0" w:line="1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the Company’s limited operating history and lack of company-specific historical or implied volatility,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with respect to stock options is summarized as follows: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4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10"/>
        </w:trPr>
        <w:tc>
          <w:tcPr>
            <w:tcW w:w="4820" w:type="dxa"/>
            <w:vAlign w:val="bottom"/>
            <w:gridSpan w:val="2"/>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January 1, 2023</w:t>
            </w:r>
          </w:p>
        </w:tc>
        <w:tc>
          <w:tcPr>
            <w:tcW w:w="12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904,220</w:t>
            </w:r>
          </w:p>
        </w:tc>
        <w:tc>
          <w:tcPr>
            <w:tcW w:w="220" w:type="dxa"/>
            <w:vAlign w:val="bottom"/>
            <w:shd w:val="clear" w:color="auto" w:fill="B7DEE8"/>
          </w:tcPr>
          <w:p>
            <w:pPr>
              <w:spacing w:after="0"/>
              <w:rPr>
                <w:sz w:val="18"/>
                <w:szCs w:val="18"/>
                <w:color w:val="auto"/>
              </w:rPr>
            </w:pP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3"/>
              </w:rPr>
              <w:t>21.04</w:t>
            </w:r>
          </w:p>
        </w:tc>
        <w:tc>
          <w:tcPr>
            <w:tcW w:w="166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B7DEE8"/>
          </w:tcPr>
          <w:p>
            <w:pPr>
              <w:spacing w:after="0"/>
              <w:rPr>
                <w:sz w:val="18"/>
                <w:szCs w:val="18"/>
                <w:color w:val="auto"/>
              </w:rPr>
            </w:pPr>
          </w:p>
        </w:tc>
      </w:tr>
      <w:tr>
        <w:trPr>
          <w:trHeight w:val="216"/>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335,502</w:t>
            </w:r>
          </w:p>
        </w:tc>
        <w:tc>
          <w:tcPr>
            <w:tcW w:w="22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gridSpan w:val="2"/>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B7DEE8"/>
          </w:tcPr>
          <w:p>
            <w:pPr>
              <w:jc w:val="right"/>
              <w:ind w:right="140"/>
              <w:spacing w:after="0"/>
              <w:rPr>
                <w:sz w:val="20"/>
                <w:szCs w:val="20"/>
                <w:color w:val="auto"/>
              </w:rPr>
            </w:pPr>
            <w:r>
              <w:rPr>
                <w:rFonts w:ascii="Times New Roman" w:cs="Times New Roman" w:eastAsia="Times New Roman" w:hAnsi="Times New Roman"/>
                <w:sz w:val="18"/>
                <w:szCs w:val="18"/>
                <w:color w:val="auto"/>
              </w:rPr>
              <w:t>(13,099 )</w:t>
            </w: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B7DEE8"/>
          </w:tcPr>
          <w:p>
            <w:pPr>
              <w:spacing w:after="0"/>
              <w:rPr>
                <w:sz w:val="18"/>
                <w:szCs w:val="18"/>
                <w:color w:val="auto"/>
              </w:rPr>
            </w:pPr>
          </w:p>
        </w:tc>
        <w:tc>
          <w:tcPr>
            <w:tcW w:w="14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3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(143,068 )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21.67</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Expired</w:t>
            </w:r>
          </w:p>
        </w:tc>
        <w:tc>
          <w:tcPr>
            <w:tcW w:w="300" w:type="dxa"/>
            <w:vAlign w:val="bottom"/>
            <w:shd w:val="clear" w:color="auto" w:fill="B7DEE8"/>
          </w:tcPr>
          <w:p>
            <w:pPr>
              <w:spacing w:after="0"/>
              <w:rPr>
                <w:sz w:val="18"/>
                <w:szCs w:val="18"/>
                <w:color w:val="auto"/>
              </w:rPr>
            </w:pPr>
          </w:p>
        </w:tc>
        <w:tc>
          <w:tcPr>
            <w:tcW w:w="1460" w:type="dxa"/>
            <w:vAlign w:val="bottom"/>
            <w:gridSpan w:val="2"/>
            <w:shd w:val="clear" w:color="auto" w:fill="B7DEE8"/>
          </w:tcPr>
          <w:p>
            <w:pPr>
              <w:jc w:val="right"/>
              <w:ind w:right="140"/>
              <w:spacing w:after="0"/>
              <w:rPr>
                <w:sz w:val="20"/>
                <w:szCs w:val="20"/>
                <w:color w:val="auto"/>
              </w:rPr>
            </w:pPr>
            <w:r>
              <w:rPr>
                <w:rFonts w:ascii="Times New Roman" w:cs="Times New Roman" w:eastAsia="Times New Roman" w:hAnsi="Times New Roman"/>
                <w:sz w:val="18"/>
                <w:szCs w:val="18"/>
                <w:color w:val="auto"/>
              </w:rPr>
              <w:t>(316,726 )</w:t>
            </w: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3"/>
              </w:rPr>
              <w:t>22.84</w:t>
            </w:r>
          </w:p>
        </w:tc>
        <w:tc>
          <w:tcPr>
            <w:tcW w:w="220" w:type="dxa"/>
            <w:vAlign w:val="bottom"/>
            <w:shd w:val="clear" w:color="auto" w:fill="B7DEE8"/>
          </w:tcPr>
          <w:p>
            <w:pPr>
              <w:spacing w:after="0"/>
              <w:rPr>
                <w:sz w:val="18"/>
                <w:szCs w:val="18"/>
                <w:color w:val="auto"/>
              </w:rPr>
            </w:pPr>
          </w:p>
        </w:tc>
        <w:tc>
          <w:tcPr>
            <w:tcW w:w="14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3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0"/>
        </w:trPr>
        <w:tc>
          <w:tcPr>
            <w:tcW w:w="4520" w:type="dxa"/>
            <w:vAlign w:val="bottom"/>
            <w:tcBorders>
              <w:top w:val="single" w:sz="8" w:color="B7DEE8"/>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December 31, 2023</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766,829</w:t>
            </w:r>
          </w:p>
        </w:tc>
        <w:tc>
          <w:tcPr>
            <w:tcW w:w="220" w:type="dxa"/>
            <w:vAlign w:val="bottom"/>
            <w:tcBorders>
              <w:top w:val="single" w:sz="8" w:color="B7DEE8"/>
            </w:tcBorders>
          </w:tcPr>
          <w:p>
            <w:pPr>
              <w:spacing w:after="0"/>
              <w:rPr>
                <w:sz w:val="18"/>
                <w:szCs w:val="18"/>
                <w:color w:val="auto"/>
              </w:rPr>
            </w:pPr>
          </w:p>
        </w:tc>
        <w:tc>
          <w:tcPr>
            <w:tcW w:w="1100" w:type="dxa"/>
            <w:vAlign w:val="bottom"/>
            <w:tcBorders>
              <w:top w:val="single" w:sz="8" w:color="B7DEE8"/>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w w:val="93"/>
              </w:rPr>
              <w:t>14.10</w:t>
            </w:r>
          </w:p>
        </w:tc>
        <w:tc>
          <w:tcPr>
            <w:tcW w:w="166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Borders>
              <w:top w:val="single" w:sz="8" w:color="B7DEE8"/>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top w:val="single" w:sz="8" w:color="B7DEE8"/>
            </w:tcBorders>
          </w:tcPr>
          <w:p>
            <w:pPr>
              <w:spacing w:after="0"/>
              <w:rPr>
                <w:sz w:val="18"/>
                <w:szCs w:val="18"/>
                <w:color w:val="auto"/>
              </w:rPr>
            </w:pPr>
          </w:p>
        </w:tc>
      </w:tr>
      <w:tr>
        <w:trPr>
          <w:trHeight w:val="216"/>
        </w:trPr>
        <w:tc>
          <w:tcPr>
            <w:tcW w:w="4820" w:type="dxa"/>
            <w:vAlign w:val="bottom"/>
            <w:gridSpan w:val="2"/>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7DEE8"/>
          </w:tcPr>
          <w:p>
            <w:pPr>
              <w:spacing w:after="0"/>
              <w:rPr>
                <w:sz w:val="18"/>
                <w:szCs w:val="18"/>
                <w:color w:val="auto"/>
              </w:rPr>
            </w:pP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7DEE8"/>
          </w:tcPr>
          <w:p>
            <w:pPr>
              <w:spacing w:after="0"/>
              <w:rPr>
                <w:sz w:val="18"/>
                <w:szCs w:val="18"/>
                <w:color w:val="auto"/>
              </w:rPr>
            </w:pPr>
          </w:p>
        </w:tc>
        <w:tc>
          <w:tcPr>
            <w:tcW w:w="14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3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(195,060 )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gridSpan w:val="2"/>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shd w:val="clear" w:color="auto" w:fill="B7DEE8"/>
          </w:tcPr>
          <w:p>
            <w:pPr>
              <w:jc w:val="right"/>
              <w:ind w:right="140"/>
              <w:spacing w:after="0"/>
              <w:rPr>
                <w:sz w:val="20"/>
                <w:szCs w:val="20"/>
                <w:color w:val="auto"/>
              </w:rPr>
            </w:pPr>
            <w:r>
              <w:rPr>
                <w:rFonts w:ascii="Times New Roman" w:cs="Times New Roman" w:eastAsia="Times New Roman" w:hAnsi="Times New Roman"/>
                <w:sz w:val="18"/>
                <w:szCs w:val="18"/>
                <w:color w:val="auto"/>
              </w:rPr>
              <w:t>(9,050 )</w:t>
            </w: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B7DEE8"/>
          </w:tcPr>
          <w:p>
            <w:pPr>
              <w:spacing w:after="0"/>
              <w:rPr>
                <w:sz w:val="18"/>
                <w:szCs w:val="18"/>
                <w:color w:val="auto"/>
              </w:rPr>
            </w:pPr>
          </w:p>
        </w:tc>
        <w:tc>
          <w:tcPr>
            <w:tcW w:w="144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3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Expired</w:t>
            </w:r>
          </w:p>
        </w:tc>
        <w:tc>
          <w:tcPr>
            <w:tcW w:w="3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(4,340 )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2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300" w:type="dxa"/>
            <w:vAlign w:val="bottom"/>
            <w:tcBorders>
              <w:top w:val="single" w:sz="8" w:color="auto"/>
            </w:tcBorders>
            <w:shd w:val="clear" w:color="auto" w:fill="B7DEE8"/>
          </w:tcPr>
          <w:p>
            <w:pPr>
              <w:spacing w:after="0"/>
              <w:rPr>
                <w:sz w:val="18"/>
                <w:szCs w:val="18"/>
                <w:color w:val="auto"/>
              </w:rPr>
            </w:pPr>
          </w:p>
        </w:tc>
        <w:tc>
          <w:tcPr>
            <w:tcW w:w="1240" w:type="dxa"/>
            <w:vAlign w:val="bottom"/>
            <w:tcBorders>
              <w:top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558,379</w:t>
            </w:r>
          </w:p>
        </w:tc>
        <w:tc>
          <w:tcPr>
            <w:tcW w:w="220" w:type="dxa"/>
            <w:vAlign w:val="bottom"/>
            <w:shd w:val="clear" w:color="auto" w:fill="B7DEE8"/>
          </w:tcPr>
          <w:p>
            <w:pPr>
              <w:spacing w:after="0"/>
              <w:rPr>
                <w:sz w:val="18"/>
                <w:szCs w:val="18"/>
                <w:color w:val="auto"/>
              </w:rPr>
            </w:pP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3"/>
              </w:rPr>
              <w:t>16.92</w:t>
            </w:r>
          </w:p>
        </w:tc>
        <w:tc>
          <w:tcPr>
            <w:tcW w:w="166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100" w:type="dxa"/>
            <w:vAlign w:val="bottom"/>
            <w:shd w:val="clear" w:color="auto" w:fill="B7DEE8"/>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options, December 31, 2024</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359,517</w:t>
            </w:r>
          </w:p>
        </w:tc>
        <w:tc>
          <w:tcPr>
            <w:tcW w:w="22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23.08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00" w:type="dxa"/>
            <w:vAlign w:val="bottom"/>
          </w:tcPr>
          <w:p>
            <w:pPr>
              <w:spacing w:after="0"/>
              <w:rPr>
                <w:sz w:val="18"/>
                <w:szCs w:val="18"/>
                <w:color w:val="auto"/>
              </w:rPr>
            </w:pPr>
          </w:p>
        </w:tc>
      </w:tr>
      <w:tr>
        <w:trPr>
          <w:trHeight w:val="250"/>
        </w:trPr>
        <w:tc>
          <w:tcPr>
            <w:tcW w:w="452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December 31, 2024</w:t>
            </w:r>
          </w:p>
        </w:tc>
        <w:tc>
          <w:tcPr>
            <w:tcW w:w="300" w:type="dxa"/>
            <w:vAlign w:val="bottom"/>
            <w:tcBorders>
              <w:bottom w:val="single" w:sz="8" w:color="auto"/>
            </w:tcBorders>
            <w:shd w:val="clear" w:color="auto" w:fill="B7DEE8"/>
          </w:tcPr>
          <w:p>
            <w:pPr>
              <w:spacing w:after="0"/>
              <w:rPr>
                <w:sz w:val="21"/>
                <w:szCs w:val="21"/>
                <w:color w:val="auto"/>
              </w:rPr>
            </w:pPr>
          </w:p>
        </w:tc>
        <w:tc>
          <w:tcPr>
            <w:tcW w:w="12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198,862</w:t>
            </w:r>
          </w:p>
        </w:tc>
        <w:tc>
          <w:tcPr>
            <w:tcW w:w="220" w:type="dxa"/>
            <w:vAlign w:val="bottom"/>
            <w:tcBorders>
              <w:bottom w:val="single" w:sz="8" w:color="B7DEE8"/>
            </w:tcBorders>
            <w:shd w:val="clear" w:color="auto" w:fill="B7DEE8"/>
          </w:tcPr>
          <w:p>
            <w:pPr>
              <w:spacing w:after="0"/>
              <w:rPr>
                <w:sz w:val="21"/>
                <w:szCs w:val="21"/>
                <w:color w:val="auto"/>
              </w:rPr>
            </w:pPr>
          </w:p>
        </w:tc>
        <w:tc>
          <w:tcPr>
            <w:tcW w:w="1100" w:type="dxa"/>
            <w:vAlign w:val="bottom"/>
            <w:tcBorders>
              <w:bottom w:val="single" w:sz="8" w:color="B7DEE8"/>
            </w:tcBorders>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6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Borders>
              <w:bottom w:val="single" w:sz="8" w:color="B7DEE8"/>
            </w:tcBorders>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100" w:type="dxa"/>
            <w:vAlign w:val="bottom"/>
            <w:tcBorders>
              <w:bottom w:val="single" w:sz="8" w:color="B7DEE8"/>
            </w:tcBorders>
            <w:shd w:val="clear" w:color="auto" w:fill="B7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-1148080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December 31, 2024, total estimated unrecognized stock-based compensation cost related to unvested stock options prior to that date was $1.9 million, which is expected to be recognized over a weighted-average remaining period of 3.3 years.</w:t>
      </w:r>
    </w:p>
    <w:p>
      <w:pPr>
        <w:spacing w:after="0" w:line="16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with VPCC, the performance condition was met and the Company recorded a cumulative stock-based compensation expense of $1.9 million. The options have a strike price of $23.18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options granted to the Chief Executive Officer on the grant date: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4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10.0 years</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5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6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Repricing:</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April 2023, the Company’s Board of Directors approved a repricing of certain previously granted and still outstanding vested and unvested stock option awards held by eligible employees, which was approved by stockholders on June 9, 2023. As a result, the exercise price for these awards was lowered to $5.18 per share, which was the average per share closing price of the Company’s Class A Common Stock as reported on the Nasdaq Global Stock Market for the 30 trading days ending on and including June 9, 2023. No other terms of the repriced stock options were modified, and the repriced stock options will continue to vest according to their original vesting schedules and will retain their original expiration dates. As a result of the repricing, 134,931 vested and unvested stock options outstanding as of June 9, 2023, with original exercise prices ranging from $22.09 to $23.18, were repriced.</w:t>
      </w:r>
    </w:p>
    <w:p>
      <w:pPr>
        <w:spacing w:after="0" w:line="18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repricing on June 9, 2023 resulted in incremental stock-based compensation expense of $0.2 million, of which $0.14 million related to vested stock option awards was expensed on the repricing date. The remaining $0.06 million related to unvested stock option awards is being amortized on a straight-line basis over the weighted-average vesting period of those awards of approximately 1.3 years as of June 9, 2023.</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2023, the Company’s Board of Directors approved a repricing of certain previously granted and still outstanding vested and unvested stock option awards held by eight remaining eligible employees excluded from the aforementioned June 9 repricing. As a result, the exercise price for these awards was lowered to $7.23 per share, which was the average per share closing price of the Company’s Class A Common Stock as reported on the Nasdaq Global Stock Market for the 30 trading days ending on and including September 13, 2023. No other terms of the repriced stock options were modified, and the repriced stock options will continue to vest according to their original vesting schedules and will retain their original expiration dates. As a result of the repricing, 200,571 vested and unvested stock options outstanding as of September 13, 2023, with original exercise prices ranging from $22.09 to $23.18, were repriced.</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repricing on September 13, 2023 resulted in incremental stock-based compensation expense of $0.2 million, of which $0.17 million related to vested stock option awards was expensed on the repricing date. The remaining $0.07 million related to unvested stock option awards is being amortized on a straight-line basis over the weighted-average vesting period of those awards of approximately 1.0 years as of September 13, 2023.</w:t>
      </w:r>
    </w:p>
    <w:p>
      <w:pPr>
        <w:sectPr>
          <w:pgSz w:w="11900" w:h="16838" w:orient="portrait"/>
          <w:cols w:equalWidth="0" w:num="1">
            <w:col w:w="11220"/>
          </w:cols>
          <w:pgMar w:left="320" w:top="1440" w:right="3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 respect to RSUs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2024</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Forfeited</w:t>
      </w:r>
    </w:p>
    <w:p>
      <w:pPr>
        <w:spacing w:after="0" w:line="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Outstanding shares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r>
      <w:tr>
        <w:trPr>
          <w:trHeight w:val="216"/>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22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91"/>
        </w:trPr>
        <w:tc>
          <w:tcPr>
            <w:tcW w:w="2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1,726,639</w:t>
            </w:r>
          </w:p>
        </w:tc>
        <w:tc>
          <w:tcPr>
            <w:tcW w:w="24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23.10</w:t>
            </w:r>
          </w:p>
        </w:tc>
      </w:tr>
      <w:tr>
        <w:trPr>
          <w:trHeight w:val="216"/>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568,363</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16"/>
        </w:trPr>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(527,024 )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r>
      <w:tr>
        <w:trPr>
          <w:trHeight w:val="234"/>
        </w:trPr>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(567,110 )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10"/>
        </w:trPr>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1,200,868</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-719455</wp:posOffset>
            </wp:positionV>
            <wp:extent cx="641223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-445135</wp:posOffset>
            </wp:positionV>
            <wp:extent cx="641223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-162560</wp:posOffset>
            </wp:positionV>
            <wp:extent cx="6412230" cy="163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00"/>
          </w:cols>
          <w:pgMar w:left="320" w:top="1440" w:right="359" w:bottom="1440" w:gutter="0" w:footer="0" w:header="0"/>
          <w:type w:val="continuous"/>
        </w:sect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December 31, 2024, total estimated unrecognized stock-based compensation cost related to nonvested RSUs was $30.3 million, which is expected to be recognized over a weighted-average period of 2.4 years.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2023, the Company granted 629,454 RSUs to certain employees in six tranches. Each of the six tranches contain service and market conditions. The market conditions relate to the achievement of</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06" w:name="page107"/>
    <w:bookmarkEnd w:id="106"/>
    <w:p>
      <w:pPr>
        <w:ind w:right="60"/>
        <w:spacing w:after="0" w:line="258" w:lineRule="auto"/>
        <w:rPr>
          <w:sz w:val="20"/>
          <w:szCs w:val="20"/>
          <w:color w:val="auto"/>
        </w:rPr>
      </w:pPr>
      <w:r>
        <w:rPr>
          <w:rFonts w:ascii="Times New Roman" w:cs="Times New Roman" w:eastAsia="Times New Roman" w:hAnsi="Times New Roman"/>
          <w:sz w:val="18"/>
          <w:szCs w:val="18"/>
          <w:color w:val="auto"/>
        </w:rPr>
        <w:t>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18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January 2023 that contain service and market conditions on the grant date:</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0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54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79.7 %</w:t>
            </w: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October 2023 that contain service and market conditions on the grant date:</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0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4.2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16"/>
        </w:trPr>
        <w:tc>
          <w:tcPr>
            <w:tcW w:w="54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87.6 %</w:t>
            </w: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quarter ended June 30, 2024, the Company's Board of Directors approved a modification to the price targets in the market conditions and the addition of alternative performance conditions for 333,275 unvested RSUs. The modification of the unvested RSUs resulted in an incremental stock-based compensation expense of $1.0 million, which will be expensed monthly over the derived service period. The weighted average modification-date fair value of the RSUs was $5.36 per award. The Company determined the fair value of the RSUs on the modification date using a Monte Carlo simulation with key inputs and assumptions such as stock price, term, risk-free interest rate, and volatility. The derived service periods determined by the valuation range from approximately one year to approximately two years. The RSUs will be expensed monthly over the derived service period unless vesting conditions for a particular tranche are met, at which point all remaining compensation charges will be expensed in the period in which the vesting conditions were met. As a result of the modification, the RSUs are now classified as performance-based RSUs and included in the activity table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modified during the quarter ended June 30, 2024:</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0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54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71.7 %</w:t>
            </w: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quarter ended September 30, 2024, the Company's Board of Directors approved a modification to the price targets in the market conditions and the addition of alternative performance conditions for 50,000 unvested RSUs and during the quarter the Company achieved the performance conditions. The modification and achievement of the performance conditions resulted in an incremental cumulative stock-based compensation expense of approximately $0.4 million. As a result of the modification, the RSUs are now classified as performance-based RSUs and included in the activity table below. The 50,000 performance-based RSUs were subject to vesting as of December 31, 2024 and will be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considered vested and subsequently issued based upon the achievement of the remaining service requirement as outlined in the award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RSUs to certain executives and employees as part of its long-term incentive plan. The performance-based RSUs are subject to the attainment of defined performance and service conditions, such as the Company's trailing twelve month adjusted EBITDA and specific share price targets, both subject to continued employment with the Company through certain dates. The actual number of shares subject to the award is determined at the end of the performance period and may range from 0% to 150% of the target shares granted depending upon the terms of the award.</w:t>
      </w:r>
    </w:p>
    <w:p>
      <w:pPr>
        <w:sectPr>
          <w:pgSz w:w="11900" w:h="16838" w:orient="portrait"/>
          <w:cols w:equalWidth="0" w:num="1">
            <w:col w:w="11240"/>
          </w:cols>
          <w:pgMar w:left="320" w:top="1417" w:right="33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 respect to Performance-Based RSUs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-116840</wp:posOffset>
            </wp:positionV>
            <wp:extent cx="641223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2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Outstanding shares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r>
      <w:tr>
        <w:trPr>
          <w:trHeight w:val="216"/>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22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91"/>
        </w:trPr>
        <w:tc>
          <w:tcPr>
            <w:tcW w:w="2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516,316</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r>
      <w:tr>
        <w:trPr>
          <w:trHeight w:val="216"/>
        </w:trPr>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(145,708 )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34"/>
        </w:trPr>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(32,556 )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10"/>
        </w:trPr>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338,052</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00" w:space="720"/>
            <w:col w:w="4920"/>
          </w:cols>
          <w:pgMar w:left="320" w:top="1417" w:right="339" w:bottom="1440" w:gutter="0" w:footer="0" w:header="0"/>
          <w:type w:val="continuous"/>
        </w:sectPr>
      </w:pPr>
    </w:p>
    <w:p>
      <w:pPr>
        <w:spacing w:after="0" w:line="21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achieved certain performance conditions as outlined in its grant agreements and recorded a cumulative stock-based compensation expense of approximately $5.6 million. Additionally, a total of 160,453 performance-based RSUs were subject to vesting as of December 31, 2024 and will be considered vested and subsequently issued to participants based upon the achievement of the remaining service requirements as outlined in the award agreements.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2024, total estimated unrecognized stock-based compensation cost related to nonvested performance-based RSUs was approximately $4.9 million, which is expected to be recognized over a weighted-average period of 1.5 years.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8" w:name="page109"/>
    <w:bookmarkEnd w:id="108"/>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Related-Party Transactions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Leasing Arrangements: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2024 and 2023, the Company paid $0.4 million under lease agreements with PCJW, which is controlled by the Company's founders (including the Company's CEO) for general office space in Los Angeles, California.</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is a schedule of future minimum rental payments as of December 31, 2024, under Company’s sublease for the properties located in Los Angeles, California signed with PCJW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Related-Party Commitment</w:t>
            </w: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7440" w:type="dxa"/>
            <w:vAlign w:val="bottom"/>
            <w:shd w:val="clear" w:color="auto" w:fill="B6DEE8"/>
          </w:tcPr>
          <w:p>
            <w:pPr>
              <w:spacing w:after="0"/>
              <w:rPr>
                <w:sz w:val="17"/>
                <w:szCs w:val="17"/>
                <w:color w:val="auto"/>
              </w:rPr>
            </w:pPr>
          </w:p>
        </w:tc>
        <w:tc>
          <w:tcPr>
            <w:tcW w:w="1000" w:type="dxa"/>
            <w:vAlign w:val="bottom"/>
            <w:shd w:val="clear" w:color="auto" w:fill="B6DEE8"/>
          </w:tcPr>
          <w:p>
            <w:pPr>
              <w:spacing w:after="0"/>
              <w:rPr>
                <w:sz w:val="17"/>
                <w:szCs w:val="17"/>
                <w:color w:val="auto"/>
              </w:rPr>
            </w:pPr>
          </w:p>
        </w:tc>
        <w:tc>
          <w:tcPr>
            <w:tcW w:w="118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B6DEE8"/>
          </w:tcPr>
          <w:p>
            <w:pPr>
              <w:spacing w:after="0"/>
              <w:rPr>
                <w:sz w:val="17"/>
                <w:szCs w:val="17"/>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r>
      <w:tr>
        <w:trPr>
          <w:trHeight w:val="216"/>
        </w:trPr>
        <w:tc>
          <w:tcPr>
            <w:tcW w:w="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7440" w:type="dxa"/>
            <w:vAlign w:val="bottom"/>
            <w:shd w:val="clear" w:color="auto" w:fill="B6DEE8"/>
          </w:tcPr>
          <w:p>
            <w:pPr>
              <w:spacing w:after="0"/>
              <w:rPr>
                <w:sz w:val="18"/>
                <w:szCs w:val="18"/>
                <w:color w:val="auto"/>
              </w:rPr>
            </w:pPr>
          </w:p>
        </w:tc>
        <w:tc>
          <w:tcPr>
            <w:tcW w:w="1000" w:type="dxa"/>
            <w:vAlign w:val="bottom"/>
            <w:shd w:val="clear" w:color="auto" w:fill="B6DEE8"/>
          </w:tcPr>
          <w:p>
            <w:pPr>
              <w:spacing w:after="0"/>
              <w:rPr>
                <w:sz w:val="18"/>
                <w:szCs w:val="18"/>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B6DEE8"/>
          </w:tcPr>
          <w:p>
            <w:pPr>
              <w:spacing w:after="0"/>
              <w:rPr>
                <w:sz w:val="18"/>
                <w:szCs w:val="18"/>
                <w:color w:val="auto"/>
              </w:rPr>
            </w:pPr>
          </w:p>
        </w:tc>
      </w:tr>
      <w:tr>
        <w:trPr>
          <w:trHeight w:val="216"/>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7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09"/>
        </w:trPr>
        <w:tc>
          <w:tcPr>
            <w:tcW w:w="782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00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r>
      <w:tr>
        <w:trPr>
          <w:trHeight w:val="249"/>
        </w:trPr>
        <w:tc>
          <w:tcPr>
            <w:tcW w:w="782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00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related-party components of the lease right-of-use assets, lease liabilities, short-term, and lease liabilities, long-term are presented as part of the right-of-use asset and lease liability on the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Facility:</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Brendan Carroll, a Senior Partner at Victory Park Capital Advisors, LLC ("VPC") joined the board of directors of the Company upon closing of the Business Combination. Interest expense related to the Debt Facility totaled $7.7 million for the year ended December 31, 2024. For more information about the Debt Facility with VPC, refer to Note 11, Debt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Services: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law firm of Mitchell Sandler LLC, of which the Company's director Andrea Mitchell is a partner, provided legal services to the Company, which totaled $1.3 million for the year ended December 31, 2024.</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expense for the years ended December 31, 2024, and 2023 were as follows (dollars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300" w:type="dxa"/>
            <w:vAlign w:val="bottom"/>
            <w:shd w:val="clear" w:color="auto" w:fill="B6DEE8"/>
          </w:tcPr>
          <w:p>
            <w:pPr>
              <w:spacing w:after="0"/>
              <w:rPr>
                <w:sz w:val="18"/>
                <w:szCs w:val="18"/>
                <w:color w:val="auto"/>
              </w:rPr>
            </w:pPr>
          </w:p>
        </w:tc>
        <w:tc>
          <w:tcPr>
            <w:tcW w:w="58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B6DEE8"/>
            </w:tcBorders>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300" w:type="dxa"/>
            <w:vAlign w:val="bottom"/>
            <w:tcBorders>
              <w:bottom w:val="single" w:sz="8" w:color="auto"/>
            </w:tcBorders>
            <w:shd w:val="clear" w:color="auto" w:fill="B6DEE8"/>
          </w:tcPr>
          <w:p>
            <w:pPr>
              <w:spacing w:after="0"/>
              <w:rPr>
                <w:sz w:val="18"/>
                <w:szCs w:val="18"/>
                <w:color w:val="auto"/>
              </w:rPr>
            </w:pPr>
          </w:p>
        </w:tc>
        <w:tc>
          <w:tcPr>
            <w:tcW w:w="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80" w:type="dxa"/>
            <w:vAlign w:val="bottom"/>
            <w:tcBorders>
              <w:bottom w:val="single" w:sz="8" w:color="B6DEE8"/>
            </w:tcBorders>
            <w:shd w:val="clear" w:color="auto" w:fill="B6DEE8"/>
          </w:tcPr>
          <w:p>
            <w:pPr>
              <w:spacing w:after="0"/>
              <w:rPr>
                <w:sz w:val="18"/>
                <w:szCs w:val="18"/>
                <w:color w:val="auto"/>
              </w:rPr>
            </w:pPr>
          </w:p>
        </w:tc>
        <w:tc>
          <w:tcPr>
            <w:tcW w:w="440" w:type="dxa"/>
            <w:vAlign w:val="bottom"/>
            <w:tcBorders>
              <w:bottom w:val="single" w:sz="8" w:color="auto"/>
            </w:tcBorders>
            <w:shd w:val="clear" w:color="auto" w:fill="B6DEE8"/>
          </w:tcPr>
          <w:p>
            <w:pPr>
              <w:spacing w:after="0"/>
              <w:rPr>
                <w:sz w:val="18"/>
                <w:szCs w:val="18"/>
                <w:color w:val="auto"/>
              </w:rPr>
            </w:pPr>
          </w:p>
        </w:tc>
        <w:tc>
          <w:tcPr>
            <w:tcW w:w="14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18"/>
                <w:szCs w:val="18"/>
                <w:color w:val="auto"/>
              </w:rPr>
            </w:pPr>
          </w:p>
        </w:tc>
      </w:tr>
      <w:tr>
        <w:trPr>
          <w:trHeight w:val="216"/>
        </w:trPr>
        <w:tc>
          <w:tcPr>
            <w:tcW w:w="59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300" w:type="dxa"/>
            <w:vAlign w:val="bottom"/>
            <w:shd w:val="clear" w:color="auto" w:fill="B6DEE8"/>
          </w:tcPr>
          <w:p>
            <w:pPr>
              <w:spacing w:after="0"/>
              <w:rPr>
                <w:sz w:val="18"/>
                <w:szCs w:val="18"/>
                <w:color w:val="auto"/>
              </w:rPr>
            </w:pPr>
          </w:p>
        </w:tc>
        <w:tc>
          <w:tcPr>
            <w:tcW w:w="58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B6DEE8"/>
            </w:tcBorders>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300" w:type="dxa"/>
            <w:vAlign w:val="bottom"/>
            <w:tcBorders>
              <w:bottom w:val="single" w:sz="8" w:color="auto"/>
            </w:tcBorders>
            <w:shd w:val="clear" w:color="auto" w:fill="B6DEE8"/>
          </w:tcPr>
          <w:p>
            <w:pPr>
              <w:spacing w:after="0"/>
              <w:rPr>
                <w:sz w:val="18"/>
                <w:szCs w:val="18"/>
                <w:color w:val="auto"/>
              </w:rPr>
            </w:pPr>
          </w:p>
        </w:tc>
        <w:tc>
          <w:tcPr>
            <w:tcW w:w="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B6DEE8"/>
            </w:tcBorders>
            <w:shd w:val="clear" w:color="auto" w:fill="B6DEE8"/>
          </w:tcPr>
          <w:p>
            <w:pPr>
              <w:spacing w:after="0"/>
              <w:rPr>
                <w:sz w:val="18"/>
                <w:szCs w:val="18"/>
                <w:color w:val="auto"/>
              </w:rPr>
            </w:pPr>
          </w:p>
        </w:tc>
        <w:tc>
          <w:tcPr>
            <w:tcW w:w="440" w:type="dxa"/>
            <w:vAlign w:val="bottom"/>
            <w:tcBorders>
              <w:bottom w:val="single" w:sz="8" w:color="auto"/>
            </w:tcBorders>
            <w:shd w:val="clear" w:color="auto" w:fill="B6DEE8"/>
          </w:tcPr>
          <w:p>
            <w:pPr>
              <w:spacing w:after="0"/>
              <w:rPr>
                <w:sz w:val="18"/>
                <w:szCs w:val="18"/>
                <w:color w:val="auto"/>
              </w:rPr>
            </w:pPr>
          </w:p>
        </w:tc>
        <w:tc>
          <w:tcPr>
            <w:tcW w:w="14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49"/>
        </w:trPr>
        <w:tc>
          <w:tcPr>
            <w:tcW w:w="59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1300" w:type="dxa"/>
            <w:vAlign w:val="bottom"/>
            <w:tcBorders>
              <w:bottom w:val="single" w:sz="8" w:color="auto"/>
            </w:tcBorders>
            <w:shd w:val="clear" w:color="auto" w:fill="B6DEE8"/>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2,481</w:t>
            </w:r>
          </w:p>
        </w:tc>
        <w:tc>
          <w:tcPr>
            <w:tcW w:w="280" w:type="dxa"/>
            <w:vAlign w:val="bottom"/>
            <w:tcBorders>
              <w:bottom w:val="single" w:sz="8" w:color="B6DEE8"/>
            </w:tcBorders>
            <w:shd w:val="clear" w:color="auto" w:fill="B6DEE8"/>
          </w:tcPr>
          <w:p>
            <w:pPr>
              <w:spacing w:after="0"/>
              <w:rPr>
                <w:sz w:val="21"/>
                <w:szCs w:val="21"/>
                <w:color w:val="auto"/>
              </w:rPr>
            </w:pPr>
          </w:p>
        </w:tc>
        <w:tc>
          <w:tcPr>
            <w:tcW w:w="440" w:type="dxa"/>
            <w:vAlign w:val="bottom"/>
            <w:tcBorders>
              <w:bottom w:val="single" w:sz="8" w:color="auto"/>
            </w:tcBorders>
            <w:shd w:val="clear" w:color="auto" w:fill="B6DEE8"/>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-873760</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-316865</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Company’s federal statutory tax rate and its effective tax rate for the years ended December 31, 2024 and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7080" w:type="dxa"/>
            <w:vAlign w:val="bottom"/>
            <w:gridSpan w:val="2"/>
          </w:tcPr>
          <w:p>
            <w:pPr>
              <w:ind w:left="6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8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24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excess compensation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8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24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24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Research and development tax credit - federal</w:t>
            </w:r>
          </w:p>
        </w:tc>
        <w:tc>
          <w:tcPr>
            <w:tcW w:w="78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24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shd w:val="clear" w:color="auto" w:fill="B6DEE8"/>
          </w:tcPr>
          <w:p>
            <w:pPr>
              <w:spacing w:after="0"/>
              <w:rPr>
                <w:sz w:val="18"/>
                <w:szCs w:val="18"/>
                <w:color w:val="auto"/>
              </w:rPr>
            </w:pPr>
          </w:p>
        </w:tc>
        <w:tc>
          <w:tcPr>
            <w:tcW w:w="78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224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80" w:type="dxa"/>
            <w:vAlign w:val="bottom"/>
            <w:shd w:val="clear" w:color="auto" w:fill="B6DEE8"/>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40" w:type="dxa"/>
            <w:vAlign w:val="bottom"/>
            <w:shd w:val="clear" w:color="auto" w:fill="B6DEE8"/>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8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-1216660</wp:posOffset>
            </wp:positionV>
            <wp:extent cx="137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-1216660</wp:posOffset>
            </wp:positionV>
            <wp:extent cx="137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major components of the Company’s deferred tax assets and liabilities as of December 31, 2024 and 2023, consists of the following (dollars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20" w:type="dxa"/>
            <w:vAlign w:val="bottom"/>
            <w:shd w:val="clear" w:color="auto" w:fill="B6DEE8"/>
          </w:tcPr>
          <w:p>
            <w:pPr>
              <w:spacing w:after="0"/>
              <w:rPr>
                <w:sz w:val="18"/>
                <w:szCs w:val="18"/>
                <w:color w:val="auto"/>
              </w:rPr>
            </w:pPr>
          </w:p>
        </w:tc>
        <w:tc>
          <w:tcPr>
            <w:tcW w:w="66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100" w:type="dxa"/>
            <w:vAlign w:val="bottom"/>
          </w:tcPr>
          <w:p>
            <w:pPr>
              <w:spacing w:after="0"/>
              <w:rPr>
                <w:sz w:val="18"/>
                <w:szCs w:val="18"/>
                <w:color w:val="auto"/>
              </w:rPr>
            </w:pPr>
          </w:p>
        </w:tc>
      </w:tr>
      <w:tr>
        <w:trPr>
          <w:trHeight w:val="216"/>
        </w:trPr>
        <w:tc>
          <w:tcPr>
            <w:tcW w:w="596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20" w:type="dxa"/>
            <w:vAlign w:val="bottom"/>
            <w:shd w:val="clear" w:color="auto" w:fill="B6DEE8"/>
          </w:tcPr>
          <w:p>
            <w:pPr>
              <w:spacing w:after="0"/>
              <w:rPr>
                <w:sz w:val="18"/>
                <w:szCs w:val="18"/>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100" w:type="dxa"/>
            <w:vAlign w:val="bottom"/>
          </w:tcPr>
          <w:p>
            <w:pPr>
              <w:spacing w:after="0"/>
              <w:rPr>
                <w:sz w:val="18"/>
                <w:szCs w:val="18"/>
                <w:color w:val="auto"/>
              </w:rPr>
            </w:pPr>
          </w:p>
        </w:tc>
      </w:tr>
      <w:tr>
        <w:trPr>
          <w:trHeight w:val="216"/>
        </w:trPr>
        <w:tc>
          <w:tcPr>
            <w:tcW w:w="596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20" w:type="dxa"/>
            <w:vAlign w:val="bottom"/>
            <w:shd w:val="clear" w:color="auto" w:fill="B6DEE8"/>
          </w:tcPr>
          <w:p>
            <w:pPr>
              <w:spacing w:after="0"/>
              <w:rPr>
                <w:sz w:val="18"/>
                <w:szCs w:val="18"/>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8"/>
                <w:szCs w:val="18"/>
                <w:color w:val="auto"/>
              </w:rPr>
            </w:pPr>
          </w:p>
        </w:tc>
      </w:tr>
      <w:tr>
        <w:trPr>
          <w:trHeight w:val="216"/>
        </w:trPr>
        <w:tc>
          <w:tcPr>
            <w:tcW w:w="596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220" w:type="dxa"/>
            <w:vAlign w:val="bottom"/>
            <w:shd w:val="clear" w:color="auto" w:fill="B6DEE8"/>
          </w:tcPr>
          <w:p>
            <w:pPr>
              <w:spacing w:after="0"/>
              <w:rPr>
                <w:sz w:val="18"/>
                <w:szCs w:val="18"/>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8"/>
                <w:szCs w:val="18"/>
                <w:color w:val="auto"/>
              </w:rPr>
            </w:pPr>
          </w:p>
        </w:tc>
      </w:tr>
      <w:tr>
        <w:trPr>
          <w:trHeight w:val="216"/>
        </w:trPr>
        <w:tc>
          <w:tcPr>
            <w:tcW w:w="596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Excess interest expense carryforward</w:t>
            </w:r>
          </w:p>
        </w:tc>
        <w:tc>
          <w:tcPr>
            <w:tcW w:w="1220" w:type="dxa"/>
            <w:vAlign w:val="bottom"/>
            <w:shd w:val="clear" w:color="auto" w:fill="B6DEE8"/>
          </w:tcPr>
          <w:p>
            <w:pPr>
              <w:spacing w:after="0"/>
              <w:rPr>
                <w:sz w:val="18"/>
                <w:szCs w:val="18"/>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research and development expenditures</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B6DEE8"/>
            </w:tcBorders>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B6DEE8"/>
          </w:tcPr>
          <w:p>
            <w:pPr>
              <w:spacing w:after="0"/>
              <w:rPr>
                <w:sz w:val="18"/>
                <w:szCs w:val="18"/>
                <w:color w:val="auto"/>
              </w:rPr>
            </w:pPr>
          </w:p>
        </w:tc>
        <w:tc>
          <w:tcPr>
            <w:tcW w:w="6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B6DEE8"/>
            </w:tcBorders>
            <w:shd w:val="clear" w:color="auto" w:fill="B6DEE8"/>
          </w:tcPr>
          <w:p>
            <w:pPr>
              <w:spacing w:after="0"/>
              <w:rPr>
                <w:sz w:val="18"/>
                <w:szCs w:val="18"/>
                <w:color w:val="auto"/>
              </w:rPr>
            </w:pPr>
          </w:p>
        </w:tc>
        <w:tc>
          <w:tcPr>
            <w:tcW w:w="180" w:type="dxa"/>
            <w:vAlign w:val="bottom"/>
            <w:tcBorders>
              <w:bottom w:val="single" w:sz="8" w:color="B6DEE8"/>
            </w:tcBorders>
            <w:shd w:val="clear" w:color="auto" w:fill="B6DEE8"/>
          </w:tcPr>
          <w:p>
            <w:pPr>
              <w:spacing w:after="0"/>
              <w:rPr>
                <w:sz w:val="18"/>
                <w:szCs w:val="18"/>
                <w:color w:val="auto"/>
              </w:rPr>
            </w:pPr>
          </w:p>
        </w:tc>
        <w:tc>
          <w:tcPr>
            <w:tcW w:w="440" w:type="dxa"/>
            <w:vAlign w:val="bottom"/>
            <w:tcBorders>
              <w:bottom w:val="single" w:sz="8" w:color="auto"/>
            </w:tcBorders>
            <w:shd w:val="clear" w:color="auto" w:fill="B6DEE8"/>
          </w:tcPr>
          <w:p>
            <w:pPr>
              <w:spacing w:after="0"/>
              <w:rPr>
                <w:sz w:val="18"/>
                <w:szCs w:val="18"/>
                <w:color w:val="auto"/>
              </w:rPr>
            </w:pPr>
          </w:p>
        </w:tc>
        <w:tc>
          <w:tcPr>
            <w:tcW w:w="14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68,575</w:t>
            </w:r>
          </w:p>
        </w:tc>
        <w:tc>
          <w:tcPr>
            <w:tcW w:w="100" w:type="dxa"/>
            <w:vAlign w:val="bottom"/>
          </w:tcPr>
          <w:p>
            <w:pPr>
              <w:spacing w:after="0"/>
              <w:rPr>
                <w:sz w:val="18"/>
                <w:szCs w:val="18"/>
                <w:color w:val="auto"/>
              </w:rPr>
            </w:pPr>
          </w:p>
        </w:tc>
      </w:tr>
      <w:tr>
        <w:trPr>
          <w:trHeight w:val="216"/>
        </w:trPr>
        <w:tc>
          <w:tcPr>
            <w:tcW w:w="59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20" w:type="dxa"/>
            <w:vAlign w:val="bottom"/>
            <w:shd w:val="clear" w:color="auto" w:fill="B6DEE8"/>
          </w:tcPr>
          <w:p>
            <w:pPr>
              <w:spacing w:after="0"/>
              <w:rPr>
                <w:sz w:val="18"/>
                <w:szCs w:val="18"/>
                <w:color w:val="auto"/>
              </w:rPr>
            </w:pPr>
          </w:p>
        </w:tc>
        <w:tc>
          <w:tcPr>
            <w:tcW w:w="66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(529 )</w:t>
            </w:r>
          </w:p>
        </w:tc>
      </w:tr>
      <w:tr>
        <w:trPr>
          <w:trHeight w:val="216"/>
        </w:trPr>
        <w:tc>
          <w:tcPr>
            <w:tcW w:w="596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B6DEE8"/>
          </w:tcPr>
          <w:p>
            <w:pPr>
              <w:spacing w:after="0"/>
              <w:rPr>
                <w:sz w:val="18"/>
                <w:szCs w:val="18"/>
                <w:color w:val="auto"/>
              </w:rPr>
            </w:pPr>
          </w:p>
        </w:tc>
        <w:tc>
          <w:tcPr>
            <w:tcW w:w="7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(233 )</w:t>
            </w:r>
          </w:p>
        </w:tc>
        <w:tc>
          <w:tcPr>
            <w:tcW w:w="1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(529 )</w:t>
            </w:r>
          </w:p>
        </w:tc>
      </w:tr>
      <w:tr>
        <w:trPr>
          <w:trHeight w:val="20"/>
        </w:trPr>
        <w:tc>
          <w:tcPr>
            <w:tcW w:w="5960" w:type="dxa"/>
            <w:vAlign w:val="bottom"/>
            <w:shd w:val="clear" w:color="auto" w:fill="B6DEE8"/>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09"/>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(989 )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(1,058 )</w:t>
            </w:r>
          </w:p>
        </w:tc>
      </w:tr>
      <w:tr>
        <w:trPr>
          <w:trHeight w:val="210"/>
        </w:trPr>
        <w:tc>
          <w:tcPr>
            <w:tcW w:w="59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assets before valuation allowance</w:t>
            </w:r>
          </w:p>
        </w:tc>
        <w:tc>
          <w:tcPr>
            <w:tcW w:w="1220" w:type="dxa"/>
            <w:vAlign w:val="bottom"/>
            <w:tcBorders>
              <w:top w:val="single" w:sz="8" w:color="auto"/>
            </w:tcBorders>
            <w:shd w:val="clear" w:color="auto" w:fill="B6DEE8"/>
          </w:tcPr>
          <w:p>
            <w:pPr>
              <w:spacing w:after="0"/>
              <w:rPr>
                <w:sz w:val="18"/>
                <w:szCs w:val="18"/>
                <w:color w:val="auto"/>
              </w:rPr>
            </w:pPr>
          </w:p>
        </w:tc>
        <w:tc>
          <w:tcPr>
            <w:tcW w:w="6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58,658</w:t>
            </w:r>
          </w:p>
        </w:tc>
        <w:tc>
          <w:tcPr>
            <w:tcW w:w="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440" w:type="dxa"/>
            <w:vAlign w:val="bottom"/>
            <w:tcBorders>
              <w:top w:val="single" w:sz="8" w:color="auto"/>
            </w:tcBorders>
            <w:shd w:val="clear" w:color="auto" w:fill="B6DEE8"/>
          </w:tcPr>
          <w:p>
            <w:pPr>
              <w:spacing w:after="0"/>
              <w:rPr>
                <w:sz w:val="18"/>
                <w:szCs w:val="18"/>
                <w:color w:val="auto"/>
              </w:rPr>
            </w:pPr>
          </w:p>
        </w:tc>
        <w:tc>
          <w:tcPr>
            <w:tcW w:w="144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67,517</w:t>
            </w:r>
          </w:p>
        </w:tc>
        <w:tc>
          <w:tcPr>
            <w:tcW w:w="100" w:type="dxa"/>
            <w:vAlign w:val="bottom"/>
            <w:shd w:val="clear" w:color="auto" w:fill="B6DEE8"/>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valuation allowance</w:t>
            </w:r>
          </w:p>
        </w:tc>
        <w:tc>
          <w:tcPr>
            <w:tcW w:w="1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(58,658 )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(67,517 )</w:t>
            </w:r>
          </w:p>
        </w:tc>
      </w:tr>
      <w:tr>
        <w:trPr>
          <w:trHeight w:val="249"/>
        </w:trPr>
        <w:tc>
          <w:tcPr>
            <w:tcW w:w="59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taxes</w:t>
            </w:r>
          </w:p>
        </w:tc>
        <w:tc>
          <w:tcPr>
            <w:tcW w:w="1220" w:type="dxa"/>
            <w:vAlign w:val="bottom"/>
            <w:tcBorders>
              <w:top w:val="single" w:sz="8" w:color="auto"/>
              <w:bottom w:val="single" w:sz="8" w:color="auto"/>
            </w:tcBorders>
            <w:shd w:val="clear" w:color="auto" w:fill="B6DEE8"/>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Borders>
              <w:top w:val="single" w:sz="8" w:color="auto"/>
              <w:bottom w:val="single" w:sz="8" w:color="auto"/>
            </w:tcBorders>
            <w:shd w:val="clear" w:color="auto" w:fill="B6DEE8"/>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-1156970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-1156970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-599440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-599440</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$32.7 million of federal and $86.7 million of combined state net operating loss (“NOL”) carryforwards available to offset future taxable income. The federal NOLs do not expire; however, they are subject to a utilization limit of 80% of taxable income in any given year. The state NOLs begin to expire in 2031, except for $7.3 million of state NOLs that do not expire. Internal Revenue Code Section 382 imposes limitations on the utilization of NOLs in the event of certain changes in ownership of the Company. The Company has started, but not yet completed a comprehensive analysis of its past ownership changes. Depending upon the degree of those past ownership changes, and any future ownership changes, annual limits may impair the Company’s ability to utilize NOLs and could cause federal and state income taxes to be due sooner than if no such limitations applied.</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realization of deferred tax assets is dependent upon future sources of taxable income. Available positive and negative evidence is considered in making this determination. Due to a history of losses and uncertainty as to future taxable income, realization of the deferred tax assets is limited to the anticipated reversal of deferred tax liabilities. Management determined that there were insufficient federal and state deferred tax liabilities to offset all of the federal and state deferred tax assets at December 31, 2024 and 2023. Therefore, management believes it is more-likely-than-not that the net federal and state deferred assets will not be fully realized and has recorded valuation allowances in the amounts of $58.7 million and $67.5 million, as of December 31, 2024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gross unrecognized tax benefits as of December 31, 2024 and 2023 is as follows (dollars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Increases to prior positions</w:t>
            </w:r>
          </w:p>
        </w:tc>
        <w:tc>
          <w:tcPr>
            <w:tcW w:w="1300" w:type="dxa"/>
            <w:vAlign w:val="bottom"/>
            <w:shd w:val="clear" w:color="auto" w:fill="B6DEE8"/>
          </w:tcPr>
          <w:p>
            <w:pPr>
              <w:spacing w:after="0"/>
              <w:rPr>
                <w:sz w:val="18"/>
                <w:szCs w:val="18"/>
                <w:color w:val="auto"/>
              </w:rPr>
            </w:pPr>
          </w:p>
        </w:tc>
        <w:tc>
          <w:tcPr>
            <w:tcW w:w="5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14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Decreases to prior positions</w:t>
            </w: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Increases for current year positions</w:t>
            </w:r>
          </w:p>
        </w:tc>
        <w:tc>
          <w:tcPr>
            <w:tcW w:w="1300" w:type="dxa"/>
            <w:vAlign w:val="bottom"/>
            <w:tcBorders>
              <w:bottom w:val="single" w:sz="8" w:color="auto"/>
            </w:tcBorders>
            <w:shd w:val="clear" w:color="auto" w:fill="B6DEE8"/>
          </w:tcPr>
          <w:p>
            <w:pPr>
              <w:spacing w:after="0"/>
              <w:rPr>
                <w:sz w:val="18"/>
                <w:szCs w:val="18"/>
                <w:color w:val="auto"/>
              </w:rPr>
            </w:pPr>
          </w:p>
        </w:tc>
        <w:tc>
          <w:tcPr>
            <w:tcW w:w="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tcBorders>
              <w:bottom w:val="single" w:sz="8" w:color="B6DEE8"/>
            </w:tcBorders>
            <w:shd w:val="clear" w:color="auto" w:fill="B6DEE8"/>
          </w:tcPr>
          <w:p>
            <w:pPr>
              <w:spacing w:after="0"/>
              <w:rPr>
                <w:sz w:val="18"/>
                <w:szCs w:val="18"/>
                <w:color w:val="auto"/>
              </w:rPr>
            </w:pPr>
          </w:p>
        </w:tc>
        <w:tc>
          <w:tcPr>
            <w:tcW w:w="440" w:type="dxa"/>
            <w:vAlign w:val="bottom"/>
            <w:tcBorders>
              <w:bottom w:val="single" w:sz="8" w:color="auto"/>
            </w:tcBorders>
            <w:shd w:val="clear" w:color="auto" w:fill="B6DEE8"/>
          </w:tcPr>
          <w:p>
            <w:pPr>
              <w:spacing w:after="0"/>
              <w:rPr>
                <w:sz w:val="18"/>
                <w:szCs w:val="18"/>
                <w:color w:val="auto"/>
              </w:rPr>
            </w:pPr>
          </w:p>
        </w:tc>
        <w:tc>
          <w:tcPr>
            <w:tcW w:w="14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-170815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$2.0 million of gross unrecognized tax benefits related to state income taxes and federal and state research and development tax credits. The unrecognized tax benefits of $0.8 million as of December 31, 2024, would, if recognized, affect the effective tax rate. Although it is possible that the amount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ind w:right="60"/>
        <w:spacing w:after="0" w:line="282" w:lineRule="auto"/>
        <w:rPr>
          <w:sz w:val="20"/>
          <w:szCs w:val="20"/>
          <w:color w:val="auto"/>
        </w:rPr>
      </w:pPr>
      <w:r>
        <w:rPr>
          <w:rFonts w:ascii="Times New Roman" w:cs="Times New Roman" w:eastAsia="Times New Roman" w:hAnsi="Times New Roman"/>
          <w:sz w:val="18"/>
          <w:szCs w:val="18"/>
          <w:color w:val="auto"/>
        </w:rPr>
        <w:t>unrecognized tax benefits with respect to the uncertain tax positions will increase or decrease in the next 12 months, the Company does not expect material changes.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insignificant amounts of interest expense as a component of income tax expense during the years ended December 31, 2024 and 2023. The income tax related accrued interest amounts were also insignificant as of December 31, 2024 and 2023, respectively.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in the jurisdictions in which it files tax returns, including federal, California, and various other state jurisdictions. The federal statute of limitations remains open for the tax periods December 31, 2021 and thereafter. The statute of limitations for California and various other state jurisdictions remains open for the tax periods December 31, 2020 and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19 401(k) Savings Plan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$2.1 million and $2.2 million for the years ended December 31,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operations of the Company constitute a single operating and reportable segment. This conclusion reflects the manner in which the Chief Operating Decision Maker ("CODM"), a joint responsibility, shared by the Chief Executive Officer and Chief Financial Officer, reviews financial information and makes operating decisions. The determination of the reportable segment is based on the nature of the Company’s products and services, as well as the financial performance, on a consolidated entity-wide basis, that are regularly reviewed by the CODM to guide resource allocation and assess performance.</w:t>
      </w:r>
    </w:p>
    <w:p>
      <w:pPr>
        <w:spacing w:after="0" w:line="1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operations, all of which are located in the United States, collectively support this single-segment structure. No Member individually contributed to 10% or more of the Company’s revenues for the years ended December 31, 2024 and 2023.</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Company’s products, services, and the accounting policies applied to its reportable segment, refer to Note 2 Significant Accounting Policies.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key performance measure used by the CODM to make key operating decisions is consolidated net income (loss), as reported in the Consolidated Statement of Operations. This measure to assess overall financial performance, identify areas for operation improvement, resource allocation and the allocation of budget between the provision for credit losses, processing and servicing costs, advertising and marketing, compensation and benefits and other operating expenses. This measure helps to ensure alignment with the Company’s long-term financial objectives and supports consistent evaluation across all business activities.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segment assets and liabilities reviewed by the CODM are those reported on the Company’s consolidated balance sheets, with particular focus on available liquidity, including cash, cash equivalents, investments, restricted cash, and ExtraCash receivables, offset by current liabilities and outstanding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and reportable segment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94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7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10"/>
        </w:trPr>
        <w:tc>
          <w:tcPr>
            <w:tcW w:w="71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2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232,241</w:t>
            </w:r>
          </w:p>
        </w:tc>
        <w:tc>
          <w:tcPr>
            <w:tcW w:w="120" w:type="dxa"/>
            <w:vAlign w:val="bottom"/>
          </w:tcPr>
          <w:p>
            <w:pPr>
              <w:spacing w:after="0"/>
              <w:rPr>
                <w:sz w:val="18"/>
                <w:szCs w:val="18"/>
                <w:color w:val="auto"/>
              </w:rPr>
            </w:pPr>
          </w:p>
        </w:tc>
      </w:tr>
      <w:tr>
        <w:trPr>
          <w:trHeight w:val="216"/>
        </w:trPr>
        <w:tc>
          <w:tcPr>
            <w:tcW w:w="716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26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35,650</w:t>
            </w:r>
          </w:p>
        </w:tc>
        <w:tc>
          <w:tcPr>
            <w:tcW w:w="100" w:type="dxa"/>
            <w:vAlign w:val="bottom"/>
            <w:tcBorders>
              <w:bottom w:val="single" w:sz="8" w:color="B7DEE8"/>
            </w:tcBorders>
            <w:shd w:val="clear" w:color="auto" w:fill="B7DEE8"/>
          </w:tcPr>
          <w:p>
            <w:pPr>
              <w:spacing w:after="0"/>
              <w:rPr>
                <w:sz w:val="18"/>
                <w:szCs w:val="18"/>
                <w:color w:val="auto"/>
              </w:rPr>
            </w:pPr>
          </w:p>
        </w:tc>
        <w:tc>
          <w:tcPr>
            <w:tcW w:w="180" w:type="dxa"/>
            <w:vAlign w:val="bottom"/>
            <w:tcBorders>
              <w:bottom w:val="single" w:sz="8" w:color="auto"/>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120" w:type="dxa"/>
            <w:vAlign w:val="bottom"/>
            <w:tcBorders>
              <w:bottom w:val="single" w:sz="8" w:color="B7DEE8"/>
            </w:tcBorders>
            <w:shd w:val="clear" w:color="auto" w:fill="B7DEE8"/>
          </w:tcPr>
          <w:p>
            <w:pPr>
              <w:spacing w:after="0"/>
              <w:rPr>
                <w:sz w:val="18"/>
                <w:szCs w:val="18"/>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347,076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120" w:type="dxa"/>
            <w:vAlign w:val="bottom"/>
          </w:tcPr>
          <w:p>
            <w:pPr>
              <w:spacing w:after="0"/>
              <w:rPr>
                <w:sz w:val="18"/>
                <w:szCs w:val="18"/>
                <w:color w:val="auto"/>
              </w:rPr>
            </w:pPr>
          </w:p>
        </w:tc>
      </w:tr>
      <w:tr>
        <w:trPr>
          <w:trHeight w:val="210"/>
        </w:trPr>
        <w:tc>
          <w:tcPr>
            <w:tcW w:w="71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2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20" w:type="dxa"/>
            <w:vAlign w:val="bottom"/>
          </w:tcPr>
          <w:p>
            <w:pPr>
              <w:spacing w:after="0"/>
              <w:rPr>
                <w:sz w:val="18"/>
                <w:szCs w:val="18"/>
                <w:color w:val="auto"/>
              </w:rPr>
            </w:pPr>
          </w:p>
        </w:tc>
      </w:tr>
      <w:tr>
        <w:trPr>
          <w:trHeight w:val="216"/>
        </w:trPr>
        <w:tc>
          <w:tcPr>
            <w:tcW w:w="71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28,926</w:t>
            </w:r>
          </w:p>
        </w:tc>
        <w:tc>
          <w:tcPr>
            <w:tcW w:w="120" w:type="dxa"/>
            <w:vAlign w:val="bottom"/>
            <w:shd w:val="clear" w:color="auto" w:fill="B7DEE8"/>
          </w:tcPr>
          <w:p>
            <w:pPr>
              <w:spacing w:after="0"/>
              <w:rPr>
                <w:sz w:val="18"/>
                <w:szCs w:val="18"/>
                <w:color w:val="auto"/>
              </w:rPr>
            </w:pP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120" w:type="dxa"/>
            <w:vAlign w:val="bottom"/>
          </w:tcPr>
          <w:p>
            <w:pPr>
              <w:spacing w:after="0"/>
              <w:rPr>
                <w:sz w:val="18"/>
                <w:szCs w:val="18"/>
                <w:color w:val="auto"/>
              </w:rPr>
            </w:pPr>
          </w:p>
        </w:tc>
      </w:tr>
      <w:tr>
        <w:trPr>
          <w:trHeight w:val="216"/>
        </w:trPr>
        <w:tc>
          <w:tcPr>
            <w:tcW w:w="71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Employee salaries</w:t>
            </w: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52,333</w:t>
            </w: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51,308</w:t>
            </w:r>
          </w:p>
        </w:tc>
        <w:tc>
          <w:tcPr>
            <w:tcW w:w="120" w:type="dxa"/>
            <w:vAlign w:val="bottom"/>
            <w:shd w:val="clear" w:color="auto" w:fill="B7DEE8"/>
          </w:tcPr>
          <w:p>
            <w:pPr>
              <w:spacing w:after="0"/>
              <w:rPr>
                <w:sz w:val="18"/>
                <w:szCs w:val="18"/>
                <w:color w:val="auto"/>
              </w:rPr>
            </w:pP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20" w:type="dxa"/>
            <w:vAlign w:val="bottom"/>
          </w:tcPr>
          <w:p>
            <w:pPr>
              <w:spacing w:after="0"/>
              <w:rPr>
                <w:sz w:val="18"/>
                <w:szCs w:val="18"/>
                <w:color w:val="auto"/>
              </w:rPr>
            </w:pPr>
          </w:p>
        </w:tc>
      </w:tr>
      <w:tr>
        <w:trPr>
          <w:trHeight w:val="216"/>
        </w:trPr>
        <w:tc>
          <w:tcPr>
            <w:tcW w:w="71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Other compensation and benefits</w:t>
            </w: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120" w:type="dxa"/>
            <w:vAlign w:val="bottom"/>
            <w:shd w:val="clear" w:color="auto" w:fill="B7DEE8"/>
          </w:tcPr>
          <w:p>
            <w:pPr>
              <w:spacing w:after="0"/>
              <w:rPr>
                <w:sz w:val="18"/>
                <w:szCs w:val="18"/>
                <w:color w:val="auto"/>
              </w:rPr>
            </w:pP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20" w:type="dxa"/>
            <w:vAlign w:val="bottom"/>
          </w:tcPr>
          <w:p>
            <w:pPr>
              <w:spacing w:after="0"/>
              <w:rPr>
                <w:sz w:val="18"/>
                <w:szCs w:val="18"/>
                <w:color w:val="auto"/>
              </w:rPr>
            </w:pPr>
          </w:p>
        </w:tc>
      </w:tr>
      <w:tr>
        <w:trPr>
          <w:trHeight w:val="216"/>
        </w:trPr>
        <w:tc>
          <w:tcPr>
            <w:tcW w:w="716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63,607</w:t>
            </w:r>
          </w:p>
        </w:tc>
        <w:tc>
          <w:tcPr>
            <w:tcW w:w="100" w:type="dxa"/>
            <w:vAlign w:val="bottom"/>
            <w:tcBorders>
              <w:bottom w:val="single" w:sz="8" w:color="B7DEE8"/>
            </w:tcBorders>
            <w:shd w:val="clear" w:color="auto" w:fill="B7DEE8"/>
          </w:tcPr>
          <w:p>
            <w:pPr>
              <w:spacing w:after="0"/>
              <w:rPr>
                <w:sz w:val="18"/>
                <w:szCs w:val="18"/>
                <w:color w:val="auto"/>
              </w:rPr>
            </w:pPr>
          </w:p>
        </w:tc>
        <w:tc>
          <w:tcPr>
            <w:tcW w:w="180" w:type="dxa"/>
            <w:vAlign w:val="bottom"/>
            <w:tcBorders>
              <w:bottom w:val="single" w:sz="8" w:color="auto"/>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59,239</w:t>
            </w:r>
          </w:p>
        </w:tc>
        <w:tc>
          <w:tcPr>
            <w:tcW w:w="120" w:type="dxa"/>
            <w:vAlign w:val="bottom"/>
            <w:tcBorders>
              <w:bottom w:val="single" w:sz="8" w:color="B7DEE8"/>
            </w:tcBorders>
            <w:shd w:val="clear" w:color="auto" w:fill="B7DEE8"/>
          </w:tcPr>
          <w:p>
            <w:pPr>
              <w:spacing w:after="0"/>
              <w:rPr>
                <w:sz w:val="18"/>
                <w:szCs w:val="18"/>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312,465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301,293</w:t>
            </w:r>
          </w:p>
        </w:tc>
        <w:tc>
          <w:tcPr>
            <w:tcW w:w="120" w:type="dxa"/>
            <w:vAlign w:val="bottom"/>
          </w:tcPr>
          <w:p>
            <w:pPr>
              <w:spacing w:after="0"/>
              <w:rPr>
                <w:sz w:val="18"/>
                <w:szCs w:val="18"/>
                <w:color w:val="auto"/>
              </w:rPr>
            </w:pPr>
          </w:p>
        </w:tc>
      </w:tr>
      <w:tr>
        <w:trPr>
          <w:trHeight w:val="209"/>
        </w:trPr>
        <w:tc>
          <w:tcPr>
            <w:tcW w:w="71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2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(2,984 )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(5,295 )</w:t>
            </w:r>
          </w:p>
        </w:tc>
      </w:tr>
      <w:tr>
        <w:trPr>
          <w:trHeight w:val="216"/>
        </w:trPr>
        <w:tc>
          <w:tcPr>
            <w:tcW w:w="71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shd w:val="clear" w:color="auto" w:fill="B7DEE8"/>
          </w:tcPr>
          <w:p>
            <w:pPr>
              <w:spacing w:after="0"/>
              <w:rPr>
                <w:sz w:val="18"/>
                <w:szCs w:val="18"/>
                <w:color w:val="auto"/>
              </w:rPr>
            </w:pP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(33,442 )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71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4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7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6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(25,743 )</w:t>
            </w:r>
          </w:p>
        </w:tc>
        <w:tc>
          <w:tcPr>
            <w:tcW w:w="18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120" w:type="dxa"/>
            <w:vAlign w:val="bottom"/>
            <w:shd w:val="clear" w:color="auto" w:fill="B7DEE8"/>
          </w:tcPr>
          <w:p>
            <w:pPr>
              <w:spacing w:after="0"/>
              <w:rPr>
                <w:sz w:val="18"/>
                <w:szCs w:val="18"/>
                <w:color w:val="auto"/>
              </w:rPr>
            </w:pPr>
          </w:p>
        </w:tc>
      </w:tr>
      <w:tr>
        <w:trPr>
          <w:trHeight w:val="20"/>
        </w:trPr>
        <w:tc>
          <w:tcPr>
            <w:tcW w:w="7160" w:type="dxa"/>
            <w:vAlign w:val="bottom"/>
            <w:shd w:val="clear" w:color="auto" w:fill="B7DE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B7DEE8"/>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before provision for income taxes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(48,397 )</w:t>
            </w:r>
          </w:p>
        </w:tc>
      </w:tr>
      <w:tr>
        <w:trPr>
          <w:trHeight w:val="216"/>
        </w:trPr>
        <w:tc>
          <w:tcPr>
            <w:tcW w:w="716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Borders>
              <w:bottom w:val="single" w:sz="8" w:color="B7DEE8"/>
            </w:tcBorders>
            <w:shd w:val="clear" w:color="auto" w:fill="B7DEE8"/>
          </w:tcPr>
          <w:p>
            <w:pPr>
              <w:spacing w:after="0"/>
              <w:rPr>
                <w:sz w:val="18"/>
                <w:szCs w:val="18"/>
                <w:color w:val="auto"/>
              </w:rPr>
            </w:pPr>
          </w:p>
        </w:tc>
        <w:tc>
          <w:tcPr>
            <w:tcW w:w="180" w:type="dxa"/>
            <w:vAlign w:val="bottom"/>
            <w:tcBorders>
              <w:bottom w:val="single" w:sz="8" w:color="auto"/>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B7DEE8"/>
            </w:tcBorders>
            <w:shd w:val="clear" w:color="auto" w:fill="B7DEE8"/>
          </w:tcPr>
          <w:p>
            <w:pPr>
              <w:spacing w:after="0"/>
              <w:rPr>
                <w:sz w:val="18"/>
                <w:szCs w:val="18"/>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(48,517 )</w:t>
            </w:r>
          </w:p>
        </w:tc>
      </w:tr>
      <w:tr>
        <w:trPr>
          <w:trHeight w:val="20"/>
        </w:trPr>
        <w:tc>
          <w:tcPr>
            <w:tcW w:w="7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-2965450</wp:posOffset>
            </wp:positionV>
            <wp:extent cx="596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-2965450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-1576705</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-1576705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-453390</wp:posOffset>
            </wp:positionV>
            <wp:extent cx="596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-453390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operating expenses consist primarily of commitments to charity, checking product costs (program expenses, association fees, processor fees, losses from Member-disputed transactions, bank card fees and fraud), depreciation and amortization of property and equipment and intangible assets, legal fees, rent, certain sales tax related costs, office related expenses, public relations costs, professional services fees, travel and entertainment, and insurance.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Significant noncash items that impact net income (loss) include depreciation expense (see Note 6, Property and Equipment, Net), amortization expense (see Note 7, Intangible Assets, Net), changes in fair value of earnout liabilities (see Note 14, Fair Value of Financial Instruments), and changes in fair value of public and private warrant liabilities (see Note 14, Fair Value of Financial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35"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consolidated balance sheet date, but before the consolidated financial statements are available to be issued. The Company recognizes in the consolidated financial statements the effects of all subsequent events that provide additional evidence about conditions that existed at the date of the consolidated balance sheet, including the estimates inherent in the process of preparing the consolidated financial statements. The Company’s consolidated financial statements do not recognize subsequent events that provide evidence about conditions that did not exist at the date of the consolidated balance sheet but arose after the consolidated balance sheet date and before the consolidated financial statements were available to be issued.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3" w:name="page114"/>
    <w:bookmarkEnd w:id="113"/>
    <w:p>
      <w:pPr>
        <w:ind w:right="20"/>
        <w:spacing w:after="0" w:line="282" w:lineRule="auto"/>
        <w:rPr>
          <w:sz w:val="20"/>
          <w:szCs w:val="20"/>
          <w:color w:val="auto"/>
        </w:rPr>
      </w:pPr>
      <w:r>
        <w:rPr>
          <w:rFonts w:ascii="Times New Roman" w:cs="Times New Roman" w:eastAsia="Times New Roman" w:hAnsi="Times New Roman"/>
          <w:sz w:val="18"/>
          <w:szCs w:val="18"/>
          <w:color w:val="auto"/>
        </w:rPr>
        <w:t>On March 3, 2025, the Company announced that its subsidiary had entered into a Program Agreement with Coastal Community Bank to become a sponsor for Dave’s banking and ExtraCash products. Dave Members will begin onboarding to Coastal Community Bank as soon as Q2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2024. Based on this evaluation, our Chief Executive Officer and Chief Financial Officer have concluded that our disclosure controls and procedures were effective for the year ended December 31, 2024, due to the remediation of material weaknesses in our internal control over financial reporting in our consolidated financial statements for the year ended December 31, 2023. Accordingly, management believes that the financial statements included in this Annual Report on Form 10-K present fairly in all material respects our financial position, results of operations and cash flows for the period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of our Chief Executive Officer and Chief Financial Officer and with the participation of our management, we conducted an evaluation of the effectiveness of our internal control over financial reporting as of December 31, 2024 based on the framework in “Internal Control—Integrated Framework” issued by the Committee of Sponsoring Organizations of the Treadway Commission (2013 Framework). Based on that evaluation, our management concluded that our internal control over financial reporting were effective as of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Identified Material Weakness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previously identified and disclosed the following material weaknesses in our Annual Report on Form 10-K for the year ended December 31, 2023:</w:t>
      </w:r>
    </w:p>
    <w:p>
      <w:pPr>
        <w:spacing w:after="0" w:line="333" w:lineRule="exact"/>
        <w:rPr>
          <w:sz w:val="20"/>
          <w:szCs w:val="20"/>
          <w:color w:val="auto"/>
        </w:rPr>
      </w:pPr>
    </w:p>
    <w:p>
      <w:pPr>
        <w:ind w:left="1020" w:right="3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sufficient evidence of the performance and/or review of certain internal controls or complete remediation testing for certain internal controls over the period-end financial reporting process addressing financial statement and footnote presentation and disclosures; and</w:t>
      </w:r>
    </w:p>
    <w:p>
      <w:pPr>
        <w:spacing w:after="0" w:line="28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sufficient evidence of the performance and/or review of certain IT application controls for information systems that are relevant to the preparation of our financial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4" w:name="page115"/>
    <w:bookmarkEnd w:id="114"/>
    <w:p>
      <w:pPr>
        <w:ind w:right="80"/>
        <w:spacing w:after="0" w:line="253" w:lineRule="auto"/>
        <w:rPr>
          <w:sz w:val="20"/>
          <w:szCs w:val="20"/>
          <w:color w:val="auto"/>
        </w:rPr>
      </w:pPr>
      <w:r>
        <w:rPr>
          <w:rFonts w:ascii="Times New Roman" w:cs="Times New Roman" w:eastAsia="Times New Roman" w:hAnsi="Times New Roman"/>
          <w:sz w:val="18"/>
          <w:szCs w:val="18"/>
          <w:color w:val="auto"/>
        </w:rPr>
        <w:t>We implemented our previously disclosed remediation efforts, through enhancing our internal control environment by completing an enterprise-wide risk assessment, process narratives, risk and control matrices, a subsequent gap analysis and performed testing of the design and operating effectiveness of our internal control over financial reporting. These efforts also included, but were not limited to: adding additional resources in accounting and finance departments, utilizing third party specialists to assist with complex accounting matters and reduce risks associated with the lack of segregation of duties; implementing a segregation of duties monitoring tool; formalizing accounting policies and procedures; implementing a new enterprise resource planning system to enhance the journal entry review and approval processes; performing bank and balance sheet account reconciliations on a monthly basis; implementing a Sarbanes Oxley compliance and audit management platform; and designing and implementing both IT general controls and IT application controls around our product platform and core applications, including controls over: change management, access security and IT operations. During the year ended December 31, 2024, we completed our testing of the design and operating effectiveness of the implemented controls and concluded them to be effective. As a result, we have concluded that our material weaknesses have been remediated as of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management is required to apply its judgment in evaluating the benefits of possible controls and procedures relative to their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Except for the information regarding executive officers and directors, which is included herein under “Information about our Executive Officers and Directors”, our code of ethics and corporate governance, which is set forth below, the information required by this Item 10 will be included in our Proxy Statement to be filed with the SEC and is incorporated herein by reference.</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employees and other individuals associated with us that we believe is reasonably designed to promote compliance with insider trading laws, rules and regulations and listing standards applicable to us. It is also our policy to comply with applicable securities laws when engaging in transactions in our own securities. A copy of our Insider Trading Policy is filed as Exhibit 19.1 to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of Dave has adopted a Code of Business Conduct and Ethics that applies to all of its directors, officers and employees, including the principal executive officer, principal financial officer, principal accounting officer or controller, or persons performing similar functions. The Code of Business Conduct and Ethics is available on the Corporate Governance section of Dave’s website. In addition, Dave will post on the Corporate Governance section of its website all disclosures that are required by law or Nasdaq listing standards relating to any amendments to, or waivers from, any provision of the Code of Business Conduct and Ethics.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public accounting firm is Deloitte &amp; Touche LLP, Los Angeles, CA, PCAOB Auditor ID 34.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to be filed with the SEC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6" w:name="page117"/>
    <w:bookmarkEnd w:id="11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7" w:lineRule="exact"/>
        <w:rPr>
          <w:sz w:val="20"/>
          <w:szCs w:val="20"/>
          <w:color w:val="auto"/>
        </w:rPr>
      </w:pPr>
    </w:p>
    <w:p>
      <w:pPr>
        <w:ind w:left="1040" w:hanging="560"/>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financial statements listed in the Index to Financial Statements under Part II, Item 8 of this report.</w:t>
      </w:r>
    </w:p>
    <w:p>
      <w:pPr>
        <w:spacing w:after="0" w:line="218" w:lineRule="exact"/>
        <w:rPr>
          <w:rFonts w:ascii="Times New Roman" w:cs="Times New Roman" w:eastAsia="Times New Roman" w:hAnsi="Times New Roman"/>
          <w:sz w:val="18"/>
          <w:szCs w:val="18"/>
          <w:color w:val="auto"/>
        </w:rPr>
      </w:pPr>
    </w:p>
    <w:p>
      <w:pPr>
        <w:ind w:left="1040" w:right="6879" w:hanging="560"/>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61"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furnished or incorporated by reference as part of this report.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17" w:name="page118"/>
    <w:bookmarkEnd w:id="1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6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ind w:left="900" w:right="460" w:hanging="607"/>
        <w:spacing w:after="0" w:line="255"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358">
        <w:r>
          <w:rPr>
            <w:rFonts w:ascii="Times New Roman" w:cs="Times New Roman" w:eastAsia="Times New Roman" w:hAnsi="Times New Roman"/>
            <w:sz w:val="18"/>
            <w:szCs w:val="18"/>
            <w:u w:val="single" w:color="auto"/>
            <w:color w:val="0000FF"/>
          </w:rPr>
          <w:t>Agreement and Plan of Merger, dated as of June 7, 2021, by and among VPC Impact Acquisition Holdings III, Inc., Bear Merger</w:t>
        </w:r>
      </w:hyperlink>
      <w:r>
        <w:rPr>
          <w:rFonts w:ascii="Times New Roman" w:cs="Times New Roman" w:eastAsia="Times New Roman" w:hAnsi="Times New Roman"/>
          <w:sz w:val="18"/>
          <w:szCs w:val="18"/>
          <w:u w:val="single" w:color="auto"/>
          <w:color w:val="0000FF"/>
        </w:rPr>
        <w:t xml:space="preserve"> </w:t>
      </w:r>
      <w:hyperlink r:id="rId358">
        <w:r>
          <w:rPr>
            <w:rFonts w:ascii="Times New Roman" w:cs="Times New Roman" w:eastAsia="Times New Roman" w:hAnsi="Times New Roman"/>
            <w:sz w:val="18"/>
            <w:szCs w:val="18"/>
            <w:u w:val="single" w:color="auto"/>
            <w:color w:val="0000FF"/>
          </w:rPr>
          <w:t>Company I Inc., Bear Merger Company II LLC, and Dave Inc. (incorporated by reference to Exhibit 2.1 to the Company’s Current</w:t>
        </w:r>
      </w:hyperlink>
      <w:r>
        <w:rPr>
          <w:rFonts w:ascii="Times New Roman" w:cs="Times New Roman" w:eastAsia="Times New Roman" w:hAnsi="Times New Roman"/>
          <w:sz w:val="18"/>
          <w:szCs w:val="18"/>
          <w:u w:val="single" w:color="auto"/>
          <w:color w:val="0000FF"/>
        </w:rPr>
        <w:t xml:space="preserve"> </w:t>
      </w:r>
      <w:hyperlink r:id="rId358">
        <w:r>
          <w:rPr>
            <w:rFonts w:ascii="Times New Roman" w:cs="Times New Roman" w:eastAsia="Times New Roman" w:hAnsi="Times New Roman"/>
            <w:sz w:val="18"/>
            <w:szCs w:val="18"/>
            <w:u w:val="single" w:color="auto"/>
            <w:color w:val="0000FF"/>
          </w:rPr>
          <w:t>Report on Form 8-K filed with the Commission on June 7,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565150</wp:posOffset>
            </wp:positionH>
            <wp:positionV relativeFrom="paragraph">
              <wp:posOffset>-306705</wp:posOffset>
            </wp:positionV>
            <wp:extent cx="59334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593344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-169545</wp:posOffset>
            </wp:positionV>
            <wp:extent cx="600900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-32385</wp:posOffset>
            </wp:positionV>
            <wp:extent cx="299910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2999105" cy="8890"/>
                    </a:xfrm>
                    <a:prstGeom prst="rect">
                      <a:avLst/>
                    </a:prstGeom>
                    <a:noFill/>
                  </pic:spPr>
                </pic:pic>
              </a:graphicData>
            </a:graphic>
          </wp:anchor>
        </w:drawing>
      </w:r>
    </w:p>
    <w:p>
      <w:pPr>
        <w:spacing w:after="0" w:line="71" w:lineRule="exact"/>
        <w:rPr>
          <w:rFonts w:ascii="Times New Roman" w:cs="Times New Roman" w:eastAsia="Times New Roman" w:hAnsi="Times New Roman"/>
          <w:sz w:val="18"/>
          <w:szCs w:val="18"/>
          <w:u w:val="single" w:color="auto"/>
          <w:color w:val="0000FF"/>
        </w:rPr>
      </w:pPr>
    </w:p>
    <w:p>
      <w:pPr>
        <w:ind w:left="900" w:right="360" w:hanging="62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362">
        <w:r>
          <w:rPr>
            <w:rFonts w:ascii="Times New Roman" w:cs="Times New Roman" w:eastAsia="Times New Roman" w:hAnsi="Times New Roman"/>
            <w:sz w:val="18"/>
            <w:szCs w:val="18"/>
            <w:u w:val="single" w:color="auto"/>
            <w:color w:val="0000FF"/>
          </w:rPr>
          <w:t>Second Amended and Restated Certificate of Incorporation of Dave Inc.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362">
        <w:r>
          <w:rPr>
            <w:rFonts w:ascii="Times New Roman" w:cs="Times New Roman" w:eastAsia="Times New Roman" w:hAnsi="Times New Roman"/>
            <w:sz w:val="18"/>
            <w:szCs w:val="18"/>
            <w:u w:val="single" w:color="auto"/>
            <w:color w:val="0000FF"/>
          </w:rPr>
          <w:t>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0693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35794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3579495" cy="8255"/>
                    </a:xfrm>
                    <a:prstGeom prst="rect">
                      <a:avLst/>
                    </a:prstGeom>
                    <a:noFill/>
                  </pic:spPr>
                </pic:pic>
              </a:graphicData>
            </a:graphic>
          </wp:anchor>
        </w:drawing>
      </w:r>
    </w:p>
    <w:p>
      <w:pPr>
        <w:spacing w:after="0" w:line="47" w:lineRule="exact"/>
        <w:rPr>
          <w:sz w:val="20"/>
          <w:szCs w:val="20"/>
          <w:color w:val="auto"/>
        </w:rPr>
      </w:pPr>
    </w:p>
    <w:p>
      <w:pPr>
        <w:ind w:left="900" w:right="400" w:hanging="786"/>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r:id="rId365">
        <w:r>
          <w:rPr>
            <w:rFonts w:ascii="Times New Roman" w:cs="Times New Roman" w:eastAsia="Times New Roman" w:hAnsi="Times New Roman"/>
            <w:sz w:val="18"/>
            <w:szCs w:val="18"/>
            <w:u w:val="single" w:color="auto"/>
            <w:color w:val="0000FF"/>
          </w:rPr>
          <w:t>Certificate of Amendment to Second Amended and Restated Certificate of Incorporation of Dave Inc. (incorporated by reference to</w:t>
        </w:r>
      </w:hyperlink>
      <w:r>
        <w:rPr>
          <w:rFonts w:ascii="Times New Roman" w:cs="Times New Roman" w:eastAsia="Times New Roman" w:hAnsi="Times New Roman"/>
          <w:sz w:val="18"/>
          <w:szCs w:val="18"/>
          <w:u w:val="single" w:color="auto"/>
          <w:color w:val="0000FF"/>
        </w:rPr>
        <w:t xml:space="preserve"> </w:t>
      </w:r>
      <w:hyperlink r:id="rId365">
        <w:r>
          <w:rPr>
            <w:rFonts w:ascii="Times New Roman" w:cs="Times New Roman" w:eastAsia="Times New Roman" w:hAnsi="Times New Roman"/>
            <w:sz w:val="18"/>
            <w:szCs w:val="18"/>
            <w:u w:val="single" w:color="auto"/>
            <w:color w:val="0000FF"/>
          </w:rPr>
          <w:t>Exhibit 3.1 to the Company’s Current Report on Form 8-K filed with the Commission on January 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03694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6036945" cy="889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48615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4861560" cy="8255"/>
                    </a:xfrm>
                    <a:prstGeom prst="rect">
                      <a:avLst/>
                    </a:prstGeom>
                    <a:noFill/>
                  </pic:spPr>
                </pic:pic>
              </a:graphicData>
            </a:graphic>
          </wp:anchor>
        </w:drawing>
      </w:r>
    </w:p>
    <w:p>
      <w:pPr>
        <w:spacing w:after="0" w:line="47" w:lineRule="exact"/>
        <w:rPr>
          <w:sz w:val="20"/>
          <w:szCs w:val="20"/>
          <w:color w:val="auto"/>
        </w:rPr>
      </w:pPr>
    </w:p>
    <w:p>
      <w:pPr>
        <w:ind w:left="900" w:right="260" w:hanging="62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368">
        <w:r>
          <w:rPr>
            <w:rFonts w:ascii="Times New Roman" w:cs="Times New Roman" w:eastAsia="Times New Roman" w:hAnsi="Times New Roman"/>
            <w:sz w:val="18"/>
            <w:szCs w:val="18"/>
            <w:u w:val="single" w:color="auto"/>
            <w:color w:val="0000FF"/>
          </w:rPr>
          <w:t>Amended and Restated Bylaws of Dave Inc. (incorporated by reference to Exhibit 3.2 to the Company’s Current Report on Form 8-K</w:t>
        </w:r>
      </w:hyperlink>
      <w:r>
        <w:rPr>
          <w:rFonts w:ascii="Times New Roman" w:cs="Times New Roman" w:eastAsia="Times New Roman" w:hAnsi="Times New Roman"/>
          <w:sz w:val="18"/>
          <w:szCs w:val="18"/>
          <w:u w:val="single" w:color="auto"/>
          <w:color w:val="0000FF"/>
        </w:rPr>
        <w:t xml:space="preserve"> </w:t>
      </w:r>
      <w:hyperlink r:id="rId368">
        <w:r>
          <w:rPr>
            <w:rFonts w:ascii="Times New Roman" w:cs="Times New Roman" w:eastAsia="Times New Roman" w:hAnsi="Times New Roman"/>
            <w:sz w:val="18"/>
            <w:szCs w:val="18"/>
            <w:u w:val="single" w:color="auto"/>
            <w:color w:val="0000FF"/>
          </w:rPr>
          <w:t>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1328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613283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22371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7" w:lineRule="exact"/>
        <w:rPr>
          <w:sz w:val="20"/>
          <w:szCs w:val="20"/>
          <w:color w:val="auto"/>
        </w:rPr>
      </w:pPr>
    </w:p>
    <w:p>
      <w:pPr>
        <w:ind w:left="900" w:right="40" w:hanging="62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371">
        <w:r>
          <w:rPr>
            <w:rFonts w:ascii="Times New Roman" w:cs="Times New Roman" w:eastAsia="Times New Roman" w:hAnsi="Times New Roman"/>
            <w:sz w:val="18"/>
            <w:szCs w:val="18"/>
            <w:u w:val="single" w:color="auto"/>
            <w:color w:val="0000FF"/>
          </w:rPr>
          <w:t>Warrant Agreement, dated March 4, 2021, between Continental Stock Transfer &amp; Trust Company and VPCC (incorporated by reference</w:t>
        </w:r>
      </w:hyperlink>
      <w:r>
        <w:rPr>
          <w:rFonts w:ascii="Times New Roman" w:cs="Times New Roman" w:eastAsia="Times New Roman" w:hAnsi="Times New Roman"/>
          <w:sz w:val="18"/>
          <w:szCs w:val="18"/>
          <w:u w:val="single" w:color="auto"/>
          <w:color w:val="0000FF"/>
        </w:rPr>
        <w:t xml:space="preserve"> </w:t>
      </w:r>
      <w:hyperlink r:id="rId371">
        <w:r>
          <w:rPr>
            <w:rFonts w:ascii="Times New Roman" w:cs="Times New Roman" w:eastAsia="Times New Roman" w:hAnsi="Times New Roman"/>
            <w:sz w:val="18"/>
            <w:szCs w:val="18"/>
            <w:u w:val="single" w:color="auto"/>
            <w:color w:val="0000FF"/>
          </w:rPr>
          <w:t>to Exhibit 4.1 to the Company’s Current Report on Form 8-K, filed with the Commission on March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266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49885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4988560" cy="8255"/>
                    </a:xfrm>
                    <a:prstGeom prst="rect">
                      <a:avLst/>
                    </a:prstGeom>
                    <a:noFill/>
                  </pic:spPr>
                </pic:pic>
              </a:graphicData>
            </a:graphic>
          </wp:anchor>
        </w:drawing>
      </w:r>
    </w:p>
    <w:p>
      <w:pPr>
        <w:spacing w:after="0" w:line="47" w:lineRule="exact"/>
        <w:rPr>
          <w:sz w:val="20"/>
          <w:szCs w:val="20"/>
          <w:color w:val="auto"/>
        </w:rPr>
      </w:pPr>
    </w:p>
    <w:p>
      <w:pPr>
        <w:ind w:left="900" w:right="580" w:hanging="62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374">
        <w:r>
          <w:rPr>
            <w:rFonts w:ascii="Times New Roman" w:cs="Times New Roman" w:eastAsia="Times New Roman" w:hAnsi="Times New Roman"/>
            <w:sz w:val="18"/>
            <w:szCs w:val="18"/>
            <w:u w:val="single" w:color="auto"/>
            <w:color w:val="0000FF"/>
          </w:rPr>
          <w:t xml:space="preserve">Description of Securities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incorporated by reference to Exhibit 4.3 to the Company’s Annual Report on Form 10-K filed with the Commission on 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11360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47" w:lineRule="exact"/>
        <w:rPr>
          <w:sz w:val="20"/>
          <w:szCs w:val="20"/>
          <w:color w:val="auto"/>
        </w:rPr>
      </w:pPr>
    </w:p>
    <w:p>
      <w:pPr>
        <w:ind w:left="900" w:hanging="71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76">
        <w:r>
          <w:rPr>
            <w:rFonts w:ascii="Times New Roman" w:cs="Times New Roman" w:eastAsia="Times New Roman" w:hAnsi="Times New Roman"/>
            <w:sz w:val="18"/>
            <w:szCs w:val="18"/>
            <w:u w:val="single" w:color="auto"/>
            <w:color w:val="0000FF"/>
          </w:rPr>
          <w:t>Form of Indemnification Agreement (incorporated by reference to Exhibit 10.1 to the Company’s Current Report on Form 8-K filed with</w:t>
        </w:r>
      </w:hyperlink>
      <w:r>
        <w:rPr>
          <w:rFonts w:ascii="Times New Roman" w:cs="Times New Roman" w:eastAsia="Times New Roman" w:hAnsi="Times New Roman"/>
          <w:sz w:val="18"/>
          <w:szCs w:val="18"/>
          <w:u w:val="single" w:color="auto"/>
          <w:color w:val="0000FF"/>
        </w:rPr>
        <w:t xml:space="preserve"> </w:t>
      </w:r>
      <w:hyperlink r:id="rId376">
        <w:r>
          <w:rPr>
            <w:rFonts w:ascii="Times New Roman" w:cs="Times New Roman" w:eastAsia="Times New Roman" w:hAnsi="Times New Roman"/>
            <w:sz w:val="18"/>
            <w:szCs w:val="18"/>
            <w:u w:val="single" w:color="auto"/>
            <w:color w:val="0000FF"/>
          </w:rPr>
          <w:t>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283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17678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47" w:lineRule="exact"/>
        <w:rPr>
          <w:sz w:val="20"/>
          <w:szCs w:val="20"/>
          <w:color w:val="auto"/>
        </w:rPr>
      </w:pPr>
    </w:p>
    <w:p>
      <w:pPr>
        <w:ind w:left="900" w:right="380" w:hanging="719"/>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79">
        <w:r>
          <w:rPr>
            <w:rFonts w:ascii="Times New Roman" w:cs="Times New Roman" w:eastAsia="Times New Roman" w:hAnsi="Times New Roman"/>
            <w:sz w:val="18"/>
            <w:szCs w:val="18"/>
            <w:u w:val="single" w:color="auto"/>
            <w:color w:val="0000FF"/>
          </w:rPr>
          <w:t>Investor Rights Agreement, dated as of January 5, 2022, by and among the Company, the Sponsor, Janet Kloppenburg, Peter</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Offenhauser and Kurt Summers, and certain holders of Legacy Dave Capital Stock (incorporated by reference to Exhibit 10.2 to the</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Company’s Current Report on Form 8-K filed with the Commission on January 11,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565150</wp:posOffset>
            </wp:positionH>
            <wp:positionV relativeFrom="paragraph">
              <wp:posOffset>-313055</wp:posOffset>
            </wp:positionV>
            <wp:extent cx="57340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573405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-175895</wp:posOffset>
            </wp:positionV>
            <wp:extent cx="60534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6053455" cy="889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-38735</wp:posOffset>
            </wp:positionV>
            <wp:extent cx="41351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413512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00" w:hanging="71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383">
        <w:r>
          <w:rPr>
            <w:rFonts w:ascii="Times New Roman" w:cs="Times New Roman" w:eastAsia="Times New Roman" w:hAnsi="Times New Roman"/>
            <w:sz w:val="18"/>
            <w:szCs w:val="18"/>
            <w:u w:val="single" w:color="auto"/>
            <w:color w:val="0000FF"/>
          </w:rPr>
          <w:t>Lease by and between PCJW Properties LLC and Legacy Dave, dated as of January 1, 2019 (incorporated by reference to Exhibit 10.3 to</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the Company’s 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283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430339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86">
        <w:r>
          <w:rPr>
            <w:rFonts w:ascii="Times New Roman" w:cs="Times New Roman" w:eastAsia="Times New Roman" w:hAnsi="Times New Roman"/>
            <w:sz w:val="17"/>
            <w:szCs w:val="17"/>
            <w:u w:val="single" w:color="auto"/>
            <w:color w:val="0000FF"/>
          </w:rPr>
          <w:t>Sublease by and between PCJW Properties LLC and Legacy Dave, dated as of December 1, 2018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-7620</wp:posOffset>
            </wp:positionV>
            <wp:extent cx="62090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7"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10.4 to the Company’s 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-19050</wp:posOffset>
            </wp:positionV>
            <wp:extent cx="4648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4648835" cy="8255"/>
                    </a:xfrm>
                    <a:prstGeom prst="rect">
                      <a:avLst/>
                    </a:prstGeom>
                    <a:noFill/>
                  </pic:spPr>
                </pic:pic>
              </a:graphicData>
            </a:graphic>
          </wp:anchor>
        </w:drawing>
      </w:r>
    </w:p>
    <w:p>
      <w:pPr>
        <w:spacing w:after="0" w:line="92" w:lineRule="exact"/>
        <w:rPr>
          <w:sz w:val="20"/>
          <w:szCs w:val="20"/>
          <w:color w:val="auto"/>
        </w:rPr>
      </w:pPr>
    </w:p>
    <w:p>
      <w:pPr>
        <w:ind w:left="900" w:right="80" w:hanging="764"/>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389">
        <w:r>
          <w:rPr>
            <w:rFonts w:ascii="Times New Roman" w:cs="Times New Roman" w:eastAsia="Times New Roman" w:hAnsi="Times New Roman"/>
            <w:sz w:val="18"/>
            <w:szCs w:val="18"/>
            <w:u w:val="single" w:color="auto"/>
            <w:color w:val="0000FF"/>
          </w:rPr>
          <w:t>Amended and Restated 2021 Equity Incentive Plan and related forms of award agreements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the Company’s Current Report on Form 8-K filed with the Commission on December 13,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2407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44170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4417060" cy="8255"/>
                    </a:xfrm>
                    <a:prstGeom prst="rect">
                      <a:avLst/>
                    </a:prstGeom>
                    <a:noFill/>
                  </pic:spPr>
                </pic:pic>
              </a:graphicData>
            </a:graphic>
          </wp:anchor>
        </w:drawing>
      </w:r>
    </w:p>
    <w:p>
      <w:pPr>
        <w:spacing w:after="0" w:line="4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u w:val="single" w:color="auto"/>
          <w:color w:val="0000FF"/>
        </w:rPr>
        <w:t>Second Amendment to the Dave Inc Amended and Restated 2021 Equity Incentive Plan</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-7620</wp:posOffset>
            </wp:positionV>
            <wp:extent cx="40233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4023360" cy="8255"/>
                    </a:xfrm>
                    <a:prstGeom prst="rect">
                      <a:avLst/>
                    </a:prstGeom>
                    <a:noFill/>
                  </pic:spPr>
                </pic:pic>
              </a:graphicData>
            </a:graphic>
          </wp:anchor>
        </w:drawing>
      </w:r>
    </w:p>
    <w:p>
      <w:pPr>
        <w:spacing w:after="0" w:line="111" w:lineRule="exact"/>
        <w:rPr>
          <w:sz w:val="20"/>
          <w:szCs w:val="20"/>
          <w:color w:val="auto"/>
        </w:rPr>
      </w:pPr>
    </w:p>
    <w:p>
      <w:pPr>
        <w:ind w:left="900" w:right="340" w:hanging="764"/>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93">
        <w:r>
          <w:rPr>
            <w:rFonts w:ascii="Times New Roman" w:cs="Times New Roman" w:eastAsia="Times New Roman" w:hAnsi="Times New Roman"/>
            <w:sz w:val="18"/>
            <w:szCs w:val="18"/>
            <w:u w:val="single" w:color="auto"/>
            <w:color w:val="0000FF"/>
          </w:rPr>
          <w:t>2021 Employee Stock Purchase Plan (incorporated by reference to Exhibit 10.6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393">
        <w:r>
          <w:rPr>
            <w:rFonts w:ascii="Times New Roman" w:cs="Times New Roman" w:eastAsia="Times New Roman" w:hAnsi="Times New Roman"/>
            <w:sz w:val="18"/>
            <w:szCs w:val="18"/>
            <w:u w:val="single" w:color="auto"/>
            <w:color w:val="0000FF"/>
          </w:rPr>
          <w:t>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0826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608266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19989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1998980" cy="8890"/>
                    </a:xfrm>
                    <a:prstGeom prst="rect">
                      <a:avLst/>
                    </a:prstGeom>
                    <a:noFill/>
                  </pic:spPr>
                </pic:pic>
              </a:graphicData>
            </a:graphic>
          </wp:anchor>
        </w:drawing>
      </w:r>
    </w:p>
    <w:p>
      <w:pPr>
        <w:spacing w:after="0" w:line="47" w:lineRule="exact"/>
        <w:rPr>
          <w:sz w:val="20"/>
          <w:szCs w:val="20"/>
          <w:color w:val="auto"/>
        </w:rPr>
      </w:pPr>
    </w:p>
    <w:p>
      <w:pPr>
        <w:ind w:left="900" w:right="100" w:hanging="764"/>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396">
        <w:r>
          <w:rPr>
            <w:rFonts w:ascii="Times New Roman" w:cs="Times New Roman" w:eastAsia="Times New Roman" w:hAnsi="Times New Roman"/>
            <w:sz w:val="18"/>
            <w:szCs w:val="18"/>
            <w:u w:val="single" w:color="auto"/>
            <w:color w:val="0000FF"/>
          </w:rPr>
          <w:t>Employment Agreement, dated January 3, 2022, by and between Jason Wilk and Dave (incorporated by reference to Exhibit 10.7 to the</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Company’s 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2280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6228080" cy="889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41351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4135120" cy="8255"/>
                    </a:xfrm>
                    <a:prstGeom prst="rect">
                      <a:avLst/>
                    </a:prstGeom>
                    <a:noFill/>
                  </pic:spPr>
                </pic:pic>
              </a:graphicData>
            </a:graphic>
          </wp:anchor>
        </w:drawing>
      </w:r>
    </w:p>
    <w:p>
      <w:pPr>
        <w:spacing w:after="0" w:line="47" w:lineRule="exact"/>
        <w:rPr>
          <w:sz w:val="20"/>
          <w:szCs w:val="20"/>
          <w:color w:val="auto"/>
        </w:rPr>
      </w:pPr>
    </w:p>
    <w:p>
      <w:pPr>
        <w:ind w:left="900" w:right="80" w:hanging="764"/>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399">
        <w:r>
          <w:rPr>
            <w:rFonts w:ascii="Times New Roman" w:cs="Times New Roman" w:eastAsia="Times New Roman" w:hAnsi="Times New Roman"/>
            <w:sz w:val="18"/>
            <w:szCs w:val="18"/>
            <w:u w:val="single" w:color="auto"/>
            <w:color w:val="0000FF"/>
          </w:rPr>
          <w:t>Employment Agreement, dated January 31, 2022, by and between Kyle Beilman and Dave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the Company’s Current Report on Form 8-K filed with the Commission on February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2439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62439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43033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47" w:lineRule="exact"/>
        <w:rPr>
          <w:sz w:val="20"/>
          <w:szCs w:val="20"/>
          <w:color w:val="auto"/>
        </w:rPr>
      </w:pPr>
    </w:p>
    <w:p>
      <w:pPr>
        <w:ind w:left="900" w:right="320" w:hanging="854"/>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402">
        <w:r>
          <w:rPr>
            <w:rFonts w:ascii="Times New Roman" w:cs="Times New Roman" w:eastAsia="Times New Roman" w:hAnsi="Times New Roman"/>
            <w:sz w:val="18"/>
            <w:szCs w:val="18"/>
            <w:u w:val="single" w:color="auto"/>
            <w:color w:val="0000FF"/>
          </w:rPr>
          <w:t>Dave Inc. Executive Incentive Bonus Plan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filed with the Commission on March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09854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3">
                      <a:extLst>
                        <a:ext uri="{28A0092B-C50C-407E-A947-70E740481C1C}"/>
                      </a:extLst>
                    </a:blip>
                    <a:srcRect/>
                    <a:stretch>
                      <a:fillRect/>
                    </a:stretch>
                  </pic:blipFill>
                  <pic:spPr bwMode="auto">
                    <a:xfrm>
                      <a:off x="0" y="0"/>
                      <a:ext cx="609854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21799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217995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00" w:top="1440" w:right="439" w:bottom="1440" w:gutter="0" w:footer="0" w:header="0"/>
        </w:sectPr>
      </w:pPr>
    </w:p>
    <w:bookmarkStart w:id="118" w:name="page119"/>
    <w:bookmarkEnd w:id="118"/>
    <w:p>
      <w:pPr>
        <w:ind w:left="900" w:right="40" w:hanging="80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406">
        <w:r>
          <w:rPr>
            <w:rFonts w:ascii="Times New Roman" w:cs="Times New Roman" w:eastAsia="Times New Roman" w:hAnsi="Times New Roman"/>
            <w:sz w:val="18"/>
            <w:szCs w:val="18"/>
            <w:u w:val="single" w:color="auto"/>
            <w:color w:val="0000FF"/>
          </w:rPr>
          <w:t>Dave Inc. Non-Employee Director Compensation Policy (incorporated by reference to Exhibit 10.1 to the Company’s Current Report on</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Form 8-K filed with the Commission on February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2693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62693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27197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2719705" cy="8255"/>
                    </a:xfrm>
                    <a:prstGeom prst="rect">
                      <a:avLst/>
                    </a:prstGeom>
                    <a:noFill/>
                  </pic:spPr>
                </pic:pic>
              </a:graphicData>
            </a:graphic>
          </wp:anchor>
        </w:drawing>
      </w:r>
    </w:p>
    <w:p>
      <w:pPr>
        <w:spacing w:after="0" w:line="142" w:lineRule="exact"/>
        <w:rPr>
          <w:sz w:val="20"/>
          <w:szCs w:val="20"/>
          <w:color w:val="auto"/>
        </w:rPr>
      </w:pPr>
    </w:p>
    <w:p>
      <w:pPr>
        <w:ind w:left="900" w:right="700" w:hanging="80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409">
        <w:r>
          <w:rPr>
            <w:rFonts w:ascii="Times New Roman" w:cs="Times New Roman" w:eastAsia="Times New Roman" w:hAnsi="Times New Roman"/>
            <w:sz w:val="18"/>
            <w:szCs w:val="18"/>
            <w:u w:val="single" w:color="auto"/>
            <w:color w:val="0000FF"/>
          </w:rPr>
          <w:t>Amended Non-Employee Director Compensation Policy, dated April 24, 2024 (incorporated by reference to Exhibit 10.9 to the</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Company’s Quarterly Report on Form 10-Q filed with the Commission on November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58572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extLst>
                        <a:ext uri="{28A0092B-C50C-407E-A947-70E740481C1C}"/>
                      </a:extLst>
                    </a:blip>
                    <a:srcRect/>
                    <a:stretch>
                      <a:fillRect/>
                    </a:stretch>
                  </pic:blipFill>
                  <pic:spPr bwMode="auto">
                    <a:xfrm>
                      <a:off x="0" y="0"/>
                      <a:ext cx="585724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44075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1">
                      <a:extLst>
                        <a:ext uri="{28A0092B-C50C-407E-A947-70E740481C1C}"/>
                      </a:extLst>
                    </a:blip>
                    <a:srcRect/>
                    <a:stretch>
                      <a:fillRect/>
                    </a:stretch>
                  </pic:blipFill>
                  <pic:spPr bwMode="auto">
                    <a:xfrm>
                      <a:off x="0" y="0"/>
                      <a:ext cx="4407535" cy="8255"/>
                    </a:xfrm>
                    <a:prstGeom prst="rect">
                      <a:avLst/>
                    </a:prstGeom>
                    <a:noFill/>
                  </pic:spPr>
                </pic:pic>
              </a:graphicData>
            </a:graphic>
          </wp:anchor>
        </w:drawing>
      </w:r>
    </w:p>
    <w:p>
      <w:pPr>
        <w:spacing w:after="0" w:line="142" w:lineRule="exact"/>
        <w:rPr>
          <w:sz w:val="20"/>
          <w:szCs w:val="20"/>
          <w:color w:val="auto"/>
        </w:rPr>
      </w:pPr>
    </w:p>
    <w:p>
      <w:pPr>
        <w:ind w:left="900" w:right="220" w:hanging="809"/>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412">
        <w:r>
          <w:rPr>
            <w:rFonts w:ascii="Times New Roman" w:cs="Times New Roman" w:eastAsia="Times New Roman" w:hAnsi="Times New Roman"/>
            <w:sz w:val="18"/>
            <w:szCs w:val="18"/>
            <w:u w:val="single" w:color="auto"/>
            <w:color w:val="0000FF"/>
          </w:rPr>
          <w:t>Purchase and Sale Agreement, dated January 4, 2024, by and between Dave Inc. and FTX Ventures Ltd. (incorporated by reference to</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Exhibit 10.1 to the Company’s Current Report on Form 8-K filed with the Commission on January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-185420</wp:posOffset>
            </wp:positionV>
            <wp:extent cx="61550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-48260</wp:posOffset>
            </wp:positionV>
            <wp:extent cx="495681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4956810" cy="8255"/>
                    </a:xfrm>
                    <a:prstGeom prst="rect">
                      <a:avLst/>
                    </a:prstGeom>
                    <a:noFill/>
                  </pic:spPr>
                </pic:pic>
              </a:graphicData>
            </a:graphic>
          </wp:anchor>
        </w:drawing>
      </w:r>
    </w:p>
    <w:p>
      <w:pPr>
        <w:sectPr>
          <w:pgSz w:w="11900" w:h="16838" w:orient="portrait"/>
          <w:cols w:equalWidth="0" w:num="1">
            <w:col w:w="10760"/>
          </w:cols>
          <w:pgMar w:left="700" w:top="1417" w:right="4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10.14*†</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500"/>
        <w:spacing w:after="0" w:line="282" w:lineRule="auto"/>
        <w:rPr>
          <w:rFonts w:ascii="Times New Roman" w:cs="Times New Roman" w:eastAsia="Times New Roman" w:hAnsi="Times New Roman"/>
          <w:sz w:val="18"/>
          <w:szCs w:val="18"/>
          <w:u w:val="single" w:color="auto"/>
          <w:color w:val="0000FF"/>
        </w:rPr>
      </w:pPr>
      <w:hyperlink r:id="rId415">
        <w:r>
          <w:rPr>
            <w:rFonts w:ascii="Times New Roman" w:cs="Times New Roman" w:eastAsia="Times New Roman" w:hAnsi="Times New Roman"/>
            <w:sz w:val="18"/>
            <w:szCs w:val="18"/>
            <w:u w:val="single" w:color="auto"/>
            <w:color w:val="0000FF"/>
          </w:rPr>
          <w:t>Bank Services Agreement, dated July 13, 2020, by and between Evolve Bank &amp; Trust and Dave Inc. (incorporated by reference to</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Exhibit 10.1 to the Company’s Quarterly Report on Form 10-Q filed with the Commission on November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9804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6">
                      <a:extLst>
                        <a:ext uri="{28A0092B-C50C-407E-A947-70E740481C1C}"/>
                      </a:extLst>
                    </a:blip>
                    <a:srcRect/>
                    <a:stretch>
                      <a:fillRect/>
                    </a:stretch>
                  </pic:blipFill>
                  <pic:spPr bwMode="auto">
                    <a:xfrm>
                      <a:off x="0" y="0"/>
                      <a:ext cx="59804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528701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7">
                      <a:extLst>
                        <a:ext uri="{28A0092B-C50C-407E-A947-70E740481C1C}"/>
                      </a:extLst>
                    </a:blip>
                    <a:srcRect/>
                    <a:stretch>
                      <a:fillRect/>
                    </a:stretch>
                  </pic:blipFill>
                  <pic:spPr bwMode="auto">
                    <a:xfrm>
                      <a:off x="0" y="0"/>
                      <a:ext cx="5287010" cy="8255"/>
                    </a:xfrm>
                    <a:prstGeom prst="rect">
                      <a:avLst/>
                    </a:prstGeom>
                    <a:noFill/>
                  </pic:spPr>
                </pic:pic>
              </a:graphicData>
            </a:graphic>
          </wp:anchor>
        </w:drawing>
      </w:r>
    </w:p>
    <w:p>
      <w:pPr>
        <w:spacing w:after="0" w:line="47" w:lineRule="exact"/>
        <w:rPr>
          <w:sz w:val="20"/>
          <w:szCs w:val="20"/>
          <w:color w:val="auto"/>
        </w:rPr>
      </w:pPr>
    </w:p>
    <w:p>
      <w:pPr>
        <w:jc w:val="both"/>
        <w:ind w:right="180"/>
        <w:spacing w:after="0" w:line="266" w:lineRule="auto"/>
        <w:rPr>
          <w:rFonts w:ascii="Times New Roman" w:cs="Times New Roman" w:eastAsia="Times New Roman" w:hAnsi="Times New Roman"/>
          <w:sz w:val="18"/>
          <w:szCs w:val="18"/>
          <w:u w:val="single" w:color="auto"/>
          <w:color w:val="0000FF"/>
        </w:rPr>
      </w:pPr>
      <w:hyperlink r:id="rId418">
        <w:r>
          <w:rPr>
            <w:rFonts w:ascii="Times New Roman" w:cs="Times New Roman" w:eastAsia="Times New Roman" w:hAnsi="Times New Roman"/>
            <w:sz w:val="18"/>
            <w:szCs w:val="18"/>
            <w:u w:val="single" w:color="auto"/>
            <w:color w:val="0000FF"/>
          </w:rPr>
          <w:t>First Amendment to Bank Services Agreement, dated August 8, 2024, by and between Evolve Bank &amp; Trust and Dave Operating LLC</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(incorporated by reference to Exhibit 10.2 to the Company’s Quarterly Report on Form 10-Q filed with the Commission on November</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61810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61810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61779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61779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-38735</wp:posOffset>
            </wp:positionV>
            <wp:extent cx="4660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8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80" w:space="320"/>
            <w:col w:w="9860"/>
          </w:cols>
          <w:pgMar w:left="700" w:top="1417" w:right="439" w:bottom="1440" w:gutter="0" w:footer="0" w:header="0"/>
          <w:type w:val="continuous"/>
        </w:sectPr>
      </w:pPr>
    </w:p>
    <w:p>
      <w:pPr>
        <w:spacing w:after="0" w:line="10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10.16*†</w:t>
      </w:r>
    </w:p>
    <w:p>
      <w:pPr>
        <w:spacing w:after="0" w:line="35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10.17*†</w:t>
      </w:r>
    </w:p>
    <w:p>
      <w:pPr>
        <w:spacing w:after="0" w:line="200" w:lineRule="exact"/>
        <w:rPr>
          <w:rFonts w:ascii="Times New Roman" w:cs="Times New Roman" w:eastAsia="Times New Roman" w:hAnsi="Times New Roman"/>
          <w:sz w:val="18"/>
          <w:szCs w:val="18"/>
          <w:u w:val="single" w:color="auto"/>
          <w:color w:val="0000FF"/>
        </w:rPr>
      </w:pPr>
    </w:p>
    <w:p>
      <w:pPr>
        <w:spacing w:after="0" w:line="26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10.18*†</w:t>
      </w:r>
    </w:p>
    <w:p>
      <w:pPr>
        <w:spacing w:after="0" w:line="200" w:lineRule="exact"/>
        <w:rPr>
          <w:rFonts w:ascii="Times New Roman" w:cs="Times New Roman" w:eastAsia="Times New Roman" w:hAnsi="Times New Roman"/>
          <w:sz w:val="18"/>
          <w:szCs w:val="18"/>
          <w:u w:val="single" w:color="auto"/>
          <w:color w:val="0000FF"/>
        </w:rPr>
      </w:pPr>
    </w:p>
    <w:p>
      <w:pPr>
        <w:spacing w:after="0" w:line="374" w:lineRule="exact"/>
        <w:rPr>
          <w:rFonts w:ascii="Times New Roman" w:cs="Times New Roman" w:eastAsia="Times New Roman" w:hAnsi="Times New Roman"/>
          <w:sz w:val="18"/>
          <w:szCs w:val="18"/>
          <w:u w:val="single" w:color="auto"/>
          <w:color w:val="0000FF"/>
        </w:rPr>
      </w:pPr>
    </w:p>
    <w:p>
      <w:pPr>
        <w:ind w:left="4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rFonts w:ascii="Times New Roman" w:cs="Times New Roman" w:eastAsia="Times New Roman" w:hAnsi="Times New Roman"/>
          <w:sz w:val="18"/>
          <w:szCs w:val="18"/>
          <w:u w:val="single" w:color="auto"/>
          <w:color w:val="0000FF"/>
        </w:rPr>
      </w:pPr>
    </w:p>
    <w:p>
      <w:pPr>
        <w:spacing w:after="0" w:line="363" w:lineRule="exact"/>
        <w:rPr>
          <w:rFonts w:ascii="Times New Roman" w:cs="Times New Roman" w:eastAsia="Times New Roman" w:hAnsi="Times New Roman"/>
          <w:sz w:val="18"/>
          <w:szCs w:val="18"/>
          <w:u w:val="single" w:color="auto"/>
          <w:color w:val="0000FF"/>
        </w:rPr>
      </w:pPr>
    </w:p>
    <w:p>
      <w:pPr>
        <w:ind w:left="4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rFonts w:ascii="Times New Roman" w:cs="Times New Roman" w:eastAsia="Times New Roman" w:hAnsi="Times New Roman"/>
          <w:sz w:val="18"/>
          <w:szCs w:val="18"/>
          <w:u w:val="single" w:color="auto"/>
          <w:color w:val="0000FF"/>
        </w:rPr>
      </w:pPr>
    </w:p>
    <w:p>
      <w:pPr>
        <w:spacing w:after="0" w:line="363" w:lineRule="exact"/>
        <w:rPr>
          <w:rFonts w:ascii="Times New Roman" w:cs="Times New Roman" w:eastAsia="Times New Roman" w:hAnsi="Times New Roman"/>
          <w:sz w:val="18"/>
          <w:szCs w:val="18"/>
          <w:u w:val="single" w:color="auto"/>
          <w:color w:val="0000FF"/>
        </w:rPr>
      </w:pPr>
    </w:p>
    <w:p>
      <w:pPr>
        <w:ind w:left="40"/>
        <w:spacing w:after="0"/>
        <w:rPr>
          <w:sz w:val="20"/>
          <w:szCs w:val="20"/>
          <w:color w:val="auto"/>
        </w:rPr>
      </w:pPr>
      <w:r>
        <w:rPr>
          <w:rFonts w:ascii="Times New Roman" w:cs="Times New Roman" w:eastAsia="Times New Roman" w:hAnsi="Times New Roman"/>
          <w:sz w:val="18"/>
          <w:szCs w:val="18"/>
          <w:color w:val="auto"/>
        </w:rPr>
        <w:t>10.21†</w:t>
      </w:r>
    </w:p>
    <w:p>
      <w:pPr>
        <w:spacing w:after="0" w:line="347"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19.1</w:t>
      </w:r>
    </w:p>
    <w:p>
      <w:pPr>
        <w:spacing w:after="0" w:line="131"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21.1</w:t>
      </w:r>
    </w:p>
    <w:p>
      <w:pPr>
        <w:spacing w:after="0" w:line="347"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23.1</w:t>
      </w:r>
    </w:p>
    <w:p>
      <w:pPr>
        <w:spacing w:after="0" w:line="131"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24.1</w:t>
      </w:r>
    </w:p>
    <w:p>
      <w:pPr>
        <w:spacing w:after="0" w:line="239"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80"/>
        <w:spacing w:after="0" w:line="282" w:lineRule="auto"/>
        <w:rPr>
          <w:rFonts w:ascii="Times New Roman" w:cs="Times New Roman" w:eastAsia="Times New Roman" w:hAnsi="Times New Roman"/>
          <w:sz w:val="18"/>
          <w:szCs w:val="18"/>
          <w:u w:val="single" w:color="auto"/>
          <w:color w:val="0000FF"/>
        </w:rPr>
      </w:pPr>
      <w:hyperlink r:id="rId422">
        <w:r>
          <w:rPr>
            <w:rFonts w:ascii="Times New Roman" w:cs="Times New Roman" w:eastAsia="Times New Roman" w:hAnsi="Times New Roman"/>
            <w:sz w:val="18"/>
            <w:szCs w:val="18"/>
            <w:u w:val="single" w:color="auto"/>
            <w:color w:val="0000FF"/>
          </w:rPr>
          <w:t>Debit Card Issuing Agreement, dated July 13, 2020, by and between Evolve Bank &amp; Trust and Dave Inc. (incorporated by reference to</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Exhibit 10.3 to the Company’s Quarterly Report on Form 10-Q filed with the Commission on November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1868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61868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52870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5287010" cy="8255"/>
                    </a:xfrm>
                    <a:prstGeom prst="rect">
                      <a:avLst/>
                    </a:prstGeom>
                    <a:noFill/>
                  </pic:spPr>
                </pic:pic>
              </a:graphicData>
            </a:graphic>
          </wp:anchor>
        </w:drawing>
      </w:r>
    </w:p>
    <w:p>
      <w:pPr>
        <w:spacing w:after="0" w:line="47" w:lineRule="exact"/>
        <w:rPr>
          <w:sz w:val="20"/>
          <w:szCs w:val="20"/>
          <w:color w:val="auto"/>
        </w:rPr>
      </w:pPr>
    </w:p>
    <w:p>
      <w:pPr>
        <w:jc w:val="both"/>
        <w:ind w:right="600"/>
        <w:spacing w:after="0" w:line="312" w:lineRule="auto"/>
        <w:rPr>
          <w:rFonts w:ascii="Times New Roman" w:cs="Times New Roman" w:eastAsia="Times New Roman" w:hAnsi="Times New Roman"/>
          <w:sz w:val="17"/>
          <w:szCs w:val="17"/>
          <w:u w:val="single" w:color="auto"/>
          <w:color w:val="0000FF"/>
        </w:rPr>
      </w:pPr>
      <w:hyperlink r:id="rId425">
        <w:r>
          <w:rPr>
            <w:rFonts w:ascii="Times New Roman" w:cs="Times New Roman" w:eastAsia="Times New Roman" w:hAnsi="Times New Roman"/>
            <w:sz w:val="17"/>
            <w:szCs w:val="17"/>
            <w:u w:val="single" w:color="auto"/>
            <w:color w:val="0000FF"/>
          </w:rPr>
          <w:t>Service Agreement, dated March 18, 2020, by and between Dave, Inc. and Galileo Financial Technologies, Inc. (incorporated by</w:t>
        </w:r>
      </w:hyperlink>
      <w:r>
        <w:rPr>
          <w:rFonts w:ascii="Times New Roman" w:cs="Times New Roman" w:eastAsia="Times New Roman" w:hAnsi="Times New Roman"/>
          <w:sz w:val="17"/>
          <w:szCs w:val="17"/>
          <w:u w:val="single" w:color="auto"/>
          <w:color w:val="0000FF"/>
        </w:rPr>
        <w:t xml:space="preserve"> </w:t>
      </w:r>
      <w:hyperlink r:id="rId425">
        <w:r>
          <w:rPr>
            <w:rFonts w:ascii="Times New Roman" w:cs="Times New Roman" w:eastAsia="Times New Roman" w:hAnsi="Times New Roman"/>
            <w:sz w:val="17"/>
            <w:szCs w:val="17"/>
            <w:u w:val="single" w:color="auto"/>
            <w:color w:val="0000FF"/>
          </w:rPr>
          <w:t>reference to Exhibit 10.4 to the Company’s Quarterly Report on Form 10-Q filed with the Commission on November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-198755</wp:posOffset>
            </wp:positionV>
            <wp:extent cx="59169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59169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-61595</wp:posOffset>
            </wp:positionV>
            <wp:extent cx="585787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5857875" cy="8255"/>
                    </a:xfrm>
                    <a:prstGeom prst="rect">
                      <a:avLst/>
                    </a:prstGeom>
                    <a:noFill/>
                  </pic:spPr>
                </pic:pic>
              </a:graphicData>
            </a:graphic>
          </wp:anchor>
        </w:drawing>
      </w:r>
    </w:p>
    <w:p>
      <w:pPr>
        <w:spacing w:after="0" w:line="25" w:lineRule="exact"/>
        <w:rPr>
          <w:sz w:val="20"/>
          <w:szCs w:val="20"/>
          <w:color w:val="auto"/>
        </w:rPr>
      </w:pPr>
    </w:p>
    <w:p>
      <w:pPr>
        <w:ind w:right="720"/>
        <w:spacing w:after="0" w:line="266" w:lineRule="auto"/>
        <w:rPr>
          <w:rFonts w:ascii="Times New Roman" w:cs="Times New Roman" w:eastAsia="Times New Roman" w:hAnsi="Times New Roman"/>
          <w:sz w:val="18"/>
          <w:szCs w:val="18"/>
          <w:u w:val="single" w:color="auto"/>
          <w:color w:val="0000FF"/>
        </w:rPr>
      </w:pPr>
      <w:hyperlink r:id="rId428">
        <w:r>
          <w:rPr>
            <w:rFonts w:ascii="Times New Roman" w:cs="Times New Roman" w:eastAsia="Times New Roman" w:hAnsi="Times New Roman"/>
            <w:sz w:val="18"/>
            <w:szCs w:val="18"/>
            <w:u w:val="single" w:color="auto"/>
            <w:color w:val="0000FF"/>
          </w:rPr>
          <w:t>First Amendment to Service Agreement, dated January 31, 2023,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428">
        <w:r>
          <w:rPr>
            <w:rFonts w:ascii="Times New Roman" w:cs="Times New Roman" w:eastAsia="Times New Roman" w:hAnsi="Times New Roman"/>
            <w:sz w:val="18"/>
            <w:szCs w:val="18"/>
            <w:u w:val="single" w:color="auto"/>
            <w:color w:val="0000FF"/>
          </w:rPr>
          <w:t>Technologies, LLC (incorporated by reference to Exhibit 10.5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428">
        <w:r>
          <w:rPr>
            <w:rFonts w:ascii="Times New Roman" w:cs="Times New Roman" w:eastAsia="Times New Roman" w:hAnsi="Times New Roman"/>
            <w:sz w:val="18"/>
            <w:szCs w:val="18"/>
            <w:u w:val="single" w:color="auto"/>
            <w:color w:val="0000FF"/>
          </w:rPr>
          <w:t>Commission on November 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57588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5758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58350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58350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-38735</wp:posOffset>
            </wp:positionV>
            <wp:extent cx="17265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right="720"/>
        <w:spacing w:after="0" w:line="266" w:lineRule="auto"/>
        <w:rPr>
          <w:rFonts w:ascii="Times New Roman" w:cs="Times New Roman" w:eastAsia="Times New Roman" w:hAnsi="Times New Roman"/>
          <w:sz w:val="18"/>
          <w:szCs w:val="18"/>
          <w:u w:val="single" w:color="auto"/>
          <w:color w:val="0000FF"/>
        </w:rPr>
      </w:pPr>
      <w:hyperlink r:id="rId432">
        <w:r>
          <w:rPr>
            <w:rFonts w:ascii="Times New Roman" w:cs="Times New Roman" w:eastAsia="Times New Roman" w:hAnsi="Times New Roman"/>
            <w:sz w:val="18"/>
            <w:szCs w:val="18"/>
            <w:u w:val="single" w:color="auto"/>
            <w:color w:val="0000FF"/>
          </w:rPr>
          <w:t>Second Amendment to Service Agreement, dated May 4, 2023,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Technologies, LLC (incorporated by reference to Exhibit 10.6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Commission on November 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568261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56826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583501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58350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-38735</wp:posOffset>
            </wp:positionV>
            <wp:extent cx="172656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right="720"/>
        <w:spacing w:after="0" w:line="266" w:lineRule="auto"/>
        <w:rPr>
          <w:rFonts w:ascii="Times New Roman" w:cs="Times New Roman" w:eastAsia="Times New Roman" w:hAnsi="Times New Roman"/>
          <w:sz w:val="18"/>
          <w:szCs w:val="18"/>
          <w:u w:val="single" w:color="auto"/>
          <w:color w:val="0000FF"/>
        </w:rPr>
      </w:pPr>
      <w:hyperlink r:id="rId436">
        <w:r>
          <w:rPr>
            <w:rFonts w:ascii="Times New Roman" w:cs="Times New Roman" w:eastAsia="Times New Roman" w:hAnsi="Times New Roman"/>
            <w:sz w:val="18"/>
            <w:szCs w:val="18"/>
            <w:u w:val="single" w:color="auto"/>
            <w:color w:val="0000FF"/>
          </w:rPr>
          <w:t>Third Amendment to Service Agreement, dated August 13, 2024,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436">
        <w:r>
          <w:rPr>
            <w:rFonts w:ascii="Times New Roman" w:cs="Times New Roman" w:eastAsia="Times New Roman" w:hAnsi="Times New Roman"/>
            <w:sz w:val="18"/>
            <w:szCs w:val="18"/>
            <w:u w:val="single" w:color="auto"/>
            <w:color w:val="0000FF"/>
          </w:rPr>
          <w:t>Technologies, LLC (incorporated by reference to Exhibit 10.7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436">
        <w:r>
          <w:rPr>
            <w:rFonts w:ascii="Times New Roman" w:cs="Times New Roman" w:eastAsia="Times New Roman" w:hAnsi="Times New Roman"/>
            <w:sz w:val="18"/>
            <w:szCs w:val="18"/>
            <w:u w:val="single" w:color="auto"/>
            <w:color w:val="0000FF"/>
          </w:rPr>
          <w:t>Commission on November 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577786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583501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58350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-38735</wp:posOffset>
            </wp:positionV>
            <wp:extent cx="17265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right="720"/>
        <w:spacing w:after="0" w:line="266" w:lineRule="auto"/>
        <w:rPr>
          <w:rFonts w:ascii="Times New Roman" w:cs="Times New Roman" w:eastAsia="Times New Roman" w:hAnsi="Times New Roman"/>
          <w:sz w:val="18"/>
          <w:szCs w:val="18"/>
          <w:u w:val="single" w:color="auto"/>
          <w:color w:val="0000FF"/>
        </w:rPr>
      </w:pPr>
      <w:hyperlink r:id="rId440">
        <w:r>
          <w:rPr>
            <w:rFonts w:ascii="Times New Roman" w:cs="Times New Roman" w:eastAsia="Times New Roman" w:hAnsi="Times New Roman"/>
            <w:sz w:val="18"/>
            <w:szCs w:val="18"/>
            <w:u w:val="single" w:color="auto"/>
            <w:color w:val="0000FF"/>
          </w:rPr>
          <w:t>PCI Addendum to Service Agreement, dated October 12, 2022, by and between Dave Operating LLC and Galileo Financial</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Technologies, LLC (incorporated by reference to Exhibit 10.8 to the Company’s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Commission on November 12,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56826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56826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58350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58350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-38735</wp:posOffset>
            </wp:positionV>
            <wp:extent cx="175514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175514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Insider Trading Policy.</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-7620</wp:posOffset>
            </wp:positionV>
            <wp:extent cx="102806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11" w:lineRule="exact"/>
        <w:rPr>
          <w:rFonts w:ascii="Times New Roman" w:cs="Times New Roman" w:eastAsia="Times New Roman" w:hAnsi="Times New Roman"/>
          <w:sz w:val="18"/>
          <w:szCs w:val="18"/>
          <w:u w:val="single" w:color="auto"/>
          <w:color w:val="0000FF"/>
        </w:rPr>
      </w:pPr>
    </w:p>
    <w:p>
      <w:pPr>
        <w:spacing w:after="0" w:line="282" w:lineRule="auto"/>
        <w:rPr>
          <w:rFonts w:ascii="Times New Roman" w:cs="Times New Roman" w:eastAsia="Times New Roman" w:hAnsi="Times New Roman"/>
          <w:sz w:val="18"/>
          <w:szCs w:val="18"/>
          <w:u w:val="single" w:color="auto"/>
          <w:color w:val="0000FF"/>
        </w:rPr>
      </w:pPr>
      <w:hyperlink r:id="rId445">
        <w:r>
          <w:rPr>
            <w:rFonts w:ascii="Times New Roman" w:cs="Times New Roman" w:eastAsia="Times New Roman" w:hAnsi="Times New Roman"/>
            <w:sz w:val="18"/>
            <w:szCs w:val="18"/>
            <w:u w:val="single" w:color="auto"/>
            <w:color w:val="0000FF"/>
          </w:rPr>
          <w:t>List of Subsidiaries (incorporated by reference to Exhibit 21.1 to the Company’s Current Report on Form 8-K filed with the Commission</w:t>
        </w:r>
      </w:hyperlink>
      <w:r>
        <w:rPr>
          <w:rFonts w:ascii="Times New Roman" w:cs="Times New Roman" w:eastAsia="Times New Roman" w:hAnsi="Times New Roman"/>
          <w:sz w:val="18"/>
          <w:szCs w:val="18"/>
          <w:u w:val="single" w:color="auto"/>
          <w:color w:val="0000FF"/>
        </w:rPr>
        <w:t xml:space="preserve"> </w:t>
      </w:r>
      <w:hyperlink r:id="rId445">
        <w:r>
          <w:rPr>
            <w:rFonts w:ascii="Times New Roman" w:cs="Times New Roman" w:eastAsia="Times New Roman" w:hAnsi="Times New Roman"/>
            <w:sz w:val="18"/>
            <w:szCs w:val="18"/>
            <w:u w:val="single" w:color="auto"/>
            <w:color w:val="0000FF"/>
          </w:rPr>
          <w:t>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2833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99314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6433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the signature page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26682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2668270" cy="8255"/>
                    </a:xfrm>
                    <a:prstGeom prst="rect">
                      <a:avLst/>
                    </a:prstGeom>
                    <a:noFill/>
                  </pic:spPr>
                </pic:pic>
              </a:graphicData>
            </a:graphic>
          </wp:anchor>
        </w:drawing>
      </w:r>
    </w:p>
    <w:p>
      <w:pPr>
        <w:spacing w:after="0" w:line="11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Rule 13a-14(a) under the Securities Exchange Act of 1934, as adopted pursuant to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2344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62344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19989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580" w:space="320"/>
            <w:col w:w="9860"/>
          </w:cols>
          <w:pgMar w:left="700" w:top="1417" w:right="4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7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31.2</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Rule 13a-14(a) under the Securities Exchange Act of 1934, as adopted pursuant</w:t>
            </w:r>
          </w:p>
        </w:tc>
        <w:tc>
          <w:tcPr>
            <w:tcW w:w="0" w:type="dxa"/>
            <w:vAlign w:val="bottom"/>
          </w:tcPr>
          <w:p>
            <w:pPr>
              <w:spacing w:after="0"/>
              <w:rPr>
                <w:sz w:val="1"/>
                <w:szCs w:val="1"/>
                <w:color w:val="auto"/>
              </w:rPr>
            </w:pPr>
          </w:p>
        </w:tc>
      </w:tr>
      <w:tr>
        <w:trPr>
          <w:trHeight w:val="20"/>
        </w:trPr>
        <w:tc>
          <w:tcPr>
            <w:tcW w:w="740" w:type="dxa"/>
            <w:vAlign w:val="bottom"/>
            <w:vMerge w:val="continu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66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0" w:type="dxa"/>
            <w:vAlign w:val="bottom"/>
            <w:vMerge w:val="continue"/>
          </w:tcPr>
          <w:p>
            <w:pPr>
              <w:spacing w:after="0"/>
              <w:rPr>
                <w:sz w:val="11"/>
                <w:szCs w:val="11"/>
                <w:color w:val="auto"/>
              </w:rPr>
            </w:pPr>
          </w:p>
        </w:tc>
        <w:tc>
          <w:tcPr>
            <w:tcW w:w="97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to §302 of the Sarbanes-Oxley Act of 2002.</w:t>
            </w:r>
          </w:p>
        </w:tc>
        <w:tc>
          <w:tcPr>
            <w:tcW w:w="0" w:type="dxa"/>
            <w:vAlign w:val="bottom"/>
          </w:tcPr>
          <w:p>
            <w:pPr>
              <w:spacing w:after="0"/>
              <w:rPr>
                <w:sz w:val="1"/>
                <w:szCs w:val="1"/>
                <w:color w:val="auto"/>
              </w:rPr>
            </w:pPr>
          </w:p>
        </w:tc>
      </w:tr>
      <w:tr>
        <w:trPr>
          <w:trHeight w:val="67"/>
        </w:trPr>
        <w:tc>
          <w:tcPr>
            <w:tcW w:w="740" w:type="dxa"/>
            <w:vAlign w:val="bottom"/>
          </w:tcPr>
          <w:p>
            <w:pPr>
              <w:spacing w:after="0"/>
              <w:rPr>
                <w:sz w:val="5"/>
                <w:szCs w:val="5"/>
                <w:color w:val="auto"/>
              </w:rPr>
            </w:pPr>
          </w:p>
        </w:tc>
        <w:tc>
          <w:tcPr>
            <w:tcW w:w="9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00" w:right="40" w:hanging="662"/>
        <w:spacing w:after="0" w:line="184" w:lineRule="auto"/>
        <w:tabs>
          <w:tab w:leader="none" w:pos="900" w:val="left"/>
        </w:tabs>
        <w:numPr>
          <w:ilvl w:val="0"/>
          <w:numId w:val="3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u w:val="single" w:color="auto"/>
          <w:color w:val="0000FF"/>
        </w:rPr>
        <w:t>Certification of the Chief Executive Officer and Chief Financial Officer pursuant to 18 U.S.C. §1350, as adopted pursuant to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-161925</wp:posOffset>
            </wp:positionV>
            <wp:extent cx="627570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-24765</wp:posOffset>
            </wp:positionV>
            <wp:extent cx="133286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00" w:top="1417" w:right="439" w:bottom="1440" w:gutter="0" w:footer="0" w:header="0"/>
          <w:type w:val="continuous"/>
        </w:sectPr>
      </w:pPr>
    </w:p>
    <w:bookmarkStart w:id="119" w:name="page120"/>
    <w:bookmarkEnd w:id="119"/>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97.1†</w:t>
      </w:r>
    </w:p>
    <w:p>
      <w:pPr>
        <w:spacing w:after="0" w:line="3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101.INS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sz w:val="20"/>
          <w:szCs w:val="20"/>
          <w:color w:val="auto"/>
        </w:rPr>
      </w:pPr>
      <w:r>
        <w:rPr>
          <w:sz w:val="20"/>
          <w:szCs w:val="20"/>
          <w:color w:val="auto"/>
        </w:rPr>
        <w:br w:type="column"/>
      </w:r>
    </w:p>
    <w:p>
      <w:pPr>
        <w:spacing w:after="0" w:line="282" w:lineRule="auto"/>
        <w:rPr>
          <w:rFonts w:ascii="Times New Roman" w:cs="Times New Roman" w:eastAsia="Times New Roman" w:hAnsi="Times New Roman"/>
          <w:sz w:val="18"/>
          <w:szCs w:val="18"/>
          <w:u w:val="single" w:color="auto"/>
          <w:color w:val="0000FF"/>
        </w:rPr>
      </w:pPr>
      <w:hyperlink r:id="rId455">
        <w:r>
          <w:rPr>
            <w:rFonts w:ascii="Times New Roman" w:cs="Times New Roman" w:eastAsia="Times New Roman" w:hAnsi="Times New Roman"/>
            <w:sz w:val="18"/>
            <w:szCs w:val="18"/>
            <w:u w:val="single" w:color="auto"/>
            <w:color w:val="0000FF"/>
          </w:rPr>
          <w:t>Dave Inc. Compensation Recovery Policy (incorporated by reference to Exhibit 97.1 to the Company’s Annual Report on Form 10-K</w:t>
        </w:r>
      </w:hyperlink>
      <w:r>
        <w:rPr>
          <w:rFonts w:ascii="Times New Roman" w:cs="Times New Roman" w:eastAsia="Times New Roman" w:hAnsi="Times New Roman"/>
          <w:sz w:val="18"/>
          <w:szCs w:val="18"/>
          <w:u w:val="single" w:color="auto"/>
          <w:color w:val="0000FF"/>
        </w:rPr>
        <w:t xml:space="preserve"> </w:t>
      </w:r>
      <w:hyperlink r:id="rId455">
        <w:r>
          <w:rPr>
            <w:rFonts w:ascii="Times New Roman" w:cs="Times New Roman" w:eastAsia="Times New Roman" w:hAnsi="Times New Roman"/>
            <w:sz w:val="18"/>
            <w:szCs w:val="18"/>
            <w:u w:val="single" w:color="auto"/>
            <w:color w:val="0000FF"/>
          </w:rPr>
          <w:t>filed with the Commission on March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1271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61271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21228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2122805" cy="8255"/>
                    </a:xfrm>
                    <a:prstGeom prst="rect">
                      <a:avLst/>
                    </a:prstGeom>
                    <a:noFill/>
                  </pic:spPr>
                </pic:pic>
              </a:graphicData>
            </a:graphic>
          </wp:anchor>
        </w:drawing>
      </w:r>
    </w:p>
    <w:p>
      <w:pPr>
        <w:spacing w:after="0" w:line="4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p>
      <w:pPr>
        <w:spacing w:after="0" w:line="131" w:lineRule="exact"/>
        <w:rPr>
          <w:sz w:val="20"/>
          <w:szCs w:val="20"/>
          <w:color w:val="auto"/>
        </w:rPr>
      </w:pPr>
    </w:p>
    <w:p>
      <w:pPr>
        <w:sectPr>
          <w:pgSz w:w="11900" w:h="16838" w:orient="portrait"/>
          <w:cols w:equalWidth="0" w:num="2">
            <w:col w:w="1000" w:space="280"/>
            <w:col w:w="9600"/>
          </w:cols>
          <w:pgMar w:left="320" w:top="1417" w:right="699" w:bottom="1440" w:gutter="0" w:footer="0" w:header="0"/>
        </w:sectPr>
      </w:pPr>
    </w:p>
    <w:p>
      <w:pPr>
        <w:ind w:left="520"/>
        <w:spacing w:after="0"/>
        <w:tabs>
          <w:tab w:leader="none" w:pos="12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schedules to this Exhibit have been omitted in accordance with Regulation S-K</w:t>
      </w:r>
    </w:p>
    <w:p>
      <w:pPr>
        <w:spacing w:after="0" w:line="2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Item 601(a)(5). The Company agrees to furnish supplementally a copy of any omitted schedule to the Securities and Exchange Commission upon its request.</w:t>
      </w:r>
    </w:p>
    <w:p>
      <w:pPr>
        <w:spacing w:after="0" w:line="1"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redacted in accordance with Regulation S-K Item 601(b)(2)(ii) or 601(b)(10)(iv), as applicable.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contract or arrangement.</w:t>
      </w: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17" w:right="6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21" w:name="page122"/>
    <w:bookmarkEnd w:id="1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March 4, 2025</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29" w:lineRule="exact"/>
        <w:rPr>
          <w:sz w:val="20"/>
          <w:szCs w:val="20"/>
          <w:color w:val="auto"/>
        </w:rPr>
      </w:pPr>
    </w:p>
    <w:p>
      <w:pPr>
        <w:ind w:left="57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Jason Wilk</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Joan Aristei or Kyle Beilman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6"/>
                <w:szCs w:val="16"/>
                <w:color w:val="auto"/>
              </w:rPr>
            </w:pPr>
          </w:p>
        </w:tc>
      </w:tr>
      <w:tr>
        <w:trPr>
          <w:trHeight w:val="398"/>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Wilk</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Wilk</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Kyle Beilman</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Kyle Beilman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Brendan Carroll</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Brendan Carroll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Andrea Mitchell</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Andrea Mitchell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Pope</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Pope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 Preston</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 Preston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Imran Khan</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Imran Khan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Yadin Rozov</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Yadin Rozov</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20" w:type="dxa"/>
            <w:vAlign w:val="bottom"/>
            <w:gridSpan w:val="3"/>
          </w:tcPr>
          <w:p>
            <w:pPr>
              <w:jc w:val="right"/>
              <w:ind w:right="3332"/>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ind w:left="824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INC. AMENDED AND RESTATED 2021 EQUITY INCENTIVE PLAN</w:t>
      </w:r>
    </w:p>
    <w:p>
      <w:pPr>
        <w:spacing w:after="0" w:line="20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This second amendment (this “</w:t>
      </w:r>
      <w:r>
        <w:rPr>
          <w:rFonts w:ascii="Times New Roman" w:cs="Times New Roman" w:eastAsia="Times New Roman" w:hAnsi="Times New Roman"/>
          <w:sz w:val="18"/>
          <w:szCs w:val="18"/>
          <w:b w:val="1"/>
          <w:bCs w:val="1"/>
          <w:i w:val="1"/>
          <w:iCs w:val="1"/>
          <w:color w:val="auto"/>
        </w:rPr>
        <w:t>Second Amendment</w:t>
      </w:r>
      <w:r>
        <w:rPr>
          <w:rFonts w:ascii="Times New Roman" w:cs="Times New Roman" w:eastAsia="Times New Roman" w:hAnsi="Times New Roman"/>
          <w:sz w:val="18"/>
          <w:szCs w:val="18"/>
          <w:color w:val="auto"/>
        </w:rPr>
        <w:t>”) to the Dave Inc. Amended and Restated 2021 Equity Incentive Plan (the “</w:t>
      </w:r>
      <w:r>
        <w:rPr>
          <w:rFonts w:ascii="Times New Roman" w:cs="Times New Roman" w:eastAsia="Times New Roman" w:hAnsi="Times New Roman"/>
          <w:sz w:val="18"/>
          <w:szCs w:val="18"/>
          <w:b w:val="1"/>
          <w:bCs w:val="1"/>
          <w:i w:val="1"/>
          <w:iCs w:val="1"/>
          <w:color w:val="auto"/>
        </w:rPr>
        <w:t>Equity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effective as of December 12, 2024, was approved by all of the members of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Dave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December 10, 2024. Capitalized terms used and not otherwise defined herein shall have the meanings ascribed to such terms in the Equity Incentive Plan.</w:t>
      </w:r>
    </w:p>
    <w:p>
      <w:pPr>
        <w:spacing w:after="0" w:line="189" w:lineRule="exact"/>
        <w:rPr>
          <w:sz w:val="20"/>
          <w:szCs w:val="20"/>
          <w:color w:val="auto"/>
        </w:rPr>
      </w:pPr>
    </w:p>
    <w:p>
      <w:pPr>
        <w:ind w:left="1140" w:hanging="383"/>
        <w:spacing w:after="0"/>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Amendment to Section 6(d)(v)</w:t>
      </w:r>
      <w:r>
        <w:rPr>
          <w:rFonts w:ascii="Times New Roman" w:cs="Times New Roman" w:eastAsia="Times New Roman" w:hAnsi="Times New Roman"/>
          <w:sz w:val="18"/>
          <w:szCs w:val="18"/>
          <w:color w:val="auto"/>
        </w:rPr>
        <w:t>. Section 6(d)(v) of the Equity Incentive Plan is amended and replaced in its entirety to read as follows:</w:t>
      </w:r>
    </w:p>
    <w:p>
      <w:pPr>
        <w:spacing w:after="0" w:line="184" w:lineRule="exact"/>
        <w:rPr>
          <w:rFonts w:ascii="Times New Roman" w:cs="Times New Roman" w:eastAsia="Times New Roman" w:hAnsi="Times New Roman"/>
          <w:sz w:val="22"/>
          <w:szCs w:val="22"/>
          <w:color w:val="auto"/>
        </w:rPr>
      </w:pPr>
    </w:p>
    <w:p>
      <w:pPr>
        <w:jc w:val="both"/>
        <w:ind w:left="1140" w:firstLine="365"/>
        <w:spacing w:after="0" w:line="258" w:lineRule="auto"/>
        <w:tabs>
          <w:tab w:leader="none" w:pos="18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xml:space="preserve"> Except as otherwise determined by the Administrator, if a Participant ceases to be a Service Provider as a result of being terminated for Cause, any outstanding Option (including any vested portion thereof) held by such Participant shall immediately terminate in its entirety upon the Participant being first notified of his or her termination for Cause and the Participant will be prohibited from exercising his or her Option from and after the date of such termination. All the Participant’s rights under any Option, including the right to exercise the Option, may be suspended pending an investigation of whether Participant will be terminated for Cause.</w:t>
      </w:r>
    </w:p>
    <w:p>
      <w:pPr>
        <w:spacing w:after="0" w:line="210" w:lineRule="exact"/>
        <w:rPr>
          <w:rFonts w:ascii="Times New Roman" w:cs="Times New Roman" w:eastAsia="Times New Roman" w:hAnsi="Times New Roman"/>
          <w:sz w:val="18"/>
          <w:szCs w:val="18"/>
          <w:color w:val="auto"/>
        </w:rPr>
      </w:pPr>
    </w:p>
    <w:p>
      <w:pPr>
        <w:ind w:left="1140" w:hanging="383"/>
        <w:spacing w:after="0" w:line="234" w:lineRule="auto"/>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Effect on the Equity Incentive Plan</w:t>
      </w:r>
      <w:r>
        <w:rPr>
          <w:rFonts w:ascii="Times New Roman" w:cs="Times New Roman" w:eastAsia="Times New Roman" w:hAnsi="Times New Roman"/>
          <w:sz w:val="18"/>
          <w:szCs w:val="18"/>
          <w:color w:val="auto"/>
        </w:rPr>
        <w:t>. Except as specifically amended by this Second Amendment, all the terms and conditions of the Equity Incentive Plan shall remain in full force and effect.</w:t>
      </w:r>
    </w:p>
    <w:p>
      <w:pPr>
        <w:spacing w:after="0" w:line="213" w:lineRule="exact"/>
        <w:rPr>
          <w:rFonts w:ascii="Times New Roman" w:cs="Times New Roman" w:eastAsia="Times New Roman" w:hAnsi="Times New Roman"/>
          <w:sz w:val="22"/>
          <w:szCs w:val="22"/>
          <w:color w:val="auto"/>
        </w:rPr>
      </w:pPr>
    </w:p>
    <w:p>
      <w:pPr>
        <w:ind w:left="1140" w:hanging="383"/>
        <w:spacing w:after="0" w:line="234" w:lineRule="auto"/>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Second Amendment shall be governed by and construed according to the laws of the State of Delaware without regard to its conflict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1145540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91E23"/>
        </w:rPr>
        <w:t>DAVE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91E23"/>
        </w:rPr>
        <w:t>I</w:t>
      </w:r>
      <w:r>
        <w:rPr>
          <w:rFonts w:ascii="Times New Roman" w:cs="Times New Roman" w:eastAsia="Times New Roman" w:hAnsi="Times New Roman"/>
          <w:sz w:val="18"/>
          <w:szCs w:val="18"/>
          <w:b w:val="1"/>
          <w:bCs w:val="1"/>
          <w:color w:val="000000"/>
        </w:rPr>
        <w:t>NSIDER TRADING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and approved on July 24, 2024)</w:t>
      </w:r>
    </w:p>
    <w:p>
      <w:pPr>
        <w:spacing w:after="0" w:line="235"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Purpose</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sets forth the policy of Dave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respect to transactions (as defined below) in the Company’s securities (e.g., Class A common stock, options, warrants and derivative securities), as well as the securities of publicly-traded companies with which the Company has a business relationship, for the purpose of promoting compliance with applicable securities laws by its and its subsidiaries’ directors, officers, employees and designated contractors.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and state securities laws prohibit the purchase or sale of a company’s securities by anyone who is aware of material information about that company that is not generally known or available to the public (commonly referred to as material non-public information, or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These laws also prohibit anyone who is aware of MNPI from disclosing such information to others who may trade. Companies and their controlling persons may also be subject to liability if they fail to take reasonable steps to prevent insider trading by company personnel.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penalties for insider trading include civil fines of up to three (3) times the profit gained or loss avoided, and criminal fines of up to $5 million ($25 million for entities) and up to twenty years in jail for each violation.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Individuals who violate this policy will be subject to disciplinary action by the Company, which may include ineligibility for future participation in the Company’s equity plans or termination of employment for cause. In addition, if the Company becomes aware of a violation of this policy, the Company may inform the appropriate governmental authorities.</w:t>
      </w:r>
    </w:p>
    <w:p>
      <w:pPr>
        <w:spacing w:after="0" w:line="185"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Covered Persons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director, officer, employee or designated contractor of the Company or its subsidiaries (each,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this policy applies to you. The same restrictions that apply to you additionally apply to your family members who reside with you, anyone else who lives in your household, and any family members who do not live in your household but whose transactions in the Company’s securities are directed by you or are subject to your influence or control (such as parents or children who consult with you before they trade in the Company’s securities); it also covers venture capital firms and other entities (such as partnerships, trusts and corporations) that are affiliated or associated with you or such persons. You are responsible for making sure that any transaction in securities covered by this policy by you or any of these people or entities complies with this policy.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affiliate of a person subject to this policy is someone who directly or indirectly controls or is controlled by, or is under common control with, such person. An associate of a person subject to this policy is (i) a corporation or organization (other than the Company or a majority owned subsidiary of the Company) of which such person is an officer or partner or is directly or indirectly the beneficial owner of 10% or more of any class of equity securities or (ii) any trust in which such person has a substantial beneficial interest or as to which such person serves as trustee or in a similar capacity.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individual is responsible for the consequences of his or her actions. You are responsible for understanding and complying with this policy. Employees of the Company who violate this policy shall also be subject to disciplinary action by the Company, which may include ineligibility for future participation in the Company’s equity plans or termination of employment for cause.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portions of this policy relating to trading while in possession of MNPI and the use or disclosure of that information to others continue to apply to transactions in the Company’s securities even after termination of employment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jc w:val="both"/>
        <w:spacing w:after="0" w:line="266" w:lineRule="auto"/>
        <w:rPr>
          <w:sz w:val="20"/>
          <w:szCs w:val="20"/>
          <w:color w:val="auto"/>
        </w:rPr>
      </w:pPr>
      <w:r>
        <w:rPr>
          <w:rFonts w:ascii="Times New Roman" w:cs="Times New Roman" w:eastAsia="Times New Roman" w:hAnsi="Times New Roman"/>
          <w:sz w:val="18"/>
          <w:szCs w:val="18"/>
          <w:color w:val="auto"/>
        </w:rPr>
        <w:t>association with the Company, if the MNPI was obtained as the result of your role as a Covered Person. If you are aware of MNPI about the Company when your employment or other business relationship with the Company ends, you may not trade in the Company’s securities or disclose the MNPI to anyone else until that information is made public or is no longer material.</w:t>
      </w:r>
    </w:p>
    <w:p>
      <w:pPr>
        <w:spacing w:after="0" w:line="185"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is any material information about a company that has not yet become publicly available.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is “material” if there is a substantial likelihood that a reasonable investor would consider it important in making a decision to buy, hold or sell securities. Any information that could reasonably be expected to affect the price of the security is material. The information may be positive or negative. Financial information is frequently material, even if it covers only part of a fiscal period or less than all of the company’s operations, since either of these might convey enough information about the company’s consolidated results of operations to be considered material information. Other common examples of information that may be material include:</w:t>
      </w:r>
    </w:p>
    <w:p>
      <w:pPr>
        <w:spacing w:after="0" w:line="197" w:lineRule="exact"/>
        <w:rPr>
          <w:sz w:val="20"/>
          <w:szCs w:val="20"/>
          <w:color w:val="auto"/>
        </w:rPr>
      </w:pPr>
    </w:p>
    <w:p>
      <w:pPr>
        <w:ind w:left="760" w:hanging="378"/>
        <w:spacing w:after="0" w:line="255" w:lineRule="auto"/>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information regarding financial results, financial condition and financial forecasts, including earnings estimates or changes in previously announced earnings estimates;</w:t>
      </w:r>
    </w:p>
    <w:p>
      <w:pPr>
        <w:spacing w:after="0" w:line="19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significant proposed mergers, acquisitions, investments or divestitures;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gain or loss of significant customers or suppliers;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entry into, renewal, termination or changes to material contracts;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layoffs or restructurings;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significant cybersecurity incidents or data breaches;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developments in significant litigation or government investigations;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public or private debt or equity offerings;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significant changes in senior management or the board of directors;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new product or service offerings; or</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capital allocation developments, such as share repurchases and dividends.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and you should recognize that the public, the media and the courts may use hindsight in judging what is material. The materiality of particular information is subject to reassessment on a regular basis. Therefore, it is important to “play it safe” and assume information is material if there is any doubt. You may also consult with the Compliance Officer. The “</w:t>
      </w:r>
      <w:r>
        <w:rPr>
          <w:rFonts w:ascii="Times New Roman" w:cs="Times New Roman" w:eastAsia="Times New Roman" w:hAnsi="Times New Roman"/>
          <w:sz w:val="18"/>
          <w:szCs w:val="18"/>
          <w:b w:val="1"/>
          <w:bCs w:val="1"/>
          <w:i w:val="1"/>
          <w:iCs w:val="1"/>
          <w:color w:val="auto"/>
        </w:rPr>
        <w:t>Compliance Officer</w:t>
      </w:r>
      <w:r>
        <w:rPr>
          <w:rFonts w:ascii="Times New Roman" w:cs="Times New Roman" w:eastAsia="Times New Roman" w:hAnsi="Times New Roman"/>
          <w:sz w:val="18"/>
          <w:szCs w:val="18"/>
          <w:color w:val="auto"/>
        </w:rPr>
        <w:t>” means the Company’s Chief Legal Officer or his or her designee; provided that in the event there is no Chief Legal Officer or the Chief Legal Officer or his or her designee is unavailable, the Company’s Chief Financial Officer shall be authorized to serve as the Compliance Officer in the interim or to designate another person as the Compliance Officer.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emphasized that material information does not have to relate to a company’s business; information about the contents of a forthcoming publication in the financial press that is expected to affect the market price of a security could well be material. You should assume that information that would affect your consideration of whether to trade, or which might tend to influence the price of the security, is material. Information that something is likely to happen or even just that it may happen can be material. Courts often resolve close cases in favor of finding the information material.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5" w:name="page126"/>
    <w:bookmarkEnd w:id="1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is “non-public” if it is not generally known or available to the public. Information may still be non-public even though it is widely known within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Release of information to the media does not immediately mean the information has become publicly available. Information is considered available to the public only when it has been released broadly to the marketplace (such as by a press release or an SEC filing) and the investing public has had time to absorb and evaluate it. Ordinarily, information about the Company should not be considered public until at least one full trading day has passed following its formal release to the market.</w:t>
      </w:r>
    </w:p>
    <w:p>
      <w:pPr>
        <w:spacing w:after="0" w:line="189"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Transacting in Securities While in Possession of MNPI Is Prohibited</w:t>
      </w:r>
    </w:p>
    <w:p>
      <w:pPr>
        <w:spacing w:after="0" w:line="206" w:lineRule="exact"/>
        <w:rPr>
          <w:rFonts w:ascii="Arial" w:cs="Arial" w:eastAsia="Arial" w:hAnsi="Arial"/>
          <w:sz w:val="20"/>
          <w:szCs w:val="20"/>
          <w:b w:val="1"/>
          <w:bCs w:val="1"/>
          <w:color w:val="auto"/>
        </w:rPr>
      </w:pPr>
    </w:p>
    <w:p>
      <w:pPr>
        <w:ind w:left="1140" w:right="160" w:hanging="599"/>
        <w:spacing w:after="0" w:line="266" w:lineRule="auto"/>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4.1. You are prohibited from engaging in any transaction in the Company’s securities (including gifts or other transfers without consideration, such as partnership distributions) while aware of MNPI about the Company. It makes no difference whether you relied upon or used MNPI in deciding to trade – if you are aware of MNPI about the Company, the prohibition applies.</w:t>
      </w:r>
    </w:p>
    <w:p>
      <w:pPr>
        <w:spacing w:after="0" w:line="189" w:lineRule="exact"/>
        <w:rPr>
          <w:sz w:val="20"/>
          <w:szCs w:val="20"/>
          <w:color w:val="auto"/>
        </w:rPr>
      </w:pPr>
    </w:p>
    <w:p>
      <w:pPr>
        <w:jc w:val="both"/>
        <w:ind w:left="1140" w:right="160"/>
        <w:spacing w:after="0" w:line="254" w:lineRule="auto"/>
        <w:rPr>
          <w:sz w:val="20"/>
          <w:szCs w:val="20"/>
          <w:color w:val="auto"/>
        </w:rPr>
      </w:pPr>
      <w:r>
        <w:rPr>
          <w:rFonts w:ascii="Times New Roman" w:cs="Times New Roman" w:eastAsia="Times New Roman" w:hAnsi="Times New Roman"/>
          <w:sz w:val="18"/>
          <w:szCs w:val="18"/>
          <w:color w:val="auto"/>
        </w:rPr>
        <w:t>This prohibition covers virtually all transactions in securities of the Company. In this regard, the term “securities” includes common stock, options to purchase common stock, debt securities, preferred stock and derivative securities, such as put and call options, warrants, swaps, caps and collars, and the term “transactions” includes purchases, sales, pledges, hedges, loans and gifts of the Company’s securities, as well as other direct or indirect transfers of the Company’s securities. This prohibition extends to trades of the Company’s securities in which you have any “beneficial” or other interest, or over which you exercise investment control, including: (i) transactions in the Company’s securities held in joint accounts or accounts of persons or entities controlled directly or indirectly by you; (ii) transactions in the Company’s securities for which you act as trustee, executor or custodian; and (iii) transactions in any other account or investment involving in any way any of the Company’s securities over which you exercise any direct or indirect control.</w:t>
      </w:r>
    </w:p>
    <w:p>
      <w:pPr>
        <w:spacing w:after="0" w:line="192" w:lineRule="exact"/>
        <w:rPr>
          <w:sz w:val="20"/>
          <w:szCs w:val="20"/>
          <w:color w:val="auto"/>
        </w:rPr>
      </w:pPr>
    </w:p>
    <w:p>
      <w:pPr>
        <w:jc w:val="both"/>
        <w:ind w:left="1140" w:right="160" w:hanging="598"/>
        <w:spacing w:after="0" w:line="261" w:lineRule="auto"/>
        <w:rPr>
          <w:sz w:val="20"/>
          <w:szCs w:val="20"/>
          <w:color w:val="auto"/>
        </w:rPr>
      </w:pPr>
      <w:r>
        <w:rPr>
          <w:rFonts w:ascii="Times New Roman" w:cs="Times New Roman" w:eastAsia="Times New Roman" w:hAnsi="Times New Roman"/>
          <w:sz w:val="18"/>
          <w:szCs w:val="18"/>
          <w:color w:val="auto"/>
        </w:rPr>
        <w:t>4.2 For the avoidance of doubt, this prohibition applies to the subsequent sales of the Company’s securities issued pursuant to equity awards, as well broker-assisted sales for the purpose of generating the cash needed to cover the costs of options exercises and/or tax withholding. In addition, your decision to participate in the ESPP and any decision to change your election under the ESPP should not be made while you are in possession of MNPI.</w:t>
      </w:r>
    </w:p>
    <w:p>
      <w:pPr>
        <w:spacing w:after="0" w:line="180" w:lineRule="exact"/>
        <w:rPr>
          <w:sz w:val="20"/>
          <w:szCs w:val="20"/>
          <w:color w:val="auto"/>
        </w:rPr>
      </w:pPr>
    </w:p>
    <w:p>
      <w:pPr>
        <w:jc w:val="both"/>
        <w:ind w:left="1140" w:right="160" w:hanging="598"/>
        <w:spacing w:after="0" w:line="261" w:lineRule="auto"/>
        <w:rPr>
          <w:sz w:val="20"/>
          <w:szCs w:val="20"/>
          <w:color w:val="auto"/>
        </w:rPr>
      </w:pPr>
      <w:r>
        <w:rPr>
          <w:rFonts w:ascii="Times New Roman" w:cs="Times New Roman" w:eastAsia="Times New Roman" w:hAnsi="Times New Roman"/>
          <w:sz w:val="18"/>
          <w:szCs w:val="18"/>
          <w:color w:val="auto"/>
        </w:rPr>
        <w:t>4.3 You are also prohibited from engaging in transactions in securities of other companies with which the Company has a business relationship while aware of MNPI about those companies learned in connection with your role as a Covered Person. Such MNPI may include, but is not limited to, negotiations over mergers, acquisitions, divestitures or renewal or termination of significant contracts or other arrangements.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4.4. These prohibitions do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apply to:</w:t>
      </w:r>
    </w:p>
    <w:p>
      <w:pPr>
        <w:spacing w:after="0" w:line="229" w:lineRule="exact"/>
        <w:rPr>
          <w:sz w:val="20"/>
          <w:szCs w:val="20"/>
          <w:color w:val="auto"/>
        </w:rPr>
      </w:pPr>
    </w:p>
    <w:p>
      <w:pPr>
        <w:ind w:left="2260" w:right="100" w:hanging="637"/>
        <w:spacing w:after="0" w:line="282" w:lineRule="auto"/>
        <w:tabs>
          <w:tab w:leader="none" w:pos="2240" w:val="left"/>
        </w:tabs>
        <w:rPr>
          <w:sz w:val="20"/>
          <w:szCs w:val="20"/>
          <w:color w:val="auto"/>
        </w:rPr>
      </w:pPr>
      <w:r>
        <w:rPr>
          <w:rFonts w:ascii="Times New Roman" w:cs="Times New Roman" w:eastAsia="Times New Roman" w:hAnsi="Times New Roman"/>
          <w:sz w:val="18"/>
          <w:szCs w:val="18"/>
          <w:color w:val="auto"/>
        </w:rPr>
        <w:t>4.4.1.</w:t>
        <w:tab/>
        <w:t>The exercise of stock options or option-like awards if the exercise price is paid in cash or through the Company withholding a portion of the shares underlying the options.</w:t>
      </w:r>
    </w:p>
    <w:p>
      <w:pPr>
        <w:spacing w:after="0" w:line="162"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7"/>
          <w:szCs w:val="17"/>
          <w:color w:val="auto"/>
        </w:rPr>
        <w:t>The Company’s withholding of shares underlying equity awards to satisfy tax withholding requirements.</w:t>
      </w:r>
    </w:p>
    <w:p>
      <w:pPr>
        <w:spacing w:after="0" w:line="225"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7"/>
          <w:szCs w:val="17"/>
          <w:color w:val="auto"/>
        </w:rPr>
        <w:t xml:space="preserve">Transactions made pursuant to a valid “10b5-1 plan” meeting the requirements of Section 9 below and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260" w:right="40" w:hanging="637"/>
        <w:spacing w:after="0" w:line="282" w:lineRule="auto"/>
        <w:tabs>
          <w:tab w:leader="none" w:pos="2240" w:val="left"/>
        </w:tabs>
        <w:rPr>
          <w:sz w:val="20"/>
          <w:szCs w:val="20"/>
          <w:color w:val="auto"/>
        </w:rPr>
      </w:pPr>
      <w:r>
        <w:rPr>
          <w:rFonts w:ascii="Times New Roman" w:cs="Times New Roman" w:eastAsia="Times New Roman" w:hAnsi="Times New Roman"/>
          <w:sz w:val="18"/>
          <w:szCs w:val="18"/>
          <w:color w:val="auto"/>
        </w:rPr>
        <w:t>4.4.4</w:t>
        <w:tab/>
        <w:t>Transfers by will or the laws of descent and distribution or transfers for tax planning purposes in which your beneficial ownership and pecuniary interest in the transferred securities do not change.</w:t>
      </w:r>
    </w:p>
    <w:p>
      <w:pPr>
        <w:spacing w:after="0" w:line="3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6" w:name="page127"/>
    <w:bookmarkEnd w:id="126"/>
    <w:p>
      <w:pPr>
        <w:spacing w:after="0" w:line="194"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18"/>
          <w:szCs w:val="18"/>
          <w:color w:val="auto"/>
        </w:rPr>
        <w:t>4.4.5</w:t>
      </w:r>
      <w:r>
        <w:rPr>
          <w:sz w:val="20"/>
          <w:szCs w:val="20"/>
          <w:color w:val="auto"/>
        </w:rPr>
        <w:tab/>
      </w:r>
      <w:r>
        <w:rPr>
          <w:rFonts w:ascii="Times New Roman" w:cs="Times New Roman" w:eastAsia="Times New Roman" w:hAnsi="Times New Roman"/>
          <w:sz w:val="18"/>
          <w:szCs w:val="18"/>
          <w:color w:val="auto"/>
        </w:rPr>
        <w:t>The purchase of the Company’s securities under the Employee Stock Purchase Plan.</w:t>
      </w:r>
    </w:p>
    <w:p>
      <w:pPr>
        <w:spacing w:after="0" w:line="225"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18"/>
          <w:szCs w:val="18"/>
          <w:color w:val="auto"/>
        </w:rPr>
        <w:t>4.4.6.</w:t>
      </w:r>
      <w:r>
        <w:rPr>
          <w:sz w:val="20"/>
          <w:szCs w:val="20"/>
          <w:color w:val="auto"/>
        </w:rPr>
        <w:tab/>
      </w:r>
      <w:r>
        <w:rPr>
          <w:rFonts w:ascii="Times New Roman" w:cs="Times New Roman" w:eastAsia="Times New Roman" w:hAnsi="Times New Roman"/>
          <w:sz w:val="17"/>
          <w:szCs w:val="17"/>
          <w:color w:val="auto"/>
        </w:rPr>
        <w:t>Transactions in mutual funds that are invested in the Company’s securities.</w:t>
      </w:r>
    </w:p>
    <w:p>
      <w:pPr>
        <w:spacing w:after="0" w:line="239" w:lineRule="exact"/>
        <w:rPr>
          <w:sz w:val="20"/>
          <w:szCs w:val="20"/>
          <w:color w:val="auto"/>
        </w:rPr>
      </w:pPr>
    </w:p>
    <w:p>
      <w:pPr>
        <w:ind w:left="2260" w:right="40" w:hanging="637"/>
        <w:spacing w:after="0" w:line="282" w:lineRule="auto"/>
        <w:tabs>
          <w:tab w:leader="none" w:pos="2240" w:val="left"/>
        </w:tabs>
        <w:rPr>
          <w:sz w:val="20"/>
          <w:szCs w:val="20"/>
          <w:color w:val="auto"/>
        </w:rPr>
      </w:pPr>
      <w:r>
        <w:rPr>
          <w:rFonts w:ascii="Times New Roman" w:cs="Times New Roman" w:eastAsia="Times New Roman" w:hAnsi="Times New Roman"/>
          <w:sz w:val="18"/>
          <w:szCs w:val="18"/>
          <w:color w:val="auto"/>
        </w:rPr>
        <w:t>4.4.7</w:t>
        <w:tab/>
        <w:t>Transactions otherwise prohibited by this policy if, prior to the transaction, the Compliance Officer determines that the transaction is not inconsistent with the purposes of this policy and exceptional circumstances apply.</w:t>
      </w:r>
    </w:p>
    <w:p>
      <w:pPr>
        <w:spacing w:after="0" w:line="162" w:lineRule="exact"/>
        <w:rPr>
          <w:sz w:val="20"/>
          <w:szCs w:val="20"/>
          <w:color w:val="auto"/>
        </w:rPr>
      </w:pPr>
    </w:p>
    <w:p>
      <w:pPr>
        <w:jc w:val="both"/>
        <w:ind w:left="2260" w:hanging="278"/>
        <w:spacing w:after="0" w:line="266" w:lineRule="auto"/>
        <w:rPr>
          <w:sz w:val="20"/>
          <w:szCs w:val="20"/>
          <w:color w:val="auto"/>
        </w:rPr>
      </w:pPr>
      <w:r>
        <w:rPr>
          <w:rFonts w:ascii="Times New Roman" w:cs="Times New Roman" w:eastAsia="Times New Roman" w:hAnsi="Times New Roman"/>
          <w:sz w:val="18"/>
          <w:szCs w:val="18"/>
          <w:color w:val="auto"/>
        </w:rPr>
        <w:t>The existence of a personal financial emergency does not excuse you from compliance with this policy and will not be the basis for an exception to the policy under Section 4.4.7 or otherwise for a transaction that is not inconsistent with the purposes of the policy.</w:t>
      </w:r>
    </w:p>
    <w:p>
      <w:pPr>
        <w:spacing w:after="0" w:line="185"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Disclosure of MNPI is Prohibited; No “Tipping”</w:t>
      </w:r>
    </w:p>
    <w:p>
      <w:pPr>
        <w:spacing w:after="0" w:line="206"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You may not disclose MNPI about the Company or any other company with which the Company has a business relationship learned in connection with your role as a Covered Person to others, make recommendations or express opinions to others about investments in or the prospects of the Company or those companies while in possession of this information, or otherwise make unauthorized disclosure or use of this information. Use of such information other than for legitimate business purposes of the Company violates Company policy and the terms of applicable confidentiality agreements. This practice, known as “tipping,” also violates securities laws and can result in the same civil and criminal penalties that apply to insider trading, even if you did not trade and did not gain or intend to gain any benefit from another’s trading or the disclosure or use of such information.</w:t>
      </w:r>
    </w:p>
    <w:p>
      <w:pPr>
        <w:spacing w:after="0" w:line="18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Any written or verbal statement that would be prohibited under the law or under this policy is equally prohibited if made on the internet through electronic bulletin boards, chat rooms, blogs, websites or any other form of social media, regardless of whether Covered Persons use their own name or a pseudonym, including the disclosure of MNPI about the Company or with respect to other publicly-traded companies that you learn through your work with the Company.</w:t>
      </w:r>
    </w:p>
    <w:p>
      <w:pPr>
        <w:spacing w:after="0" w:line="189"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Other Prohibited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and any person acting on your behalf may not:</w:t>
      </w:r>
    </w:p>
    <w:p>
      <w:pPr>
        <w:spacing w:after="0" w:line="225" w:lineRule="exact"/>
        <w:rPr>
          <w:sz w:val="20"/>
          <w:szCs w:val="20"/>
          <w:color w:val="auto"/>
        </w:rPr>
      </w:pPr>
    </w:p>
    <w:p>
      <w:pPr>
        <w:jc w:val="both"/>
        <w:ind w:left="1140" w:right="140" w:hanging="598"/>
        <w:spacing w:after="0" w:line="282" w:lineRule="auto"/>
        <w:rPr>
          <w:sz w:val="20"/>
          <w:szCs w:val="20"/>
          <w:color w:val="auto"/>
        </w:rPr>
      </w:pPr>
      <w:r>
        <w:rPr>
          <w:rFonts w:ascii="Times New Roman" w:cs="Times New Roman" w:eastAsia="Times New Roman" w:hAnsi="Times New Roman"/>
          <w:sz w:val="18"/>
          <w:szCs w:val="18"/>
          <w:color w:val="auto"/>
        </w:rPr>
        <w:t>6.1 Engage in short sales of the Company’s securities (sales of securities that are not then owned), including “sales against the box” (short sales not exceeding the number of shares already owned).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6.2  Trade in derivatives of the Company’s securities, such as exchange-traded put or call options and forward transactions.</w:t>
      </w:r>
    </w:p>
    <w:p>
      <w:pPr>
        <w:spacing w:after="0" w:line="225" w:lineRule="exact"/>
        <w:rPr>
          <w:sz w:val="20"/>
          <w:szCs w:val="20"/>
          <w:color w:val="auto"/>
        </w:rPr>
      </w:pPr>
    </w:p>
    <w:p>
      <w:pPr>
        <w:jc w:val="both"/>
        <w:ind w:left="1140" w:right="140" w:hanging="598"/>
        <w:spacing w:after="0" w:line="266" w:lineRule="auto"/>
        <w:rPr>
          <w:sz w:val="20"/>
          <w:szCs w:val="20"/>
          <w:color w:val="auto"/>
        </w:rPr>
      </w:pPr>
      <w:r>
        <w:rPr>
          <w:rFonts w:ascii="Times New Roman" w:cs="Times New Roman" w:eastAsia="Times New Roman" w:hAnsi="Times New Roman"/>
          <w:sz w:val="18"/>
          <w:szCs w:val="18"/>
          <w:color w:val="auto"/>
        </w:rPr>
        <w:t>6.3 Purchase any financial instruments (such as prepaid variable forward contracts, equity swaps, collars or exchange funds) or otherwise engaging in any transactions that hedge or offset any decrease in the market value of the Company’s securities or limit your ability to profit from an increase in the market value of the Company’s securities.</w:t>
      </w:r>
    </w:p>
    <w:p>
      <w:pPr>
        <w:spacing w:after="0" w:line="176" w:lineRule="exact"/>
        <w:rPr>
          <w:sz w:val="20"/>
          <w:szCs w:val="20"/>
          <w:color w:val="auto"/>
        </w:rPr>
      </w:pPr>
    </w:p>
    <w:p>
      <w:pPr>
        <w:jc w:val="both"/>
        <w:ind w:left="1140" w:right="140" w:hanging="598"/>
        <w:spacing w:after="0" w:line="282" w:lineRule="auto"/>
        <w:rPr>
          <w:sz w:val="20"/>
          <w:szCs w:val="20"/>
          <w:color w:val="auto"/>
        </w:rPr>
      </w:pPr>
      <w:r>
        <w:rPr>
          <w:rFonts w:ascii="Times New Roman" w:cs="Times New Roman" w:eastAsia="Times New Roman" w:hAnsi="Times New Roman"/>
          <w:sz w:val="18"/>
          <w:szCs w:val="18"/>
          <w:color w:val="auto"/>
        </w:rPr>
        <w:t>6.4 Hold the Company’s securities in a margin account or pledge the Company’s securities as collateral for a loan unless the pledge has been approved by the Compliance Officer.</w:t>
      </w:r>
    </w:p>
    <w:p>
      <w:pPr>
        <w:spacing w:after="0" w:line="162" w:lineRule="exact"/>
        <w:rPr>
          <w:sz w:val="20"/>
          <w:szCs w:val="20"/>
          <w:color w:val="auto"/>
        </w:rPr>
      </w:pPr>
    </w:p>
    <w:p>
      <w:pPr>
        <w:jc w:val="both"/>
        <w:ind w:left="1140" w:right="140" w:hanging="598"/>
        <w:spacing w:after="0" w:line="266" w:lineRule="auto"/>
        <w:rPr>
          <w:sz w:val="20"/>
          <w:szCs w:val="20"/>
          <w:color w:val="auto"/>
        </w:rPr>
      </w:pPr>
      <w:r>
        <w:rPr>
          <w:rFonts w:ascii="Times New Roman" w:cs="Times New Roman" w:eastAsia="Times New Roman" w:hAnsi="Times New Roman"/>
          <w:sz w:val="18"/>
          <w:szCs w:val="18"/>
          <w:color w:val="auto"/>
        </w:rPr>
        <w:t xml:space="preserve">6.5 Except under valid 10b5-1 plans meeting the requirements of Section 9 below and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establish standing or limit orders for transactions in the Company’s securities for more than three business days, and any such transaction in the Company’s securities must otherwise comply with the restrictions and procedures of this policy.</w:t>
      </w: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203"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Blackout Periods; Pre-clearance of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transactions described in Section 4.4 hereof:</w:t>
      </w:r>
    </w:p>
    <w:p>
      <w:pPr>
        <w:spacing w:after="0" w:line="225" w:lineRule="exact"/>
        <w:rPr>
          <w:sz w:val="20"/>
          <w:szCs w:val="20"/>
          <w:color w:val="auto"/>
        </w:rPr>
      </w:pPr>
    </w:p>
    <w:p>
      <w:pPr>
        <w:ind w:left="1140" w:right="160" w:hanging="598"/>
        <w:spacing w:after="0" w:line="282" w:lineRule="auto"/>
        <w:rPr>
          <w:sz w:val="20"/>
          <w:szCs w:val="20"/>
          <w:color w:val="auto"/>
        </w:rPr>
      </w:pPr>
      <w:r>
        <w:rPr>
          <w:rFonts w:ascii="Times New Roman" w:cs="Times New Roman" w:eastAsia="Times New Roman" w:hAnsi="Times New Roman"/>
          <w:sz w:val="18"/>
          <w:szCs w:val="18"/>
          <w:color w:val="auto"/>
        </w:rPr>
        <w:t>7.1 No Covered Person may engage in transactions in the Company’s securities during a quarterly blackout period, regardless of whether they are then actually aware of MNPI.</w:t>
      </w:r>
    </w:p>
    <w:p>
      <w:pPr>
        <w:spacing w:after="0" w:line="169" w:lineRule="exact"/>
        <w:rPr>
          <w:sz w:val="20"/>
          <w:szCs w:val="20"/>
          <w:color w:val="auto"/>
        </w:rPr>
      </w:pPr>
    </w:p>
    <w:p>
      <w:pPr>
        <w:ind w:left="1140" w:right="160"/>
        <w:spacing w:after="0" w:line="227" w:lineRule="auto"/>
        <w:rPr>
          <w:sz w:val="20"/>
          <w:szCs w:val="20"/>
          <w:color w:val="auto"/>
        </w:rPr>
      </w:pPr>
      <w:r>
        <w:rPr>
          <w:rFonts w:ascii="Times New Roman" w:cs="Times New Roman" w:eastAsia="Times New Roman" w:hAnsi="Times New Roman"/>
          <w:sz w:val="18"/>
          <w:szCs w:val="18"/>
          <w:color w:val="auto"/>
        </w:rPr>
        <w:t>A quarterly blackout period is in effect with respect to each quarterly earnings announcement, starting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third month of each fiscal quarter (provided, if the fifteenth day of the month is not a business day, then the next business day) and ending when one</w:t>
      </w:r>
    </w:p>
    <w:p>
      <w:pPr>
        <w:ind w:left="1140" w:right="160" w:hanging="9"/>
        <w:spacing w:after="0" w:line="260" w:lineRule="auto"/>
        <w:tabs>
          <w:tab w:leader="none" w:pos="14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trading day has passed following the public announcement of the Company’s quarterly financial results. The Company has selected this period because it is the time when Covered Persons are likely to have MNPI about the Company.</w:t>
      </w:r>
    </w:p>
    <w:p>
      <w:pPr>
        <w:spacing w:after="0" w:line="181" w:lineRule="exact"/>
        <w:rPr>
          <w:sz w:val="20"/>
          <w:szCs w:val="20"/>
          <w:color w:val="auto"/>
        </w:rPr>
      </w:pPr>
    </w:p>
    <w:p>
      <w:pPr>
        <w:jc w:val="both"/>
        <w:ind w:left="1140" w:right="160" w:hanging="598"/>
        <w:spacing w:after="0" w:line="256" w:lineRule="auto"/>
        <w:rPr>
          <w:sz w:val="20"/>
          <w:szCs w:val="20"/>
          <w:color w:val="auto"/>
        </w:rPr>
      </w:pPr>
      <w:r>
        <w:rPr>
          <w:rFonts w:ascii="Times New Roman" w:cs="Times New Roman" w:eastAsia="Times New Roman" w:hAnsi="Times New Roman"/>
          <w:sz w:val="18"/>
          <w:szCs w:val="18"/>
          <w:color w:val="auto"/>
        </w:rPr>
        <w:t>7.2 In addition to quarterly blackout periods applicable to Covered Persons, from time to time the Company or the Compliance Officer may decide to impose an event-specific blackout period company-wide or on those who are aware of particular information that the Company or the Compliance Officer determines to be MNPI. This event-specific blackout period may be imposed in connection with a potential acquisition, a financial analyst conference, anticipated positive or negative earnings announcements, cybersecurity incidents or other material developments. If you are subject to an event-specific blackout period, you may not engage in transactions in the Company’s securities until notified that the blackout period has ended.</w:t>
      </w:r>
    </w:p>
    <w:p>
      <w:pPr>
        <w:spacing w:after="0" w:line="187" w:lineRule="exact"/>
        <w:rPr>
          <w:sz w:val="20"/>
          <w:szCs w:val="20"/>
          <w:color w:val="auto"/>
        </w:rPr>
      </w:pPr>
    </w:p>
    <w:p>
      <w:pPr>
        <w:jc w:val="both"/>
        <w:ind w:left="1140" w:right="160"/>
        <w:spacing w:after="0" w:line="266" w:lineRule="auto"/>
        <w:rPr>
          <w:sz w:val="20"/>
          <w:szCs w:val="20"/>
          <w:color w:val="auto"/>
        </w:rPr>
      </w:pPr>
      <w:r>
        <w:rPr>
          <w:rFonts w:ascii="Times New Roman" w:cs="Times New Roman" w:eastAsia="Times New Roman" w:hAnsi="Times New Roman"/>
          <w:sz w:val="18"/>
          <w:szCs w:val="18"/>
          <w:color w:val="auto"/>
        </w:rPr>
        <w:t>The existence of an event-specific blackout will not be generally announced. If you are covered by the event-specific blackout, you will be notified by the Compliance Officer. Any person made aware of an event-specific blackout should not disclose the existence of the blackout to anyone else. If you have any questions about an event-specific blackout period, you should consult the Compliance Officer.</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7.3  Pre-clearance of Transactions</w:t>
      </w:r>
    </w:p>
    <w:p>
      <w:pPr>
        <w:spacing w:after="0" w:line="225" w:lineRule="exact"/>
        <w:rPr>
          <w:sz w:val="20"/>
          <w:szCs w:val="20"/>
          <w:color w:val="auto"/>
        </w:rPr>
      </w:pPr>
    </w:p>
    <w:p>
      <w:pPr>
        <w:jc w:val="both"/>
        <w:ind w:left="2260" w:hanging="637"/>
        <w:spacing w:after="0" w:line="258" w:lineRule="auto"/>
        <w:tabs>
          <w:tab w:leader="none" w:pos="2240" w:val="left"/>
        </w:tabs>
        <w:rPr>
          <w:sz w:val="20"/>
          <w:szCs w:val="20"/>
          <w:color w:val="auto"/>
        </w:rPr>
      </w:pPr>
      <w:r>
        <w:rPr>
          <w:rFonts w:ascii="Times New Roman" w:cs="Times New Roman" w:eastAsia="Times New Roman" w:hAnsi="Times New Roman"/>
          <w:sz w:val="18"/>
          <w:szCs w:val="18"/>
          <w:color w:val="auto"/>
        </w:rPr>
        <w:t>7.3.1</w:t>
        <w:tab/>
        <w:t xml:space="preserve">Each Restricted Person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must not engage in transactions in the Company’s securities, even at times other than the “quarterly blackout periods” and “event-specific blackout periods” discussed above, without first submitting a request for pre-clearance to the Compliance Officer and having it approved. If you are a Restricted Person, you must submit a request prior to commencing any transaction, including but not limited to sales, purchases, option exercises, gifts or other transactions in the Company’s securities.</w:t>
      </w:r>
    </w:p>
    <w:p>
      <w:pPr>
        <w:spacing w:after="0" w:line="183" w:lineRule="exact"/>
        <w:rPr>
          <w:sz w:val="20"/>
          <w:szCs w:val="20"/>
          <w:color w:val="auto"/>
        </w:rPr>
      </w:pPr>
    </w:p>
    <w:p>
      <w:pPr>
        <w:ind w:left="2260" w:right="20" w:hanging="278"/>
        <w:spacing w:after="0" w:line="282" w:lineRule="auto"/>
        <w:rPr>
          <w:sz w:val="20"/>
          <w:szCs w:val="20"/>
          <w:color w:val="auto"/>
        </w:rPr>
      </w:pPr>
      <w:r>
        <w:rPr>
          <w:rFonts w:ascii="Times New Roman" w:cs="Times New Roman" w:eastAsia="Times New Roman" w:hAnsi="Times New Roman"/>
          <w:sz w:val="18"/>
          <w:szCs w:val="18"/>
          <w:color w:val="auto"/>
        </w:rPr>
        <w:t>If you are a Restricted Person, you will be notified from time to time by the Compliance Officer of the pre-clearance and other procedures applicable to you.</w:t>
      </w:r>
    </w:p>
    <w:p>
      <w:pPr>
        <w:spacing w:after="0" w:line="162" w:lineRule="exact"/>
        <w:rPr>
          <w:sz w:val="20"/>
          <w:szCs w:val="20"/>
          <w:color w:val="auto"/>
        </w:rPr>
      </w:pPr>
    </w:p>
    <w:p>
      <w:pPr>
        <w:jc w:val="both"/>
        <w:ind w:left="2260" w:hanging="637"/>
        <w:spacing w:after="0" w:line="255" w:lineRule="auto"/>
        <w:tabs>
          <w:tab w:leader="none" w:pos="2240" w:val="left"/>
        </w:tabs>
        <w:rPr>
          <w:sz w:val="20"/>
          <w:szCs w:val="20"/>
          <w:color w:val="auto"/>
        </w:rPr>
      </w:pPr>
      <w:r>
        <w:rPr>
          <w:rFonts w:ascii="Times New Roman" w:cs="Times New Roman" w:eastAsia="Times New Roman" w:hAnsi="Times New Roman"/>
          <w:sz w:val="18"/>
          <w:szCs w:val="18"/>
          <w:color w:val="auto"/>
        </w:rPr>
        <w:t>7.3.2</w:t>
        <w:tab/>
        <w:t>Restricted Persons will be permitted to proceed with a proposed transaction only after the Compliance Officer has pre-cleared it and communicated his/her approval in writing or via e-mail. If you are a Restricted Person and your transaction is pre-cleared in accordance with the policy, you will then have three (3) business days to effect the transaction (or, if sooner, before commencement of a quarterly or other blackout period). However, under no circumstance may you engage in transactions in the Company’s securities while aware of MNPI about the Company, even if pre-cleared. Thus, if you become aware of MNPI after receiving pre-clearance, but before the transaction has been executed, you must not effect the pre-cleared transaction.</w:t>
      </w: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jc w:val="both"/>
        <w:ind w:left="2260" w:hanging="637"/>
        <w:spacing w:after="0" w:line="266" w:lineRule="auto"/>
        <w:tabs>
          <w:tab w:leader="none" w:pos="2240" w:val="left"/>
        </w:tabs>
        <w:rPr>
          <w:sz w:val="20"/>
          <w:szCs w:val="20"/>
          <w:color w:val="auto"/>
        </w:rPr>
      </w:pPr>
      <w:r>
        <w:rPr>
          <w:rFonts w:ascii="Times New Roman" w:cs="Times New Roman" w:eastAsia="Times New Roman" w:hAnsi="Times New Roman"/>
          <w:sz w:val="18"/>
          <w:szCs w:val="18"/>
          <w:color w:val="auto"/>
        </w:rPr>
        <w:t>7.3.3</w:t>
        <w:tab/>
        <w:t>The Compliance Officer is under no obligation to approve a request under the pre-clearance procedures provided for under this policy and may determine to reject any request, even if the proposed transaction would not violate the federal securities laws or a specific provision of this policy.</w:t>
      </w:r>
    </w:p>
    <w:p>
      <w:pPr>
        <w:spacing w:after="0" w:line="176" w:lineRule="exact"/>
        <w:rPr>
          <w:sz w:val="20"/>
          <w:szCs w:val="20"/>
          <w:color w:val="auto"/>
        </w:rPr>
      </w:pPr>
    </w:p>
    <w:p>
      <w:pPr>
        <w:jc w:val="both"/>
        <w:ind w:left="2260" w:hanging="278"/>
        <w:spacing w:after="0" w:line="266" w:lineRule="auto"/>
        <w:rPr>
          <w:sz w:val="20"/>
          <w:szCs w:val="20"/>
          <w:color w:val="auto"/>
        </w:rPr>
      </w:pPr>
      <w:r>
        <w:rPr>
          <w:rFonts w:ascii="Times New Roman" w:cs="Times New Roman" w:eastAsia="Times New Roman" w:hAnsi="Times New Roman"/>
          <w:sz w:val="18"/>
          <w:szCs w:val="18"/>
          <w:color w:val="auto"/>
        </w:rPr>
        <w:t>Approval of any request under these pre-clearance procedures does not insulate you from liability under the securities laws. Under the law, the ultimate responsibility for determining whether an individual is aware of MNPI about the Company rests with that individual in all cases.</w:t>
      </w:r>
    </w:p>
    <w:p>
      <w:pPr>
        <w:spacing w:after="0" w:line="176" w:lineRule="exact"/>
        <w:rPr>
          <w:sz w:val="20"/>
          <w:szCs w:val="20"/>
          <w:color w:val="auto"/>
        </w:rPr>
      </w:pPr>
    </w:p>
    <w:p>
      <w:pPr>
        <w:jc w:val="both"/>
        <w:ind w:left="2260" w:hanging="637"/>
        <w:spacing w:after="0" w:line="255" w:lineRule="auto"/>
        <w:tabs>
          <w:tab w:leader="none" w:pos="2240" w:val="left"/>
        </w:tabs>
        <w:rPr>
          <w:sz w:val="20"/>
          <w:szCs w:val="20"/>
          <w:color w:val="auto"/>
        </w:rPr>
      </w:pPr>
      <w:r>
        <w:rPr>
          <w:rFonts w:ascii="Times New Roman" w:cs="Times New Roman" w:eastAsia="Times New Roman" w:hAnsi="Times New Roman"/>
          <w:sz w:val="18"/>
          <w:szCs w:val="18"/>
          <w:color w:val="auto"/>
        </w:rPr>
        <w:t>7.3.4</w:t>
        <w:tab/>
        <w:t>Covered Persons must also comply with SEC Rule 144, Section 16 of the Exchange Act, and all applicable reporting requirements. As such, in connection with the preclearance process, each Section 16 Person (as defined below) should provide to the Compliance Officer with information showing how the proposed transaction in the Company’s securities complies with SEC Rule 144 and does not result in short swing profits under Section 16 of the Exchange Act. 10b5-1 plans should also include a provision stating that the Section 16 Person will arrange for the electronic filing of any required Form 144 with the SEC via the EDGAR system and authorize the 10b5-1 plan broker to notify the Company of all transaction in Company securities on the Section 16 Person’s behalf to ensure a Form 4 is filed in the required two (2) business days.</w:t>
      </w:r>
    </w:p>
    <w:p>
      <w:pPr>
        <w:spacing w:after="0" w:line="189" w:lineRule="exact"/>
        <w:rPr>
          <w:sz w:val="20"/>
          <w:szCs w:val="20"/>
          <w:color w:val="auto"/>
        </w:rPr>
      </w:pPr>
    </w:p>
    <w:p>
      <w:pPr>
        <w:jc w:val="both"/>
        <w:ind w:left="2260" w:hanging="637"/>
        <w:spacing w:after="0" w:line="255" w:lineRule="auto"/>
        <w:tabs>
          <w:tab w:leader="none" w:pos="2240" w:val="left"/>
        </w:tabs>
        <w:rPr>
          <w:sz w:val="20"/>
          <w:szCs w:val="20"/>
          <w:color w:val="auto"/>
        </w:rPr>
      </w:pPr>
      <w:r>
        <w:rPr>
          <w:rFonts w:ascii="Times New Roman" w:cs="Times New Roman" w:eastAsia="Times New Roman" w:hAnsi="Times New Roman"/>
          <w:sz w:val="18"/>
          <w:szCs w:val="18"/>
          <w:color w:val="auto"/>
        </w:rPr>
        <w:t>7.3.5.</w:t>
        <w:tab/>
        <w:t>The Compliance Officer, in consultation with the Chief Executive Officer and the Chief Financial Officer from time to time, will designate and maintain a list of “</w:t>
      </w:r>
      <w:r>
        <w:rPr>
          <w:rFonts w:ascii="Times New Roman" w:cs="Times New Roman" w:eastAsia="Times New Roman" w:hAnsi="Times New Roman"/>
          <w:sz w:val="18"/>
          <w:szCs w:val="18"/>
          <w:b w:val="1"/>
          <w:bCs w:val="1"/>
          <w:i w:val="1"/>
          <w:iCs w:val="1"/>
          <w:color w:val="auto"/>
        </w:rPr>
        <w:t>Restricted Persons</w:t>
      </w:r>
      <w:r>
        <w:rPr>
          <w:rFonts w:ascii="Times New Roman" w:cs="Times New Roman" w:eastAsia="Times New Roman" w:hAnsi="Times New Roman"/>
          <w:sz w:val="18"/>
          <w:szCs w:val="18"/>
          <w:color w:val="auto"/>
        </w:rPr>
        <w:t xml:space="preserve">” for purposes of this policy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Such persons include the Company’s executive officers and directors, including the Company’s principal accounting officer (if separate from the Company’s principal financial officer) (“</w:t>
      </w:r>
      <w:r>
        <w:rPr>
          <w:rFonts w:ascii="Times New Roman" w:cs="Times New Roman" w:eastAsia="Times New Roman" w:hAnsi="Times New Roman"/>
          <w:sz w:val="18"/>
          <w:szCs w:val="18"/>
          <w:b w:val="1"/>
          <w:bCs w:val="1"/>
          <w:i w:val="1"/>
          <w:iCs w:val="1"/>
          <w:color w:val="auto"/>
        </w:rPr>
        <w:t>Section 16 Persons</w:t>
      </w:r>
      <w:r>
        <w:rPr>
          <w:rFonts w:ascii="Times New Roman" w:cs="Times New Roman" w:eastAsia="Times New Roman" w:hAnsi="Times New Roman"/>
          <w:sz w:val="18"/>
          <w:szCs w:val="18"/>
          <w:color w:val="auto"/>
        </w:rPr>
        <w:t xml:space="preserve">”), as well as others who are at an enhanced risk of possessing MNPI and who therefore must exercise greater diligence to comply with insider trading prohibitions. This latter category includes certain senior personnel and employees in certain departments, as well as any other employees in a role that makes it likely they will have involvement with MNPI. </w:t>
      </w:r>
      <w:r>
        <w:rPr>
          <w:rFonts w:ascii="Times New Roman" w:cs="Times New Roman" w:eastAsia="Times New Roman" w:hAnsi="Times New Roman"/>
          <w:sz w:val="18"/>
          <w:szCs w:val="18"/>
          <w:b w:val="1"/>
          <w:bCs w:val="1"/>
          <w:color w:val="auto"/>
        </w:rPr>
        <w:t>You will be notified by the</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Compliance Officer if you are considered a Restricted Person under this policy.</w:t>
      </w:r>
    </w:p>
    <w:p>
      <w:pPr>
        <w:spacing w:after="0" w:line="216"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Exceptions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prohibited by Sections 4, 6, or 7 hereof may be exempted from the prohibitions set forth in this policy if, prior to the transactions, the Compliance Officer determines that the transaction is not inconsistent with the purposes of this policy and exceptional circumstances apply, and communicates a specific, narrow, limited, exception to you in writing.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existence of a personal financial emergency does not excuse you from compliance with this policy and will not be the basis for an exception to this policy.</w:t>
      </w:r>
    </w:p>
    <w:p>
      <w:pPr>
        <w:spacing w:after="0" w:line="171"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10b5-1 Plans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 Rule 10b5-1 provides that if an individual sells stock pursuant to a trading plan meeting the requirements of such rule (commonly referred to as “</w:t>
      </w:r>
      <w:r>
        <w:rPr>
          <w:rFonts w:ascii="Times New Roman" w:cs="Times New Roman" w:eastAsia="Times New Roman" w:hAnsi="Times New Roman"/>
          <w:sz w:val="18"/>
          <w:szCs w:val="18"/>
          <w:b w:val="1"/>
          <w:bCs w:val="1"/>
          <w:i w:val="1"/>
          <w:iCs w:val="1"/>
          <w:color w:val="auto"/>
        </w:rPr>
        <w:t>10b5-1 plans</w:t>
      </w:r>
      <w:r>
        <w:rPr>
          <w:rFonts w:ascii="Times New Roman" w:cs="Times New Roman" w:eastAsia="Times New Roman" w:hAnsi="Times New Roman"/>
          <w:sz w:val="18"/>
          <w:szCs w:val="18"/>
          <w:color w:val="auto"/>
        </w:rPr>
        <w:t>”), the individual will have an affirmative defense to an allegation that a trade has been made on the basis of MNPI. Persons who establish written trading plans under this rule in advance of the trade and while not in possession of MNPI can avail themselves of this defense. These plans can be useful in enabling insiders to plan ahead without fear that they might become exposed to MNPI that will prevent them from trading.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executed under valid pre-approved 10b5-1 plans are not subject to the pre-clearance procedures and trading prohibitions, including the quarterly or event-specific blackout periods, under this policy.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Compliance Officer has established the guidelines for 10b5-1 plans attached hereto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which may be amended from time to time. For more information about how to establish a 10b5-1 plan and applicable guidelines for the adoption and administration of such plans, please contact the Compliance Officer.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Compliance Officer is under no obligation to approve any submitted 10b5-1 plan and may determine to reject any plan, even if it complies with SEC Rule 10b5-1(c) and otherwise complies with this policy.</w:t>
      </w:r>
    </w:p>
    <w:p>
      <w:pPr>
        <w:spacing w:after="0" w:line="171"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Transactions by the Company</w:t>
      </w: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not transact in its own securities while aware of MNPI relating to the Company or its securities, and any Company transactions in its own securities will be in compliance with applicable securities laws.</w:t>
      </w:r>
    </w:p>
    <w:p>
      <w:pPr>
        <w:spacing w:after="0" w:line="171"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Inquiries</w:t>
      </w:r>
    </w:p>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questions about this policy, its application to a proposed transaction, or the requirements of applicable laws should be directed to the Compliance Officer at complianceofficer@dave.com.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0" w:name="page131"/>
    <w:bookmarkEnd w:id="130"/>
    <w:p>
      <w:pPr>
        <w:jc w:val="center"/>
        <w:ind w:right="-718"/>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718"/>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117" w:lineRule="exact"/>
        <w:rPr>
          <w:sz w:val="20"/>
          <w:szCs w:val="20"/>
          <w:color w:val="auto"/>
        </w:rPr>
      </w:pPr>
    </w:p>
    <w:p>
      <w:pPr>
        <w:jc w:val="center"/>
        <w:ind w:right="-718"/>
        <w:spacing w:after="0"/>
        <w:rPr>
          <w:sz w:val="20"/>
          <w:szCs w:val="20"/>
          <w:color w:val="auto"/>
        </w:rPr>
      </w:pPr>
      <w:r>
        <w:rPr>
          <w:rFonts w:ascii="Times New Roman" w:cs="Times New Roman" w:eastAsia="Times New Roman" w:hAnsi="Times New Roman"/>
          <w:sz w:val="18"/>
          <w:szCs w:val="18"/>
          <w:b w:val="1"/>
          <w:bCs w:val="1"/>
          <w:color w:val="auto"/>
        </w:rPr>
        <w:t>LIST OF RESTRICTED PERSONS</w:t>
      </w:r>
    </w:p>
    <w:p>
      <w:pPr>
        <w:spacing w:after="0" w:line="243" w:lineRule="exact"/>
        <w:rPr>
          <w:sz w:val="20"/>
          <w:szCs w:val="20"/>
          <w:color w:val="auto"/>
        </w:rPr>
      </w:pPr>
    </w:p>
    <w:p>
      <w:pPr>
        <w:ind w:left="378" w:hanging="378"/>
        <w:spacing w:after="0"/>
        <w:tabs>
          <w:tab w:leader="none" w:pos="3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members of Dave Inc. Board of Directors</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Chief Executive Officer</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Chief Financial Officer</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All employees at director level or more senior (including with Sr. Director, VP, GM, “Head” or “Chief” in job title)</w:t>
      </w:r>
    </w:p>
    <w:p>
      <w:pPr>
        <w:spacing w:after="0" w:line="227" w:lineRule="exact"/>
        <w:rPr>
          <w:rFonts w:ascii="Times New Roman" w:cs="Times New Roman" w:eastAsia="Times New Roman" w:hAnsi="Times New Roman"/>
          <w:sz w:val="19"/>
          <w:szCs w:val="19"/>
          <w:color w:val="auto"/>
        </w:rPr>
      </w:pPr>
    </w:p>
    <w:p>
      <w:pPr>
        <w:ind w:left="378" w:hanging="378"/>
        <w:spacing w:after="0"/>
        <w:tabs>
          <w:tab w:leader="none" w:pos="3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employees in the Finance Department</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employees in the Legal and Compliance Department</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other employee designated by the Compliance Officer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881380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7"/>
          </w:cols>
          <w:pgMar w:left="702" w:top="1413"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10B5-1 PLAN GUIDELINES</w:t>
      </w:r>
    </w:p>
    <w:p>
      <w:pPr>
        <w:spacing w:after="0" w:line="239" w:lineRule="exact"/>
        <w:rPr>
          <w:sz w:val="20"/>
          <w:szCs w:val="20"/>
          <w:color w:val="auto"/>
        </w:rPr>
      </w:pPr>
    </w:p>
    <w:p>
      <w:pPr>
        <w:jc w:val="both"/>
        <w:ind w:firstLine="8"/>
        <w:spacing w:after="0" w:line="253" w:lineRule="auto"/>
        <w:tabs>
          <w:tab w:leader="none" w:pos="509" w:val="left"/>
        </w:tabs>
        <w:numPr>
          <w:ilvl w:val="0"/>
          <w:numId w:val="54"/>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Under certain conditions, Dave Inc.’s Insider Trading Policy (the “</w:t>
      </w: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permits transactions in the Company’s securities by Covered Persons thereunder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pursuant to a written contract, letter of instruction or plan that complies with SEC Rule 10b5-1(c). These 10b5-1 Plan Guidelines provide further guidance for insiders wanting to establish a trading plan in compliance with Rule 10b5-1(c) (the “</w:t>
      </w:r>
      <w:r>
        <w:rPr>
          <w:rFonts w:ascii="Times New Roman" w:cs="Times New Roman" w:eastAsia="Times New Roman" w:hAnsi="Times New Roman"/>
          <w:sz w:val="18"/>
          <w:szCs w:val="18"/>
          <w:b w:val="1"/>
          <w:bCs w:val="1"/>
          <w:i w:val="1"/>
          <w:iCs w:val="1"/>
          <w:color w:val="auto"/>
        </w:rPr>
        <w:t>10b5-1 Plan</w:t>
      </w:r>
      <w:r>
        <w:rPr>
          <w:rFonts w:ascii="Times New Roman" w:cs="Times New Roman" w:eastAsia="Times New Roman" w:hAnsi="Times New Roman"/>
          <w:sz w:val="18"/>
          <w:szCs w:val="18"/>
          <w:color w:val="auto"/>
        </w:rPr>
        <w:t>”). Capitalized terms not defined herein shall have the meanings ascribed to them in the Insider Trading Policy.</w:t>
      </w:r>
    </w:p>
    <w:p>
      <w:pPr>
        <w:spacing w:after="0" w:line="196" w:lineRule="exact"/>
        <w:rPr>
          <w:rFonts w:ascii="Arial" w:cs="Arial" w:eastAsia="Arial" w:hAnsi="Arial"/>
          <w:sz w:val="20"/>
          <w:szCs w:val="20"/>
          <w:b w:val="1"/>
          <w:bCs w:val="1"/>
          <w:color w:val="auto"/>
        </w:rPr>
      </w:pPr>
    </w:p>
    <w:p>
      <w:pPr>
        <w:ind w:left="520" w:hanging="512"/>
        <w:spacing w:after="0"/>
        <w:tabs>
          <w:tab w:leader="none" w:pos="520" w:val="left"/>
        </w:tabs>
        <w:numPr>
          <w:ilvl w:val="0"/>
          <w:numId w:val="54"/>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10b5-1 Plan Adoption or Modification</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10b5-1 Plan may only be entered into or modified (i) during an open trading window (e.g., when no quarterly blackout period or event-specific blackout period under the Insider Trading Policy is in effect) and (ii) at a time when the insider is not in possession of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The 10b5-1 Plan should contain provisions explicitly affirming that, (i) as of the adoption or modification date, the insider is not in possession of any MNPI regarding the Company or its securities, and (ii) the insider is entering into the 10b5-1 Plan in good faith and not as part of a plan or scheme to evade insider trading laws. An insider’s failure to act in good faith with respect to the insider’s 10b5-1 Plan under the Insider Trading Policy, including with respect to modifications and terminations, will cause the plan to no longer comply with Rule 10b5-1 and the Insider Trading Policy and potentially cause the insider’s prior transactions in the Company’s securities thereunder to violate the Insider Trading Policy.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Frequent modifications may suggest that the insider is trading on MNPI under the guise of a 10b5-1 Plan. A modification to an existing 10b5-1 Plan is considered a termination of such 10b5-1 Plan and the adoption of a new 10b5-1 Plan, which requires the application of the requirements set forth in these guidelines that apply to adopting a new plan (for this purpose, a modification includes a modification to the amount, price or timing of the purchase or sale of the securities or a modification to a written formula/algorithm that affects the amount, price or timing of the purchase or sale of the securities).</w:t>
      </w:r>
    </w:p>
    <w:p>
      <w:pPr>
        <w:spacing w:after="0" w:line="189"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Company Approval</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10b5-1 Plan, including any modification or termination thereof, must be submitted to the Compliance Officer for approval and that submission should be made at least five (5) business days before the planned entry, modification or termination. The Compliance Officer will (i) review the 10b5-1 Plan for its compliance with the Insider Trading Policy and these guidelines, (ii) review the 10b5-1 Plan for compliance with SEC Rule 10b5-1(c), and (iii) confirm that transactions under the 10b5-1 Plan are to be consummated through a broker that is acceptable to the Company.</w:t>
      </w:r>
    </w:p>
    <w:p>
      <w:pPr>
        <w:spacing w:after="0" w:line="189"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10b5-1 Plan Effective Date</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members of the Board of Directors of the Company and the Company’s officers for purposes of Section 16 of the Exchange Act, 10b5-1 Plans must be subject to a “cooling off” period pursuant to which no trading may commence after the 10b5-1 Plan is adopted or modified until the expiration of the later of (i) ninety (90) days after the adoption or modification of the 10b5-1 Plan, or (ii) two (2) business days following the filing of the Form 10-Q or Form 10-K for the fiscal quarter in which the plan was adopted or modified, not to exceed one hundred and twenty (120) days following adoption of the 10b5-1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other insiders, 10b5-1 Plans must be subject to a “cooling off” period of thirty (30) days after the adoption or modification of the 10b5-1 Plan.</w:t>
      </w:r>
    </w:p>
    <w:p>
      <w:pPr>
        <w:spacing w:after="0" w:line="235"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Specific Trading Schedules</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spacing w:after="0" w:line="194" w:lineRule="exact"/>
        <w:rPr>
          <w:sz w:val="20"/>
          <w:szCs w:val="20"/>
          <w:color w:val="auto"/>
        </w:rPr>
      </w:pPr>
    </w:p>
    <w:p>
      <w:pPr>
        <w:jc w:val="both"/>
        <w:ind w:left="1140" w:right="160" w:hanging="598"/>
        <w:spacing w:after="0" w:line="266" w:lineRule="auto"/>
        <w:rPr>
          <w:sz w:val="20"/>
          <w:szCs w:val="20"/>
          <w:color w:val="auto"/>
        </w:rPr>
      </w:pPr>
      <w:r>
        <w:rPr>
          <w:rFonts w:ascii="Times New Roman" w:cs="Times New Roman" w:eastAsia="Times New Roman" w:hAnsi="Times New Roman"/>
          <w:sz w:val="18"/>
          <w:szCs w:val="18"/>
          <w:color w:val="auto"/>
        </w:rPr>
        <w:t>6.1 The Company encourages trading schedules to provide for a pattern of regular trades occurring over time to minimize any inference that the insider sought to exploit MNPI and to avoid occasional high-volume sales that, if they turn out to precede bad news, might be scrutinized by the SEC and private securities class action plaintiffs.</w:t>
      </w:r>
    </w:p>
    <w:p>
      <w:pPr>
        <w:spacing w:after="0" w:line="176" w:lineRule="exact"/>
        <w:rPr>
          <w:sz w:val="20"/>
          <w:szCs w:val="20"/>
          <w:color w:val="auto"/>
        </w:rPr>
      </w:pPr>
    </w:p>
    <w:p>
      <w:pPr>
        <w:jc w:val="both"/>
        <w:ind w:left="1140" w:right="160" w:hanging="598"/>
        <w:spacing w:after="0" w:line="266" w:lineRule="auto"/>
        <w:rPr>
          <w:sz w:val="20"/>
          <w:szCs w:val="20"/>
          <w:color w:val="auto"/>
        </w:rPr>
      </w:pPr>
      <w:r>
        <w:rPr>
          <w:rFonts w:ascii="Times New Roman" w:cs="Times New Roman" w:eastAsia="Times New Roman" w:hAnsi="Times New Roman"/>
          <w:sz w:val="18"/>
          <w:szCs w:val="18"/>
          <w:color w:val="auto"/>
        </w:rPr>
        <w:t>6.2 The Company’s Compliance Officer will approve 10b5-1 Plans only to the extent that the 10b5-1 Plan clearly specifies the amount, pricing and timing of transactions (including by formula or algorithm, which must be straightforward in design and simple to implement). The Compliance Officer has sole discretion to determine if the requirements set forth in this item are met.</w:t>
      </w:r>
    </w:p>
    <w:p>
      <w:pPr>
        <w:spacing w:after="0" w:line="176" w:lineRule="exact"/>
        <w:rPr>
          <w:sz w:val="20"/>
          <w:szCs w:val="20"/>
          <w:color w:val="auto"/>
        </w:rPr>
      </w:pPr>
    </w:p>
    <w:p>
      <w:pPr>
        <w:jc w:val="both"/>
        <w:ind w:left="1140" w:right="160" w:hanging="598"/>
        <w:spacing w:after="0" w:line="261" w:lineRule="auto"/>
        <w:rPr>
          <w:sz w:val="20"/>
          <w:szCs w:val="20"/>
          <w:color w:val="auto"/>
        </w:rPr>
      </w:pPr>
      <w:r>
        <w:rPr>
          <w:rFonts w:ascii="Times New Roman" w:cs="Times New Roman" w:eastAsia="Times New Roman" w:hAnsi="Times New Roman"/>
          <w:sz w:val="18"/>
          <w:szCs w:val="18"/>
          <w:color w:val="auto"/>
        </w:rPr>
        <w:t>6.3 An insider should not enter into a 10b5-1 Plan that is designed to transact the total amount of the Company’s securities subject to the 10b5-1 Plan as a single transaction unless: (i) the insider has not, during the prior twelve-month period, entered into another 10b5-1 Plan of the same design; and (ii) such other 10b5-1 Plan was eligible to receive the affirmative defense under Rule 10b5-1. A single-trade plan is a 10b5-1 Plan that is designed to effect an open market trade of the total amount of securities in a single transaction.</w:t>
      </w:r>
    </w:p>
    <w:p>
      <w:pPr>
        <w:spacing w:after="0" w:line="189"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Overlapping Plans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insider may not enter into more than one 10b5-1 Plan at a time, except as expressly permitted by Rule 10b5-1. Consult with the Compliance Officer to discuss whether any of the exceptions under Rule 10b5-1 may apply, particularly if an insider wishes to enter into a new 10b5-1 Plan under which trades will commence shortly after an existing 10b5-1 Plan would terminate in accordance with its terms. This restriction does not apply to an additional 10b5-1 Plan providing only for eligible sell-to-cover transactions, where the plan provides for sales of securities as are necessary to satisfy tax withholding obligations arising exclusively from the vesting of a compensatory stock award.</w:t>
      </w:r>
    </w:p>
    <w:p>
      <w:pPr>
        <w:spacing w:after="0" w:line="193"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Plan Suspension &amp; Termination</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10b5-1 Plans should include a provision that automatically suspends trading under the plan upon notice of suspension from the Company triggered by certain events. Events contemplated by such notice include underwritten public offerings by the Company and acquisition of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10b5-1 Plans should also include a provision automatically terminating the plan at some future date. Longer plans are recommended but should, in any event, be at least six (6) months and should not be longer than two (2) years.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10b5-1 Plan must provide for automatic termination in the event of death, a personal bankruptcy filing, the filing of a divorce petition, employment termination (in which case such automatic termination will occur at the beginning of the next open trading window), the last scheduled sale of shares, the public announcement of a merger, recapitalization, acquisition, tender or exchange offer, or other business combination or reorganization resulting in the exchange or conversion of the shares of the Company into shares of another company, or the conversion of the Company’s securities into rights to receive fixed amounts of cash or into debt securities and/or preferred stock (whether in whole or in part).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Rule 10b5-1 does not expressly forbid the early termination of a 10b5-1 Plan, the SEC has made clear that once a 10b5-1 Plan is terminated, the affirmative defense may not apply to any trades that were made pursuant to that plan if such termination calls into question whether the good faith requirement was met or whether the plan was part of a plan or scheme to evade Rule 10b-5 under the Exchange Act. The risk associated with terminating a plan increases if the insider promptly engages in market transactions or adopts a new 10b5-1 Plan. Such behavior could arouse suspicion that the insider is modifying trading behavior in order to benefit from MNPI. Accordingly, insiders are encouraged to not terminate 10b5-1 Plans except in unusual circumstances. For similar reasons, insiders are encouraged to avoid frequent modifications of 10b5-1 Plans. As noted above under Section 3 of these guidelines, insiders are required to obtain the Compliance Officer’s prior approval for a termination of any 10b5-1 Plan.</w:t>
      </w: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3"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Trades Outside the 10b5-1 Plan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Adoption of a 10b5-1 Plan does not preclude trading outside of the plan that otherwise is in accordance with the Insider Trading Policy. However, directors and employees should be cognizant of the fact that the Rule 10b5-1 affirmative defense will not apply to such trades outside a 10b5-1 Plan. In addition, under Rule 10b5-1, the director or employee may not have further influence over whether, when or how the trades under the plan are made once the plan is put in place, and therefore their trading outside of the plan must not have direct or indirect influence on the trading instructions under the plan. In other words, securities subject to the plan (e.g., shares underlying unexercised stock options) should not be purchased or sold outside the plan.</w:t>
      </w:r>
    </w:p>
    <w:p>
      <w:pPr>
        <w:spacing w:after="0" w:line="193"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Plan Brokers</w:t>
      </w:r>
    </w:p>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approved by the Compliance Officer and Chief Financial Officer, all 10b5-1 Plans must be implemented through a broker included in a list approved by the Compliance Officer. The Compliance Officer may amend this list from time to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insider must not communicate any MNPI about the Company to the broker, or attempt to influence how the broker exercises his or her discretion in any way.</w:t>
      </w:r>
    </w:p>
    <w:p>
      <w:pPr>
        <w:spacing w:after="0" w:line="171"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color w:val="auto"/>
        </w:rPr>
        <w:t>Reporting &amp; Compliance Issues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director or executive officer who is required to make Section 16 filings adopts, amends or terminates a 10b5-1 Plan, the Company must disclose certain information in its Quarterly Reports on Form 10-Q and/or Annual Reports on Form 10-K. This information includes the name and title of the director or executive officer, the date of the adoption, amendment or termination of the 10b5-1 Plan, the duration of the 10b5-1 Plan, and the aggregate number of securities to be traded under the 10b5-1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certify that I have read, understand and agree to comply with Dave Inc.’s Insider Trading Policy. I agree that I will be subject to sanctions imposed by the Company, in its discretion, for violation of the Policy, and that the Company may give stop-transfer and other instructions to the Company’s transfer agent against the transfer of Company securities as necessary to ensure compliance with the Policy. I acknowledge that one of the sanctions to which I may be subject as a result of violating the Policy is termination of my employment, including termination for cause, or if I am a director, removal from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 Signature: _________________________</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Printed Name: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1993265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333-269482, 333-268785 and 333-263589 on Form S-8 and 333-262478 on Form S-3 of our report dated March 4, 2025 relating to the consolidated financial statements of Dave Inc., appearing in the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Wilk, certify that:</w:t>
      </w:r>
    </w:p>
    <w:p>
      <w:pPr>
        <w:spacing w:after="0" w:line="117"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37" w:name="page138"/>
    <w:bookmarkEnd w:id="13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Beilman, certify that:</w:t>
      </w:r>
    </w:p>
    <w:p>
      <w:pPr>
        <w:spacing w:after="0" w:line="117"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00" w:lineRule="exact"/>
        <w:rPr>
          <w:sz w:val="20"/>
          <w:szCs w:val="20"/>
          <w:color w:val="auto"/>
        </w:rPr>
      </w:pPr>
    </w:p>
    <w:p>
      <w:pPr>
        <w:spacing w:after="0" w:line="2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undersigned, Jason Wilk, Chief Executive Officer, and Kyle Beilman, Chief Financial Officer of Dave Inc. (the “Company”), hereby certify as of the date hereof, solely for the purposes of 18 U.S.C. §1350, that:</w:t>
      </w:r>
    </w:p>
    <w:p>
      <w:pPr>
        <w:spacing w:after="0" w:line="54" w:lineRule="exact"/>
        <w:rPr>
          <w:sz w:val="20"/>
          <w:szCs w:val="20"/>
          <w:color w:val="auto"/>
        </w:rPr>
      </w:pPr>
    </w:p>
    <w:p>
      <w:pPr>
        <w:ind w:left="1020" w:right="78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December 31, 2024, of the Company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9" w:name="page140"/>
    <w:bookmarkEnd w:id="1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o"/>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lowerLetter"/>
      <w:start w:val="3"/>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lowerLetter"/>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lowerRoman"/>
      <w:start w:val="1"/>
    </w:lvl>
  </w:abstractNum>
  <w:abstractNum w:abstractNumId="29">
    <w:nsid w:val="38437FDB"/>
    <w:multiLevelType w:val="hybridMultilevel"/>
    <w:lvl w:ilvl="0">
      <w:lvlJc w:val="left"/>
      <w:lvlText w:val="(%1)"/>
      <w:numFmt w:val="lowerRoman"/>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lowerRoman"/>
      <w:start w:val="2"/>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32"/>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decimal"/>
      <w:start w:val="1"/>
    </w:lvl>
    <w:lvl w:ilvl="1">
      <w:lvlJc w:val="left"/>
      <w:lvlText w:val="(%2)"/>
      <w:numFmt w:val="lowerRoman"/>
      <w:start w:val="5"/>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2"/>
    </w:lvl>
  </w:abstractNum>
  <w:abstractNum w:abstractNumId="41">
    <w:nsid w:val="520EEDD1"/>
    <w:multiLevelType w:val="hybridMultilevel"/>
    <w:lvl w:ilvl="0">
      <w:lvlJc w:val="left"/>
      <w:lvlText w:val="%1."/>
      <w:numFmt w:val="decimal"/>
      <w:start w:val="3"/>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4"/>
    </w:lvl>
  </w:abstractNum>
  <w:abstractNum w:abstractNumId="44">
    <w:nsid w:val="23F9C13C"/>
    <w:multiLevelType w:val="hybridMultilevel"/>
    <w:lvl w:ilvl="0">
      <w:lvlJc w:val="left"/>
      <w:lvlText w:val="%1."/>
      <w:numFmt w:val="decimal"/>
      <w:start w:val="5"/>
    </w:lvl>
  </w:abstractNum>
  <w:abstractNum w:abstractNumId="45">
    <w:nsid w:val="649BB77C"/>
    <w:multiLevelType w:val="hybridMultilevel"/>
    <w:lvl w:ilvl="0">
      <w:lvlJc w:val="left"/>
      <w:lvlText w:val="%1."/>
      <w:numFmt w:val="decimal"/>
      <w:start w:val="6"/>
    </w:lvl>
  </w:abstractNum>
  <w:abstractNum w:abstractNumId="46">
    <w:nsid w:val="275AC794"/>
    <w:multiLevelType w:val="hybridMultilevel"/>
    <w:lvl w:ilvl="0">
      <w:lvlJc w:val="left"/>
      <w:lvlText w:val="%1."/>
      <w:numFmt w:val="decimal"/>
      <w:start w:val="7"/>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8"/>
    </w:lvl>
  </w:abstractNum>
  <w:abstractNum w:abstractNumId="49">
    <w:nsid w:val="180115BE"/>
    <w:multiLevelType w:val="hybridMultilevel"/>
    <w:lvl w:ilvl="0">
      <w:lvlJc w:val="left"/>
      <w:lvlText w:val="%1."/>
      <w:numFmt w:val="decimal"/>
      <w:start w:val="9"/>
    </w:lvl>
  </w:abstractNum>
  <w:abstractNum w:abstractNumId="50">
    <w:nsid w:val="235BA861"/>
    <w:multiLevelType w:val="hybridMultilevel"/>
    <w:lvl w:ilvl="0">
      <w:lvlJc w:val="left"/>
      <w:lvlText w:val="%1."/>
      <w:numFmt w:val="decimal"/>
      <w:start w:val="10"/>
    </w:lvl>
  </w:abstractNum>
  <w:abstractNum w:abstractNumId="51">
    <w:nsid w:val="47398C89"/>
    <w:multiLevelType w:val="hybridMultilevel"/>
    <w:lvl w:ilvl="0">
      <w:lvlJc w:val="left"/>
      <w:lvlText w:val="%1."/>
      <w:numFmt w:val="decimal"/>
      <w:start w:val="1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3"/>
    </w:lvl>
  </w:abstractNum>
  <w:abstractNum w:abstractNumId="55">
    <w:nsid w:val="D34B6A8"/>
    <w:multiLevelType w:val="hybridMultilevel"/>
    <w:lvl w:ilvl="0">
      <w:lvlJc w:val="left"/>
      <w:lvlText w:val="%1."/>
      <w:numFmt w:val="decimal"/>
      <w:start w:val="4"/>
    </w:lvl>
  </w:abstractNum>
  <w:abstractNum w:abstractNumId="56">
    <w:nsid w:val="10233C99"/>
    <w:multiLevelType w:val="hybridMultilevel"/>
    <w:lvl w:ilvl="0">
      <w:lvlJc w:val="left"/>
      <w:lvlText w:val="%1."/>
      <w:numFmt w:val="decimal"/>
      <w:start w:val="5"/>
    </w:lvl>
  </w:abstractNum>
  <w:abstractNum w:abstractNumId="57">
    <w:nsid w:val="3F6AB60F"/>
    <w:multiLevelType w:val="hybridMultilevel"/>
    <w:lvl w:ilvl="0">
      <w:lvlJc w:val="left"/>
      <w:lvlText w:val="%1."/>
      <w:numFmt w:val="decimal"/>
      <w:start w:val="6"/>
    </w:lvl>
  </w:abstractNum>
  <w:abstractNum w:abstractNumId="58">
    <w:nsid w:val="61574095"/>
    <w:multiLevelType w:val="hybridMultilevel"/>
    <w:lvl w:ilvl="0">
      <w:lvlJc w:val="left"/>
      <w:lvlText w:val="%1."/>
      <w:numFmt w:val="decimal"/>
      <w:start w:val="7"/>
    </w:lvl>
  </w:abstractNum>
  <w:abstractNum w:abstractNumId="59">
    <w:nsid w:val="7E0C57B1"/>
    <w:multiLevelType w:val="hybridMultilevel"/>
    <w:lvl w:ilvl="0">
      <w:lvlJc w:val="left"/>
      <w:lvlText w:val="%1."/>
      <w:numFmt w:val="decimal"/>
      <w:start w:val="8"/>
    </w:lvl>
  </w:abstractNum>
  <w:abstractNum w:abstractNumId="60">
    <w:nsid w:val="77AE35EB"/>
    <w:multiLevelType w:val="hybridMultilevel"/>
    <w:lvl w:ilvl="0">
      <w:lvlJc w:val="left"/>
      <w:lvlText w:val="%1."/>
      <w:numFmt w:val="decimal"/>
      <w:start w:val="9"/>
    </w:lvl>
  </w:abstractNum>
  <w:abstractNum w:abstractNumId="61">
    <w:nsid w:val="579BE4F1"/>
    <w:multiLevelType w:val="hybridMultilevel"/>
    <w:lvl w:ilvl="0">
      <w:lvlJc w:val="left"/>
      <w:lvlText w:val="%1."/>
      <w:numFmt w:val="decimal"/>
      <w:start w:val="10"/>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5"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3" Type="http://schemas.openxmlformats.org/officeDocument/2006/relationships/image" Target="media/image380.png"/><Relationship Id="rId404" Type="http://schemas.openxmlformats.org/officeDocument/2006/relationships/image" Target="media/image381.png"/><Relationship Id="rId405"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10" Type="http://schemas.openxmlformats.org/officeDocument/2006/relationships/image" Target="media/image385.png"/><Relationship Id="rId411"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6" Type="http://schemas.openxmlformats.org/officeDocument/2006/relationships/image" Target="media/image389.png"/><Relationship Id="rId417"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463" Type="http://schemas.openxmlformats.org/officeDocument/2006/relationships/image" Target="media/image427.png"/><Relationship Id="rId464" Type="http://schemas.openxmlformats.org/officeDocument/2006/relationships/image" Target="media/image428.png"/><Relationship Id="rId465" Type="http://schemas.openxmlformats.org/officeDocument/2006/relationships/image" Target="media/image429.png"/><Relationship Id="rId466" Type="http://schemas.openxmlformats.org/officeDocument/2006/relationships/image" Target="media/image430.png"/><Relationship Id="rId467" Type="http://schemas.openxmlformats.org/officeDocument/2006/relationships/image" Target="media/image431.png"/><Relationship Id="rId468" Type="http://schemas.openxmlformats.org/officeDocument/2006/relationships/image" Target="media/image432.png"/><Relationship Id="rId46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472" Type="http://schemas.openxmlformats.org/officeDocument/2006/relationships/image" Target="media/image436.png"/><Relationship Id="rId473" Type="http://schemas.openxmlformats.org/officeDocument/2006/relationships/image" Target="media/image437.png"/><Relationship Id="rId474" Type="http://schemas.openxmlformats.org/officeDocument/2006/relationships/image" Target="media/image438.png"/><Relationship Id="rId475" Type="http://schemas.openxmlformats.org/officeDocument/2006/relationships/image" Target="media/image439.png"/><Relationship Id="rId476" Type="http://schemas.openxmlformats.org/officeDocument/2006/relationships/image" Target="media/image440.png"/><Relationship Id="rId477" Type="http://schemas.openxmlformats.org/officeDocument/2006/relationships/image" Target="media/image441.png"/><Relationship Id="rId478" Type="http://schemas.openxmlformats.org/officeDocument/2006/relationships/image" Target="media/image442.png"/><Relationship Id="rId479" Type="http://schemas.openxmlformats.org/officeDocument/2006/relationships/image" Target="media/image443.png"/><Relationship Id="rId480" Type="http://schemas.openxmlformats.org/officeDocument/2006/relationships/image" Target="media/image444.png"/><Relationship Id="rId481" Type="http://schemas.openxmlformats.org/officeDocument/2006/relationships/image" Target="media/image445.png"/><Relationship Id="rId482" Type="http://schemas.openxmlformats.org/officeDocument/2006/relationships/image" Target="media/image446.png"/><Relationship Id="rId483" Type="http://schemas.openxmlformats.org/officeDocument/2006/relationships/image" Target="media/image447.png"/><Relationship Id="rId95" Type="http://schemas.openxmlformats.org/officeDocument/2006/relationships/hyperlink" Target="https://www.sec.gov/ix?doc=/Archives/edgar/data/1841408/000095017024026024/dave-20231231.htm" TargetMode="External"/><Relationship Id="rId358" Type="http://schemas.openxmlformats.org/officeDocument/2006/relationships/hyperlink" Target="https://www.sec.gov/Archives/edgar/data/1841408/000119312521183575/d165916dex21.htm" TargetMode="External"/><Relationship Id="rId362" Type="http://schemas.openxmlformats.org/officeDocument/2006/relationships/hyperlink" Target="https://www.sec.gov/Archives/edgar/data/1841408/000119312522006854/d253532dex31.htm" TargetMode="External"/><Relationship Id="rId365" Type="http://schemas.openxmlformats.org/officeDocument/2006/relationships/hyperlink" Target="https://www.sec.gov/Archives/edgar/data/1841408/000119312523002529/d380889dex31.htm" TargetMode="External"/><Relationship Id="rId368" Type="http://schemas.openxmlformats.org/officeDocument/2006/relationships/hyperlink" Target="https://www.sec.gov/Archives/edgar/data/1841408/000119312522006854/d253532dex32.htm" TargetMode="External"/><Relationship Id="rId371" Type="http://schemas.openxmlformats.org/officeDocument/2006/relationships/hyperlink" Target="https://www.sec.gov/Archives/edgar/data/1841408/000119312521074943/d153642dex41.htm" TargetMode="External"/><Relationship Id="rId374" Type="http://schemas.openxmlformats.org/officeDocument/2006/relationships/hyperlink" Target="https://www.sec.gov/Archives/edgar/data/1841408/000119312522085334/d288520dex43.htm" TargetMode="External"/><Relationship Id="rId376" Type="http://schemas.openxmlformats.org/officeDocument/2006/relationships/hyperlink" Target="https://www.sec.gov/Archives/edgar/data/1841408/000119312522006854/d253532dex101.htm" TargetMode="External"/><Relationship Id="rId379" Type="http://schemas.openxmlformats.org/officeDocument/2006/relationships/hyperlink" Target="https://www.sec.gov/Archives/edgar/data/1841408/000119312522006854/d253532dex102.htm" TargetMode="External"/><Relationship Id="rId383" Type="http://schemas.openxmlformats.org/officeDocument/2006/relationships/hyperlink" Target="https://www.sec.gov/Archives/edgar/data/1841408/000119312522006854/d253532dex103.htm" TargetMode="External"/><Relationship Id="rId386" Type="http://schemas.openxmlformats.org/officeDocument/2006/relationships/hyperlink" Target="https://www.sec.gov/Archives/edgar/data/1841408/000119312522006854/d253532dex104.htm" TargetMode="External"/><Relationship Id="rId389" Type="http://schemas.openxmlformats.org/officeDocument/2006/relationships/hyperlink" Target="https://www.sec.gov/Archives/edgar/data/1841408/000119312522303917/d281798dex101.htm" TargetMode="External"/><Relationship Id="rId393" Type="http://schemas.openxmlformats.org/officeDocument/2006/relationships/hyperlink" Target="https://www.sec.gov/Archives/edgar/data/1841408/000119312522006854/d253532dex106.htm" TargetMode="External"/><Relationship Id="rId396" Type="http://schemas.openxmlformats.org/officeDocument/2006/relationships/hyperlink" Target="https://www.sec.gov/Archives/edgar/data/1841408/000119312522006854/d253532dex107.htm" TargetMode="External"/><Relationship Id="rId399" Type="http://schemas.openxmlformats.org/officeDocument/2006/relationships/hyperlink" Target="https://www.sec.gov/Archives/edgar/data/1841408/000119312522024663/d291934dex102.htm" TargetMode="External"/><Relationship Id="rId402" Type="http://schemas.openxmlformats.org/officeDocument/2006/relationships/hyperlink" Target="https://www.sec.gov/Archives/edgar/data/1841408/000119312522090833/d311249dex101.htm" TargetMode="External"/><Relationship Id="rId406" Type="http://schemas.openxmlformats.org/officeDocument/2006/relationships/hyperlink" Target="https://www.sec.gov/Archives/edgar/data/1841408/000119312522024663/d291934dex101.htm" TargetMode="External"/><Relationship Id="rId409" Type="http://schemas.openxmlformats.org/officeDocument/2006/relationships/hyperlink" Target="https://www.sec.gov/Archives/edgar/data/1841408/000095017024125522/dave-ex10_9.htm" TargetMode="External"/><Relationship Id="rId412" Type="http://schemas.openxmlformats.org/officeDocument/2006/relationships/hyperlink" Target="https://www.sec.gov/Archives/edgar/data/1841408/000119312524002933/d845437dex101.htm" TargetMode="External"/><Relationship Id="rId415" Type="http://schemas.openxmlformats.org/officeDocument/2006/relationships/hyperlink" Target="https://www.sec.gov/Archives/edgar/data/1841408/000095017024125522/dave-ex10_1.htm" TargetMode="External"/><Relationship Id="rId418" Type="http://schemas.openxmlformats.org/officeDocument/2006/relationships/hyperlink" Target="https://www.sec.gov/Archives/edgar/data/1841408/000095017024125522/dave-ex10_2.htm" TargetMode="External"/><Relationship Id="rId422" Type="http://schemas.openxmlformats.org/officeDocument/2006/relationships/hyperlink" Target="https://www.sec.gov/Archives/edgar/data/1841408/000095017024125522/dave-ex10_3.htm" TargetMode="External"/><Relationship Id="rId425" Type="http://schemas.openxmlformats.org/officeDocument/2006/relationships/hyperlink" Target="https://www.sec.gov/Archives/edgar/data/1841408/000095017024125522/dave-ex10_4.htm" TargetMode="External"/><Relationship Id="rId428" Type="http://schemas.openxmlformats.org/officeDocument/2006/relationships/hyperlink" Target="https://www.sec.gov/Archives/edgar/data/1841408/000095017024125522/dave-ex10_5.htm" TargetMode="External"/><Relationship Id="rId432" Type="http://schemas.openxmlformats.org/officeDocument/2006/relationships/hyperlink" Target="https://www.sec.gov/Archives/edgar/data/1841408/000095017024125522/dave-ex10_6.htm" TargetMode="External"/><Relationship Id="rId436" Type="http://schemas.openxmlformats.org/officeDocument/2006/relationships/hyperlink" Target="https://www.sec.gov/Archives/edgar/data/1841408/000095017024125522/dave-ex10_7.htm" TargetMode="External"/><Relationship Id="rId440" Type="http://schemas.openxmlformats.org/officeDocument/2006/relationships/hyperlink" Target="https://www.sec.gov/Archives/edgar/data/1841408/000095017024125522/dave-ex10_8.htm" TargetMode="External"/><Relationship Id="rId445" Type="http://schemas.openxmlformats.org/officeDocument/2006/relationships/hyperlink" Target="https://www.sec.gov/Archives/edgar/data/1841408/000119312522006854/d253532dex211.htm" TargetMode="External"/><Relationship Id="rId455" Type="http://schemas.openxmlformats.org/officeDocument/2006/relationships/hyperlink" Target="https://www.sec.gov/Archives/edgar/data/1841408/000095017024026024/dav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2025-03-04T15:45:55Z</dcterms:created>
  <dcterms:modified xsi:type="dcterms:W3CDTF">2025-03-04T15:45:55Z</dcterms:modified>
</cp:coreProperties>
</file>