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645025"/>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Beilman Kyle</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400" w:type="dxa"/>
            <w:vAlign w:val="bottom"/>
          </w:tcPr>
          <w:p>
            <w:pPr>
              <w:ind w:left="200"/>
              <w:spacing w:after="0"/>
              <w:rPr>
                <w:sz w:val="20"/>
                <w:szCs w:val="20"/>
                <w:color w:val="auto"/>
              </w:rPr>
            </w:pPr>
            <w:r>
              <w:rPr>
                <w:rFonts w:ascii="Arial" w:cs="Arial" w:eastAsia="Arial" w:hAnsi="Arial"/>
                <w:sz w:val="13"/>
                <w:szCs w:val="13"/>
                <w:color w:val="auto"/>
              </w:rPr>
              <w:t>(Middle)</w:t>
            </w:r>
          </w:p>
        </w:tc>
      </w:tr>
      <w:tr>
        <w:trPr>
          <w:trHeight w:val="264"/>
        </w:trPr>
        <w:tc>
          <w:tcPr>
            <w:tcW w:w="20" w:type="dxa"/>
            <w:vAlign w:val="bottom"/>
          </w:tcPr>
          <w:p>
            <w:pPr>
              <w:spacing w:after="0"/>
              <w:rPr>
                <w:sz w:val="22"/>
                <w:szCs w:val="22"/>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0000FF"/>
                <w:w w:val="94"/>
              </w:rPr>
              <w:t>C/O DAVE INC.</w:t>
            </w:r>
          </w:p>
        </w:tc>
        <w:tc>
          <w:tcPr>
            <w:tcW w:w="10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4"/>
        </w:trPr>
        <w:tc>
          <w:tcPr>
            <w:tcW w:w="2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Arial" w:cs="Arial" w:eastAsia="Arial" w:hAnsi="Arial"/>
                <w:sz w:val="17"/>
                <w:szCs w:val="17"/>
                <w:color w:val="0000FF"/>
                <w:w w:val="99"/>
              </w:rPr>
              <w:t>1265 S. COCHRAN AVENUE</w:t>
            </w:r>
          </w:p>
        </w:tc>
        <w:tc>
          <w:tcPr>
            <w:tcW w:w="140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54"/>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0000FF"/>
                <w:w w:val="95"/>
              </w:rPr>
              <w:t>LOS ANGELES</w:t>
            </w:r>
          </w:p>
        </w:tc>
        <w:tc>
          <w:tcPr>
            <w:tcW w:w="1080" w:type="dxa"/>
            <w:vAlign w:val="bottom"/>
          </w:tcPr>
          <w:p>
            <w:pPr>
              <w:ind w:left="60"/>
              <w:spacing w:after="0"/>
              <w:rPr>
                <w:sz w:val="20"/>
                <w:szCs w:val="20"/>
                <w:color w:val="auto"/>
              </w:rPr>
            </w:pPr>
            <w:r>
              <w:rPr>
                <w:rFonts w:ascii="Arial" w:cs="Arial" w:eastAsia="Arial" w:hAnsi="Arial"/>
                <w:sz w:val="17"/>
                <w:szCs w:val="17"/>
                <w:color w:val="0000FF"/>
              </w:rPr>
              <w:t>CA</w:t>
            </w:r>
          </w:p>
        </w:tc>
        <w:tc>
          <w:tcPr>
            <w:tcW w:w="1400" w:type="dxa"/>
            <w:vAlign w:val="bottom"/>
          </w:tcPr>
          <w:p>
            <w:pPr>
              <w:ind w:left="200"/>
              <w:spacing w:after="0"/>
              <w:rPr>
                <w:sz w:val="20"/>
                <w:szCs w:val="20"/>
                <w:color w:val="auto"/>
              </w:rPr>
            </w:pPr>
            <w:r>
              <w:rPr>
                <w:rFonts w:ascii="Arial" w:cs="Arial" w:eastAsia="Arial" w:hAnsi="Arial"/>
                <w:sz w:val="17"/>
                <w:szCs w:val="17"/>
                <w:color w:val="0000FF"/>
              </w:rPr>
              <w:t>90019</w:t>
            </w:r>
          </w:p>
        </w:tc>
      </w:tr>
      <w:tr>
        <w:trPr>
          <w:trHeight w:val="148"/>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140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3"/>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VPC Impact Acquisition Holdings III, Inc. </w:t>
              </w:r>
            </w:hyperlink>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3480" w:type="dxa"/>
            <w:vAlign w:val="bottom"/>
            <w:tcBorders>
              <w:bottom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3840" w:type="dxa"/>
            <w:vAlign w:val="bottom"/>
            <w:gridSpan w:val="3"/>
            <w:vMerge w:val="restart"/>
          </w:tcPr>
          <w:p>
            <w:pPr>
              <w:ind w:left="60"/>
              <w:spacing w:after="0"/>
              <w:rPr>
                <w:sz w:val="20"/>
                <w:szCs w:val="20"/>
                <w:color w:val="auto"/>
              </w:rPr>
            </w:pPr>
            <w:r>
              <w:rPr>
                <w:rFonts w:ascii="Arial" w:cs="Arial" w:eastAsia="Arial" w:hAnsi="Arial"/>
                <w:sz w:val="17"/>
                <w:szCs w:val="17"/>
                <w:color w:val="0000FF"/>
              </w:rPr>
              <w:t xml:space="preserve">DAVE </w:t>
            </w:r>
            <w:r>
              <w:rPr>
                <w:rFonts w:ascii="Arial" w:cs="Arial" w:eastAsia="Arial" w:hAnsi="Arial"/>
                <w:sz w:val="20"/>
                <w:szCs w:val="20"/>
                <w:color w:val="000000"/>
              </w:rPr>
              <w:t>]</w:t>
            </w: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840" w:type="dxa"/>
            <w:vAlign w:val="bottom"/>
            <w:gridSpan w:val="3"/>
            <w:vMerge w:val="continue"/>
          </w:tcPr>
          <w:p>
            <w:pPr>
              <w:spacing w:after="0"/>
              <w:rPr>
                <w:sz w:val="11"/>
                <w:szCs w:val="11"/>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3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340" w:type="dxa"/>
            <w:vAlign w:val="bottom"/>
            <w:vMerge w:val="restart"/>
          </w:tcPr>
          <w:p>
            <w:pPr>
              <w:ind w:left="100"/>
              <w:spacing w:after="0" w:line="141"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4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6"/>
        </w:trPr>
        <w:tc>
          <w:tcPr>
            <w:tcW w:w="60" w:type="dxa"/>
            <w:vAlign w:val="bottom"/>
            <w:tcBorders>
              <w:bottom w:val="single" w:sz="8" w:color="2C2C2C"/>
            </w:tcBorders>
          </w:tcPr>
          <w:p>
            <w:pPr>
              <w:spacing w:after="0"/>
              <w:rPr>
                <w:sz w:val="4"/>
                <w:szCs w:val="4"/>
                <w:color w:val="auto"/>
              </w:rPr>
            </w:pPr>
          </w:p>
        </w:tc>
        <w:tc>
          <w:tcPr>
            <w:tcW w:w="3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2800" w:type="dxa"/>
            <w:vAlign w:val="bottom"/>
            <w:gridSpan w:val="2"/>
          </w:tcPr>
          <w:p>
            <w:pPr>
              <w:ind w:left="560"/>
              <w:spacing w:after="0" w:line="182" w:lineRule="exact"/>
              <w:rPr>
                <w:sz w:val="20"/>
                <w:szCs w:val="20"/>
                <w:color w:val="auto"/>
              </w:rPr>
            </w:pPr>
            <w:r>
              <w:rPr>
                <w:rFonts w:ascii="Arial" w:cs="Arial" w:eastAsia="Arial" w:hAnsi="Arial"/>
                <w:sz w:val="17"/>
                <w:szCs w:val="17"/>
                <w:color w:val="0000FF"/>
              </w:rPr>
              <w:t>CFO and Secretay</w:t>
            </w:r>
          </w:p>
        </w:tc>
        <w:tc>
          <w:tcPr>
            <w:tcW w:w="0" w:type="dxa"/>
            <w:vAlign w:val="bottom"/>
          </w:tcPr>
          <w:p>
            <w:pPr>
              <w:spacing w:after="0"/>
              <w:rPr>
                <w:sz w:val="1"/>
                <w:szCs w:val="1"/>
                <w:color w:val="auto"/>
              </w:rPr>
            </w:pPr>
          </w:p>
        </w:tc>
      </w:tr>
      <w:tr>
        <w:trPr>
          <w:trHeight w:val="209"/>
        </w:trPr>
        <w:tc>
          <w:tcPr>
            <w:tcW w:w="3540" w:type="dxa"/>
            <w:vAlign w:val="bottom"/>
            <w:gridSpan w:val="2"/>
          </w:tcPr>
          <w:p>
            <w:pPr>
              <w:ind w:left="60"/>
              <w:spacing w:after="0"/>
              <w:rPr>
                <w:sz w:val="20"/>
                <w:szCs w:val="20"/>
                <w:color w:val="auto"/>
              </w:rPr>
            </w:pPr>
            <w:r>
              <w:rPr>
                <w:rFonts w:ascii="Arial" w:cs="Arial" w:eastAsia="Arial" w:hAnsi="Arial"/>
                <w:sz w:val="17"/>
                <w:szCs w:val="17"/>
                <w:color w:val="0000FF"/>
              </w:rPr>
              <w:t>01/05/2022</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0" w:type="dxa"/>
            <w:vAlign w:val="bottom"/>
            <w:tcBorders>
              <w:bottom w:val="single" w:sz="8" w:color="2C2C2C"/>
            </w:tcBorders>
          </w:tcPr>
          <w:p>
            <w:pPr>
              <w:spacing w:after="0"/>
              <w:rPr>
                <w:sz w:val="15"/>
                <w:szCs w:val="15"/>
                <w:color w:val="auto"/>
              </w:rPr>
            </w:pPr>
          </w:p>
        </w:tc>
        <w:tc>
          <w:tcPr>
            <w:tcW w:w="34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1"/>
                <w:szCs w:val="11"/>
                <w:color w:val="auto"/>
              </w:rPr>
            </w:pP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w w:val="95"/>
              </w:rPr>
              <w:t>(A) or</w:t>
            </w: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2"/>
          </w:tcPr>
          <w:p>
            <w:pPr>
              <w:ind w:left="860"/>
              <w:spacing w:after="0"/>
              <w:rPr>
                <w:sz w:val="20"/>
                <w:szCs w:val="20"/>
                <w:color w:val="auto"/>
              </w:rPr>
            </w:pPr>
            <w:r>
              <w:rPr>
                <w:rFonts w:ascii="Arial" w:cs="Arial" w:eastAsia="Arial" w:hAnsi="Arial"/>
                <w:sz w:val="17"/>
                <w:szCs w:val="17"/>
                <w:color w:val="0000FF"/>
              </w:rPr>
              <w:t>01/05/2022</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9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92"/>
              </w:rPr>
              <w:t>2,489,980</w:t>
            </w:r>
            <w:r>
              <w:rPr>
                <w:rFonts w:ascii="Arial" w:cs="Arial" w:eastAsia="Arial" w:hAnsi="Arial"/>
                <w:sz w:val="21"/>
                <w:szCs w:val="21"/>
                <w:color w:val="008000"/>
                <w:w w:val="92"/>
                <w:vertAlign w:val="superscript"/>
              </w:rPr>
              <w:t>(1)</w:t>
            </w:r>
          </w:p>
        </w:tc>
        <w:tc>
          <w:tcPr>
            <w:tcW w:w="3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1"/>
                <w:szCs w:val="11"/>
                <w:color w:val="008000"/>
              </w:rPr>
              <w:t>(2)</w:t>
            </w:r>
          </w:p>
        </w:tc>
        <w:tc>
          <w:tcPr>
            <w:tcW w:w="130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2,489,980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Class A</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ind w:left="200"/>
              <w:spacing w:after="0" w:line="20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0.4</w:t>
            </w:r>
            <w:r>
              <w:rPr>
                <w:rFonts w:ascii="Arial" w:cs="Arial" w:eastAsia="Arial" w:hAnsi="Arial"/>
                <w:sz w:val="21"/>
                <w:szCs w:val="21"/>
                <w:color w:val="008000"/>
                <w:vertAlign w:val="superscript"/>
              </w:rPr>
              <w:t>(3)</w:t>
            </w: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vMerge w:val="restart"/>
          </w:tcPr>
          <w:p>
            <w:pPr>
              <w:ind w:left="100"/>
              <w:spacing w:after="0" w:line="203"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(4)</w:t>
            </w: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(5)</w:t>
            </w:r>
          </w:p>
        </w:tc>
        <w:tc>
          <w:tcPr>
            <w:tcW w:w="6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894,654</w:t>
            </w: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restart"/>
          </w:tcPr>
          <w:p>
            <w:pPr>
              <w:jc w:val="right"/>
              <w:ind w:right="181"/>
              <w:spacing w:after="0" w:line="140" w:lineRule="exact"/>
              <w:rPr>
                <w:sz w:val="20"/>
                <w:szCs w:val="20"/>
                <w:color w:val="auto"/>
              </w:rPr>
            </w:pPr>
            <w:r>
              <w:rPr>
                <w:rFonts w:ascii="Arial" w:cs="Arial" w:eastAsia="Arial" w:hAnsi="Arial"/>
                <w:sz w:val="13"/>
                <w:szCs w:val="13"/>
                <w:color w:val="0000FF"/>
              </w:rPr>
              <w:t>01/05/2022</w:t>
            </w:r>
          </w:p>
        </w:tc>
        <w:tc>
          <w:tcPr>
            <w:tcW w:w="10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line="140" w:lineRule="exact"/>
              <w:rPr>
                <w:sz w:val="20"/>
                <w:szCs w:val="20"/>
                <w:color w:val="auto"/>
              </w:rPr>
            </w:pPr>
            <w:r>
              <w:rPr>
                <w:rFonts w:ascii="Arial" w:cs="Arial" w:eastAsia="Arial" w:hAnsi="Arial"/>
                <w:sz w:val="13"/>
                <w:szCs w:val="13"/>
                <w:color w:val="0000FF"/>
              </w:rPr>
              <w:t>894,654</w:t>
            </w: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restart"/>
          </w:tcPr>
          <w:p>
            <w:pPr>
              <w:spacing w:after="0" w:line="140" w:lineRule="exact"/>
              <w:rPr>
                <w:sz w:val="20"/>
                <w:szCs w:val="20"/>
                <w:color w:val="auto"/>
              </w:rPr>
            </w:pPr>
            <w:r>
              <w:rPr>
                <w:rFonts w:ascii="Arial" w:cs="Arial" w:eastAsia="Arial" w:hAnsi="Arial"/>
                <w:sz w:val="13"/>
                <w:szCs w:val="13"/>
                <w:color w:val="0000FF"/>
                <w:w w:val="95"/>
              </w:rPr>
              <w:t>11/13/2028</w:t>
            </w:r>
          </w:p>
        </w:tc>
        <w:tc>
          <w:tcPr>
            <w:tcW w:w="680" w:type="dxa"/>
            <w:vAlign w:val="bottom"/>
            <w:gridSpan w:val="2"/>
            <w:vMerge w:val="restart"/>
          </w:tcPr>
          <w:p>
            <w:pPr>
              <w:ind w:left="8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60" w:type="dxa"/>
            <w:vAlign w:val="bottom"/>
            <w:gridSpan w:val="2"/>
            <w:vMerge w:val="restart"/>
          </w:tcPr>
          <w:p>
            <w:pPr>
              <w:ind w:left="200"/>
              <w:spacing w:after="0" w:line="140" w:lineRule="exact"/>
              <w:rPr>
                <w:sz w:val="20"/>
                <w:szCs w:val="20"/>
                <w:color w:val="auto"/>
              </w:rPr>
            </w:pPr>
            <w:r>
              <w:rPr>
                <w:rFonts w:ascii="Arial" w:cs="Arial" w:eastAsia="Arial" w:hAnsi="Arial"/>
                <w:sz w:val="13"/>
                <w:szCs w:val="13"/>
                <w:color w:val="0000FF"/>
              </w:rPr>
              <w:t>894,654</w:t>
            </w:r>
          </w:p>
        </w:tc>
        <w:tc>
          <w:tcPr>
            <w:tcW w:w="64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-1829435</wp:posOffset>
            </wp:positionV>
            <wp:extent cx="28575" cy="1834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345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360"/>
        <w:spacing w:after="0" w:line="263"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1,422,106 shares of class A Common Stock underlying an option that was early exercised by the Reporting Person. Of the total amount early exercised, 533,290 shares of Class A Common Stock are subject to vesting. The option vested 1/48th on July 27, 2019 and monthly thereafter, subject to the Reporting Person's continuous service through each vesting date, and 50% of the then unvested shares will immediately vest if the Reporting Person is terminated without cause within 120 days of a Change of Control (as defined in Legacy Dave's 2017 Stock Plan).</w:t>
      </w:r>
    </w:p>
    <w:p>
      <w:pPr>
        <w:spacing w:after="0" w:line="16" w:lineRule="exact"/>
        <w:rPr>
          <w:rFonts w:ascii="Arial" w:cs="Arial" w:eastAsia="Arial" w:hAnsi="Arial"/>
          <w:sz w:val="12"/>
          <w:szCs w:val="12"/>
          <w:color w:val="008000"/>
        </w:rPr>
      </w:pPr>
    </w:p>
    <w:p>
      <w:pPr>
        <w:ind w:left="40" w:right="260"/>
        <w:spacing w:after="0" w:line="231"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January 5, 2022, pursuant to that certain Agreement and Plan of Merger, dated as of June 7, 2021 (the "Merger Agreement"), by and among VPC Impact Acquisition Holdings III, Inc. (the "Issuer"), Dave Inc., a Delaware corporation ("Legacy Dave"), and the other parties thereto, the Issuer completed its initial business combination (the "Business Combination"). As a result of the Business Combination, the Issuer changed its name to Dave Inc. In connection with the Business Combination and a recapitalization in accordance with the Merger Agreement, 1,838,455 shares of Class A Common Stock of Legacy Dave held by the Reporting Person were converted into 2,489,980 shares of Class A Common Stock of the Issuer. The issuance of the shares was approved by the Issuer's board of directors pursuant to Rule 16b-3 under the Securities Exchange Act of 1934, as amended (the "Exchange Act").</w:t>
      </w:r>
    </w:p>
    <w:p>
      <w:pPr>
        <w:spacing w:after="0" w:line="30"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exercise price reflects the conversion of Legacy Dave options to options to purchase shares of Class A Common Stock of the Issuer.</w:t>
      </w:r>
    </w:p>
    <w:p>
      <w:pPr>
        <w:spacing w:after="0" w:line="41" w:lineRule="exact"/>
        <w:rPr>
          <w:rFonts w:ascii="Arial" w:cs="Arial" w:eastAsia="Arial" w:hAnsi="Arial"/>
          <w:sz w:val="13"/>
          <w:szCs w:val="13"/>
          <w:color w:val="008000"/>
        </w:rPr>
      </w:pPr>
    </w:p>
    <w:p>
      <w:pPr>
        <w:jc w:val="both"/>
        <w:ind w:left="40" w:right="260"/>
        <w:spacing w:after="0" w:line="236"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connection with the Business Combination and in accordance with the Merger Agreement, an option to purchase 660,560 shares of Class A Common Stock of Legacy Dave held by the Reporting Person was converted into an option to purchase 894,654 shares of Class A Common Stock of the Issuer. The issuance of the option was approved by the Issuer's board of directors pursuant to Rule 16b-3 under the Exchange Act.</w:t>
      </w:r>
    </w:p>
    <w:p>
      <w:pPr>
        <w:spacing w:after="0" w:line="29"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25% on July 15, 2019 and 1/48th monthly thereafter, subject to the Reporting Person's continuous service through each vesting date.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John Ricci, as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01/07/2022</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9438" TargetMode="External"/><Relationship Id="rId13" Type="http://schemas.openxmlformats.org/officeDocument/2006/relationships/hyperlink" Target="http://www.sec.gov/cgi-bin/browse-edgar?action=getcompany&amp;CIK=00018414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2022-01-07T20:37:51Z</dcterms:created>
  <dcterms:modified xsi:type="dcterms:W3CDTF">2022-01-07T20:37:51Z</dcterms:modified>
</cp:coreProperties>
</file>