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40" w:after="283"/>
        <w:jc w:val="center"/>
        <w:rPr>
          <w:rFonts w:ascii="Times New Roman" w:hAnsi="Times New Roman"/>
          <w:sz w:val="20"/>
        </w:rPr>
      </w:pPr>
      <w:bookmarkStart w:id="0" w:name="dave-20230930.htm"/>
      <w:bookmarkStart w:id="1" w:name="ksdave20230930"/>
      <w:bookmarkEnd w:id="0"/>
      <w:bookmarkEnd w:id="1"/>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Washington, D.C. 20549</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September 30, 2023</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For the transition period from to 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001-40161</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8"/>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40" w:after="283"/>
        <w:jc w:val="center"/>
        <w:rPr/>
      </w:pPr>
      <w:r>
        <w:rPr/>
        <w:t> </w:t>
      </w:r>
    </w:p>
    <w:tbl>
      <w:tblPr>
        <w:tblW w:w="3722" w:type="dxa"/>
        <w:jc w:val="left"/>
        <w:tblInd w:w="0" w:type="dxa"/>
        <w:tblLayout w:type="fixed"/>
        <w:tblCellMar>
          <w:top w:w="28" w:type="dxa"/>
          <w:left w:w="28" w:type="dxa"/>
          <w:bottom w:w="28" w:type="dxa"/>
          <w:right w:w="28" w:type="dxa"/>
        </w:tblCellMar>
      </w:tblPr>
      <w:tblGrid>
        <w:gridCol w:w="2431"/>
        <w:gridCol w:w="1291"/>
      </w:tblGrid>
      <w:tr>
        <w:trPr/>
        <w:tc>
          <w:tcPr>
            <w:tcW w:w="243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86-1481509</w:t>
            </w:r>
          </w:p>
        </w:tc>
      </w:tr>
      <w:tr>
        <w:trPr/>
        <w:tc>
          <w:tcPr>
            <w:tcW w:w="243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(State or other jurisdiction of</w:t>
              <w:br/>
              <w:t>incorporation or organization)</w:t>
            </w:r>
            <w:r>
              <w:rPr>
                <w:rFonts w:ascii="Times New Roman" w:hAnsi="Times New Roman"/>
                <w:color w:val="000000"/>
                <w:sz w:val="16"/>
              </w:rPr>
              <w:t xml:space="preserve"> </w:t>
            </w:r>
          </w:p>
        </w:tc>
        <w:tc>
          <w:tcPr>
            <w:tcW w:w="1291" w:type="dxa"/>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4"/>
              </w:rPr>
              <w:t>(I.R.S. Employer</w:t>
              <w:br/>
              <w:t>Identification No.)</w:t>
            </w:r>
            <w:r>
              <w:rPr>
                <w:rFonts w:ascii="Times New Roman" w:hAnsi="Times New Roman"/>
                <w:color w:val="000000"/>
                <w:sz w:val="16"/>
              </w:rPr>
              <w:t xml:space="preserve"> </w:t>
            </w:r>
          </w:p>
        </w:tc>
      </w:tr>
      <w:tr>
        <w:trPr/>
        <w:tc>
          <w:tcPr>
            <w:tcW w:w="2431" w:type="dxa"/>
            <w:tcBorders/>
            <w:vAlign w:val="center"/>
          </w:tcPr>
          <w:p>
            <w:pPr>
              <w:pStyle w:val="TableContents"/>
              <w:bidi w:val="0"/>
              <w:spacing w:before="40" w:after="283"/>
              <w:jc w:val="center"/>
              <w:rPr>
                <w:rFonts w:ascii="Times New Roman" w:hAnsi="Times New Roman"/>
                <w:sz w:val="20"/>
              </w:rPr>
            </w:pPr>
            <w:r>
              <w:rPr>
                <w:rFonts w:ascii="Times New Roman" w:hAnsi="Times New Roman"/>
                <w:b/>
                <w:color w:val="000000"/>
                <w:sz w:val="20"/>
              </w:rPr>
              <w:t>1265 South Cochran Ave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 Angeles, CA</w:t>
            </w:r>
          </w:p>
        </w:tc>
        <w:tc>
          <w:tcPr>
            <w:tcW w:w="129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90019</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9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(844) 857-3283</w:t>
      </w:r>
      <w:r>
        <w:rPr>
          <w:rFonts w:ascii="Times New Roman" w:hAnsi="Times New Roman"/>
          <w:color w:val="000000"/>
          <w:sz w:val="20"/>
        </w:rPr>
        <w:t xml:space="preserve"> </w:t>
      </w:r>
    </w:p>
    <w:p>
      <w:pPr>
        <w:pStyle w:val="TextBody"/>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16"/>
        </w:rPr>
        <w:t>Securities registered pursuant to Section 12(b) of the Act: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57"/>
        <w:gridCol w:w="1175"/>
        <w:gridCol w:w="2473"/>
      </w:tblGrid>
      <w:tr>
        <w:trPr/>
        <w:tc>
          <w:tcPr>
            <w:tcW w:w="655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557"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2473" w:type="dxa"/>
            <w:tcBorders/>
            <w:vAlign w:val="center"/>
          </w:tcPr>
          <w:p>
            <w:pPr>
              <w:pStyle w:val="TableContents"/>
              <w:bidi w:val="0"/>
              <w:spacing w:before="0" w:after="283"/>
              <w:jc w:val="left"/>
              <w:rPr/>
            </w:pPr>
            <w:r>
              <w:rPr/>
              <w:t> </w:t>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common stock, par value $0.0001</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55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Class A common stock, each at an exercise price of $368 per share</w:t>
            </w:r>
          </w:p>
        </w:tc>
        <w:tc>
          <w:tcPr>
            <w:tcW w:w="1175"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DAVEW</w:t>
            </w:r>
          </w:p>
        </w:tc>
        <w:tc>
          <w:tcPr>
            <w:tcW w:w="2473"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18"/>
        </w:rPr>
        <w:t>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w:t>
      </w:r>
      <w:r>
        <w:rPr>
          <w:rFonts w:ascii="Times New Roman" w:hAnsi="Times New Roman"/>
          <w:b w:val="false"/>
          <w:caps/>
          <w:color w:val="000000"/>
          <w:sz w:val="18"/>
        </w:rPr>
        <w:t>es</w:t>
      </w:r>
      <w:r>
        <w:rPr>
          <w:rFonts w:ascii="Times New Roman" w:hAnsi="Times New Roman"/>
          <w:color w:val="000000"/>
          <w:sz w:val="20"/>
        </w:rPr>
        <w:t xml:space="preserve"> ☒ </w:t>
      </w:r>
      <w:r>
        <w:rPr>
          <w:rFonts w:ascii="Times New Roman" w:hAnsi="Times New Roman"/>
          <w:b w:val="false"/>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w:t>
      </w:r>
      <w:r>
        <w:rPr>
          <w:rFonts w:ascii="Times New Roman" w:hAnsi="Times New Roman"/>
          <w:b w:val="false"/>
          <w:caps/>
          <w:color w:val="000000"/>
          <w:sz w:val="18"/>
        </w:rPr>
        <w:t>es</w:t>
      </w:r>
      <w:r>
        <w:rPr>
          <w:rFonts w:ascii="Times New Roman" w:hAnsi="Times New Roman"/>
          <w:color w:val="000000"/>
          <w:sz w:val="20"/>
        </w:rPr>
        <w:t xml:space="preserve"> ☒ </w:t>
      </w:r>
      <w:r>
        <w:rPr>
          <w:rFonts w:ascii="Times New Roman" w:hAnsi="Times New Roman"/>
          <w:b w:val="false"/>
          <w:color w:val="000000"/>
          <w:sz w:val="18"/>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b w:val="false"/>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18"/>
        </w:rPr>
        <w:t>As of October 25, 2023, there were 10,587,288</w:t>
      </w:r>
      <w:r>
        <w:rPr>
          <w:rFonts w:ascii="Times New Roman" w:hAnsi="Times New Roman"/>
          <w:color w:val="000000"/>
          <w:sz w:val="20"/>
        </w:rPr>
        <w:t xml:space="preserve"> </w:t>
      </w:r>
      <w:r>
        <w:rPr>
          <w:rFonts w:ascii="Times New Roman" w:hAnsi="Times New Roman"/>
          <w:b w:val="false"/>
          <w:color w:val="000000"/>
          <w:sz w:val="18"/>
        </w:rPr>
        <w:t>shares of Class A common stock, $0.0001 par value and 1,514,082</w:t>
      </w:r>
      <w:r>
        <w:rPr>
          <w:rFonts w:ascii="Times New Roman" w:hAnsi="Times New Roman"/>
          <w:color w:val="000000"/>
          <w:sz w:val="20"/>
        </w:rPr>
        <w:t xml:space="preserve"> </w:t>
      </w:r>
      <w:r>
        <w:rPr>
          <w:rFonts w:ascii="Times New Roman" w:hAnsi="Times New Roman"/>
          <w:b w:val="false"/>
          <w:color w:val="000000"/>
          <w:sz w:val="18"/>
        </w:rPr>
        <w:t>shares of Class V common stock, $0.0001 par value, issued and outstanding.</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center"/>
        <w:rPr/>
      </w:pPr>
      <w:r>
        <w:rPr/>
        <w:t> </w:t>
      </w:r>
    </w:p>
    <w:tbl>
      <w:tblPr>
        <w:tblW w:w="8853" w:type="dxa"/>
        <w:jc w:val="left"/>
        <w:tblInd w:w="0" w:type="dxa"/>
        <w:tblLayout w:type="fixed"/>
        <w:tblCellMar>
          <w:top w:w="28" w:type="dxa"/>
          <w:left w:w="28" w:type="dxa"/>
          <w:bottom w:w="28" w:type="dxa"/>
          <w:right w:w="28" w:type="dxa"/>
        </w:tblCellMar>
      </w:tblPr>
      <w:tblGrid>
        <w:gridCol w:w="976"/>
        <w:gridCol w:w="7336"/>
        <w:gridCol w:w="54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Page</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_1_financial_information">
              <w:r>
                <w:rPr>
                  <w:rStyle w:val="InternetLink"/>
                  <w:rFonts w:ascii="Times New Roman" w:hAnsi="Times New Roman"/>
                  <w:b/>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statements">
              <w:r>
                <w:rPr>
                  <w:rStyle w:val="InternetLink"/>
                  <w:rFonts w:ascii="Times New Roman" w:hAnsi="Times New Roman"/>
                  <w:b w:val="false"/>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
              <w:r>
                <w:rPr>
                  <w:rStyle w:val="InternetLink"/>
                  <w:rFonts w:ascii="Times New Roman" w:hAnsi="Times New Roman"/>
                  <w:b w:val="false"/>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balancesheet_daveodfunding">
              <w:r>
                <w:rPr>
                  <w:rStyle w:val="InternetLink"/>
                  <w:rFonts w:ascii="Times New Roman" w:hAnsi="Times New Roman"/>
                  <w:b w:val="false"/>
                  <w:color w:val="0000FF"/>
                  <w:sz w:val="20"/>
                  <w:u w:val="single"/>
                </w:rPr>
                <w:t>Condensed Consolidated Balance Sheets, Continued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7" w:after="283"/>
              <w:jc w:val="left"/>
              <w:rPr/>
            </w:pPr>
            <w:hyperlink w:anchor="statementsofoperatrions">
              <w:r>
                <w:rPr>
                  <w:rStyle w:val="InternetLink"/>
                  <w:rFonts w:ascii="Times New Roman" w:hAnsi="Times New Roman"/>
                  <w:b w:val="false"/>
                  <w:color w:val="0000FF"/>
                  <w:sz w:val="20"/>
                  <w:u w:val="single"/>
                </w:rPr>
                <w:t>Condensed Consolidated Statements of Operations</w:t>
              </w:r>
            </w:hyperlink>
          </w:p>
        </w:tc>
        <w:tc>
          <w:tcPr>
            <w:tcW w:w="541" w:type="dxa"/>
            <w:tcBorders/>
            <w:tcMar>
              <w:top w:w="0" w:type="dxa"/>
              <w:left w:w="0" w:type="dxa"/>
              <w:bottom w:w="0" w:type="dxa"/>
              <w:right w:w="0" w:type="dxa"/>
            </w:tcMar>
            <w:vAlign w:val="center"/>
          </w:tcPr>
          <w:p>
            <w:pPr>
              <w:pStyle w:val="TableContents"/>
              <w:bidi w:val="0"/>
              <w:spacing w:before="7"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ofcomprehensiveloss">
              <w:r>
                <w:rPr>
                  <w:rStyle w:val="InternetLink"/>
                  <w:rFonts w:ascii="Times New Roman" w:hAnsi="Times New Roman"/>
                  <w:b w:val="false"/>
                  <w:color w:val="0000FF"/>
                  <w:sz w:val="20"/>
                  <w:u w:val="single"/>
                </w:rPr>
                <w:t>Condensed Consolidated Statements of Comprehensive Loss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tockholdersequity">
              <w:r>
                <w:rPr>
                  <w:rStyle w:val="InternetLink"/>
                  <w:rFonts w:ascii="Times New Roman" w:hAnsi="Times New Roman"/>
                  <w:b w:val="false"/>
                  <w:color w:val="0000FF"/>
                  <w:sz w:val="20"/>
                  <w:u w:val="single"/>
                </w:rPr>
                <w:t>Condensed Consolidated Statement of Stockholders’ Equity</w:t>
              </w:r>
            </w:hyperlink>
            <w:hyperlink w:anchor="consolidatedstatementstockholdersequity">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consolidatedstatementsofcashflows">
              <w:r>
                <w:rPr>
                  <w:rStyle w:val="InternetLink"/>
                  <w:rFonts w:ascii="Times New Roman" w:hAnsi="Times New Roman"/>
                  <w:b w:val="false"/>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notestoconsolidatedfinancialstatements">
              <w:r>
                <w:rPr>
                  <w:rStyle w:val="InternetLink"/>
                  <w:rFonts w:ascii="Times New Roman" w:hAnsi="Times New Roman"/>
                  <w:b w:val="false"/>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b w:val="false"/>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quantitativeandqualitative">
              <w:r>
                <w:rPr>
                  <w:rStyle w:val="InternetLink"/>
                  <w:rFonts w:ascii="Times New Roman" w:hAnsi="Times New Roman"/>
                  <w:b w:val="false"/>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controlsandprocedures">
              <w:r>
                <w:rPr>
                  <w:rStyle w:val="InternetLink"/>
                  <w:rFonts w:ascii="Times New Roman" w:hAnsi="Times New Roman"/>
                  <w:b w:val="false"/>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partii_other_information">
              <w:r>
                <w:rPr>
                  <w:rStyle w:val="InternetLink"/>
                  <w:rFonts w:ascii="Times New Roman" w:hAnsi="Times New Roman"/>
                  <w:b/>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_legalproceedings">
              <w:r>
                <w:rPr>
                  <w:rStyle w:val="InternetLink"/>
                  <w:rFonts w:ascii="Times New Roman" w:hAnsi="Times New Roman"/>
                  <w:b w:val="false"/>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1a_riskfactors">
              <w:r>
                <w:rPr>
                  <w:rStyle w:val="InternetLink"/>
                  <w:rFonts w:ascii="Times New Roman" w:hAnsi="Times New Roman"/>
                  <w:b w:val="false"/>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2_unregisteredsalesofequity">
              <w:r>
                <w:rPr>
                  <w:rStyle w:val="InternetLink"/>
                  <w:rFonts w:ascii="Times New Roman" w:hAnsi="Times New Roman"/>
                  <w:b w:val="false"/>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3_defaultsuponseniorsecurities">
              <w:r>
                <w:rPr>
                  <w:rStyle w:val="InternetLink"/>
                  <w:rFonts w:ascii="Times New Roman" w:hAnsi="Times New Roman"/>
                  <w:b w:val="false"/>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4_minesafetydisclosures">
              <w:r>
                <w:rPr>
                  <w:rStyle w:val="InternetLink"/>
                  <w:rFonts w:ascii="Times New Roman" w:hAnsi="Times New Roman"/>
                  <w:b w:val="false"/>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5_otherinformation">
              <w:r>
                <w:rPr>
                  <w:rStyle w:val="InternetLink"/>
                  <w:rFonts w:ascii="Times New Roman" w:hAnsi="Times New Roman"/>
                  <w:b w:val="false"/>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b w:val="false"/>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000FF"/>
                  <w:sz w:val="20"/>
                  <w:u w:val="single"/>
                </w:rPr>
                <w:t>Signatures</w:t>
              </w:r>
            </w:hyperlink>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r>
    </w:tbl>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10-Q other than statements of historical fact, including statements regarding our future results of operations, financial position, market size and opportunity, our business strategy and plans, the factors affecting our performance, our objectives for future operations, our liquidity, borrowing capacity, our use of cash and cash requirements and the expected effects of new accounting pronouncements,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2022 filed with the Securities and Exchange Commission (the “SEC”) on March 13, 2023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ability of Dave to compete in its highly competitive industry;</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ability of Dave to keep pace with the rapid technological developments in its industry and the larger financial services industry;</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ability of Dave to manage its growth as a public company;</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ability of Dave to protect intellectual property and trade secrets;</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changes in applicable laws or regulations and extensive and evolving government regulations (including laws and regulations related to banking as a service and bank partnerships) that impact operations and business;</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ability to attract or maintain a qualified workforce;</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level of product service failures that could lead Dave members (“Members”) to use competitors’ services;</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investigations, claims, disputes, enforcement actions, litigation and/or other regulatory or legal proceedings;</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ability to maintain the listing of Dave Class A Common Stock on Nasdaq;</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effects of global conflicts or rising inflation on Dave’s business;</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possibility that Dave may be adversely affected by other economic, business, and/or competitive factors;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other risks and uncertainties described in this Form 10-Q, including those described under Item 1A, “Risk Factors” of the Annual Report.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caution you that the foregoing list of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and our actual future results, levels of activity, performance and events and circumstances may be materially different from what we expect.</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Except as required by law, we do not intend to update any of these forward-looking statements after the date of this report or to conform these statements to actual results or revised expectations.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As used in this report, the “Company,” “Dave,” “we,” “us,” “our” and similar terms refer Dave Inc. (f/k/a VPC Impact Acquisition Holdings III, Inc. (“VPCC”)) and its consolidated subsidiaries, unless otherwise noted or the context otherwise requires. “Business Combination” refers to the business combination pursuant we consummated on January 5, 2022 pursuant to the Agreement and Plan of Merger, dated as of June 7, 2021 among VPCC, Dave Inc., a Delaware corporation, and other entities.</w:t>
      </w:r>
    </w:p>
    <w:p>
      <w:pPr>
        <w:pStyle w:val="TextBody"/>
        <w:bidi w:val="0"/>
        <w:jc w:val="left"/>
        <w:rPr>
          <w:rFonts w:ascii="Times New Roman" w:hAnsi="Times New Roman"/>
          <w:sz w:val="20"/>
        </w:rPr>
      </w:pPr>
      <w:r>
        <w:rPr>
          <w:rFonts w:ascii="Times New Roman" w:hAnsi="Times New Roman"/>
          <w:b w:val="false"/>
          <w:i/>
          <w:color w:val="000000"/>
          <w:sz w:val="20"/>
        </w:rPr>
        <w:br/>
      </w:r>
      <w:r>
        <w:rPr>
          <w:rFonts w:ascii="Times New Roman" w:hAnsi="Times New Roman"/>
          <w:color w:val="000000"/>
          <w:sz w:val="20"/>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financial_information"/>
      <w:bookmarkEnd w:id="2"/>
      <w:r>
        <w:rPr>
          <w:rFonts w:ascii="Times New Roman" w:hAnsi="Times New Roman"/>
          <w:b/>
          <w:color w:val="000000"/>
          <w:sz w:val="20"/>
        </w:rPr>
        <w:t>PART I—FINANCIAL INFORMATION</w:t>
      </w:r>
    </w:p>
    <w:p>
      <w:pPr>
        <w:pStyle w:val="TextBody"/>
        <w:bidi w:val="0"/>
        <w:jc w:val="left"/>
        <w:rPr>
          <w:rFonts w:ascii="Times New Roman" w:hAnsi="Times New Roman"/>
          <w:sz w:val="20"/>
        </w:rPr>
      </w:pPr>
      <w:bookmarkStart w:id="3" w:name="item_1_financial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sheet"/>
      <w:bookmarkEnd w:id="4"/>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Balance Sheets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02"/>
        <w:gridCol w:w="146"/>
        <w:gridCol w:w="254"/>
        <w:gridCol w:w="975"/>
        <w:gridCol w:w="166"/>
        <w:gridCol w:w="146"/>
        <w:gridCol w:w="228"/>
        <w:gridCol w:w="876"/>
        <w:gridCol w:w="512"/>
      </w:tblGrid>
      <w:tr>
        <w:trPr/>
        <w:tc>
          <w:tcPr>
            <w:tcW w:w="6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69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2023</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4"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2022</w:t>
            </w:r>
          </w:p>
        </w:tc>
        <w:tc>
          <w:tcPr>
            <w:tcW w:w="512" w:type="dxa"/>
            <w:tcBorders/>
            <w:shd w:fill="FFFFFF" w:val="clear"/>
            <w:vAlign w:val="center"/>
          </w:tcPr>
          <w:p>
            <w:pPr>
              <w:pStyle w:val="TableContents"/>
              <w:bidi w:val="0"/>
              <w:spacing w:before="0" w:after="283"/>
              <w:jc w:val="center"/>
              <w:rPr/>
            </w:pPr>
            <w:r>
              <w:rPr/>
              <w:t> </w:t>
            </w:r>
          </w:p>
        </w:tc>
      </w:tr>
      <w:tr>
        <w:trPr/>
        <w:tc>
          <w:tcPr>
            <w:tcW w:w="69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16"/>
              </w:rPr>
            </w:pPr>
            <w:r>
              <w:rPr>
                <w:rFonts w:ascii="Times New Roman" w:hAnsi="Times New Roman"/>
                <w:b w:val="false"/>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2"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B7DEE8" w:val="clear"/>
            <w:vAlign w:val="center"/>
          </w:tcPr>
          <w:p>
            <w:pPr>
              <w:pStyle w:val="TableContents"/>
              <w:bidi w:val="0"/>
              <w:spacing w:before="0" w:after="283"/>
              <w:jc w:val="left"/>
              <w:rPr/>
            </w:pPr>
            <w:r>
              <w:rPr/>
              <w:t> </w:t>
            </w:r>
          </w:p>
        </w:tc>
        <w:tc>
          <w:tcPr>
            <w:tcW w:w="1229"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104" w:type="dxa"/>
            <w:gridSpan w:val="2"/>
            <w:tcBorders/>
            <w:shd w:fill="B7DEE8" w:val="clear"/>
            <w:vAlign w:val="center"/>
          </w:tcPr>
          <w:p>
            <w:pPr>
              <w:pStyle w:val="TableContents"/>
              <w:bidi w:val="0"/>
              <w:spacing w:before="0" w:after="283"/>
              <w:jc w:val="left"/>
              <w:rPr/>
            </w:pPr>
            <w:r>
              <w:rPr/>
              <w:t> </w:t>
            </w:r>
          </w:p>
        </w:tc>
        <w:tc>
          <w:tcPr>
            <w:tcW w:w="512" w:type="dxa"/>
            <w:tcBorders/>
            <w:shd w:fill="B7DEE8" w:val="clear"/>
            <w:vAlign w:val="center"/>
          </w:tcPr>
          <w:p>
            <w:pPr>
              <w:pStyle w:val="TableContents"/>
              <w:bidi w:val="0"/>
              <w:spacing w:before="0" w:after="283"/>
              <w:jc w:val="left"/>
              <w:rPr/>
            </w:pPr>
            <w:r>
              <w:rPr/>
              <w:t> </w:t>
            </w:r>
          </w:p>
        </w:tc>
      </w:tr>
      <w:tr>
        <w:trPr/>
        <w:tc>
          <w:tcPr>
            <w:tcW w:w="690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122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gridSpan w:val="2"/>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43,608</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22,889</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Marketable securities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285</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Member advances, net of allowance for credit losses of $19,758</w:t>
            </w:r>
            <w:r>
              <w:rPr>
                <w:rFonts w:ascii="Times New Roman" w:hAnsi="Times New Roman"/>
                <w:color w:val="000000"/>
                <w:sz w:val="20"/>
              </w:rPr>
              <w:t> </w:t>
            </w:r>
            <w:r>
              <w:rPr>
                <w:rFonts w:ascii="Times New Roman" w:hAnsi="Times New Roman"/>
                <w:b w:val="false"/>
                <w:color w:val="000000"/>
                <w:sz w:val="16"/>
              </w:rPr>
              <w:t>and $24,501</w:t>
            </w:r>
            <w:r>
              <w:rPr>
                <w:rFonts w:ascii="Times New Roman" w:hAnsi="Times New Roman"/>
                <w:color w:val="000000"/>
                <w:sz w:val="20"/>
              </w:rPr>
              <w:t> </w:t>
            </w:r>
            <w:r>
              <w:rPr>
                <w:rFonts w:ascii="Times New Roman" w:hAnsi="Times New Roman"/>
                <w:b w:val="false"/>
                <w:color w:val="000000"/>
                <w:sz w:val="16"/>
              </w:rPr>
              <w:t>as of September 30, 2023 and December 31, 2022, respectively</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97,124</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104,183</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Short-term investments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124,581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168,789</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Prepaid income taxes</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813</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831</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11,591</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2" w:type="dxa"/>
            <w:tcBorders/>
            <w:shd w:fill="B7DEE8"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278,369</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308,568</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Property and equipment, net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1,026</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Lease right-of-use assets (related-party of $541</w:t>
            </w:r>
            <w:r>
              <w:rPr>
                <w:rFonts w:ascii="Times New Roman" w:hAnsi="Times New Roman"/>
                <w:color w:val="000000"/>
                <w:sz w:val="20"/>
              </w:rPr>
              <w:t> </w:t>
            </w:r>
            <w:r>
              <w:rPr>
                <w:rFonts w:ascii="Times New Roman" w:hAnsi="Times New Roman"/>
                <w:b w:val="false"/>
                <w:color w:val="000000"/>
                <w:sz w:val="16"/>
              </w:rPr>
              <w:t>and $735</w:t>
            </w:r>
            <w:r>
              <w:rPr>
                <w:rFonts w:ascii="Times New Roman" w:hAnsi="Times New Roman"/>
                <w:color w:val="000000"/>
                <w:sz w:val="20"/>
              </w:rPr>
              <w:t> </w:t>
            </w:r>
            <w:r>
              <w:rPr>
                <w:rFonts w:ascii="Times New Roman" w:hAnsi="Times New Roman"/>
                <w:b w:val="false"/>
                <w:color w:val="000000"/>
                <w:sz w:val="16"/>
              </w:rPr>
              <w:t>as of September 30, 2023 and December 31, 2022, respectively)</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541</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735</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Intangible assets, net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10,163</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Debt facility commitment fee, long-term</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Restricted cash</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788</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Other non-current assets</w:t>
            </w:r>
          </w:p>
        </w:tc>
        <w:tc>
          <w:tcPr>
            <w:tcW w:w="146" w:type="dxa"/>
            <w:tcBorders/>
            <w:shd w:fill="B7DEE8" w:val="clear"/>
            <w:vAlign w:val="center"/>
          </w:tcPr>
          <w:p>
            <w:pPr>
              <w:pStyle w:val="TableContents"/>
              <w:bidi w:val="0"/>
              <w:spacing w:before="0" w:after="283"/>
              <w:jc w:val="left"/>
              <w:rPr/>
            </w:pPr>
            <w:r>
              <w:rPr/>
              <w:t> </w:t>
            </w:r>
          </w:p>
        </w:tc>
        <w:tc>
          <w:tcPr>
            <w:tcW w:w="25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137</w:t>
            </w:r>
          </w:p>
        </w:tc>
        <w:tc>
          <w:tcPr>
            <w:tcW w:w="512"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2"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294,447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321,492</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2"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equity</w:t>
            </w:r>
          </w:p>
        </w:tc>
        <w:tc>
          <w:tcPr>
            <w:tcW w:w="146" w:type="dxa"/>
            <w:tcBorders/>
            <w:shd w:fill="B7DEE8" w:val="clear"/>
            <w:vAlign w:val="center"/>
          </w:tcPr>
          <w:p>
            <w:pPr>
              <w:pStyle w:val="TableContents"/>
              <w:bidi w:val="0"/>
              <w:spacing w:before="0" w:after="283"/>
              <w:jc w:val="left"/>
              <w:rPr/>
            </w:pPr>
            <w:r>
              <w:rPr/>
              <w:t> </w:t>
            </w:r>
          </w:p>
        </w:tc>
        <w:tc>
          <w:tcPr>
            <w:tcW w:w="1229"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104" w:type="dxa"/>
            <w:gridSpan w:val="2"/>
            <w:tcBorders/>
            <w:shd w:fill="B7DEE8" w:val="clear"/>
            <w:vAlign w:val="center"/>
          </w:tcPr>
          <w:p>
            <w:pPr>
              <w:pStyle w:val="TableContents"/>
              <w:bidi w:val="0"/>
              <w:spacing w:before="0" w:after="283"/>
              <w:jc w:val="left"/>
              <w:rPr/>
            </w:pPr>
            <w:r>
              <w:rPr/>
              <w:t> </w:t>
            </w:r>
          </w:p>
        </w:tc>
        <w:tc>
          <w:tcPr>
            <w:tcW w:w="512" w:type="dxa"/>
            <w:tcBorders/>
            <w:shd w:fill="B7DEE8" w:val="clear"/>
            <w:vAlign w:val="center"/>
          </w:tcPr>
          <w:p>
            <w:pPr>
              <w:pStyle w:val="TableContents"/>
              <w:bidi w:val="0"/>
              <w:spacing w:before="0" w:after="283"/>
              <w:jc w:val="left"/>
              <w:rPr/>
            </w:pPr>
            <w:r>
              <w:rPr/>
              <w:t> </w:t>
            </w:r>
          </w:p>
        </w:tc>
      </w:tr>
      <w:tr>
        <w:trPr/>
        <w:tc>
          <w:tcPr>
            <w:tcW w:w="690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122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gridSpan w:val="2"/>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9,091</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11,418</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Accrued expenses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14,426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10,965</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Lease liabilities, short-term (related-party of $250</w:t>
            </w:r>
            <w:r>
              <w:rPr>
                <w:rFonts w:ascii="Times New Roman" w:hAnsi="Times New Roman"/>
                <w:color w:val="000000"/>
                <w:sz w:val="20"/>
              </w:rPr>
              <w:t> </w:t>
            </w:r>
            <w:r>
              <w:rPr>
                <w:rFonts w:ascii="Times New Roman" w:hAnsi="Times New Roman"/>
                <w:b w:val="false"/>
                <w:color w:val="000000"/>
                <w:sz w:val="16"/>
              </w:rPr>
              <w:t>and $273</w:t>
            </w:r>
            <w:r>
              <w:rPr>
                <w:rFonts w:ascii="Times New Roman" w:hAnsi="Times New Roman"/>
                <w:color w:val="000000"/>
                <w:sz w:val="20"/>
              </w:rPr>
              <w:t> </w:t>
            </w:r>
            <w:r>
              <w:rPr>
                <w:rFonts w:ascii="Times New Roman" w:hAnsi="Times New Roman"/>
                <w:b w:val="false"/>
                <w:color w:val="000000"/>
                <w:sz w:val="16"/>
              </w:rPr>
              <w:t>as of September 30, 2023 and December 31, 2022, respectively)</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273</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Legal settlement accrual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9,450</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Other current liabilities</w:t>
            </w:r>
          </w:p>
        </w:tc>
        <w:tc>
          <w:tcPr>
            <w:tcW w:w="146" w:type="dxa"/>
            <w:tcBorders/>
            <w:shd w:fill="B7DEE8" w:val="clear"/>
            <w:vAlign w:val="center"/>
          </w:tcPr>
          <w:p>
            <w:pPr>
              <w:pStyle w:val="TableContents"/>
              <w:bidi w:val="0"/>
              <w:spacing w:before="0" w:after="283"/>
              <w:jc w:val="left"/>
              <w:rPr/>
            </w:pPr>
            <w:r>
              <w:rPr/>
              <w:t> </w:t>
            </w:r>
          </w:p>
        </w:tc>
        <w:tc>
          <w:tcPr>
            <w:tcW w:w="25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3,699</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4,311</w:t>
            </w:r>
          </w:p>
        </w:tc>
        <w:tc>
          <w:tcPr>
            <w:tcW w:w="512"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2"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36,417</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Lease liabilities, long-term (related-party of $362</w:t>
            </w:r>
            <w:r>
              <w:rPr>
                <w:rFonts w:ascii="Times New Roman" w:hAnsi="Times New Roman"/>
                <w:color w:val="000000"/>
                <w:sz w:val="20"/>
              </w:rPr>
              <w:t> </w:t>
            </w:r>
            <w:r>
              <w:rPr>
                <w:rFonts w:ascii="Times New Roman" w:hAnsi="Times New Roman"/>
                <w:b w:val="false"/>
                <w:color w:val="000000"/>
                <w:sz w:val="16"/>
              </w:rPr>
              <w:t>and $550</w:t>
            </w:r>
            <w:r>
              <w:rPr>
                <w:rFonts w:ascii="Times New Roman" w:hAnsi="Times New Roman"/>
                <w:color w:val="000000"/>
                <w:sz w:val="20"/>
              </w:rPr>
              <w:t> </w:t>
            </w:r>
            <w:r>
              <w:rPr>
                <w:rFonts w:ascii="Times New Roman" w:hAnsi="Times New Roman"/>
                <w:b w:val="false"/>
                <w:color w:val="000000"/>
                <w:sz w:val="16"/>
              </w:rPr>
              <w:t>as of September 30, 2023 and December 31, 2022, respectively)</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362</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Debt facility, long-term</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75,000</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Convertible debt, long-term</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104,654</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102,325</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Warrant and earnout liabilities</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516</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Other non-current liabilities</w:t>
            </w:r>
          </w:p>
        </w:tc>
        <w:tc>
          <w:tcPr>
            <w:tcW w:w="146" w:type="dxa"/>
            <w:tcBorders/>
            <w:shd w:fill="B7DEE8" w:val="clear"/>
            <w:vAlign w:val="center"/>
          </w:tcPr>
          <w:p>
            <w:pPr>
              <w:pStyle w:val="TableContents"/>
              <w:bidi w:val="0"/>
              <w:spacing w:before="0" w:after="283"/>
              <w:jc w:val="left"/>
              <w:rPr/>
            </w:pPr>
            <w:r>
              <w:rPr/>
              <w:t> </w:t>
            </w:r>
          </w:p>
        </w:tc>
        <w:tc>
          <w:tcPr>
            <w:tcW w:w="25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128</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124</w:t>
            </w:r>
          </w:p>
        </w:tc>
        <w:tc>
          <w:tcPr>
            <w:tcW w:w="512" w:type="dxa"/>
            <w:tcBorders>
              <w:bottom w:val="single" w:sz="4"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2"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215,266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214,932</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Commitments and contingencies (Note 11)</w:t>
            </w:r>
          </w:p>
        </w:tc>
        <w:tc>
          <w:tcPr>
            <w:tcW w:w="146" w:type="dxa"/>
            <w:tcBorders/>
            <w:shd w:fill="B7DEE8" w:val="clear"/>
            <w:vAlign w:val="center"/>
          </w:tcPr>
          <w:p>
            <w:pPr>
              <w:pStyle w:val="TableContents"/>
              <w:bidi w:val="0"/>
              <w:spacing w:before="0" w:after="283"/>
              <w:jc w:val="left"/>
              <w:rPr/>
            </w:pPr>
            <w:r>
              <w:rPr/>
              <w:t> </w:t>
            </w:r>
          </w:p>
        </w:tc>
        <w:tc>
          <w:tcPr>
            <w:tcW w:w="1229"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104" w:type="dxa"/>
            <w:gridSpan w:val="2"/>
            <w:tcBorders/>
            <w:shd w:fill="B7DEE8" w:val="clear"/>
            <w:vAlign w:val="center"/>
          </w:tcPr>
          <w:p>
            <w:pPr>
              <w:pStyle w:val="TableContents"/>
              <w:bidi w:val="0"/>
              <w:spacing w:before="0" w:after="283"/>
              <w:jc w:val="left"/>
              <w:rPr/>
            </w:pPr>
            <w:r>
              <w:rPr/>
              <w:t> </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color w:val="000000"/>
                <w:sz w:val="16"/>
              </w:rPr>
            </w:pPr>
            <w:r>
              <w:rPr>
                <w:rFonts w:ascii="Times New Roman" w:hAnsi="Times New Roman"/>
                <w:b/>
                <w:color w:val="000000"/>
                <w:sz w:val="16"/>
              </w:rPr>
              <w:t>Stockholders’ equity:</w:t>
            </w:r>
          </w:p>
        </w:tc>
        <w:tc>
          <w:tcPr>
            <w:tcW w:w="146" w:type="dxa"/>
            <w:tcBorders/>
            <w:shd w:fill="FFFFFF" w:val="clear"/>
            <w:vAlign w:val="center"/>
          </w:tcPr>
          <w:p>
            <w:pPr>
              <w:pStyle w:val="TableContents"/>
              <w:bidi w:val="0"/>
              <w:spacing w:before="0" w:after="283"/>
              <w:jc w:val="left"/>
              <w:rPr/>
            </w:pPr>
            <w:r>
              <w:rPr/>
              <w:t> </w:t>
            </w:r>
          </w:p>
        </w:tc>
        <w:tc>
          <w:tcPr>
            <w:tcW w:w="122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gridSpan w:val="2"/>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Preferred stock, par value per share $0.0001, 10,000,000</w:t>
            </w:r>
            <w:r>
              <w:rPr>
                <w:rFonts w:ascii="Times New Roman" w:hAnsi="Times New Roman"/>
                <w:color w:val="000000"/>
                <w:sz w:val="20"/>
              </w:rPr>
              <w:t> </w:t>
            </w:r>
            <w:r>
              <w:rPr>
                <w:rFonts w:ascii="Times New Roman" w:hAnsi="Times New Roman"/>
                <w:b w:val="false"/>
                <w:color w:val="000000"/>
                <w:sz w:val="16"/>
              </w:rPr>
              <w:t>shares authorized; 0</w:t>
            </w:r>
            <w:r>
              <w:rPr>
                <w:rFonts w:ascii="Times New Roman" w:hAnsi="Times New Roman"/>
                <w:color w:val="000000"/>
                <w:sz w:val="20"/>
              </w:rPr>
              <w:t> </w:t>
            </w:r>
            <w:r>
              <w:rPr>
                <w:rFonts w:ascii="Times New Roman" w:hAnsi="Times New Roman"/>
                <w:b w:val="false"/>
                <w:color w:val="000000"/>
                <w:sz w:val="16"/>
              </w:rPr>
              <w:t>shares issued and outstanding at September 30, 2023 and December 31, 2022</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Class A common stock, par value per share $0.0001, 500,000,000</w:t>
            </w:r>
            <w:r>
              <w:rPr>
                <w:rFonts w:ascii="Times New Roman" w:hAnsi="Times New Roman"/>
                <w:color w:val="000000"/>
                <w:sz w:val="20"/>
              </w:rPr>
              <w:t> </w:t>
            </w:r>
            <w:r>
              <w:rPr>
                <w:rFonts w:ascii="Times New Roman" w:hAnsi="Times New Roman"/>
                <w:b w:val="false"/>
                <w:color w:val="000000"/>
                <w:sz w:val="16"/>
              </w:rPr>
              <w:t>shares authorized; 10,587,288</w:t>
            </w:r>
            <w:r>
              <w:rPr>
                <w:rFonts w:ascii="Times New Roman" w:hAnsi="Times New Roman"/>
                <w:color w:val="000000"/>
                <w:sz w:val="20"/>
              </w:rPr>
              <w:t> </w:t>
            </w:r>
            <w:r>
              <w:rPr>
                <w:rFonts w:ascii="Times New Roman" w:hAnsi="Times New Roman"/>
                <w:b w:val="false"/>
                <w:color w:val="000000"/>
                <w:sz w:val="16"/>
              </w:rPr>
              <w:t>and 10,334,220</w:t>
            </w:r>
            <w:r>
              <w:rPr>
                <w:rFonts w:ascii="Times New Roman" w:hAnsi="Times New Roman"/>
                <w:color w:val="000000"/>
                <w:sz w:val="20"/>
              </w:rPr>
              <w:t> </w:t>
            </w:r>
            <w:r>
              <w:rPr>
                <w:rFonts w:ascii="Times New Roman" w:hAnsi="Times New Roman"/>
                <w:b w:val="false"/>
                <w:color w:val="000000"/>
                <w:sz w:val="16"/>
              </w:rPr>
              <w:t>shares issued at September 30, 2023 and December 31, 2022, respectively; 10,537,725</w:t>
            </w:r>
            <w:r>
              <w:rPr>
                <w:rFonts w:ascii="Times New Roman" w:hAnsi="Times New Roman"/>
                <w:color w:val="000000"/>
                <w:sz w:val="20"/>
              </w:rPr>
              <w:t> </w:t>
            </w:r>
            <w:r>
              <w:rPr>
                <w:rFonts w:ascii="Times New Roman" w:hAnsi="Times New Roman"/>
                <w:b w:val="false"/>
                <w:color w:val="000000"/>
                <w:sz w:val="16"/>
              </w:rPr>
              <w:t>and 10,284,657</w:t>
            </w:r>
            <w:r>
              <w:rPr>
                <w:rFonts w:ascii="Times New Roman" w:hAnsi="Times New Roman"/>
                <w:color w:val="000000"/>
                <w:sz w:val="20"/>
              </w:rPr>
              <w:t> </w:t>
            </w:r>
            <w:r>
              <w:rPr>
                <w:rFonts w:ascii="Times New Roman" w:hAnsi="Times New Roman"/>
                <w:b w:val="false"/>
                <w:color w:val="000000"/>
                <w:sz w:val="16"/>
              </w:rPr>
              <w:t>shares outstanding at September 30,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6"/>
              </w:rPr>
              <w:t>Class V common stock, par value per share $0.0001, 100,000,000</w:t>
            </w:r>
            <w:r>
              <w:rPr>
                <w:rFonts w:ascii="Times New Roman" w:hAnsi="Times New Roman"/>
                <w:color w:val="000000"/>
                <w:sz w:val="20"/>
              </w:rPr>
              <w:t> </w:t>
            </w:r>
            <w:r>
              <w:rPr>
                <w:rFonts w:ascii="Times New Roman" w:hAnsi="Times New Roman"/>
                <w:b w:val="false"/>
                <w:color w:val="000000"/>
                <w:sz w:val="16"/>
              </w:rPr>
              <w:t>shares authorized; 1,514,082</w:t>
            </w:r>
            <w:r>
              <w:rPr>
                <w:rFonts w:ascii="Times New Roman" w:hAnsi="Times New Roman"/>
                <w:color w:val="000000"/>
                <w:sz w:val="20"/>
              </w:rPr>
              <w:t> </w:t>
            </w:r>
            <w:r>
              <w:rPr>
                <w:rFonts w:ascii="Times New Roman" w:hAnsi="Times New Roman"/>
                <w:b w:val="false"/>
                <w:color w:val="000000"/>
                <w:sz w:val="16"/>
              </w:rPr>
              <w:t>shares issued and outstanding at September 30, 2023 and December 31, 2022, respectively;</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512" w:type="dxa"/>
            <w:tcBorders/>
            <w:shd w:fill="B7DEE8" w:val="clear"/>
            <w:vAlign w:val="center"/>
          </w:tcPr>
          <w:p>
            <w:pPr>
              <w:pStyle w:val="TableContents"/>
              <w:bidi w:val="0"/>
              <w:spacing w:before="0" w:after="283"/>
              <w:ind w:left="0" w:right="0" w:firstLine="100"/>
              <w:jc w:val="left"/>
              <w:rPr/>
            </w:pPr>
            <w:r>
              <w:rPr/>
              <w:t> </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290,187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270,037</w:t>
            </w:r>
          </w:p>
        </w:tc>
        <w:tc>
          <w:tcPr>
            <w:tcW w:w="512" w:type="dxa"/>
            <w:tcBorders/>
            <w:shd w:fill="FFFFFF" w:val="clear"/>
            <w:vAlign w:val="center"/>
          </w:tcPr>
          <w:p>
            <w:pPr>
              <w:pStyle w:val="TableContents"/>
              <w:bidi w:val="0"/>
              <w:spacing w:before="0" w:after="283"/>
              <w:ind w:left="0" w:right="0" w:firstLine="100"/>
              <w:jc w:val="left"/>
              <w:rPr/>
            </w:pPr>
            <w:r>
              <w:rPr/>
              <w:t> </w:t>
            </w:r>
          </w:p>
        </w:tc>
      </w:tr>
      <w:tr>
        <w:trPr/>
        <w:tc>
          <w:tcPr>
            <w:tcW w:w="6902" w:type="dxa"/>
            <w:tcBorders/>
            <w:shd w:fill="B7DEE8"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Accumulated other comprehensive loss</w:t>
            </w:r>
          </w:p>
        </w:tc>
        <w:tc>
          <w:tcPr>
            <w:tcW w:w="146" w:type="dxa"/>
            <w:tcBorders/>
            <w:shd w:fill="B7DEE8" w:val="clear"/>
            <w:vAlign w:val="center"/>
          </w:tcPr>
          <w:p>
            <w:pPr>
              <w:pStyle w:val="TableContents"/>
              <w:bidi w:val="0"/>
              <w:spacing w:before="0" w:after="283"/>
              <w:jc w:val="left"/>
              <w:rPr/>
            </w:pPr>
            <w:r>
              <w:rPr/>
              <w:t> </w:t>
            </w:r>
          </w:p>
        </w:tc>
        <w:tc>
          <w:tcPr>
            <w:tcW w:w="254" w:type="dxa"/>
            <w:tcBorders/>
            <w:shd w:fill="B7DEE8" w:val="clear"/>
            <w:vAlign w:val="center"/>
          </w:tcPr>
          <w:p>
            <w:pPr>
              <w:pStyle w:val="TableContents"/>
              <w:bidi w:val="0"/>
              <w:spacing w:before="0" w:after="283"/>
              <w:jc w:val="left"/>
              <w:rPr/>
            </w:pPr>
            <w:r>
              <w:rPr/>
              <w:t> </w:t>
            </w:r>
          </w:p>
        </w:tc>
        <w:tc>
          <w:tcPr>
            <w:tcW w:w="975"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(508</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228" w:type="dxa"/>
            <w:tcBorders/>
            <w:shd w:fill="B7DEE8" w:val="clear"/>
            <w:vAlign w:val="center"/>
          </w:tcPr>
          <w:p>
            <w:pPr>
              <w:pStyle w:val="TableContents"/>
              <w:bidi w:val="0"/>
              <w:spacing w:before="0" w:after="283"/>
              <w:jc w:val="left"/>
              <w:rPr/>
            </w:pPr>
            <w:r>
              <w:rPr/>
              <w:t> </w:t>
            </w:r>
          </w:p>
        </w:tc>
        <w:tc>
          <w:tcPr>
            <w:tcW w:w="8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(1,675</w:t>
            </w:r>
          </w:p>
        </w:tc>
        <w:tc>
          <w:tcPr>
            <w:tcW w:w="51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6902"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Accumulated deficit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(210,499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(161,803</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16"/>
              </w:rPr>
            </w:pPr>
            <w:r>
              <w:rPr>
                <w:rFonts w:ascii="Times New Roman" w:hAnsi="Times New Roman"/>
                <w:b w:val="false"/>
                <w:color w:val="000000"/>
                <w:sz w:val="16"/>
              </w:rPr>
              <w:t>)</w:t>
            </w:r>
          </w:p>
        </w:tc>
      </w:tr>
      <w:tr>
        <w:trPr/>
        <w:tc>
          <w:tcPr>
            <w:tcW w:w="6902" w:type="dxa"/>
            <w:tcBorders/>
            <w:shd w:fill="B7DEE8"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Total stockholders’ equity</w:t>
            </w:r>
          </w:p>
        </w:tc>
        <w:tc>
          <w:tcPr>
            <w:tcW w:w="146" w:type="dxa"/>
            <w:tcBorders/>
            <w:shd w:fill="B7DEE8" w:val="clear"/>
            <w:vAlign w:val="center"/>
          </w:tcPr>
          <w:p>
            <w:pPr>
              <w:pStyle w:val="TableContents"/>
              <w:bidi w:val="0"/>
              <w:spacing w:before="0" w:after="283"/>
              <w:jc w:val="left"/>
              <w:rPr/>
            </w:pPr>
            <w:r>
              <w:rPr/>
              <w:t> </w:t>
            </w:r>
          </w:p>
        </w:tc>
        <w:tc>
          <w:tcPr>
            <w:tcW w:w="25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79,181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106,560</w:t>
            </w:r>
          </w:p>
        </w:tc>
        <w:tc>
          <w:tcPr>
            <w:tcW w:w="512" w:type="dxa"/>
            <w:tcBorders>
              <w:bottom w:val="double" w:sz="6" w:space="0" w:color="000000"/>
            </w:tcBorders>
            <w:shd w:fill="B7DEE8"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02"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6"/>
              </w:rPr>
            </w:pPr>
            <w:r>
              <w:rPr>
                <w:rFonts w:ascii="Times New Roman" w:hAnsi="Times New Roman"/>
                <w:b/>
                <w:color w:val="000000"/>
                <w:sz w:val="16"/>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294,447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321,492</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b/>
          <w:color w:val="000000"/>
          <w:sz w:val="20"/>
        </w:rPr>
      </w:pPr>
      <w:bookmarkStart w:id="5" w:name="balancesheet_daveodfunding"/>
      <w:bookmarkEnd w:id="5"/>
      <w:r>
        <w:rPr>
          <w:rFonts w:ascii="Times New Roman" w:hAnsi="Times New Roman"/>
          <w:b/>
          <w:color w:val="000000"/>
          <w:sz w:val="20"/>
        </w:rPr>
        <w:t>Condensed Consolidated Balance Sheets, Continued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table presents the assets and liabilities of a consolidated variable interest entity (“VIE”), which are included in the condensed consolidated balance sheets above. The assets in the table below may only be used to settle obligations of consolidated VIEs and are in excess of those obligations. All intercompany accounts have been eliminated.</w:t>
      </w:r>
      <w:r>
        <w:rPr>
          <w:rFonts w:ascii="Times New Roman" w:hAnsi="Times New Roman"/>
          <w:color w:val="000000"/>
          <w:sz w:val="20"/>
        </w:rPr>
        <w:t xml:space="preserve"> </w:t>
      </w:r>
    </w:p>
    <w:p>
      <w:pPr>
        <w:pStyle w:val="TextBody"/>
        <w:bidi w:val="0"/>
        <w:jc w:val="left"/>
        <w:rPr/>
      </w:pPr>
      <w:r>
        <w:rPr/>
        <w:t> </w:t>
      </w:r>
    </w:p>
    <w:tbl>
      <w:tblPr>
        <w:tblW w:w="9775" w:type="dxa"/>
        <w:jc w:val="left"/>
        <w:tblInd w:w="0" w:type="dxa"/>
        <w:tblLayout w:type="fixed"/>
        <w:tblCellMar>
          <w:top w:w="28" w:type="dxa"/>
          <w:left w:w="28" w:type="dxa"/>
          <w:bottom w:w="28" w:type="dxa"/>
          <w:right w:w="28" w:type="dxa"/>
        </w:tblCellMar>
      </w:tblPr>
      <w:tblGrid>
        <w:gridCol w:w="4421"/>
        <w:gridCol w:w="146"/>
        <w:gridCol w:w="473"/>
        <w:gridCol w:w="1762"/>
        <w:gridCol w:w="146"/>
        <w:gridCol w:w="146"/>
        <w:gridCol w:w="519"/>
        <w:gridCol w:w="1671"/>
        <w:gridCol w:w="491"/>
      </w:tblGrid>
      <w:tr>
        <w:trPr/>
        <w:tc>
          <w:tcPr>
            <w:tcW w:w="4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35" w:type="dxa"/>
            <w:gridSpan w:val="2"/>
            <w:tcBorders/>
            <w:shd w:fill="FFFFFF" w:val="clear"/>
            <w:vAlign w:val="center"/>
          </w:tcPr>
          <w:p>
            <w:pPr>
              <w:pStyle w:val="TableContents"/>
              <w:bidi w:val="0"/>
              <w:spacing w:before="0" w:after="283"/>
              <w:jc w:val="center"/>
              <w:rPr>
                <w:rFonts w:ascii="Times New Roman" w:hAnsi="Times New Roman"/>
                <w:b w:val="false"/>
                <w:i/>
                <w:color w:val="000000"/>
                <w:sz w:val="20"/>
              </w:rPr>
            </w:pPr>
            <w:r>
              <w:rPr>
                <w:rFonts w:ascii="Times New Roman" w:hAnsi="Times New Roman"/>
                <w:b w:val="false"/>
                <w:i/>
                <w:color w:val="000000"/>
                <w:sz w:val="20"/>
              </w:rPr>
              <w:t>(unaudited)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442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22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90" w:type="dxa"/>
            <w:gridSpan w:val="2"/>
            <w:tcBorders/>
            <w:shd w:fill="B6DEE8" w:val="clear"/>
            <w:vAlign w:val="center"/>
          </w:tcPr>
          <w:p>
            <w:pPr>
              <w:pStyle w:val="TableContents"/>
              <w:bidi w:val="0"/>
              <w:spacing w:before="0" w:after="283"/>
              <w:jc w:val="left"/>
              <w:rPr/>
            </w:pPr>
            <w:r>
              <w:rPr/>
              <w:t> </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12,030</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B6DEE8" w:val="clear"/>
            <w:vAlign w:val="center"/>
          </w:tcPr>
          <w:p>
            <w:pPr>
              <w:pStyle w:val="TableContents"/>
              <w:bidi w:val="0"/>
              <w:spacing w:before="0" w:after="283"/>
              <w:jc w:val="left"/>
              <w:rPr/>
            </w:pPr>
            <w:r>
              <w:rPr/>
              <w:t> </w:t>
            </w:r>
          </w:p>
        </w:tc>
        <w:tc>
          <w:tcPr>
            <w:tcW w:w="473" w:type="dxa"/>
            <w:tcBorders/>
            <w:shd w:fill="B6DEE8" w:val="clear"/>
            <w:vAlign w:val="center"/>
          </w:tcPr>
          <w:p>
            <w:pPr>
              <w:pStyle w:val="TableContents"/>
              <w:bidi w:val="0"/>
              <w:spacing w:before="0" w:after="283"/>
              <w:jc w:val="left"/>
              <w:rPr/>
            </w:pPr>
            <w:r>
              <w:rPr/>
              <w:t> </w:t>
            </w:r>
          </w:p>
        </w:tc>
        <w:tc>
          <w:tcPr>
            <w:tcW w:w="176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26,305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19" w:type="dxa"/>
            <w:tcBorders/>
            <w:shd w:fill="B6DEE8" w:val="clear"/>
            <w:vAlign w:val="center"/>
          </w:tcPr>
          <w:p>
            <w:pPr>
              <w:pStyle w:val="TableContents"/>
              <w:bidi w:val="0"/>
              <w:spacing w:before="0" w:after="283"/>
              <w:jc w:val="left"/>
              <w:rPr/>
            </w:pPr>
            <w:r>
              <w:rPr/>
              <w:t> </w:t>
            </w:r>
          </w:p>
        </w:tc>
        <w:tc>
          <w:tcPr>
            <w:tcW w:w="167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Member advances, net of allowance for credit losses</w:t>
            </w:r>
          </w:p>
        </w:tc>
        <w:tc>
          <w:tcPr>
            <w:tcW w:w="146" w:type="dxa"/>
            <w:tcBorders/>
            <w:shd w:fill="FFFFFF" w:val="clear"/>
            <w:vAlign w:val="center"/>
          </w:tcPr>
          <w:p>
            <w:pPr>
              <w:pStyle w:val="TableContents"/>
              <w:bidi w:val="0"/>
              <w:spacing w:before="0" w:after="283"/>
              <w:jc w:val="left"/>
              <w:rPr/>
            </w:pPr>
            <w:r>
              <w:rPr/>
              <w:t> </w:t>
            </w:r>
          </w:p>
        </w:tc>
        <w:tc>
          <w:tcPr>
            <w:tcW w:w="473" w:type="dxa"/>
            <w:tcBorders/>
            <w:shd w:fill="FFFFFF" w:val="clear"/>
            <w:vAlign w:val="center"/>
          </w:tcPr>
          <w:p>
            <w:pPr>
              <w:pStyle w:val="TableContents"/>
              <w:bidi w:val="0"/>
              <w:spacing w:before="0" w:after="283"/>
              <w:jc w:val="left"/>
              <w:rPr/>
            </w:pPr>
            <w:r>
              <w:rPr/>
              <w:t> </w:t>
            </w:r>
          </w:p>
        </w:tc>
        <w:tc>
          <w:tcPr>
            <w:tcW w:w="1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16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71,545</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Debt facility commitment fee, current</w:t>
            </w:r>
          </w:p>
        </w:tc>
        <w:tc>
          <w:tcPr>
            <w:tcW w:w="146" w:type="dxa"/>
            <w:tcBorders/>
            <w:shd w:fill="B6DEE8" w:val="clear"/>
            <w:vAlign w:val="center"/>
          </w:tcPr>
          <w:p>
            <w:pPr>
              <w:pStyle w:val="TableContents"/>
              <w:bidi w:val="0"/>
              <w:spacing w:before="0" w:after="283"/>
              <w:jc w:val="left"/>
              <w:rPr/>
            </w:pPr>
            <w:r>
              <w:rPr/>
              <w:t> </w:t>
            </w:r>
          </w:p>
        </w:tc>
        <w:tc>
          <w:tcPr>
            <w:tcW w:w="473" w:type="dxa"/>
            <w:tcBorders/>
            <w:shd w:fill="B6DEE8" w:val="clear"/>
            <w:vAlign w:val="center"/>
          </w:tcPr>
          <w:p>
            <w:pPr>
              <w:pStyle w:val="TableContents"/>
              <w:bidi w:val="0"/>
              <w:spacing w:before="0" w:after="283"/>
              <w:jc w:val="left"/>
              <w:rPr/>
            </w:pPr>
            <w:r>
              <w:rPr/>
              <w:t> </w:t>
            </w:r>
          </w:p>
        </w:tc>
        <w:tc>
          <w:tcPr>
            <w:tcW w:w="176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19" w:type="dxa"/>
            <w:tcBorders/>
            <w:shd w:fill="B6DEE8" w:val="clear"/>
            <w:vAlign w:val="center"/>
          </w:tcPr>
          <w:p>
            <w:pPr>
              <w:pStyle w:val="TableContents"/>
              <w:bidi w:val="0"/>
              <w:spacing w:before="0" w:after="283"/>
              <w:jc w:val="left"/>
              <w:rPr/>
            </w:pPr>
            <w:r>
              <w:rPr/>
              <w:t> </w:t>
            </w:r>
          </w:p>
        </w:tc>
        <w:tc>
          <w:tcPr>
            <w:tcW w:w="167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Debt facility commitment fee, long-term</w:t>
            </w:r>
          </w:p>
        </w:tc>
        <w:tc>
          <w:tcPr>
            <w:tcW w:w="146" w:type="dxa"/>
            <w:tcBorders/>
            <w:shd w:fill="FFFFFF" w:val="cle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1" w:type="dxa"/>
            <w:tcBorders/>
            <w:shd w:fill="B6DEE8"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B6DEE8" w:val="clear"/>
            <w:vAlign w:val="center"/>
          </w:tcPr>
          <w:p>
            <w:pPr>
              <w:pStyle w:val="TableContents"/>
              <w:bidi w:val="0"/>
              <w:spacing w:before="0" w:after="283"/>
              <w:jc w:val="left"/>
              <w:rPr/>
            </w:pPr>
            <w:r>
              <w:rPr/>
              <w:t> </w:t>
            </w:r>
          </w:p>
        </w:tc>
        <w:tc>
          <w:tcPr>
            <w:tcW w:w="47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146,858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83,712</w:t>
            </w:r>
          </w:p>
        </w:tc>
        <w:tc>
          <w:tcPr>
            <w:tcW w:w="4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42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22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0"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00"/>
              <w:jc w:val="left"/>
              <w:rPr/>
            </w:pPr>
            <w:r>
              <w:rPr/>
              <w:t> </w:t>
            </w:r>
          </w:p>
        </w:tc>
      </w:tr>
      <w:tr>
        <w:trPr/>
        <w:tc>
          <w:tcPr>
            <w:tcW w:w="4421" w:type="dxa"/>
            <w:tcBorders/>
            <w:shd w:fill="B6DEE8"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B6DEE8" w:val="clear"/>
            <w:vAlign w:val="center"/>
          </w:tcPr>
          <w:p>
            <w:pPr>
              <w:pStyle w:val="TableContents"/>
              <w:bidi w:val="0"/>
              <w:spacing w:before="0" w:after="283"/>
              <w:jc w:val="left"/>
              <w:rPr/>
            </w:pPr>
            <w:r>
              <w:rPr/>
              <w:t> </w:t>
            </w:r>
          </w:p>
        </w:tc>
        <w:tc>
          <w:tcPr>
            <w:tcW w:w="473" w:type="dxa"/>
            <w:tcBorders/>
            <w:shd w:fill="B6DEE8" w:val="clear"/>
            <w:vAlign w:val="center"/>
          </w:tcPr>
          <w:p>
            <w:pPr>
              <w:pStyle w:val="TableContents"/>
              <w:bidi w:val="0"/>
              <w:spacing w:before="0" w:after="283"/>
              <w:jc w:val="left"/>
              <w:rPr/>
            </w:pPr>
            <w:r>
              <w:rPr/>
              <w:t> </w:t>
            </w:r>
          </w:p>
        </w:tc>
        <w:tc>
          <w:tcPr>
            <w:tcW w:w="176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19" w:type="dxa"/>
            <w:tcBorders/>
            <w:shd w:fill="B6DEE8" w:val="clear"/>
            <w:vAlign w:val="center"/>
          </w:tcPr>
          <w:p>
            <w:pPr>
              <w:pStyle w:val="TableContents"/>
              <w:bidi w:val="0"/>
              <w:spacing w:before="0" w:after="283"/>
              <w:jc w:val="left"/>
              <w:rPr/>
            </w:pPr>
            <w:r>
              <w:rPr/>
              <w:t> </w:t>
            </w:r>
          </w:p>
        </w:tc>
        <w:tc>
          <w:tcPr>
            <w:tcW w:w="167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531</w:t>
            </w:r>
          </w:p>
        </w:tc>
        <w:tc>
          <w:tcPr>
            <w:tcW w:w="491" w:type="dxa"/>
            <w:tcBorders/>
            <w:shd w:fill="B6DEE8" w:val="clear"/>
            <w:vAlign w:val="center"/>
          </w:tcPr>
          <w:p>
            <w:pPr>
              <w:pStyle w:val="TableContents"/>
              <w:bidi w:val="0"/>
              <w:spacing w:before="0" w:after="283"/>
              <w:ind w:left="0" w:right="0" w:firstLine="100"/>
              <w:jc w:val="left"/>
              <w:rPr/>
            </w:pPr>
            <w:r>
              <w:rPr/>
              <w:t> </w:t>
            </w:r>
          </w:p>
        </w:tc>
      </w:tr>
      <w:tr>
        <w:trPr/>
        <w:tc>
          <w:tcPr>
            <w:tcW w:w="442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Long-term debt facility</w:t>
            </w:r>
          </w:p>
        </w:tc>
        <w:tc>
          <w:tcPr>
            <w:tcW w:w="146" w:type="dxa"/>
            <w:tcBorders/>
            <w:shd w:fill="FFFFFF" w:val="cle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421" w:type="dxa"/>
            <w:tcBorders/>
            <w:shd w:fill="B6DEE8" w:val="clear"/>
            <w:vAlign w:val="center"/>
          </w:tcPr>
          <w:p>
            <w:pPr>
              <w:pStyle w:val="TableContents"/>
              <w:bidi w:val="0"/>
              <w:spacing w:before="0" w:after="283"/>
              <w:ind w:left="300" w:right="0" w:firstLine="3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47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75,748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1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75,531</w:t>
            </w:r>
          </w:p>
        </w:tc>
        <w:tc>
          <w:tcPr>
            <w:tcW w:w="4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spacing w:before="7" w:after="283"/>
        <w:jc w:val="center"/>
        <w:rPr>
          <w:rFonts w:ascii="Times New Roman" w:hAnsi="Times New Roman"/>
          <w:b/>
          <w:color w:val="000000"/>
          <w:sz w:val="20"/>
        </w:rPr>
      </w:pPr>
      <w:bookmarkStart w:id="6" w:name="statementsofoperatrions"/>
      <w:bookmarkEnd w:id="6"/>
      <w:r>
        <w:rPr>
          <w:rFonts w:ascii="Times New Roman" w:hAnsi="Times New Roman"/>
          <w:b/>
          <w:color w:val="000000"/>
          <w:sz w:val="20"/>
        </w:rPr>
        <w:t>Condensed Consolidated Statements of Operations</w:t>
      </w:r>
    </w:p>
    <w:p>
      <w:pPr>
        <w:pStyle w:val="TextBody"/>
        <w:bidi w:val="0"/>
        <w:spacing w:before="12" w:after="283"/>
        <w:jc w:val="center"/>
        <w:rPr>
          <w:rFonts w:ascii="Times New Roman" w:hAnsi="Times New Roman"/>
          <w:b w:val="false"/>
          <w:i/>
          <w:color w:val="000000"/>
          <w:sz w:val="20"/>
        </w:rPr>
      </w:pPr>
      <w:r>
        <w:rPr>
          <w:rFonts w:ascii="Times New Roman" w:hAnsi="Times New Roman"/>
          <w:b w:val="false"/>
          <w:i/>
          <w:color w:val="000000"/>
          <w:sz w:val="20"/>
        </w:rPr>
        <w:t>(in thousands; except share data)</w:t>
      </w:r>
    </w:p>
    <w:p>
      <w:pPr>
        <w:pStyle w:val="TextBody"/>
        <w:bidi w:val="0"/>
        <w:spacing w:before="12" w:after="283"/>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spacing w:before="12"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3062"/>
        <w:gridCol w:w="246"/>
        <w:gridCol w:w="237"/>
        <w:gridCol w:w="1166"/>
        <w:gridCol w:w="186"/>
        <w:gridCol w:w="164"/>
        <w:gridCol w:w="237"/>
        <w:gridCol w:w="1166"/>
        <w:gridCol w:w="166"/>
        <w:gridCol w:w="146"/>
        <w:gridCol w:w="234"/>
        <w:gridCol w:w="1150"/>
        <w:gridCol w:w="184"/>
        <w:gridCol w:w="161"/>
        <w:gridCol w:w="234"/>
        <w:gridCol w:w="1150"/>
        <w:gridCol w:w="316"/>
      </w:tblGrid>
      <w:tr>
        <w:trPr/>
        <w:tc>
          <w:tcPr>
            <w:tcW w:w="30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6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3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14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2"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revenues:</w:t>
            </w:r>
          </w:p>
        </w:tc>
        <w:tc>
          <w:tcPr>
            <w:tcW w:w="246"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left"/>
              <w:rPr/>
            </w:pPr>
            <w:r>
              <w:rPr/>
              <w:t> </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84" w:type="dxa"/>
            <w:gridSpan w:val="2"/>
            <w:tcBorders/>
            <w:shd w:fill="B7DEE8" w:val="clear"/>
            <w:vAlign w:val="center"/>
          </w:tcPr>
          <w:p>
            <w:pPr>
              <w:pStyle w:val="TableContents"/>
              <w:bidi w:val="0"/>
              <w:spacing w:before="0" w:after="283"/>
              <w:jc w:val="left"/>
              <w:rPr/>
            </w:pPr>
            <w:r>
              <w:rPr/>
              <w:t> </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1384" w:type="dxa"/>
            <w:gridSpan w:val="2"/>
            <w:tcBorders/>
            <w:shd w:fill="B7DEE8" w:val="clear"/>
            <w:vAlign w:val="center"/>
          </w:tcPr>
          <w:p>
            <w:pPr>
              <w:pStyle w:val="TableContents"/>
              <w:bidi w:val="0"/>
              <w:spacing w:before="0" w:after="283"/>
              <w:jc w:val="left"/>
              <w:rPr/>
            </w:pPr>
            <w:r>
              <w:rPr/>
              <w:t> </w:t>
            </w:r>
          </w:p>
        </w:tc>
        <w:tc>
          <w:tcPr>
            <w:tcW w:w="316" w:type="dxa"/>
            <w:tcBorders/>
            <w:shd w:fill="B7DEE8" w:val="clear"/>
            <w:vAlign w:val="center"/>
          </w:tcPr>
          <w:p>
            <w:pPr>
              <w:pStyle w:val="TableContents"/>
              <w:bidi w:val="0"/>
              <w:spacing w:before="0" w:after="283"/>
              <w:ind w:left="0" w:right="0" w:firstLine="100"/>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Service based revenue,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59,179</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166,740</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135,054</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Transaction based revenue, net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6,632</w:t>
            </w:r>
          </w:p>
        </w:tc>
        <w:tc>
          <w:tcPr>
            <w:tcW w:w="1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19,234</w:t>
            </w:r>
          </w:p>
        </w:tc>
        <w:tc>
          <w:tcPr>
            <w:tcW w:w="18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10,109</w:t>
            </w:r>
          </w:p>
        </w:tc>
        <w:tc>
          <w:tcPr>
            <w:tcW w:w="3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revenues,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65,811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185,974</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145,163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2"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left"/>
              <w:rPr/>
            </w:pPr>
            <w:r>
              <w:rPr/>
              <w:t> </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84" w:type="dxa"/>
            <w:gridSpan w:val="2"/>
            <w:tcBorders/>
            <w:shd w:fill="B7DEE8" w:val="clear"/>
            <w:vAlign w:val="center"/>
          </w:tcPr>
          <w:p>
            <w:pPr>
              <w:pStyle w:val="TableContents"/>
              <w:bidi w:val="0"/>
              <w:spacing w:before="0" w:after="283"/>
              <w:jc w:val="left"/>
              <w:rPr/>
            </w:pPr>
            <w:r>
              <w:rPr/>
              <w:t> </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1384" w:type="dxa"/>
            <w:gridSpan w:val="2"/>
            <w:tcBorders/>
            <w:shd w:fill="B7DEE8" w:val="clear"/>
            <w:vAlign w:val="center"/>
          </w:tcPr>
          <w:p>
            <w:pPr>
              <w:pStyle w:val="TableContents"/>
              <w:bidi w:val="0"/>
              <w:spacing w:before="0" w:after="283"/>
              <w:jc w:val="left"/>
              <w:rPr/>
            </w:pPr>
            <w:r>
              <w:rPr/>
              <w:t> </w:t>
            </w:r>
          </w:p>
        </w:tc>
        <w:tc>
          <w:tcPr>
            <w:tcW w:w="316" w:type="dxa"/>
            <w:tcBorders/>
            <w:shd w:fill="B7DEE8" w:val="clear"/>
            <w:vAlign w:val="center"/>
          </w:tcPr>
          <w:p>
            <w:pPr>
              <w:pStyle w:val="TableContents"/>
              <w:bidi w:val="0"/>
              <w:spacing w:before="0" w:after="283"/>
              <w:ind w:left="0" w:right="0" w:firstLine="100"/>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15,983</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43,861</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45,995</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Processing and servicing costs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7,064</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9,494</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21,414</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23,627</w:t>
            </w:r>
          </w:p>
        </w:tc>
        <w:tc>
          <w:tcPr>
            <w:tcW w:w="316" w:type="dxa"/>
            <w:tcBorders/>
            <w:shd w:fill="B7DEE8" w:val="clear"/>
            <w:vAlign w:val="center"/>
          </w:tcPr>
          <w:p>
            <w:pPr>
              <w:pStyle w:val="TableContents"/>
              <w:bidi w:val="0"/>
              <w:spacing w:before="0" w:after="283"/>
              <w:ind w:left="0" w:right="0" w:firstLine="100"/>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Advertising and marketing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13,914</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38,370</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57,087</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Compensation and benefits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23,081</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24,294</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71,380</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81,326</w:t>
            </w:r>
          </w:p>
        </w:tc>
        <w:tc>
          <w:tcPr>
            <w:tcW w:w="316" w:type="dxa"/>
            <w:tcBorders/>
            <w:shd w:fill="B7DEE8" w:val="clear"/>
            <w:vAlign w:val="center"/>
          </w:tcPr>
          <w:p>
            <w:pPr>
              <w:pStyle w:val="TableContents"/>
              <w:bidi w:val="0"/>
              <w:spacing w:before="0" w:after="283"/>
              <w:ind w:left="0" w:right="0" w:firstLine="100"/>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operating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54,922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50,738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76,385</w:t>
            </w:r>
          </w:p>
        </w:tc>
        <w:tc>
          <w:tcPr>
            <w:tcW w:w="1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94,729</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229,947</w:t>
            </w:r>
          </w:p>
        </w:tc>
        <w:tc>
          <w:tcPr>
            <w:tcW w:w="18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258,773</w:t>
            </w:r>
          </w:p>
        </w:tc>
        <w:tc>
          <w:tcPr>
            <w:tcW w:w="3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0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expenses:</w:t>
            </w:r>
          </w:p>
        </w:tc>
        <w:tc>
          <w:tcPr>
            <w:tcW w:w="246" w:type="dxa"/>
            <w:tcBorders/>
            <w:shd w:fill="FFFFFF" w:val="clear"/>
            <w:vAlign w:val="center"/>
          </w:tcPr>
          <w:p>
            <w:pPr>
              <w:pStyle w:val="TableContents"/>
              <w:bidi w:val="0"/>
              <w:spacing w:before="0" w:after="283"/>
              <w:jc w:val="left"/>
              <w:rPr/>
            </w:pPr>
            <w:r>
              <w:rPr/>
              <w:t> </w:t>
            </w:r>
          </w:p>
        </w:tc>
        <w:tc>
          <w:tcPr>
            <w:tcW w:w="1403" w:type="dxa"/>
            <w:gridSpan w:val="2"/>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0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income</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18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(4,009</w:t>
            </w:r>
          </w:p>
        </w:tc>
        <w:tc>
          <w:tcPr>
            <w:tcW w:w="184"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w:t>
            </w:r>
          </w:p>
        </w:tc>
        <w:tc>
          <w:tcPr>
            <w:tcW w:w="316"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3,057</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8,982</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6,246</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Legal settlement and litigation expenses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316" w:type="dxa"/>
            <w:tcBorders/>
            <w:shd w:fill="B7DEE8" w:val="clear"/>
            <w:vAlign w:val="center"/>
          </w:tcPr>
          <w:p>
            <w:pPr>
              <w:pStyle w:val="TableContents"/>
              <w:bidi w:val="0"/>
              <w:spacing w:before="0" w:after="283"/>
              <w:ind w:left="0" w:right="0" w:firstLine="100"/>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Other strategic financing and transactional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5,040</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Changes in fair value of earnout liabilities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84"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(9,616</w:t>
            </w:r>
          </w:p>
        </w:tc>
        <w:tc>
          <w:tcPr>
            <w:tcW w:w="316"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Gain on extinguishment of liability</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w:t>
            </w:r>
          </w:p>
        </w:tc>
        <w:tc>
          <w:tcPr>
            <w:tcW w:w="3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Changes in fair value of derivative asset on loans to stockholders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w:t>
            </w:r>
          </w:p>
        </w:tc>
        <w:tc>
          <w:tcPr>
            <w:tcW w:w="316" w:type="dxa"/>
            <w:tcBorders/>
            <w:shd w:fill="B7DEE8" w:val="clear"/>
            <w:vAlign w:val="center"/>
          </w:tcPr>
          <w:p>
            <w:pPr>
              <w:pStyle w:val="TableContents"/>
              <w:bidi w:val="0"/>
              <w:spacing w:before="0" w:after="283"/>
              <w:ind w:left="0" w:right="0" w:firstLine="100"/>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Changes in fair value of public and private warrant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expense (income), net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w:t>
            </w:r>
          </w:p>
        </w:tc>
        <w:tc>
          <w:tcPr>
            <w:tcW w:w="1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9,556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4,699</w:t>
            </w:r>
          </w:p>
        </w:tc>
        <w:tc>
          <w:tcPr>
            <w:tcW w:w="18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(6,266</w:t>
            </w:r>
          </w:p>
        </w:tc>
        <w:tc>
          <w:tcPr>
            <w:tcW w:w="3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provision for income taxes</w:t>
            </w:r>
          </w:p>
        </w:tc>
        <w:tc>
          <w:tcPr>
            <w:tcW w:w="2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(12,044</w:t>
            </w:r>
          </w:p>
        </w:tc>
        <w:tc>
          <w:tcPr>
            <w:tcW w:w="1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shd w:fill="FFFFFF" w:val="clear"/>
            <w:vAlign w:val="center"/>
          </w:tcPr>
          <w:p>
            <w:pPr>
              <w:pStyle w:val="TableContents"/>
              <w:bidi w:val="0"/>
              <w:spacing w:before="0" w:after="283"/>
              <w:jc w:val="center"/>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(47,478</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(48,672</w:t>
            </w:r>
          </w:p>
        </w:tc>
        <w:tc>
          <w:tcPr>
            <w:tcW w:w="1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shd w:fill="FFFFFF" w:val="cle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(107,344</w:t>
            </w:r>
          </w:p>
        </w:tc>
        <w:tc>
          <w:tcPr>
            <w:tcW w:w="316"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062"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8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8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31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062"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(12,053</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(48,696</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(107,414</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62" w:type="dxa"/>
            <w:tcBorders/>
            <w:shd w:fill="B7DEE8" w:val="clear"/>
            <w:vAlign w:val="center"/>
          </w:tcPr>
          <w:p>
            <w:pPr>
              <w:pStyle w:val="TableContents"/>
              <w:bidi w:val="0"/>
              <w:spacing w:before="0" w:after="283"/>
              <w:jc w:val="left"/>
              <w:rPr/>
            </w:pPr>
            <w:r>
              <w:rPr/>
              <w:t> </w:t>
            </w:r>
          </w:p>
        </w:tc>
        <w:tc>
          <w:tcPr>
            <w:tcW w:w="246"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center"/>
              <w:rPr/>
            </w:pPr>
            <w:r>
              <w:rPr/>
              <w:t> </w:t>
            </w:r>
          </w:p>
        </w:tc>
        <w:tc>
          <w:tcPr>
            <w:tcW w:w="186" w:type="dxa"/>
            <w:tcBorders/>
            <w:shd w:fill="B7DEE8" w:val="clear"/>
            <w:vAlign w:val="center"/>
          </w:tcPr>
          <w:p>
            <w:pPr>
              <w:pStyle w:val="TableContents"/>
              <w:bidi w:val="0"/>
              <w:spacing w:before="0" w:after="283"/>
              <w:jc w:val="center"/>
              <w:rPr/>
            </w:pPr>
            <w:r>
              <w:rPr/>
              <w:t> </w:t>
            </w:r>
          </w:p>
        </w:tc>
        <w:tc>
          <w:tcPr>
            <w:tcW w:w="164" w:type="dxa"/>
            <w:tcBorders/>
            <w:shd w:fill="B7DEE8" w:val="clear"/>
            <w:vAlign w:val="center"/>
          </w:tcPr>
          <w:p>
            <w:pPr>
              <w:pStyle w:val="TableContents"/>
              <w:bidi w:val="0"/>
              <w:spacing w:before="0" w:after="283"/>
              <w:jc w:val="center"/>
              <w:rPr/>
            </w:pPr>
            <w:r>
              <w:rPr/>
              <w:t> </w:t>
            </w:r>
          </w:p>
        </w:tc>
        <w:tc>
          <w:tcPr>
            <w:tcW w:w="1403" w:type="dxa"/>
            <w:gridSpan w:val="2"/>
            <w:tcBorders/>
            <w:shd w:fill="B7DEE8" w:val="clear"/>
            <w:vAlign w:val="center"/>
          </w:tcPr>
          <w:p>
            <w:pPr>
              <w:pStyle w:val="TableContents"/>
              <w:bidi w:val="0"/>
              <w:spacing w:before="0" w:after="283"/>
              <w:jc w:val="center"/>
              <w:rPr/>
            </w:pPr>
            <w:r>
              <w:rPr/>
              <w:t> </w:t>
            </w:r>
          </w:p>
        </w:tc>
        <w:tc>
          <w:tcPr>
            <w:tcW w:w="166" w:type="dxa"/>
            <w:tcBorders/>
            <w:shd w:fill="B7DEE8" w:val="clear"/>
            <w:vAlign w:val="center"/>
          </w:tcPr>
          <w:p>
            <w:pPr>
              <w:pStyle w:val="TableContents"/>
              <w:bidi w:val="0"/>
              <w:spacing w:before="0" w:after="283"/>
              <w:jc w:val="center"/>
              <w:rPr/>
            </w:pPr>
            <w:r>
              <w:rPr/>
              <w:t> </w:t>
            </w:r>
          </w:p>
        </w:tc>
        <w:tc>
          <w:tcPr>
            <w:tcW w:w="146" w:type="dxa"/>
            <w:tcBorders/>
            <w:shd w:fill="B7DEE8" w:val="clear"/>
            <w:vAlign w:val="center"/>
          </w:tcPr>
          <w:p>
            <w:pPr>
              <w:pStyle w:val="TableContents"/>
              <w:bidi w:val="0"/>
              <w:spacing w:before="0" w:after="283"/>
              <w:jc w:val="center"/>
              <w:rPr/>
            </w:pPr>
            <w:r>
              <w:rPr/>
              <w:t> </w:t>
            </w:r>
          </w:p>
        </w:tc>
        <w:tc>
          <w:tcPr>
            <w:tcW w:w="1384" w:type="dxa"/>
            <w:gridSpan w:val="2"/>
            <w:tcBorders/>
            <w:shd w:fill="B7DEE8" w:val="clear"/>
            <w:vAlign w:val="center"/>
          </w:tcPr>
          <w:p>
            <w:pPr>
              <w:pStyle w:val="TableContents"/>
              <w:bidi w:val="0"/>
              <w:spacing w:before="0" w:after="283"/>
              <w:jc w:val="center"/>
              <w:rPr/>
            </w:pPr>
            <w:r>
              <w:rPr/>
              <w:t> </w:t>
            </w:r>
          </w:p>
        </w:tc>
        <w:tc>
          <w:tcPr>
            <w:tcW w:w="184" w:type="dxa"/>
            <w:tcBorders/>
            <w:shd w:fill="B7DEE8" w:val="clear"/>
            <w:vAlign w:val="center"/>
          </w:tcPr>
          <w:p>
            <w:pPr>
              <w:pStyle w:val="TableContents"/>
              <w:bidi w:val="0"/>
              <w:spacing w:before="0" w:after="283"/>
              <w:jc w:val="center"/>
              <w:rPr/>
            </w:pPr>
            <w:r>
              <w:rPr/>
              <w:t> </w:t>
            </w:r>
          </w:p>
        </w:tc>
        <w:tc>
          <w:tcPr>
            <w:tcW w:w="161" w:type="dxa"/>
            <w:tcBorders/>
            <w:shd w:fill="B7DEE8" w:val="clear"/>
            <w:vAlign w:val="center"/>
          </w:tcPr>
          <w:p>
            <w:pPr>
              <w:pStyle w:val="TableContents"/>
              <w:bidi w:val="0"/>
              <w:spacing w:before="0" w:after="283"/>
              <w:jc w:val="center"/>
              <w:rPr/>
            </w:pPr>
            <w:r>
              <w:rPr/>
              <w:t> </w:t>
            </w:r>
          </w:p>
        </w:tc>
        <w:tc>
          <w:tcPr>
            <w:tcW w:w="1384" w:type="dxa"/>
            <w:gridSpan w:val="2"/>
            <w:tcBorders/>
            <w:shd w:fill="B7DEE8" w:val="clear"/>
            <w:vAlign w:val="center"/>
          </w:tcPr>
          <w:p>
            <w:pPr>
              <w:pStyle w:val="TableContents"/>
              <w:bidi w:val="0"/>
              <w:spacing w:before="0" w:after="283"/>
              <w:jc w:val="center"/>
              <w:rPr/>
            </w:pPr>
            <w:r>
              <w:rPr/>
              <w:t> </w:t>
            </w:r>
          </w:p>
        </w:tc>
        <w:tc>
          <w:tcPr>
            <w:tcW w:w="316" w:type="dxa"/>
            <w:tcBorders/>
            <w:shd w:fill="B7DEE8" w:val="clear"/>
            <w:vAlign w:val="center"/>
          </w:tcPr>
          <w:p>
            <w:pPr>
              <w:pStyle w:val="TableContents"/>
              <w:bidi w:val="0"/>
              <w:spacing w:before="0" w:after="283"/>
              <w:jc w:val="center"/>
              <w:rPr/>
            </w:pPr>
            <w:r>
              <w:rPr/>
              <w:t> </w:t>
            </w:r>
          </w:p>
        </w:tc>
      </w:tr>
      <w:tr>
        <w:trPr/>
        <w:tc>
          <w:tcPr>
            <w:tcW w:w="306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w:t>
            </w:r>
          </w:p>
        </w:tc>
        <w:tc>
          <w:tcPr>
            <w:tcW w:w="246" w:type="dxa"/>
            <w:tcBorders/>
            <w:shd w:fill="FFFFFF" w:val="clear"/>
            <w:vAlign w:val="center"/>
          </w:tcPr>
          <w:p>
            <w:pPr>
              <w:pStyle w:val="TableContents"/>
              <w:bidi w:val="0"/>
              <w:spacing w:before="0" w:after="283"/>
              <w:jc w:val="left"/>
              <w:rPr/>
            </w:pPr>
            <w:r>
              <w:rPr/>
              <w:t> </w:t>
            </w:r>
          </w:p>
        </w:tc>
        <w:tc>
          <w:tcPr>
            <w:tcW w:w="1403" w:type="dxa"/>
            <w:gridSpan w:val="2"/>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40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384"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3062"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Basic</w:t>
            </w:r>
          </w:p>
        </w:tc>
        <w:tc>
          <w:tcPr>
            <w:tcW w:w="246"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8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84"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31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2"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Diluted</w:t>
            </w:r>
          </w:p>
        </w:tc>
        <w:tc>
          <w:tcPr>
            <w:tcW w:w="2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8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062"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shares used to compute net loss per share</w:t>
            </w:r>
          </w:p>
        </w:tc>
        <w:tc>
          <w:tcPr>
            <w:tcW w:w="246"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left"/>
              <w:rPr/>
            </w:pPr>
            <w:r>
              <w:rPr/>
              <w:t> </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1403"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84" w:type="dxa"/>
            <w:gridSpan w:val="2"/>
            <w:tcBorders/>
            <w:shd w:fill="B7DEE8" w:val="clear"/>
            <w:vAlign w:val="center"/>
          </w:tcPr>
          <w:p>
            <w:pPr>
              <w:pStyle w:val="TableContents"/>
              <w:bidi w:val="0"/>
              <w:spacing w:before="0" w:after="283"/>
              <w:jc w:val="left"/>
              <w:rPr/>
            </w:pPr>
            <w:r>
              <w:rPr/>
              <w:t> </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1384" w:type="dxa"/>
            <w:gridSpan w:val="2"/>
            <w:tcBorders/>
            <w:shd w:fill="B7DEE8" w:val="clear"/>
            <w:vAlign w:val="center"/>
          </w:tcPr>
          <w:p>
            <w:pPr>
              <w:pStyle w:val="TableContents"/>
              <w:bidi w:val="0"/>
              <w:spacing w:before="0" w:after="283"/>
              <w:jc w:val="left"/>
              <w:rPr/>
            </w:pPr>
            <w:r>
              <w:rPr/>
              <w:t> </w:t>
            </w:r>
          </w:p>
        </w:tc>
        <w:tc>
          <w:tcPr>
            <w:tcW w:w="316" w:type="dxa"/>
            <w:tcBorders/>
            <w:shd w:fill="B7DEE8" w:val="clear"/>
            <w:vAlign w:val="center"/>
          </w:tcPr>
          <w:p>
            <w:pPr>
              <w:pStyle w:val="TableContents"/>
              <w:bidi w:val="0"/>
              <w:spacing w:before="0" w:after="283"/>
              <w:jc w:val="left"/>
              <w:rPr/>
            </w:pPr>
            <w:r>
              <w:rPr/>
              <w:t> </w:t>
            </w:r>
          </w:p>
        </w:tc>
      </w:tr>
      <w:tr>
        <w:trPr/>
        <w:tc>
          <w:tcPr>
            <w:tcW w:w="3062"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Basic</w:t>
            </w:r>
          </w:p>
        </w:tc>
        <w:tc>
          <w:tcPr>
            <w:tcW w:w="2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11,960,078</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11,702,147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11,887,199</w:t>
            </w:r>
          </w:p>
        </w:tc>
        <w:tc>
          <w:tcPr>
            <w:tcW w:w="184"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150" w:type="dxa"/>
            <w:tcBorders/>
            <w:shd w:fill="FFFFFF"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11,525,164</w:t>
            </w:r>
          </w:p>
        </w:tc>
        <w:tc>
          <w:tcPr>
            <w:tcW w:w="316" w:type="dxa"/>
            <w:tcBorders/>
            <w:shd w:fill="FFFFFF" w:val="clear"/>
            <w:vAlign w:val="center"/>
          </w:tcPr>
          <w:p>
            <w:pPr>
              <w:pStyle w:val="TableContents"/>
              <w:bidi w:val="0"/>
              <w:spacing w:before="0" w:after="283"/>
              <w:jc w:val="left"/>
              <w:rPr/>
            </w:pPr>
            <w:r>
              <w:rPr/>
              <w:t> </w:t>
            </w:r>
          </w:p>
        </w:tc>
      </w:tr>
      <w:tr>
        <w:trPr/>
        <w:tc>
          <w:tcPr>
            <w:tcW w:w="3062" w:type="dxa"/>
            <w:tcBorders/>
            <w:shd w:fill="B7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Diluted</w:t>
            </w:r>
          </w:p>
        </w:tc>
        <w:tc>
          <w:tcPr>
            <w:tcW w:w="246"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11,960,078</w:t>
            </w:r>
          </w:p>
        </w:tc>
        <w:tc>
          <w:tcPr>
            <w:tcW w:w="186" w:type="dxa"/>
            <w:tcBorders/>
            <w:shd w:fill="B7DEE8" w:val="clear"/>
            <w:vAlign w:val="center"/>
          </w:tcPr>
          <w:p>
            <w:pPr>
              <w:pStyle w:val="TableContents"/>
              <w:bidi w:val="0"/>
              <w:spacing w:before="0" w:after="283"/>
              <w:jc w:val="left"/>
              <w:rPr/>
            </w:pPr>
            <w:r>
              <w:rPr/>
              <w:t> </w:t>
            </w:r>
          </w:p>
        </w:tc>
        <w:tc>
          <w:tcPr>
            <w:tcW w:w="164" w:type="dxa"/>
            <w:tcBorders/>
            <w:shd w:fill="B7DEE8" w:val="clear"/>
            <w:vAlign w:val="center"/>
          </w:tcPr>
          <w:p>
            <w:pPr>
              <w:pStyle w:val="TableContents"/>
              <w:bidi w:val="0"/>
              <w:spacing w:before="0" w:after="283"/>
              <w:jc w:val="left"/>
              <w:rPr/>
            </w:pPr>
            <w:r>
              <w:rPr/>
              <w:t> </w:t>
            </w:r>
          </w:p>
        </w:tc>
        <w:tc>
          <w:tcPr>
            <w:tcW w:w="237" w:type="dxa"/>
            <w:tcBorders/>
            <w:shd w:fill="B7DEE8" w:val="clear"/>
            <w:vAlign w:val="center"/>
          </w:tcPr>
          <w:p>
            <w:pPr>
              <w:pStyle w:val="TableContents"/>
              <w:bidi w:val="0"/>
              <w:spacing w:before="0" w:after="283"/>
              <w:jc w:val="left"/>
              <w:rPr/>
            </w:pPr>
            <w:r>
              <w:rPr/>
              <w:t> </w:t>
            </w:r>
          </w:p>
        </w:tc>
        <w:tc>
          <w:tcPr>
            <w:tcW w:w="1166" w:type="dxa"/>
            <w:tcBorders/>
            <w:shd w:fill="B7DEE8"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11,702,147</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11,887,199</w:t>
            </w:r>
          </w:p>
        </w:tc>
        <w:tc>
          <w:tcPr>
            <w:tcW w:w="184" w:type="dxa"/>
            <w:tcBorders/>
            <w:shd w:fill="B7DEE8" w:val="clear"/>
            <w:vAlign w:val="center"/>
          </w:tcPr>
          <w:p>
            <w:pPr>
              <w:pStyle w:val="TableContents"/>
              <w:bidi w:val="0"/>
              <w:spacing w:before="0" w:after="283"/>
              <w:jc w:val="left"/>
              <w:rPr/>
            </w:pPr>
            <w:r>
              <w:rPr/>
              <w:t> </w:t>
            </w:r>
          </w:p>
        </w:tc>
        <w:tc>
          <w:tcPr>
            <w:tcW w:w="161" w:type="dxa"/>
            <w:tcBorders/>
            <w:shd w:fill="B7DEE8" w:val="clear"/>
            <w:vAlign w:val="center"/>
          </w:tcPr>
          <w:p>
            <w:pPr>
              <w:pStyle w:val="TableContents"/>
              <w:bidi w:val="0"/>
              <w:spacing w:before="0" w:after="283"/>
              <w:jc w:val="left"/>
              <w:rPr/>
            </w:pPr>
            <w:r>
              <w:rPr/>
              <w:t> </w:t>
            </w:r>
          </w:p>
        </w:tc>
        <w:tc>
          <w:tcPr>
            <w:tcW w:w="234" w:type="dxa"/>
            <w:tcBorders/>
            <w:shd w:fill="B7DEE8" w:val="clear"/>
            <w:vAlign w:val="center"/>
          </w:tcPr>
          <w:p>
            <w:pPr>
              <w:pStyle w:val="TableContents"/>
              <w:bidi w:val="0"/>
              <w:spacing w:before="0" w:after="283"/>
              <w:jc w:val="left"/>
              <w:rPr/>
            </w:pPr>
            <w:r>
              <w:rPr/>
              <w:t> </w:t>
            </w:r>
          </w:p>
        </w:tc>
        <w:tc>
          <w:tcPr>
            <w:tcW w:w="1150" w:type="dxa"/>
            <w:tcBorders/>
            <w:shd w:fill="B7DEE8" w:val="clear"/>
            <w:vAlign w:val="center"/>
          </w:tcPr>
          <w:p>
            <w:pPr>
              <w:pStyle w:val="TableContents"/>
              <w:bidi w:val="0"/>
              <w:spacing w:before="0" w:after="283"/>
              <w:jc w:val="right"/>
              <w:rPr>
                <w:rFonts w:ascii="Times New Roman" w:hAnsi="Times New Roman"/>
                <w:b w:val="false"/>
                <w:color w:val="000000"/>
                <w:sz w:val="19"/>
              </w:rPr>
            </w:pPr>
            <w:r>
              <w:rPr>
                <w:rFonts w:ascii="Times New Roman" w:hAnsi="Times New Roman"/>
                <w:b w:val="false"/>
                <w:color w:val="000000"/>
                <w:sz w:val="19"/>
              </w:rPr>
              <w:t>11,525,164</w:t>
            </w:r>
          </w:p>
        </w:tc>
        <w:tc>
          <w:tcPr>
            <w:tcW w:w="316" w:type="dxa"/>
            <w:tcBorders/>
            <w:shd w:fill="B7DEE8"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6" w:after="283"/>
        <w:jc w:val="left"/>
        <w:rPr/>
      </w:pPr>
      <w:r>
        <w:rPr/>
        <w:t> </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See accompanying notes to the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Dave Inc.</w:t>
      </w:r>
    </w:p>
    <w:p>
      <w:pPr>
        <w:pStyle w:val="TextBody"/>
        <w:bidi w:val="0"/>
        <w:jc w:val="center"/>
        <w:rPr>
          <w:rFonts w:ascii="Times New Roman" w:hAnsi="Times New Roman"/>
          <w:b/>
          <w:color w:val="000000"/>
          <w:sz w:val="18"/>
        </w:rPr>
      </w:pPr>
      <w:bookmarkStart w:id="7" w:name="consolidatedstatementofcomprehensiveloss"/>
      <w:bookmarkEnd w:id="7"/>
      <w:r>
        <w:rPr>
          <w:rFonts w:ascii="Times New Roman" w:hAnsi="Times New Roman"/>
          <w:b/>
          <w:color w:val="000000"/>
          <w:sz w:val="18"/>
        </w:rPr>
        <w:t>Condensed Consolidated Statements of Comprehensive Loss</w:t>
      </w:r>
    </w:p>
    <w:p>
      <w:pPr>
        <w:pStyle w:val="TextBody"/>
        <w:bidi w:val="0"/>
        <w:jc w:val="center"/>
        <w:rPr>
          <w:rFonts w:ascii="Times New Roman" w:hAnsi="Times New Roman"/>
          <w:b w:val="false"/>
          <w:i/>
          <w:color w:val="000000"/>
          <w:sz w:val="18"/>
        </w:rPr>
      </w:pPr>
      <w:r>
        <w:rPr>
          <w:rFonts w:ascii="Times New Roman" w:hAnsi="Times New Roman"/>
          <w:b w:val="false"/>
          <w:i/>
          <w:color w:val="000000"/>
          <w:sz w:val="18"/>
        </w:rPr>
        <w:t>(in thousands)</w:t>
      </w:r>
    </w:p>
    <w:p>
      <w:pPr>
        <w:pStyle w:val="TextBody"/>
        <w:bidi w:val="0"/>
        <w:jc w:val="center"/>
        <w:rPr>
          <w:rFonts w:ascii="Times New Roman" w:hAnsi="Times New Roman"/>
          <w:sz w:val="20"/>
        </w:rPr>
      </w:pPr>
      <w:r>
        <w:rPr>
          <w:rFonts w:ascii="Times New Roman" w:hAnsi="Times New Roman"/>
          <w:b w:val="false"/>
          <w:i/>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44"/>
        <w:gridCol w:w="346"/>
        <w:gridCol w:w="303"/>
        <w:gridCol w:w="1058"/>
        <w:gridCol w:w="238"/>
        <w:gridCol w:w="303"/>
        <w:gridCol w:w="1058"/>
        <w:gridCol w:w="166"/>
        <w:gridCol w:w="146"/>
        <w:gridCol w:w="287"/>
        <w:gridCol w:w="1002"/>
        <w:gridCol w:w="225"/>
        <w:gridCol w:w="287"/>
        <w:gridCol w:w="1146"/>
        <w:gridCol w:w="396"/>
      </w:tblGrid>
      <w:tr>
        <w:trPr/>
        <w:tc>
          <w:tcPr>
            <w:tcW w:w="32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24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9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4"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346" w:type="dxa"/>
            <w:tcBorders/>
            <w:shd w:fill="B6DEE8" w:val="clear"/>
            <w:vAlign w:val="center"/>
          </w:tcPr>
          <w:p>
            <w:pPr>
              <w:pStyle w:val="TableContents"/>
              <w:bidi w:val="0"/>
              <w:spacing w:before="0" w:after="283"/>
              <w:jc w:val="left"/>
              <w:rPr/>
            </w:pPr>
            <w:r>
              <w:rPr/>
              <w:t> </w:t>
            </w:r>
          </w:p>
        </w:tc>
        <w:tc>
          <w:tcPr>
            <w:tcW w:w="30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(12,053</w:t>
            </w:r>
          </w:p>
        </w:tc>
        <w:tc>
          <w:tcPr>
            <w:tcW w:w="23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0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5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(47,504</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8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0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(48,696</w:t>
            </w:r>
          </w:p>
        </w:tc>
        <w:tc>
          <w:tcPr>
            <w:tcW w:w="225"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8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(107,414</w:t>
            </w:r>
          </w:p>
        </w:tc>
        <w:tc>
          <w:tcPr>
            <w:tcW w:w="39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gain (loss):</w:t>
            </w:r>
          </w:p>
        </w:tc>
        <w:tc>
          <w:tcPr>
            <w:tcW w:w="346"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36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gridSpan w:val="2"/>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433" w:type="dxa"/>
            <w:gridSpan w:val="2"/>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3244" w:type="dxa"/>
            <w:tcBorders/>
            <w:shd w:fill="B6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Unrealized gain (loss) on available-for-sale securities</w:t>
            </w:r>
          </w:p>
        </w:tc>
        <w:tc>
          <w:tcPr>
            <w:tcW w:w="346" w:type="dxa"/>
            <w:tcBorders/>
            <w:shd w:fill="B6DEE8" w:val="clear"/>
            <w:vAlign w:val="center"/>
          </w:tcPr>
          <w:p>
            <w:pPr>
              <w:pStyle w:val="TableContents"/>
              <w:bidi w:val="0"/>
              <w:spacing w:before="0" w:after="283"/>
              <w:ind w:left="200" w:right="0" w:firstLine="200"/>
              <w:jc w:val="left"/>
              <w:rPr/>
            </w:pPr>
            <w:r>
              <w:rPr/>
              <w:t> </w:t>
            </w:r>
          </w:p>
        </w:tc>
        <w:tc>
          <w:tcPr>
            <w:tcW w:w="3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w:t>
            </w:r>
          </w:p>
        </w:tc>
        <w:tc>
          <w:tcPr>
            <w:tcW w:w="23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5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1,167</w:t>
            </w:r>
          </w:p>
        </w:tc>
        <w:tc>
          <w:tcPr>
            <w:tcW w:w="22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(3,026</w:t>
            </w:r>
          </w:p>
        </w:tc>
        <w:tc>
          <w:tcPr>
            <w:tcW w:w="39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4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3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(11,691</w:t>
            </w:r>
          </w:p>
        </w:tc>
        <w:tc>
          <w:tcPr>
            <w:tcW w:w="238"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58"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(48,100</w:t>
            </w:r>
          </w:p>
        </w:tc>
        <w:tc>
          <w:tcPr>
            <w:tcW w:w="16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(47,529</w:t>
            </w:r>
          </w:p>
        </w:tc>
        <w:tc>
          <w:tcPr>
            <w:tcW w:w="22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8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(110,440</w:t>
            </w:r>
          </w:p>
        </w:tc>
        <w:tc>
          <w:tcPr>
            <w:tcW w:w="3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See accompanying notes to the condensed consolidated financial statements.</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statementstockholdersequity"/>
      <w:bookmarkEnd w:id="8"/>
      <w:r>
        <w:rPr>
          <w:rFonts w:ascii="Times New Roman" w:hAnsi="Times New Roman"/>
          <w:b/>
          <w:color w:val="000000"/>
          <w:sz w:val="20"/>
        </w:rPr>
        <w:t>Condensed Consolidated Statement of</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share data)</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left"/>
        <w:rPr/>
      </w:pPr>
      <w:r>
        <w:rPr/>
        <w:t> </w:t>
      </w:r>
    </w:p>
    <w:tbl>
      <w:tblPr>
        <w:tblW w:w="11361" w:type="dxa"/>
        <w:jc w:val="left"/>
        <w:tblInd w:w="0" w:type="dxa"/>
        <w:tblLayout w:type="fixed"/>
        <w:tblCellMar>
          <w:top w:w="28" w:type="dxa"/>
          <w:left w:w="28" w:type="dxa"/>
          <w:bottom w:w="28" w:type="dxa"/>
          <w:right w:w="28" w:type="dxa"/>
        </w:tblCellMar>
      </w:tblPr>
      <w:tblGrid>
        <w:gridCol w:w="1126"/>
        <w:gridCol w:w="146"/>
        <w:gridCol w:w="796"/>
        <w:gridCol w:w="146"/>
        <w:gridCol w:w="315"/>
        <w:gridCol w:w="316"/>
        <w:gridCol w:w="146"/>
        <w:gridCol w:w="146"/>
        <w:gridCol w:w="146"/>
        <w:gridCol w:w="721"/>
        <w:gridCol w:w="146"/>
        <w:gridCol w:w="344"/>
        <w:gridCol w:w="287"/>
        <w:gridCol w:w="146"/>
        <w:gridCol w:w="181"/>
        <w:gridCol w:w="601"/>
        <w:gridCol w:w="151"/>
        <w:gridCol w:w="146"/>
        <w:gridCol w:w="499"/>
        <w:gridCol w:w="417"/>
        <w:gridCol w:w="146"/>
        <w:gridCol w:w="376"/>
        <w:gridCol w:w="315"/>
        <w:gridCol w:w="146"/>
        <w:gridCol w:w="280"/>
        <w:gridCol w:w="771"/>
        <w:gridCol w:w="151"/>
        <w:gridCol w:w="207"/>
        <w:gridCol w:w="739"/>
        <w:gridCol w:w="151"/>
        <w:gridCol w:w="222"/>
        <w:gridCol w:w="739"/>
        <w:gridCol w:w="196"/>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center"/>
              <w:rPr/>
            </w:pPr>
            <w:r>
              <w:rPr/>
              <w:t> </w:t>
            </w:r>
          </w:p>
        </w:tc>
        <w:tc>
          <w:tcPr>
            <w:tcW w:w="3655" w:type="dxa"/>
            <w:gridSpan w:val="1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961" w:type="dxa"/>
            <w:gridSpan w:val="2"/>
            <w:tcBorders/>
            <w:shd w:fill="FFFFFF" w:val="clear"/>
            <w:vAlign w:val="center"/>
          </w:tcPr>
          <w:p>
            <w:pPr>
              <w:pStyle w:val="TableContents"/>
              <w:bidi w:val="0"/>
              <w:spacing w:before="0" w:after="283"/>
              <w:jc w:val="center"/>
              <w:rPr/>
            </w:pPr>
            <w:r>
              <w:rPr/>
              <w:t> </w:t>
            </w:r>
          </w:p>
        </w:tc>
        <w:tc>
          <w:tcPr>
            <w:tcW w:w="196" w:type="dxa"/>
            <w:tcBorders/>
            <w:shd w:fill="FFFFFF" w:val="clear"/>
            <w:vAlign w:val="center"/>
          </w:tcPr>
          <w:p>
            <w:pPr>
              <w:pStyle w:val="TableContents"/>
              <w:bidi w:val="0"/>
              <w:spacing w:before="0" w:after="283"/>
              <w:jc w:val="center"/>
              <w:rPr/>
            </w:pPr>
            <w:r>
              <w:rPr/>
              <w:t> </w:t>
            </w:r>
          </w:p>
        </w:tc>
      </w:tr>
      <w:tr>
        <w:trPr/>
        <w:tc>
          <w:tcPr>
            <w:tcW w:w="1126" w:type="dxa"/>
            <w:tcBorders/>
            <w:shd w:fill="FFFFFF" w:val="clear"/>
            <w:vAlign w:val="center"/>
          </w:tcPr>
          <w:p>
            <w:pPr>
              <w:pStyle w:val="TableContents"/>
              <w:bidi w:val="0"/>
              <w:spacing w:before="0" w:after="283"/>
              <w:jc w:val="left"/>
              <w:rPr/>
            </w:pPr>
            <w:r>
              <w:rPr/>
              <w:t> </w:t>
            </w:r>
          </w:p>
        </w:tc>
        <w:tc>
          <w:tcPr>
            <w:tcW w:w="17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4"/>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 capital</w:t>
            </w:r>
          </w:p>
        </w:tc>
        <w:tc>
          <w:tcPr>
            <w:tcW w:w="91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Loans to stockholders</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Treasury stock</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w:t>
            </w:r>
          </w:p>
        </w:tc>
        <w:tc>
          <w:tcPr>
            <w:tcW w:w="151" w:type="dxa"/>
            <w:tcBorders/>
            <w:shd w:fill="FFFFFF" w:val="clear"/>
            <w:vAlign w:val="center"/>
          </w:tcPr>
          <w:p>
            <w:pPr>
              <w:pStyle w:val="TableContents"/>
              <w:bidi w:val="0"/>
              <w:spacing w:before="0" w:after="283"/>
              <w:jc w:val="center"/>
              <w:rPr/>
            </w:pPr>
            <w:r>
              <w:rPr/>
              <w:t> </w:t>
            </w:r>
          </w:p>
        </w:tc>
        <w:tc>
          <w:tcPr>
            <w:tcW w:w="94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deficit</w:t>
            </w:r>
          </w:p>
        </w:tc>
        <w:tc>
          <w:tcPr>
            <w:tcW w:w="151" w:type="dxa"/>
            <w:tcBorders/>
            <w:shd w:fill="FFFFFF" w:val="clear"/>
            <w:vAlign w:val="center"/>
          </w:tcPr>
          <w:p>
            <w:pPr>
              <w:pStyle w:val="TableContents"/>
              <w:bidi w:val="0"/>
              <w:spacing w:before="0" w:after="283"/>
              <w:jc w:val="center"/>
              <w:rPr/>
            </w:pPr>
            <w:r>
              <w:rPr/>
              <w:t> </w:t>
            </w:r>
          </w:p>
        </w:tc>
        <w:tc>
          <w:tcPr>
            <w:tcW w:w="96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 stockholders’ equity</w:t>
            </w:r>
          </w:p>
        </w:tc>
        <w:tc>
          <w:tcPr>
            <w:tcW w:w="196" w:type="dxa"/>
            <w:tcBorders/>
            <w:shd w:fill="FFFFFF" w:val="clear"/>
            <w:vAlign w:val="center"/>
          </w:tcPr>
          <w:p>
            <w:pPr>
              <w:pStyle w:val="TableContents"/>
              <w:bidi w:val="0"/>
              <w:spacing w:before="0" w:after="283"/>
              <w:jc w:val="center"/>
              <w:rPr/>
            </w:pPr>
            <w:r>
              <w:rPr/>
              <w:t> </w:t>
            </w:r>
          </w:p>
        </w:tc>
      </w:tr>
      <w:tr>
        <w:trPr/>
        <w:tc>
          <w:tcPr>
            <w:tcW w:w="1126" w:type="dxa"/>
            <w:tcBorders/>
            <w:shd w:fill="FFFFFF" w:val="cle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January 1, 2023</w:t>
            </w:r>
          </w:p>
        </w:tc>
        <w:tc>
          <w:tcPr>
            <w:tcW w:w="146" w:type="dxa"/>
            <w:tcBorders/>
            <w:shd w:fill="B7DEE8" w:val="clear"/>
            <w:vAlign w:val="center"/>
          </w:tcPr>
          <w:p>
            <w:pPr>
              <w:pStyle w:val="TableContents"/>
              <w:bidi w:val="0"/>
              <w:spacing w:before="0" w:after="283"/>
              <w:jc w:val="left"/>
              <w:rPr/>
            </w:pPr>
            <w:r>
              <w:rPr/>
              <w:t> </w:t>
            </w:r>
          </w:p>
        </w:tc>
        <w:tc>
          <w:tcPr>
            <w:tcW w:w="796"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10,284,657</w:t>
            </w:r>
          </w:p>
        </w:tc>
        <w:tc>
          <w:tcPr>
            <w:tcW w:w="146" w:type="dxa"/>
            <w:tcBorders/>
            <w:shd w:fill="B7DEE8" w:val="clear"/>
            <w:vAlign w:val="center"/>
          </w:tcPr>
          <w:p>
            <w:pPr>
              <w:pStyle w:val="TableContents"/>
              <w:bidi w:val="0"/>
              <w:spacing w:before="0" w:after="283"/>
              <w:jc w:val="left"/>
              <w:rPr/>
            </w:pPr>
            <w:r>
              <w:rPr/>
              <w:t> </w:t>
            </w:r>
          </w:p>
        </w:tc>
        <w:tc>
          <w:tcPr>
            <w:tcW w:w="315"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721"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46" w:type="dxa"/>
            <w:tcBorders/>
            <w:shd w:fill="B7DEE8" w:val="clear"/>
            <w:vAlign w:val="center"/>
          </w:tcPr>
          <w:p>
            <w:pPr>
              <w:pStyle w:val="TableContents"/>
              <w:bidi w:val="0"/>
              <w:spacing w:before="0" w:after="283"/>
              <w:jc w:val="left"/>
              <w:rPr/>
            </w:pPr>
            <w:r>
              <w:rPr/>
              <w:t> </w:t>
            </w:r>
          </w:p>
        </w:tc>
        <w:tc>
          <w:tcPr>
            <w:tcW w:w="344"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181"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270,037</w:t>
            </w:r>
          </w:p>
        </w:tc>
        <w:tc>
          <w:tcPr>
            <w:tcW w:w="151"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499"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7"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76"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5"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280"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1"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(1,675</w:t>
            </w:r>
          </w:p>
        </w:tc>
        <w:tc>
          <w:tcPr>
            <w:tcW w:w="151"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07"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(161,803</w:t>
            </w:r>
          </w:p>
        </w:tc>
        <w:tc>
          <w:tcPr>
            <w:tcW w:w="151"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22"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106,560</w:t>
            </w:r>
          </w:p>
        </w:tc>
        <w:tc>
          <w:tcPr>
            <w:tcW w:w="196" w:type="dxa"/>
            <w:tcBorders/>
            <w:shd w:fill="B7DEE8"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253,068</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w:t>
            </w:r>
          </w:p>
        </w:tc>
        <w:tc>
          <w:tcPr>
            <w:tcW w:w="196" w:type="dxa"/>
            <w:tcBorders/>
            <w:shd w:fill="FFFFFF" w:val="clear"/>
            <w:vAlign w:val="center"/>
          </w:tcPr>
          <w:p>
            <w:pPr>
              <w:pStyle w:val="TableContents"/>
              <w:bidi w:val="0"/>
              <w:spacing w:before="0" w:after="283"/>
              <w:jc w:val="left"/>
              <w:rPr/>
            </w:pPr>
            <w:r>
              <w:rPr/>
              <w:t> </w:t>
            </w:r>
          </w:p>
        </w:tc>
      </w:tr>
      <w:tr>
        <w:trPr/>
        <w:tc>
          <w:tcPr>
            <w:tcW w:w="1126" w:type="dxa"/>
            <w:tcBorders/>
            <w:shd w:fill="B7DEE8"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Payment for fractional shares after reverse stock split</w:t>
            </w:r>
          </w:p>
        </w:tc>
        <w:tc>
          <w:tcPr>
            <w:tcW w:w="146" w:type="dxa"/>
            <w:tcBorders/>
            <w:shd w:fill="B7DEE8" w:val="clear"/>
            <w:vAlign w:val="center"/>
          </w:tcPr>
          <w:p>
            <w:pPr>
              <w:pStyle w:val="TableContents"/>
              <w:bidi w:val="0"/>
              <w:spacing w:before="0" w:after="283"/>
              <w:jc w:val="left"/>
              <w:rPr/>
            </w:pPr>
            <w:r>
              <w:rPr/>
              <w:t> </w:t>
            </w:r>
          </w:p>
        </w:tc>
        <w:tc>
          <w:tcPr>
            <w:tcW w:w="796"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15" w:type="dxa"/>
            <w:tcBorders/>
            <w:shd w:fill="B7DEE8" w:val="clear"/>
            <w:vAlign w:val="center"/>
          </w:tcPr>
          <w:p>
            <w:pPr>
              <w:pStyle w:val="TableContents"/>
              <w:bidi w:val="0"/>
              <w:spacing w:before="0" w:after="283"/>
              <w:jc w:val="left"/>
              <w:rPr/>
            </w:pPr>
            <w:r>
              <w:rPr/>
              <w:t> </w:t>
            </w:r>
          </w:p>
        </w:tc>
        <w:tc>
          <w:tcPr>
            <w:tcW w:w="316"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721"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44" w:type="dxa"/>
            <w:tcBorders/>
            <w:shd w:fill="B7DEE8" w:val="clear"/>
            <w:vAlign w:val="center"/>
          </w:tcPr>
          <w:p>
            <w:pPr>
              <w:pStyle w:val="TableContents"/>
              <w:bidi w:val="0"/>
              <w:spacing w:before="0" w:after="283"/>
              <w:jc w:val="left"/>
              <w:rPr/>
            </w:pPr>
            <w:r>
              <w:rPr/>
              <w:t> </w:t>
            </w:r>
          </w:p>
        </w:tc>
        <w:tc>
          <w:tcPr>
            <w:tcW w:w="287"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181" w:type="dxa"/>
            <w:tcBorders/>
            <w:shd w:fill="B7DEE8" w:val="clear"/>
            <w:vAlign w:val="center"/>
          </w:tcPr>
          <w:p>
            <w:pPr>
              <w:pStyle w:val="TableContents"/>
              <w:bidi w:val="0"/>
              <w:spacing w:before="0" w:after="283"/>
              <w:jc w:val="left"/>
              <w:rPr/>
            </w:pPr>
            <w:r>
              <w:rPr/>
              <w:t> </w:t>
            </w:r>
          </w:p>
        </w:tc>
        <w:tc>
          <w:tcPr>
            <w:tcW w:w="601"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(13</w:t>
            </w:r>
          </w:p>
        </w:tc>
        <w:tc>
          <w:tcPr>
            <w:tcW w:w="151" w:type="dxa"/>
            <w:tcBorders/>
            <w:shd w:fill="B7DEE8"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right"/>
              <w:rPr/>
            </w:pPr>
            <w:r>
              <w:rPr/>
              <w:t> </w:t>
            </w:r>
          </w:p>
        </w:tc>
        <w:tc>
          <w:tcPr>
            <w:tcW w:w="499" w:type="dxa"/>
            <w:tcBorders/>
            <w:shd w:fill="B7DEE8" w:val="clear"/>
            <w:vAlign w:val="center"/>
          </w:tcPr>
          <w:p>
            <w:pPr>
              <w:pStyle w:val="TableContents"/>
              <w:bidi w:val="0"/>
              <w:spacing w:before="0" w:after="283"/>
              <w:jc w:val="left"/>
              <w:rPr/>
            </w:pPr>
            <w:r>
              <w:rPr/>
              <w:t> </w:t>
            </w:r>
          </w:p>
        </w:tc>
        <w:tc>
          <w:tcPr>
            <w:tcW w:w="417"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76" w:type="dxa"/>
            <w:tcBorders/>
            <w:shd w:fill="B7DEE8" w:val="clear"/>
            <w:vAlign w:val="center"/>
          </w:tcPr>
          <w:p>
            <w:pPr>
              <w:pStyle w:val="TableContents"/>
              <w:bidi w:val="0"/>
              <w:spacing w:before="0" w:after="283"/>
              <w:jc w:val="left"/>
              <w:rPr/>
            </w:pPr>
            <w:r>
              <w:rPr/>
              <w:t> </w:t>
            </w:r>
          </w:p>
        </w:tc>
        <w:tc>
          <w:tcPr>
            <w:tcW w:w="315"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280" w:type="dxa"/>
            <w:tcBorders/>
            <w:shd w:fill="B7DEE8" w:val="clear"/>
            <w:vAlign w:val="center"/>
          </w:tcPr>
          <w:p>
            <w:pPr>
              <w:pStyle w:val="TableContents"/>
              <w:bidi w:val="0"/>
              <w:spacing w:before="0" w:after="283"/>
              <w:jc w:val="left"/>
              <w:rPr/>
            </w:pPr>
            <w:r>
              <w:rPr/>
              <w:t> </w:t>
            </w:r>
          </w:p>
        </w:tc>
        <w:tc>
          <w:tcPr>
            <w:tcW w:w="771"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B7DEE8" w:val="clear"/>
            <w:vAlign w:val="center"/>
          </w:tcPr>
          <w:p>
            <w:pPr>
              <w:pStyle w:val="TableContents"/>
              <w:bidi w:val="0"/>
              <w:spacing w:before="0" w:after="283"/>
              <w:jc w:val="left"/>
              <w:rPr/>
            </w:pPr>
            <w:r>
              <w:rPr/>
              <w:t> </w:t>
            </w:r>
          </w:p>
        </w:tc>
        <w:tc>
          <w:tcPr>
            <w:tcW w:w="946" w:type="dxa"/>
            <w:gridSpan w:val="2"/>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B7DEE8" w:val="clear"/>
            <w:vAlign w:val="center"/>
          </w:tcPr>
          <w:p>
            <w:pPr>
              <w:pStyle w:val="TableContents"/>
              <w:bidi w:val="0"/>
              <w:spacing w:before="0" w:after="283"/>
              <w:jc w:val="right"/>
              <w:rPr/>
            </w:pPr>
            <w:r>
              <w:rPr/>
              <w:t> </w:t>
            </w:r>
          </w:p>
        </w:tc>
        <w:tc>
          <w:tcPr>
            <w:tcW w:w="222" w:type="dxa"/>
            <w:tcBorders/>
            <w:shd w:fill="B7DEE8" w:val="clear"/>
            <w:vAlign w:val="center"/>
          </w:tcPr>
          <w:p>
            <w:pPr>
              <w:pStyle w:val="TableContents"/>
              <w:bidi w:val="0"/>
              <w:spacing w:before="0" w:after="283"/>
              <w:jc w:val="left"/>
              <w:rPr/>
            </w:pPr>
            <w:r>
              <w:rPr/>
              <w:t> </w:t>
            </w:r>
          </w:p>
        </w:tc>
        <w:tc>
          <w:tcPr>
            <w:tcW w:w="739"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w:t>
            </w:r>
          </w:p>
        </w:tc>
        <w:tc>
          <w:tcPr>
            <w:tcW w:w="196"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Stock-based compensation</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20,146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99"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FFFFFF" w:val="clear"/>
            <w:vAlign w:val="center"/>
          </w:tcPr>
          <w:p>
            <w:pPr>
              <w:pStyle w:val="TableContents"/>
              <w:bidi w:val="0"/>
              <w:spacing w:before="0" w:after="283"/>
              <w:jc w:val="right"/>
              <w:rPr/>
            </w:pPr>
            <w:r>
              <w:rPr/>
              <w:t> </w:t>
            </w:r>
          </w:p>
        </w:tc>
        <w:tc>
          <w:tcPr>
            <w:tcW w:w="222"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20,146</w:t>
            </w:r>
          </w:p>
        </w:tc>
        <w:tc>
          <w:tcPr>
            <w:tcW w:w="196" w:type="dxa"/>
            <w:tcBorders/>
            <w:shd w:fill="FFFFFF" w:val="clear"/>
            <w:vAlign w:val="center"/>
          </w:tcPr>
          <w:p>
            <w:pPr>
              <w:pStyle w:val="TableContents"/>
              <w:bidi w:val="0"/>
              <w:spacing w:before="0" w:after="283"/>
              <w:jc w:val="left"/>
              <w:rPr/>
            </w:pPr>
            <w:r>
              <w:rPr/>
              <w:t> </w:t>
            </w:r>
          </w:p>
        </w:tc>
      </w:tr>
      <w:tr>
        <w:trPr/>
        <w:tc>
          <w:tcPr>
            <w:tcW w:w="1126" w:type="dxa"/>
            <w:tcBorders/>
            <w:shd w:fill="B7DEE8"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Unrealized gain on available-for-sale securities</w:t>
            </w:r>
          </w:p>
        </w:tc>
        <w:tc>
          <w:tcPr>
            <w:tcW w:w="146" w:type="dxa"/>
            <w:tcBorders/>
            <w:shd w:fill="B7DEE8" w:val="clear"/>
            <w:vAlign w:val="center"/>
          </w:tcPr>
          <w:p>
            <w:pPr>
              <w:pStyle w:val="TableContents"/>
              <w:bidi w:val="0"/>
              <w:spacing w:before="0" w:after="283"/>
              <w:jc w:val="left"/>
              <w:rPr/>
            </w:pPr>
            <w:r>
              <w:rPr/>
              <w:t> </w:t>
            </w:r>
          </w:p>
        </w:tc>
        <w:tc>
          <w:tcPr>
            <w:tcW w:w="796"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15" w:type="dxa"/>
            <w:tcBorders/>
            <w:shd w:fill="B7DEE8" w:val="clear"/>
            <w:vAlign w:val="center"/>
          </w:tcPr>
          <w:p>
            <w:pPr>
              <w:pStyle w:val="TableContents"/>
              <w:bidi w:val="0"/>
              <w:spacing w:before="0" w:after="283"/>
              <w:jc w:val="left"/>
              <w:rPr/>
            </w:pPr>
            <w:r>
              <w:rPr/>
              <w:t> </w:t>
            </w:r>
          </w:p>
        </w:tc>
        <w:tc>
          <w:tcPr>
            <w:tcW w:w="316"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721"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44" w:type="dxa"/>
            <w:tcBorders/>
            <w:shd w:fill="B7DEE8" w:val="clear"/>
            <w:vAlign w:val="center"/>
          </w:tcPr>
          <w:p>
            <w:pPr>
              <w:pStyle w:val="TableContents"/>
              <w:bidi w:val="0"/>
              <w:spacing w:before="0" w:after="283"/>
              <w:jc w:val="left"/>
              <w:rPr/>
            </w:pPr>
            <w:r>
              <w:rPr/>
              <w:t> </w:t>
            </w:r>
          </w:p>
        </w:tc>
        <w:tc>
          <w:tcPr>
            <w:tcW w:w="287"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181" w:type="dxa"/>
            <w:tcBorders/>
            <w:shd w:fill="B7DEE8" w:val="clear"/>
            <w:vAlign w:val="center"/>
          </w:tcPr>
          <w:p>
            <w:pPr>
              <w:pStyle w:val="TableContents"/>
              <w:bidi w:val="0"/>
              <w:spacing w:before="0" w:after="283"/>
              <w:jc w:val="left"/>
              <w:rPr/>
            </w:pPr>
            <w:r>
              <w:rPr/>
              <w:t> </w:t>
            </w:r>
          </w:p>
        </w:tc>
        <w:tc>
          <w:tcPr>
            <w:tcW w:w="601"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499" w:type="dxa"/>
            <w:tcBorders/>
            <w:shd w:fill="B7DEE8" w:val="clear"/>
            <w:vAlign w:val="center"/>
          </w:tcPr>
          <w:p>
            <w:pPr>
              <w:pStyle w:val="TableContents"/>
              <w:bidi w:val="0"/>
              <w:spacing w:before="0" w:after="283"/>
              <w:jc w:val="left"/>
              <w:rPr/>
            </w:pPr>
            <w:r>
              <w:rPr/>
              <w:t> </w:t>
            </w:r>
          </w:p>
        </w:tc>
        <w:tc>
          <w:tcPr>
            <w:tcW w:w="417"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376" w:type="dxa"/>
            <w:tcBorders/>
            <w:shd w:fill="B7DEE8" w:val="clear"/>
            <w:vAlign w:val="center"/>
          </w:tcPr>
          <w:p>
            <w:pPr>
              <w:pStyle w:val="TableContents"/>
              <w:bidi w:val="0"/>
              <w:spacing w:before="0" w:after="283"/>
              <w:jc w:val="left"/>
              <w:rPr/>
            </w:pPr>
            <w:r>
              <w:rPr/>
              <w:t> </w:t>
            </w:r>
          </w:p>
        </w:tc>
        <w:tc>
          <w:tcPr>
            <w:tcW w:w="315"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shd w:fill="B7DEE8" w:val="clear"/>
            <w:vAlign w:val="center"/>
          </w:tcPr>
          <w:p>
            <w:pPr>
              <w:pStyle w:val="TableContents"/>
              <w:bidi w:val="0"/>
              <w:spacing w:before="0" w:after="283"/>
              <w:jc w:val="left"/>
              <w:rPr/>
            </w:pPr>
            <w:r>
              <w:rPr/>
              <w:t> </w:t>
            </w:r>
          </w:p>
        </w:tc>
        <w:tc>
          <w:tcPr>
            <w:tcW w:w="280" w:type="dxa"/>
            <w:tcBorders/>
            <w:shd w:fill="B7DEE8" w:val="clear"/>
            <w:vAlign w:val="center"/>
          </w:tcPr>
          <w:p>
            <w:pPr>
              <w:pStyle w:val="TableContents"/>
              <w:bidi w:val="0"/>
              <w:spacing w:before="0" w:after="283"/>
              <w:jc w:val="left"/>
              <w:rPr/>
            </w:pPr>
            <w:r>
              <w:rPr/>
              <w:t> </w:t>
            </w:r>
          </w:p>
        </w:tc>
        <w:tc>
          <w:tcPr>
            <w:tcW w:w="771" w:type="dxa"/>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1,167</w:t>
            </w:r>
          </w:p>
        </w:tc>
        <w:tc>
          <w:tcPr>
            <w:tcW w:w="151" w:type="dxa"/>
            <w:tcBorders/>
            <w:shd w:fill="B7DEE8" w:val="clear"/>
            <w:vAlign w:val="center"/>
          </w:tcPr>
          <w:p>
            <w:pPr>
              <w:pStyle w:val="TableContents"/>
              <w:bidi w:val="0"/>
              <w:spacing w:before="0" w:after="283"/>
              <w:jc w:val="left"/>
              <w:rPr/>
            </w:pPr>
            <w:r>
              <w:rPr/>
              <w:t> </w:t>
            </w:r>
          </w:p>
        </w:tc>
        <w:tc>
          <w:tcPr>
            <w:tcW w:w="946" w:type="dxa"/>
            <w:gridSpan w:val="2"/>
            <w:tcBorders/>
            <w:shd w:fill="B7DEE8" w:val="cle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shd w:fill="B7DEE8" w:val="clear"/>
            <w:vAlign w:val="center"/>
          </w:tcPr>
          <w:p>
            <w:pPr>
              <w:pStyle w:val="TableContents"/>
              <w:bidi w:val="0"/>
              <w:spacing w:before="0" w:after="283"/>
              <w:jc w:val="right"/>
              <w:rPr/>
            </w:pPr>
            <w:r>
              <w:rPr/>
              <w:t> </w:t>
            </w:r>
          </w:p>
        </w:tc>
        <w:tc>
          <w:tcPr>
            <w:tcW w:w="222" w:type="dxa"/>
            <w:tcBorders/>
            <w:shd w:fill="B7DEE8" w:val="clear"/>
            <w:vAlign w:val="center"/>
          </w:tcPr>
          <w:p>
            <w:pPr>
              <w:pStyle w:val="TableContents"/>
              <w:bidi w:val="0"/>
              <w:spacing w:before="0" w:after="283"/>
              <w:jc w:val="left"/>
              <w:rPr/>
            </w:pPr>
            <w:r>
              <w:rPr/>
              <w:t> </w:t>
            </w:r>
          </w:p>
        </w:tc>
        <w:tc>
          <w:tcPr>
            <w:tcW w:w="739" w:type="dxa"/>
            <w:tcBorders/>
            <w:shd w:fill="B7DEE8" w:val="cle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1,167</w:t>
            </w:r>
          </w:p>
        </w:tc>
        <w:tc>
          <w:tcPr>
            <w:tcW w:w="196" w:type="dxa"/>
            <w:tcBorders/>
            <w:shd w:fill="B7DEE8"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5"/>
              </w:rPr>
            </w:pPr>
            <w:r>
              <w:rPr>
                <w:rFonts w:ascii="Times New Roman" w:hAnsi="Times New Roman"/>
                <w:b w:val="false"/>
                <w:color w:val="000000"/>
                <w:sz w:val="15"/>
              </w:rPr>
              <w:t>(48,696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5"/>
              </w:rPr>
            </w:pPr>
            <w:r>
              <w:rPr>
                <w:rFonts w:ascii="Times New Roman" w:hAnsi="Times New Roman"/>
                <w:b w:val="false"/>
                <w:color w:val="000000"/>
                <w:sz w:val="15"/>
              </w:rPr>
              <w: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(48,696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r>
      <w:tr>
        <w:trPr/>
        <w:tc>
          <w:tcPr>
            <w:tcW w:w="1126" w:type="dxa"/>
            <w:tcBorders/>
            <w:shd w:fill="B7DEE8"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at September 30, 2023</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10,537,725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8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0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290,187</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4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31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(508</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0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(210,499</w:t>
            </w:r>
          </w:p>
        </w:tc>
        <w:tc>
          <w:tcPr>
            <w:tcW w:w="15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22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3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79,181</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2621" w:type="dxa"/>
        <w:jc w:val="left"/>
        <w:tblInd w:w="0" w:type="dxa"/>
        <w:tblLayout w:type="fixed"/>
        <w:tblCellMar>
          <w:top w:w="28" w:type="dxa"/>
          <w:left w:w="28" w:type="dxa"/>
          <w:bottom w:w="28" w:type="dxa"/>
          <w:right w:w="28" w:type="dxa"/>
        </w:tblCellMar>
      </w:tblPr>
      <w:tblGrid>
        <w:gridCol w:w="1321"/>
        <w:gridCol w:w="146"/>
        <w:gridCol w:w="916"/>
        <w:gridCol w:w="166"/>
        <w:gridCol w:w="345"/>
        <w:gridCol w:w="346"/>
        <w:gridCol w:w="146"/>
        <w:gridCol w:w="146"/>
        <w:gridCol w:w="146"/>
        <w:gridCol w:w="826"/>
        <w:gridCol w:w="146"/>
        <w:gridCol w:w="374"/>
        <w:gridCol w:w="317"/>
        <w:gridCol w:w="146"/>
        <w:gridCol w:w="196"/>
        <w:gridCol w:w="691"/>
        <w:gridCol w:w="166"/>
        <w:gridCol w:w="146"/>
        <w:gridCol w:w="230"/>
        <w:gridCol w:w="776"/>
        <w:gridCol w:w="166"/>
        <w:gridCol w:w="332"/>
        <w:gridCol w:w="434"/>
        <w:gridCol w:w="166"/>
        <w:gridCol w:w="299"/>
        <w:gridCol w:w="872"/>
        <w:gridCol w:w="166"/>
        <w:gridCol w:w="217"/>
        <w:gridCol w:w="834"/>
        <w:gridCol w:w="166"/>
        <w:gridCol w:w="220"/>
        <w:gridCol w:w="846"/>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2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91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Loans to stockholders</w:t>
            </w:r>
          </w:p>
        </w:tc>
        <w:tc>
          <w:tcPr>
            <w:tcW w:w="16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1, 2022</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9,283,010</w:t>
            </w:r>
          </w:p>
        </w:tc>
        <w:tc>
          <w:tcPr>
            <w:tcW w:w="16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86,830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(15,192</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32"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99"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(32,897</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20"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38,737</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228,879</w:t>
            </w:r>
          </w:p>
        </w:tc>
        <w:tc>
          <w:tcPr>
            <w:tcW w:w="16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1,655</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Class A common stock pursuant to the PIPE financing</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656,247</w:t>
            </w:r>
          </w:p>
        </w:tc>
        <w:tc>
          <w:tcPr>
            <w:tcW w:w="16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210,000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pPr>
            <w:r>
              <w:rPr/>
              <w:t> </w:t>
            </w:r>
          </w:p>
        </w:tc>
        <w:tc>
          <w:tcPr>
            <w:tcW w:w="7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32" w:type="dxa"/>
            <w:tcBorders/>
            <w:shd w:fill="B7DEE8" w:val="clear"/>
            <w:vAlign w:val="center"/>
          </w:tcPr>
          <w:p>
            <w:pPr>
              <w:pStyle w:val="TableContents"/>
              <w:bidi w:val="0"/>
              <w:spacing w:before="0" w:after="283"/>
              <w:jc w:val="left"/>
              <w:rPr/>
            </w:pPr>
            <w:r>
              <w:rPr/>
              <w:t> </w:t>
            </w:r>
          </w:p>
        </w:tc>
        <w:tc>
          <w:tcPr>
            <w:tcW w:w="4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20" w:type="dxa"/>
            <w:tcBorders/>
            <w:shd w:fill="B7DEE8" w:val="clear"/>
            <w:vAlign w:val="center"/>
          </w:tcPr>
          <w:p>
            <w:pPr>
              <w:pStyle w:val="TableContents"/>
              <w:bidi w:val="0"/>
              <w:spacing w:before="0" w:after="283"/>
              <w:jc w:val="left"/>
              <w:rPr/>
            </w:pPr>
            <w:r>
              <w:rPr/>
              <w:t> </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210,000</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Class A common stock pursuant to the Merger Agreement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211,415</w:t>
            </w:r>
          </w:p>
        </w:tc>
        <w:tc>
          <w:tcPr>
            <w:tcW w:w="16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(26,701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332"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(26,701</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Series B-1 preferred stock warrants, net of settlement</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14,087</w:t>
            </w:r>
          </w:p>
        </w:tc>
        <w:tc>
          <w:tcPr>
            <w:tcW w:w="16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3,365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pPr>
            <w:r>
              <w:rPr/>
              <w:t> </w:t>
            </w:r>
          </w:p>
        </w:tc>
        <w:tc>
          <w:tcPr>
            <w:tcW w:w="7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32" w:type="dxa"/>
            <w:tcBorders/>
            <w:shd w:fill="B7DEE8" w:val="clear"/>
            <w:vAlign w:val="center"/>
          </w:tcPr>
          <w:p>
            <w:pPr>
              <w:pStyle w:val="TableContents"/>
              <w:bidi w:val="0"/>
              <w:spacing w:before="0" w:after="283"/>
              <w:jc w:val="left"/>
              <w:rPr/>
            </w:pPr>
            <w:r>
              <w:rPr/>
              <w:t> </w:t>
            </w:r>
          </w:p>
        </w:tc>
        <w:tc>
          <w:tcPr>
            <w:tcW w:w="4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20" w:type="dxa"/>
            <w:tcBorders/>
            <w:shd w:fill="B7DEE8" w:val="clear"/>
            <w:vAlign w:val="center"/>
          </w:tcPr>
          <w:p>
            <w:pPr>
              <w:pStyle w:val="TableContents"/>
              <w:bidi w:val="0"/>
              <w:spacing w:before="0" w:after="283"/>
              <w:jc w:val="left"/>
              <w:rPr/>
            </w:pPr>
            <w:r>
              <w:rPr/>
              <w:t> </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3,365</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Conversion of 2019 convertible notes and accrued interest to Class A 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7,040</w:t>
            </w:r>
          </w:p>
        </w:tc>
        <w:tc>
          <w:tcPr>
            <w:tcW w:w="16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720</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Repurchase of Class A common stock</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(6,203</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(1,588</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pPr>
            <w:r>
              <w:rPr/>
              <w:t> </w:t>
            </w:r>
          </w:p>
        </w:tc>
        <w:tc>
          <w:tcPr>
            <w:tcW w:w="7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32" w:type="dxa"/>
            <w:tcBorders/>
            <w:shd w:fill="B7DEE8" w:val="clear"/>
            <w:vAlign w:val="center"/>
          </w:tcPr>
          <w:p>
            <w:pPr>
              <w:pStyle w:val="TableContents"/>
              <w:bidi w:val="0"/>
              <w:spacing w:before="0" w:after="283"/>
              <w:jc w:val="left"/>
              <w:rPr/>
            </w:pPr>
            <w:r>
              <w:rPr/>
              <w:t> </w:t>
            </w:r>
          </w:p>
        </w:tc>
        <w:tc>
          <w:tcPr>
            <w:tcW w:w="4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w:t>
            </w:r>
          </w:p>
        </w:tc>
        <w:tc>
          <w:tcPr>
            <w:tcW w:w="16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20" w:type="dxa"/>
            <w:tcBorders/>
            <w:shd w:fill="B7DEE8" w:val="clear"/>
            <w:vAlign w:val="center"/>
          </w:tcPr>
          <w:p>
            <w:pPr>
              <w:pStyle w:val="TableContents"/>
              <w:bidi w:val="0"/>
              <w:spacing w:before="0" w:after="283"/>
              <w:jc w:val="left"/>
              <w:rPr/>
            </w:pPr>
            <w:r>
              <w:rPr/>
              <w:t> </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(1,583</w:t>
            </w:r>
          </w:p>
        </w:tc>
        <w:tc>
          <w:tcPr>
            <w:tcW w:w="21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warrant for Class A common stock</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Stockholder loans interest</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pPr>
            <w:r>
              <w:rPr/>
              <w:t> </w:t>
            </w:r>
          </w:p>
        </w:tc>
        <w:tc>
          <w:tcPr>
            <w:tcW w:w="7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32" w:type="dxa"/>
            <w:tcBorders/>
            <w:shd w:fill="B7DEE8" w:val="clear"/>
            <w:vAlign w:val="center"/>
          </w:tcPr>
          <w:p>
            <w:pPr>
              <w:pStyle w:val="TableContents"/>
              <w:bidi w:val="0"/>
              <w:spacing w:before="0" w:after="283"/>
              <w:jc w:val="left"/>
              <w:rPr/>
            </w:pPr>
            <w:r>
              <w:rPr/>
              <w:t> </w:t>
            </w:r>
          </w:p>
        </w:tc>
        <w:tc>
          <w:tcPr>
            <w:tcW w:w="4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20" w:type="dxa"/>
            <w:tcBorders/>
            <w:shd w:fill="B7DEE8" w:val="clear"/>
            <w:vAlign w:val="center"/>
          </w:tcPr>
          <w:p>
            <w:pPr>
              <w:pStyle w:val="TableContents"/>
              <w:bidi w:val="0"/>
              <w:spacing w:before="0" w:after="283"/>
              <w:jc w:val="left"/>
              <w:rPr/>
            </w:pPr>
            <w:r>
              <w:rPr/>
              <w:t> </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w:t>
            </w:r>
          </w:p>
        </w:tc>
        <w:tc>
          <w:tcPr>
            <w:tcW w:w="21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Exercise of derivative asset and paydown of stockholder loans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(187,945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(44,886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15,204</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(29,682</w:t>
            </w:r>
          </w:p>
        </w:tc>
        <w:tc>
          <w:tcPr>
            <w:tcW w:w="2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Extinguishment of liability</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42,613</w:t>
            </w:r>
          </w:p>
        </w:tc>
        <w:tc>
          <w:tcPr>
            <w:tcW w:w="16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3,150</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pPr>
            <w:r>
              <w:rPr/>
              <w:t> </w:t>
            </w:r>
          </w:p>
        </w:tc>
        <w:tc>
          <w:tcPr>
            <w:tcW w:w="7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32" w:type="dxa"/>
            <w:tcBorders/>
            <w:shd w:fill="B7DEE8" w:val="clear"/>
            <w:vAlign w:val="center"/>
          </w:tcPr>
          <w:p>
            <w:pPr>
              <w:pStyle w:val="TableContents"/>
              <w:bidi w:val="0"/>
              <w:spacing w:before="0" w:after="283"/>
              <w:jc w:val="left"/>
              <w:rPr/>
            </w:pPr>
            <w:r>
              <w:rPr/>
              <w:t> </w:t>
            </w:r>
          </w:p>
        </w:tc>
        <w:tc>
          <w:tcPr>
            <w:tcW w:w="4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051" w:type="dxa"/>
            <w:gridSpan w:val="2"/>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20" w:type="dxa"/>
            <w:tcBorders/>
            <w:shd w:fill="B7DEE8" w:val="clear"/>
            <w:vAlign w:val="center"/>
          </w:tcPr>
          <w:p>
            <w:pPr>
              <w:pStyle w:val="TableContents"/>
              <w:bidi w:val="0"/>
              <w:spacing w:before="0" w:after="283"/>
              <w:jc w:val="left"/>
              <w:rPr/>
            </w:pPr>
            <w:r>
              <w:rPr/>
              <w:t> </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3,150</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34,016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4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34,016</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Unrealized loss on available-for-sale securities</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30" w:type="dxa"/>
            <w:tcBorders/>
            <w:shd w:fill="B7DEE8" w:val="clear"/>
            <w:vAlign w:val="center"/>
          </w:tcPr>
          <w:p>
            <w:pPr>
              <w:pStyle w:val="TableContents"/>
              <w:bidi w:val="0"/>
              <w:spacing w:before="0" w:after="283"/>
              <w:jc w:val="left"/>
              <w:rPr/>
            </w:pPr>
            <w:r>
              <w:rPr/>
              <w:t> </w:t>
            </w:r>
          </w:p>
        </w:tc>
        <w:tc>
          <w:tcPr>
            <w:tcW w:w="77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332" w:type="dxa"/>
            <w:tcBorders/>
            <w:shd w:fill="B7DEE8" w:val="clear"/>
            <w:vAlign w:val="center"/>
          </w:tcPr>
          <w:p>
            <w:pPr>
              <w:pStyle w:val="TableContents"/>
              <w:bidi w:val="0"/>
              <w:spacing w:before="0" w:after="283"/>
              <w:jc w:val="left"/>
              <w:rPr/>
            </w:pPr>
            <w:r>
              <w:rPr/>
              <w:t> </w:t>
            </w:r>
          </w:p>
        </w:tc>
        <w:tc>
          <w:tcPr>
            <w:tcW w:w="4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(3,026</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1" w:type="dxa"/>
            <w:gridSpan w:val="2"/>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20" w:type="dxa"/>
            <w:tcBorders/>
            <w:shd w:fill="B7DEE8" w:val="clear"/>
            <w:vAlign w:val="center"/>
          </w:tcPr>
          <w:p>
            <w:pPr>
              <w:pStyle w:val="TableContents"/>
              <w:bidi w:val="0"/>
              <w:spacing w:before="0" w:after="283"/>
              <w:jc w:val="left"/>
              <w:rPr/>
            </w:pPr>
            <w:r>
              <w:rPr/>
              <w:t> </w:t>
            </w:r>
          </w:p>
        </w:tc>
        <w:tc>
          <w:tcPr>
            <w:tcW w:w="8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(3,026</w:t>
            </w:r>
          </w:p>
        </w:tc>
        <w:tc>
          <w:tcPr>
            <w:tcW w:w="21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(107,414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(107,414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10,249,146</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266,561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23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7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(3,026</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(140,311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20"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123,225</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jc w:val="center"/>
        <w:rPr/>
      </w:pPr>
      <w:r>
        <w:rPr/>
        <w:t> </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Dave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 of Stockholders’ Equity, Continued</w:t>
      </w:r>
      <w:r>
        <w:rPr>
          <w:rFonts w:ascii="Times New Roman" w:hAnsi="Times New Roman"/>
          <w:color w:val="000000"/>
          <w:sz w:val="20"/>
        </w:rPr>
        <w:t xml:space="preserve"> </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share data)</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center"/>
        <w:rPr/>
      </w:pPr>
      <w:r>
        <w:rPr/>
        <w:t> </w:t>
      </w:r>
    </w:p>
    <w:tbl>
      <w:tblPr>
        <w:tblW w:w="10477"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363"/>
        <w:gridCol w:w="808"/>
        <w:gridCol w:w="166"/>
        <w:gridCol w:w="217"/>
        <w:gridCol w:w="834"/>
        <w:gridCol w:w="166"/>
        <w:gridCol w:w="243"/>
        <w:gridCol w:w="823"/>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10,421,151</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283,432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(869</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(198,446</w:t>
            </w:r>
          </w:p>
        </w:tc>
        <w:tc>
          <w:tcPr>
            <w:tcW w:w="16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3"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3"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84,118</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Class A common stock in connection with stock plans</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116,574</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823"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6,740</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Unrealized gain on available-for-sale securities</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363" w:type="dxa"/>
            <w:tcBorders/>
            <w:shd w:fill="B7DEE8" w:val="clear"/>
            <w:vAlign w:val="center"/>
          </w:tcPr>
          <w:p>
            <w:pPr>
              <w:pStyle w:val="TableContents"/>
              <w:bidi w:val="0"/>
              <w:spacing w:before="0" w:after="283"/>
              <w:jc w:val="left"/>
              <w:rPr/>
            </w:pPr>
            <w:r>
              <w:rPr/>
              <w:t> </w:t>
            </w:r>
          </w:p>
        </w:tc>
        <w:tc>
          <w:tcPr>
            <w:tcW w:w="808"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361</w:t>
            </w:r>
          </w:p>
        </w:tc>
        <w:tc>
          <w:tcPr>
            <w:tcW w:w="166" w:type="dxa"/>
            <w:tcBorders/>
            <w:shd w:fill="B7DEE8" w:val="clear"/>
            <w:vAlign w:val="center"/>
          </w:tcPr>
          <w:p>
            <w:pPr>
              <w:pStyle w:val="TableContents"/>
              <w:bidi w:val="0"/>
              <w:spacing w:before="0" w:after="283"/>
              <w:jc w:val="left"/>
              <w:rPr/>
            </w:pPr>
            <w:r>
              <w:rPr/>
              <w:t> </w:t>
            </w:r>
          </w:p>
        </w:tc>
        <w:tc>
          <w:tcPr>
            <w:tcW w:w="217" w:type="dxa"/>
            <w:tcBorders/>
            <w:shd w:fill="B7DEE8" w:val="clear"/>
            <w:vAlign w:val="center"/>
          </w:tcPr>
          <w:p>
            <w:pPr>
              <w:pStyle w:val="TableContents"/>
              <w:bidi w:val="0"/>
              <w:spacing w:before="0" w:after="283"/>
              <w:jc w:val="left"/>
              <w:rPr/>
            </w:pPr>
            <w:r>
              <w:rPr/>
              <w:t> </w:t>
            </w:r>
          </w:p>
        </w:tc>
        <w:tc>
          <w:tcPr>
            <w:tcW w:w="834"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243" w:type="dxa"/>
            <w:tcBorders/>
            <w:shd w:fill="B7DEE8" w:val="clear"/>
            <w:vAlign w:val="center"/>
          </w:tcPr>
          <w:p>
            <w:pPr>
              <w:pStyle w:val="TableContents"/>
              <w:bidi w:val="0"/>
              <w:spacing w:before="0" w:after="283"/>
              <w:jc w:val="left"/>
              <w:rPr/>
            </w:pPr>
            <w:r>
              <w:rPr/>
              <w:t> </w:t>
            </w:r>
          </w:p>
        </w:tc>
        <w:tc>
          <w:tcPr>
            <w:tcW w:w="823"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361</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(12,053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(12,053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2023</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10,537,725</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290,187</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36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08"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(508</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(210,499</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4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2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79,181</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tbl>
      <w:tblPr>
        <w:tblW w:w="10477" w:type="dxa"/>
        <w:jc w:val="left"/>
        <w:tblInd w:w="0" w:type="dxa"/>
        <w:tblLayout w:type="fixed"/>
        <w:tblCellMar>
          <w:top w:w="28" w:type="dxa"/>
          <w:left w:w="28" w:type="dxa"/>
          <w:bottom w:w="28" w:type="dxa"/>
          <w:right w:w="28" w:type="dxa"/>
        </w:tblCellMar>
      </w:tblPr>
      <w:tblGrid>
        <w:gridCol w:w="1321"/>
        <w:gridCol w:w="146"/>
        <w:gridCol w:w="916"/>
        <w:gridCol w:w="146"/>
        <w:gridCol w:w="345"/>
        <w:gridCol w:w="346"/>
        <w:gridCol w:w="146"/>
        <w:gridCol w:w="146"/>
        <w:gridCol w:w="146"/>
        <w:gridCol w:w="826"/>
        <w:gridCol w:w="146"/>
        <w:gridCol w:w="374"/>
        <w:gridCol w:w="317"/>
        <w:gridCol w:w="146"/>
        <w:gridCol w:w="196"/>
        <w:gridCol w:w="691"/>
        <w:gridCol w:w="146"/>
        <w:gridCol w:w="146"/>
        <w:gridCol w:w="299"/>
        <w:gridCol w:w="872"/>
        <w:gridCol w:w="166"/>
        <w:gridCol w:w="217"/>
        <w:gridCol w:w="834"/>
        <w:gridCol w:w="166"/>
        <w:gridCol w:w="235"/>
        <w:gridCol w:w="831"/>
        <w:gridCol w:w="211"/>
      </w:tblGrid>
      <w:tr>
        <w:trPr/>
        <w:tc>
          <w:tcPr>
            <w:tcW w:w="1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21" w:type="dxa"/>
            <w:tcBorders/>
            <w:shd w:fill="FFFFFF" w:val="clear"/>
            <w:vAlign w:val="center"/>
          </w:tcPr>
          <w:p>
            <w:pPr>
              <w:pStyle w:val="TableContents"/>
              <w:bidi w:val="0"/>
              <w:spacing w:before="0" w:after="283"/>
              <w:jc w:val="center"/>
              <w:rPr/>
            </w:pPr>
            <w:r>
              <w:rPr/>
              <w:t> </w:t>
            </w:r>
          </w:p>
        </w:tc>
        <w:tc>
          <w:tcPr>
            <w:tcW w:w="4000" w:type="dxa"/>
            <w:gridSpan w:val="1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16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shd w:fill="FFFFFF" w:val="clear"/>
            <w:vAlign w:val="center"/>
          </w:tcPr>
          <w:p>
            <w:pPr>
              <w:pStyle w:val="TableContents"/>
              <w:bidi w:val="0"/>
              <w:spacing w:before="0" w:after="283"/>
              <w:jc w:val="center"/>
              <w:rPr/>
            </w:pPr>
            <w:r>
              <w:rPr/>
              <w:t> </w:t>
            </w:r>
          </w:p>
        </w:tc>
        <w:tc>
          <w:tcPr>
            <w:tcW w:w="10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shd w:fill="FFFFFF" w:val="clear"/>
            <w:vAlign w:val="center"/>
          </w:tcPr>
          <w:p>
            <w:pPr>
              <w:pStyle w:val="TableContents"/>
              <w:bidi w:val="0"/>
              <w:spacing w:before="0" w:after="283"/>
              <w:jc w:val="center"/>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June 30, 2022</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10,126,489</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258,508</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(2,430</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(92,807</w:t>
            </w:r>
          </w:p>
        </w:tc>
        <w:tc>
          <w:tcPr>
            <w:tcW w:w="166"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163,272</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Issuance of Class A common stock in connection with stock plans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122,656</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87</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Extinguishment of liability</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left"/>
              <w:rPr/>
            </w:pPr>
            <w:r>
              <w:rPr/>
              <w:t> </w:t>
            </w:r>
          </w:p>
        </w:tc>
        <w:tc>
          <w:tcPr>
            <w:tcW w:w="1051" w:type="dxa"/>
            <w:gridSpan w:val="2"/>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211" w:type="dxa"/>
            <w:tcBorders/>
            <w:shd w:fill="B7DEE8" w:val="cle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Stock-based compensation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9"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7,966</w:t>
            </w:r>
          </w:p>
        </w:tc>
        <w:tc>
          <w:tcPr>
            <w:tcW w:w="211" w:type="dxa"/>
            <w:tcBorders/>
            <w:shd w:fill="FFFFFF" w:val="clear"/>
            <w:vAlign w:val="center"/>
          </w:tcPr>
          <w:p>
            <w:pPr>
              <w:pStyle w:val="TableContents"/>
              <w:bidi w:val="0"/>
              <w:spacing w:before="0" w:after="283"/>
              <w:jc w:val="left"/>
              <w:rPr/>
            </w:pPr>
            <w:r>
              <w:rPr/>
              <w:t> </w:t>
            </w:r>
          </w:p>
        </w:tc>
      </w:tr>
      <w:tr>
        <w:trPr/>
        <w:tc>
          <w:tcPr>
            <w:tcW w:w="1321"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Unrealized loss on available-for-sale securities</w:t>
            </w:r>
          </w:p>
        </w:tc>
        <w:tc>
          <w:tcPr>
            <w:tcW w:w="146" w:type="dxa"/>
            <w:tcBorders/>
            <w:shd w:fill="B7DEE8" w:val="clear"/>
            <w:vAlign w:val="center"/>
          </w:tcPr>
          <w:p>
            <w:pPr>
              <w:pStyle w:val="TableContents"/>
              <w:bidi w:val="0"/>
              <w:spacing w:before="0" w:after="283"/>
              <w:jc w:val="left"/>
              <w:rPr/>
            </w:pPr>
            <w:r>
              <w:rPr/>
              <w:t> </w:t>
            </w:r>
          </w:p>
        </w:tc>
        <w:tc>
          <w:tcPr>
            <w:tcW w:w="91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left"/>
              <w:rPr/>
            </w:pPr>
            <w:r>
              <w:rPr/>
              <w:t> </w:t>
            </w:r>
          </w:p>
        </w:tc>
        <w:tc>
          <w:tcPr>
            <w:tcW w:w="826"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374" w:type="dxa"/>
            <w:tcBorders/>
            <w:shd w:fill="B7DEE8" w:val="clear"/>
            <w:vAlign w:val="center"/>
          </w:tcPr>
          <w:p>
            <w:pPr>
              <w:pStyle w:val="TableContents"/>
              <w:bidi w:val="0"/>
              <w:spacing w:before="0" w:after="283"/>
              <w:jc w:val="left"/>
              <w:rPr/>
            </w:pPr>
            <w:r>
              <w:rPr/>
              <w:t> </w:t>
            </w:r>
          </w:p>
        </w:tc>
        <w:tc>
          <w:tcPr>
            <w:tcW w:w="317"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96" w:type="dxa"/>
            <w:tcBorders/>
            <w:shd w:fill="B7DEE8" w:val="clear"/>
            <w:vAlign w:val="center"/>
          </w:tcPr>
          <w:p>
            <w:pPr>
              <w:pStyle w:val="TableContents"/>
              <w:bidi w:val="0"/>
              <w:spacing w:before="0" w:after="283"/>
              <w:jc w:val="left"/>
              <w:rPr/>
            </w:pPr>
            <w:r>
              <w:rPr/>
              <w:t> </w:t>
            </w:r>
          </w:p>
        </w:tc>
        <w:tc>
          <w:tcPr>
            <w:tcW w:w="691"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99" w:type="dxa"/>
            <w:tcBorders/>
            <w:shd w:fill="B7DEE8" w:val="clear"/>
            <w:vAlign w:val="center"/>
          </w:tcPr>
          <w:p>
            <w:pPr>
              <w:pStyle w:val="TableContents"/>
              <w:bidi w:val="0"/>
              <w:spacing w:before="0" w:after="283"/>
              <w:jc w:val="left"/>
              <w:rPr/>
            </w:pPr>
            <w:r>
              <w:rPr/>
              <w:t> </w:t>
            </w:r>
          </w:p>
        </w:tc>
        <w:tc>
          <w:tcPr>
            <w:tcW w:w="872" w:type="dxa"/>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(596</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051" w:type="dxa"/>
            <w:gridSpan w:val="2"/>
            <w:tcBorders/>
            <w:shd w:fill="B7DEE8"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shd w:fill="B7DEE8" w:val="clear"/>
            <w:vAlign w:val="center"/>
          </w:tcPr>
          <w:p>
            <w:pPr>
              <w:pStyle w:val="TableContents"/>
              <w:bidi w:val="0"/>
              <w:spacing w:before="0" w:after="283"/>
              <w:jc w:val="right"/>
              <w:rPr/>
            </w:pPr>
            <w:r>
              <w:rPr/>
              <w:t> </w:t>
            </w:r>
          </w:p>
        </w:tc>
        <w:tc>
          <w:tcPr>
            <w:tcW w:w="235" w:type="dxa"/>
            <w:tcBorders/>
            <w:shd w:fill="B7DEE8" w:val="clear"/>
            <w:vAlign w:val="center"/>
          </w:tcPr>
          <w:p>
            <w:pPr>
              <w:pStyle w:val="TableContents"/>
              <w:bidi w:val="0"/>
              <w:spacing w:before="0" w:after="283"/>
              <w:jc w:val="left"/>
              <w:rPr/>
            </w:pPr>
            <w:r>
              <w:rPr/>
              <w:t> </w:t>
            </w:r>
          </w:p>
        </w:tc>
        <w:tc>
          <w:tcPr>
            <w:tcW w:w="831" w:type="dxa"/>
            <w:tcBorders/>
            <w:shd w:fill="B7DEE8" w:val="cle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(596</w:t>
            </w:r>
          </w:p>
        </w:tc>
        <w:tc>
          <w:tcPr>
            <w:tcW w:w="21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(47,504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(47,504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321" w:type="dxa"/>
            <w:tcBorders/>
            <w:shd w:fill="B7DEE8"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September 30, 2022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10,249,146</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1,514,082</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3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266,561</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72"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(3,026</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17"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(140,311</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23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123,225</w:t>
            </w:r>
          </w:p>
        </w:tc>
        <w:tc>
          <w:tcPr>
            <w:tcW w:w="21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1321"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6"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See accompanying notes to the condensed consolidated financial statements.</w:t>
      </w:r>
    </w:p>
    <w:p>
      <w:pPr>
        <w:pStyle w:val="TextBody"/>
        <w:bidi w:val="0"/>
        <w:spacing w:before="20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Dave Inc.</w:t>
      </w:r>
    </w:p>
    <w:p>
      <w:pPr>
        <w:pStyle w:val="TextBody"/>
        <w:bidi w:val="0"/>
        <w:jc w:val="center"/>
        <w:rPr>
          <w:rFonts w:ascii="Times New Roman" w:hAnsi="Times New Roman"/>
          <w:sz w:val="20"/>
        </w:rPr>
      </w:pPr>
      <w:bookmarkStart w:id="9" w:name="consolidatedstatementsofcashflows"/>
      <w:bookmarkEnd w:id="9"/>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1"/>
        <w:gridCol w:w="5943"/>
        <w:gridCol w:w="346"/>
        <w:gridCol w:w="299"/>
        <w:gridCol w:w="1109"/>
        <w:gridCol w:w="235"/>
        <w:gridCol w:w="206"/>
        <w:gridCol w:w="299"/>
        <w:gridCol w:w="1194"/>
        <w:gridCol w:w="213"/>
      </w:tblGrid>
      <w:tr>
        <w:trPr/>
        <w:tc>
          <w:tcPr>
            <w:tcW w:w="361" w:type="dxa"/>
            <w:tcBorders/>
            <w:vAlign w:val="center"/>
          </w:tcPr>
          <w:p>
            <w:pPr>
              <w:pStyle w:val="TableContents"/>
              <w:bidi w:val="0"/>
              <w:spacing w:before="0" w:after="283"/>
              <w:jc w:val="left"/>
              <w:rPr>
                <w:sz w:val="4"/>
                <w:szCs w:val="4"/>
              </w:rPr>
            </w:pPr>
            <w:r>
              <w:rPr>
                <w:sz w:val="4"/>
                <w:szCs w:val="4"/>
              </w:rPr>
            </w:r>
          </w:p>
        </w:tc>
        <w:tc>
          <w:tcPr>
            <w:tcW w:w="59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 September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493" w:type="dxa"/>
            <w:gridSpan w:val="2"/>
            <w:tcBorders/>
            <w:shd w:fill="FFFFFF" w:val="clear"/>
            <w:vAlign w:val="center"/>
          </w:tcPr>
          <w:p>
            <w:pPr>
              <w:pStyle w:val="TableContents"/>
              <w:bidi w:val="0"/>
              <w:spacing w:before="0" w:after="283"/>
              <w:jc w:val="center"/>
              <w:rPr/>
            </w:pPr>
            <w:r>
              <w:rPr/>
              <w:t> </w:t>
            </w:r>
          </w:p>
        </w:tc>
        <w:tc>
          <w:tcPr>
            <w:tcW w:w="213" w:type="dxa"/>
            <w:tcBorders/>
            <w:shd w:fill="FFFFFF" w:val="clear"/>
            <w:vAlign w:val="center"/>
          </w:tcPr>
          <w:p>
            <w:pPr>
              <w:pStyle w:val="TableContents"/>
              <w:bidi w:val="0"/>
              <w:spacing w:before="0" w:after="283"/>
              <w:jc w:val="center"/>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346" w:type="dxa"/>
            <w:tcBorders/>
            <w:shd w:fill="B7DEE8" w:val="clear"/>
            <w:vAlign w:val="center"/>
          </w:tcPr>
          <w:p>
            <w:pPr>
              <w:pStyle w:val="TableContents"/>
              <w:bidi w:val="0"/>
              <w:spacing w:before="0" w:after="283"/>
              <w:jc w:val="left"/>
              <w:rPr/>
            </w:pPr>
            <w:r>
              <w:rPr/>
              <w:t> </w:t>
            </w:r>
          </w:p>
        </w:tc>
        <w:tc>
          <w:tcPr>
            <w:tcW w:w="1408" w:type="dxa"/>
            <w:gridSpan w:val="2"/>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1493" w:type="dxa"/>
            <w:gridSpan w:val="2"/>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3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(48,696</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(107,414</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reconcile net loss to net cash provided by (used in) operating activities:</w:t>
            </w:r>
          </w:p>
        </w:tc>
        <w:tc>
          <w:tcPr>
            <w:tcW w:w="346" w:type="dxa"/>
            <w:tcBorders/>
            <w:shd w:fill="B7DEE8" w:val="clear"/>
            <w:vAlign w:val="center"/>
          </w:tcPr>
          <w:p>
            <w:pPr>
              <w:pStyle w:val="TableContents"/>
              <w:bidi w:val="0"/>
              <w:spacing w:before="0" w:after="283"/>
              <w:jc w:val="left"/>
              <w:rPr/>
            </w:pPr>
            <w:r>
              <w:rPr/>
              <w:t> </w:t>
            </w:r>
          </w:p>
        </w:tc>
        <w:tc>
          <w:tcPr>
            <w:tcW w:w="1408" w:type="dxa"/>
            <w:gridSpan w:val="2"/>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1493" w:type="dxa"/>
            <w:gridSpan w:val="2"/>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3,863</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5,549</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43,861</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45,995</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Changes in fair value of derivative asset on loans to stockholders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Changes in fair value of earnout liabilities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3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(9,616</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Changes in fair value of warrant liabilities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(14,232</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Gain on extinguishment of liability</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20,146</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34,074</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Non-cash interest</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2,320</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1,534</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Changes in fair value of marketable securities and short-term investments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9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Member advances, service based revenue</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(2,534</w:t>
            </w:r>
          </w:p>
        </w:tc>
        <w:tc>
          <w:tcPr>
            <w:tcW w:w="23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(5,351</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Prepaid income taxes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690</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(5,276</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(2,334</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3,565</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Accrued expenses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3,460</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3,057</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Legal settlement accrual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(2,035</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6,349</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Other current liabilities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(612</w:t>
            </w:r>
          </w:p>
        </w:tc>
        <w:tc>
          <w:tcPr>
            <w:tcW w:w="23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Other non-current liabilities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Other non-current assets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3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18,121</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(40,944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pPr>
            <w:r>
              <w:rPr/>
              <w:t> </w:t>
            </w:r>
          </w:p>
        </w:tc>
        <w:tc>
          <w:tcPr>
            <w:tcW w:w="346" w:type="dxa"/>
            <w:tcBorders/>
            <w:shd w:fill="B7DEE8" w:val="clear"/>
            <w:vAlign w:val="center"/>
          </w:tcPr>
          <w:p>
            <w:pPr>
              <w:pStyle w:val="TableContents"/>
              <w:bidi w:val="0"/>
              <w:spacing w:before="0" w:after="283"/>
              <w:jc w:val="left"/>
              <w:rPr/>
            </w:pPr>
            <w:r>
              <w:rPr/>
              <w:t> </w:t>
            </w:r>
          </w:p>
        </w:tc>
        <w:tc>
          <w:tcPr>
            <w:tcW w:w="1408" w:type="dxa"/>
            <w:gridSpan w:val="2"/>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1493" w:type="dxa"/>
            <w:gridSpan w:val="2"/>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9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Payments for internally developed software costs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(5,888</w:t>
            </w:r>
          </w:p>
        </w:tc>
        <w:tc>
          <w:tcPr>
            <w:tcW w:w="23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(6,442</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Purchase of property and equipment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Net disbursements and collections of Member advances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(34,268</w:t>
            </w:r>
          </w:p>
        </w:tc>
        <w:tc>
          <w:tcPr>
            <w:tcW w:w="23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(77,629</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Purchase of short-term investments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(92,024</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(197,799</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Sale and maturity of short-term investments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137,193</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10,249</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Purchase of marketable securities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(34,385</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(300,641</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Sale of marketable securities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33,027</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308,844</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(used in) investing activities</w:t>
            </w:r>
          </w:p>
        </w:tc>
        <w:tc>
          <w:tcPr>
            <w:tcW w:w="3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2,997</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(263,928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sz w:val="4"/>
                <w:szCs w:val="4"/>
              </w:rPr>
            </w:pPr>
            <w:r>
              <w:rPr>
                <w:sz w:val="4"/>
                <w:szCs w:val="4"/>
              </w:rPr>
            </w:r>
          </w:p>
        </w:tc>
        <w:tc>
          <w:tcPr>
            <w:tcW w:w="346" w:type="dxa"/>
            <w:tcBorders/>
            <w:shd w:fill="B7DEE8" w:val="clear"/>
            <w:vAlign w:val="center"/>
          </w:tcPr>
          <w:p>
            <w:pPr>
              <w:pStyle w:val="TableContents"/>
              <w:bidi w:val="0"/>
              <w:spacing w:before="0" w:after="283"/>
              <w:jc w:val="left"/>
              <w:rPr/>
            </w:pPr>
            <w:r>
              <w:rPr/>
              <w:t> </w:t>
            </w:r>
          </w:p>
        </w:tc>
        <w:tc>
          <w:tcPr>
            <w:tcW w:w="1408" w:type="dxa"/>
            <w:gridSpan w:val="2"/>
            <w:tcBorders/>
            <w:shd w:fill="B7DEE8" w:val="clear"/>
            <w:vAlign w:val="center"/>
          </w:tcPr>
          <w:p>
            <w:pPr>
              <w:pStyle w:val="TableContents"/>
              <w:bidi w:val="0"/>
              <w:spacing w:before="0" w:after="283"/>
              <w:jc w:val="left"/>
              <w:rPr/>
            </w:pPr>
            <w:r>
              <w:rPr/>
              <w:t> </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1493" w:type="dxa"/>
            <w:gridSpan w:val="2"/>
            <w:tcBorders/>
            <w:shd w:fill="B7DEE8" w:val="clear"/>
            <w:vAlign w:val="center"/>
          </w:tcPr>
          <w:p>
            <w:pPr>
              <w:pStyle w:val="TableContents"/>
              <w:bidi w:val="0"/>
              <w:spacing w:before="0" w:after="283"/>
              <w:jc w:val="left"/>
              <w:rPr/>
            </w:pPr>
            <w:r>
              <w:rPr/>
              <w:t> </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9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Proceeds from PIPE offering</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195,000</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Proceeds from escrow account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29,688</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Payment of issuance costs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(23,005</w:t>
            </w:r>
          </w:p>
        </w:tc>
        <w:tc>
          <w:tcPr>
            <w:tcW w:w="21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Payment for fractional shares on reverse stock split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2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Proceeds from issuance of common stock for stock option exercises</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1,660</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Repurchase of common stock</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19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(1,583</w:t>
            </w:r>
          </w:p>
        </w:tc>
        <w:tc>
          <w:tcPr>
            <w:tcW w:w="2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B7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Proceeds from borrowings on convertible debt</w:t>
            </w:r>
          </w:p>
        </w:tc>
        <w:tc>
          <w:tcPr>
            <w:tcW w:w="346" w:type="dxa"/>
            <w:tcBorders/>
            <w:shd w:fill="B7DEE8" w:val="clear"/>
            <w:vAlign w:val="center"/>
          </w:tcPr>
          <w:p>
            <w:pPr>
              <w:pStyle w:val="TableContents"/>
              <w:bidi w:val="0"/>
              <w:spacing w:before="0" w:after="283"/>
              <w:ind w:left="200" w:right="0" w:firstLine="200"/>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100,000</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ind w:left="0" w:right="0" w:firstLine="200"/>
              <w:jc w:val="left"/>
              <w:rPr/>
            </w:pPr>
            <w:r>
              <w:rPr/>
              <w:t> </w:t>
            </w:r>
          </w:p>
        </w:tc>
        <w:tc>
          <w:tcPr>
            <w:tcW w:w="594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Proceeds from borrowings on debt and credit facilities</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14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346" w:type="dxa"/>
            <w:tcBorders/>
            <w:shd w:fill="B7DEE8" w:val="clear"/>
            <w:vAlign w:val="center"/>
          </w:tcPr>
          <w:p>
            <w:pPr>
              <w:pStyle w:val="TableContents"/>
              <w:bidi w:val="0"/>
              <w:spacing w:before="0" w:after="283"/>
              <w:jc w:val="left"/>
              <w:rPr/>
            </w:pPr>
            <w:r>
              <w:rPr/>
              <w:t> </w:t>
            </w:r>
          </w:p>
        </w:tc>
        <w:tc>
          <w:tcPr>
            <w:tcW w:w="2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235"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311,760</w:t>
            </w:r>
          </w:p>
        </w:tc>
        <w:tc>
          <w:tcPr>
            <w:tcW w:w="213"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9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increase in cash and cash equivalents and restricted cash</w:t>
            </w:r>
          </w:p>
        </w:tc>
        <w:tc>
          <w:tcPr>
            <w:tcW w:w="34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21,122</w:t>
            </w:r>
          </w:p>
        </w:tc>
        <w:tc>
          <w:tcPr>
            <w:tcW w:w="235" w:type="dxa"/>
            <w:tcBorders/>
            <w:shd w:fill="B7DEE8" w:val="cle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shd w:fill="B7DEE8" w:val="clear"/>
            <w:vAlign w:val="center"/>
          </w:tcPr>
          <w:p>
            <w:pPr>
              <w:pStyle w:val="TableContents"/>
              <w:bidi w:val="0"/>
              <w:spacing w:before="0" w:after="283"/>
              <w:jc w:val="left"/>
              <w:rPr/>
            </w:pPr>
            <w:r>
              <w:rPr/>
              <w:t> </w:t>
            </w:r>
          </w:p>
        </w:tc>
        <w:tc>
          <w:tcPr>
            <w:tcW w:w="1194"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6,888</w:t>
            </w:r>
          </w:p>
        </w:tc>
        <w:tc>
          <w:tcPr>
            <w:tcW w:w="213" w:type="dxa"/>
            <w:tcBorders/>
            <w:shd w:fill="B7DEE8" w:val="cle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 and restricted cash, beginning of the period</w:t>
            </w:r>
          </w:p>
        </w:tc>
        <w:tc>
          <w:tcPr>
            <w:tcW w:w="3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23,677</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32,372</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end of the period</w:t>
            </w:r>
          </w:p>
        </w:tc>
        <w:tc>
          <w:tcPr>
            <w:tcW w:w="346" w:type="dxa"/>
            <w:tcBorders/>
            <w:shd w:fill="B7DEE8" w:val="clear"/>
            <w:vAlign w:val="center"/>
          </w:tcPr>
          <w:p>
            <w:pPr>
              <w:pStyle w:val="TableContents"/>
              <w:bidi w:val="0"/>
              <w:spacing w:before="0" w:after="283"/>
              <w:jc w:val="left"/>
              <w:rPr/>
            </w:pPr>
            <w:r>
              <w:rPr/>
              <w:t> </w:t>
            </w:r>
          </w:p>
        </w:tc>
        <w:tc>
          <w:tcPr>
            <w:tcW w:w="2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44,799</w:t>
            </w:r>
          </w:p>
        </w:tc>
        <w:tc>
          <w:tcPr>
            <w:tcW w:w="235"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206" w:type="dxa"/>
            <w:tcBorders/>
            <w:shd w:fill="B7DEE8" w:val="clear"/>
            <w:vAlign w:val="center"/>
          </w:tcPr>
          <w:p>
            <w:pPr>
              <w:pStyle w:val="TableContents"/>
              <w:bidi w:val="0"/>
              <w:spacing w:before="0" w:after="283"/>
              <w:jc w:val="left"/>
              <w:rPr/>
            </w:pPr>
            <w:r>
              <w:rPr/>
              <w:t> </w:t>
            </w:r>
          </w:p>
        </w:tc>
        <w:tc>
          <w:tcPr>
            <w:tcW w:w="299"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4"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39,260</w:t>
            </w:r>
          </w:p>
        </w:tc>
        <w:tc>
          <w:tcPr>
            <w:tcW w:w="213"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r>
      <w:tr>
        <w:trPr/>
        <w:tc>
          <w:tcPr>
            <w:tcW w:w="361" w:type="dxa"/>
            <w:tcBorders/>
            <w:shd w:fill="FFFFFF" w:val="clear"/>
            <w:vAlign w:val="center"/>
          </w:tcPr>
          <w:p>
            <w:pPr>
              <w:pStyle w:val="TableContents"/>
              <w:bidi w:val="0"/>
              <w:spacing w:before="0" w:after="283"/>
              <w:jc w:val="left"/>
              <w:rPr/>
            </w:pPr>
            <w:r>
              <w:rPr/>
              <w:t> </w:t>
            </w:r>
          </w:p>
        </w:tc>
        <w:tc>
          <w:tcPr>
            <w:tcW w:w="5943"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408" w:type="dxa"/>
            <w:gridSpan w:val="2"/>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493" w:type="dxa"/>
            <w:gridSpan w:val="2"/>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
        <w:gridCol w:w="7275"/>
        <w:gridCol w:w="246"/>
        <w:gridCol w:w="211"/>
        <w:gridCol w:w="676"/>
        <w:gridCol w:w="146"/>
        <w:gridCol w:w="146"/>
        <w:gridCol w:w="211"/>
        <w:gridCol w:w="676"/>
        <w:gridCol w:w="166"/>
        <w:gridCol w:w="191"/>
      </w:tblGrid>
      <w:tr>
        <w:trPr/>
        <w:tc>
          <w:tcPr>
            <w:tcW w:w="261" w:type="dxa"/>
            <w:tcBorders/>
            <w:vAlign w:val="center"/>
          </w:tcPr>
          <w:p>
            <w:pPr>
              <w:pStyle w:val="TableContents"/>
              <w:bidi w:val="0"/>
              <w:spacing w:before="0" w:after="283"/>
              <w:jc w:val="left"/>
              <w:rPr>
                <w:sz w:val="4"/>
                <w:szCs w:val="4"/>
              </w:rPr>
            </w:pPr>
            <w:r>
              <w:rPr>
                <w:sz w:val="4"/>
                <w:szCs w:val="4"/>
              </w:rPr>
            </w:r>
          </w:p>
        </w:tc>
        <w:tc>
          <w:tcPr>
            <w:tcW w:w="7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2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887" w:type="dxa"/>
            <w:gridSpan w:val="2"/>
            <w:tcBorders/>
            <w:shd w:fill="B7DEE8" w:val="clear"/>
            <w:vAlign w:val="center"/>
          </w:tcPr>
          <w:p>
            <w:pPr>
              <w:pStyle w:val="TableContents"/>
              <w:bidi w:val="0"/>
              <w:spacing w:before="0" w:after="283"/>
              <w:jc w:val="right"/>
              <w:rPr/>
            </w:pPr>
            <w:r>
              <w:rPr/>
              <w:t> </w:t>
            </w:r>
          </w:p>
        </w:tc>
        <w:tc>
          <w:tcPr>
            <w:tcW w:w="166" w:type="dxa"/>
            <w:tcBorders/>
            <w:shd w:fill="B7DEE8"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Property and equipment purchases in accounts payable and accrued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Conversion of convertible preferred stock to Class A common stock in connection with the reverse recapitalization</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72,173</w:t>
            </w:r>
          </w:p>
        </w:tc>
        <w:tc>
          <w:tcPr>
            <w:tcW w:w="166" w:type="dxa"/>
            <w:tcBorders/>
            <w:shd w:fill="B7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Recapitalization transaction costs liability incurred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7,500</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Conversion of convertible notes and accrued interest to Class A common stock in connection with the reverse recapitalization</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720</w:t>
            </w:r>
          </w:p>
        </w:tc>
        <w:tc>
          <w:tcPr>
            <w:tcW w:w="166" w:type="dxa"/>
            <w:tcBorders/>
            <w:shd w:fill="B7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Conversion of B-1 warrants to Class A common stock in connection with the reverse recapitalization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3,365</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Discharge of PIPE promissory note in connection with the reverse recapitalization</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15,000</w:t>
            </w:r>
          </w:p>
        </w:tc>
        <w:tc>
          <w:tcPr>
            <w:tcW w:w="166" w:type="dxa"/>
            <w:tcBorders/>
            <w:shd w:fill="B7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paid (received) for:</w:t>
            </w:r>
          </w:p>
        </w:tc>
        <w:tc>
          <w:tcPr>
            <w:tcW w:w="2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Income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ind w:left="0" w:right="0" w:firstLine="100"/>
              <w:jc w:val="left"/>
              <w:rPr/>
            </w:pPr>
            <w:r>
              <w:rPr/>
              <w:t> </w:t>
            </w:r>
          </w:p>
        </w:tc>
        <w:tc>
          <w:tcPr>
            <w:tcW w:w="7275" w:type="dxa"/>
            <w:tcBorders/>
            <w:shd w:fill="B7DEE8"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Interest</w:t>
            </w:r>
          </w:p>
        </w:tc>
        <w:tc>
          <w:tcPr>
            <w:tcW w:w="246" w:type="dxa"/>
            <w:tcBorders/>
            <w:shd w:fill="B7DEE8" w:val="clear"/>
            <w:vAlign w:val="center"/>
          </w:tcPr>
          <w:p>
            <w:pPr>
              <w:pStyle w:val="TableContents"/>
              <w:bidi w:val="0"/>
              <w:spacing w:before="0" w:after="283"/>
              <w:ind w:left="100" w:right="0" w:firstLine="100"/>
              <w:jc w:val="lef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3,608</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21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3,761</w:t>
            </w:r>
          </w:p>
        </w:tc>
        <w:tc>
          <w:tcPr>
            <w:tcW w:w="166" w:type="dxa"/>
            <w:tcBorders/>
            <w:shd w:fill="B7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 following table provides a reconciliation of cash and cash equivalents, and restricted cash reported within the condensed consolidated balance sheet with the same as shown in the condensed consolidated statement of cash flows</w:t>
            </w:r>
          </w:p>
        </w:tc>
        <w:tc>
          <w:tcPr>
            <w:tcW w:w="2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87" w:type="dxa"/>
            <w:gridSpan w:val="2"/>
            <w:tcBorders/>
            <w:shd w:fill="B7DEE8" w:val="clear"/>
            <w:vAlign w:val="center"/>
          </w:tcPr>
          <w:p>
            <w:pPr>
              <w:pStyle w:val="TableContents"/>
              <w:bidi w:val="0"/>
              <w:spacing w:before="0" w:after="283"/>
              <w:jc w:val="left"/>
              <w:rPr/>
            </w:pPr>
            <w:r>
              <w:rPr/>
              <w:t> </w:t>
            </w:r>
          </w:p>
        </w:tc>
        <w:tc>
          <w:tcPr>
            <w:tcW w:w="166" w:type="dxa"/>
            <w:tcBorders/>
            <w:shd w:fill="B7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38,558</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246" w:type="dxa"/>
            <w:tcBorders/>
            <w:shd w:fill="B7DEE8" w:val="clear"/>
            <w:vAlign w:val="center"/>
          </w:tcPr>
          <w:p>
            <w:pPr>
              <w:pStyle w:val="TableContents"/>
              <w:bidi w:val="0"/>
              <w:spacing w:before="0" w:after="283"/>
              <w:jc w:val="left"/>
              <w:rPr/>
            </w:pPr>
            <w:r>
              <w:rPr/>
              <w:t> </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1,191</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1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end of the period</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61" w:type="dxa"/>
            <w:tcBorders/>
            <w:shd w:fill="FFFFFF" w:val="clear"/>
            <w:vAlign w:val="center"/>
          </w:tcPr>
          <w:p>
            <w:pPr>
              <w:pStyle w:val="TableContents"/>
              <w:bidi w:val="0"/>
              <w:spacing w:before="0" w:after="283"/>
              <w:jc w:val="left"/>
              <w:rPr/>
            </w:pPr>
            <w:r>
              <w:rPr/>
              <w:t> </w:t>
            </w:r>
          </w:p>
        </w:tc>
        <w:tc>
          <w:tcPr>
            <w:tcW w:w="727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18"/>
        </w:rPr>
      </w:pPr>
      <w:r>
        <w:rPr>
          <w:rFonts w:ascii="Times New Roman" w:hAnsi="Times New Roman"/>
          <w:b w:val="false"/>
          <w:color w:val="000000"/>
          <w:sz w:val="18"/>
        </w:rPr>
        <w:t>See accompanying notes to the unaudited condensed consolidated financial statements.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0" w:name="notestoconsolidatedfinancialstatements"/>
      <w:bookmarkEnd w:id="10"/>
      <w:r>
        <w:rPr>
          <w:rFonts w:ascii="Times New Roman" w:hAnsi="Times New Roman"/>
          <w:b/>
          <w:color w:val="000000"/>
          <w:sz w:val="20"/>
        </w:rPr>
        <w:t>Note 1 Organization and Nature of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Overview:</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businesses. On January 5, 2022, the Company consummated the transactions contemplated by that certain Agreement and Plan of Merger, dated as of June 7, 2021 among VPCC, Dave Inc., a Delaware corporation (“Legacy Dave”), and other entities (the “Business Combination”). In connection with the closing of the Business Combination, the Company changed its name from “VPC Impact Acquisition Holdings III, Inc.” to “Dave Inc.”</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Dave offers a suite of innovative financial products aimed at helping Members improve their financial health. To help Members avoid punitive overdraft fees and access short-term liquidity, Dave offers cash advances through its flagship 0% interest ExtraCash product. Through Dave Banking, the Company provides a digital checking account experience with valuable tools for building long-term financial health. Dave also helps Members generate extra income for spending or emergencies through Dave’s Side Hustle product and Surveys, where Dave presents Members with supplemental work and income opportunities.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ExtraCash:</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w:t>
      </w:r>
      <w:r>
        <w:rPr>
          <w:rFonts w:ascii="Times New Roman" w:hAnsi="Times New Roman"/>
          <w:color w:val="000000"/>
          <w:sz w:val="20"/>
        </w:rPr>
        <w:t xml:space="preserve"> </w:t>
      </w:r>
      <w:r>
        <w:rPr>
          <w:rFonts w:ascii="Times New Roman" w:hAnsi="Times New Roman"/>
          <w:b w:val="false"/>
          <w:color w:val="000000"/>
          <w:sz w:val="20"/>
        </w:rPr>
        <w:t>for access to as little as $5</w:t>
      </w:r>
      <w:r>
        <w:rPr>
          <w:rFonts w:ascii="Times New Roman" w:hAnsi="Times New Roman"/>
          <w:color w:val="000000"/>
          <w:sz w:val="20"/>
        </w:rPr>
        <w:t xml:space="preserve"> </w:t>
      </w:r>
      <w:r>
        <w:rPr>
          <w:rFonts w:ascii="Times New Roman" w:hAnsi="Times New Roman"/>
          <w:b w:val="false"/>
          <w:color w:val="000000"/>
          <w:sz w:val="20"/>
        </w:rPr>
        <w:t>of overdraft, and many others in the financial services sector do not allow for overdraft at all. Dave invented a short-term liquidity alternative called ExtraCash, which allows Members to advance funds to their account and avoid a fee altogether. Members may receive an advance of up to $500</w:t>
      </w:r>
      <w:r>
        <w:rPr>
          <w:rFonts w:ascii="Times New Roman" w:hAnsi="Times New Roman"/>
          <w:color w:val="000000"/>
          <w:sz w:val="20"/>
        </w:rPr>
        <w:t xml:space="preserve"> </w:t>
      </w:r>
      <w:r>
        <w:rPr>
          <w:rFonts w:ascii="Times New Roman" w:hAnsi="Times New Roman"/>
          <w:b w:val="false"/>
          <w:color w:val="000000"/>
          <w:sz w:val="20"/>
        </w:rPr>
        <w:t>and may only have one advance outstanding at any given time.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Dave Banking: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Dave offers a full-service digital checking account through its partnership with Evolve Bank and Trust (“Evolve”). The Dave Spending Account does not have overdraft or minimum balance fees.</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Budget: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Dave’s automated financial management tool leverages historical bank account data to help Members understand both recurring and commonly occurring charges. Budget notifies Members when there is a chance of an overdraft and allows Members to qualify for Dave’s ExtraCash product for up to $500</w:t>
      </w:r>
      <w:r>
        <w:rPr>
          <w:rFonts w:ascii="Times New Roman" w:hAnsi="Times New Roman"/>
          <w:color w:val="000000"/>
          <w:sz w:val="20"/>
        </w:rPr>
        <w:t xml:space="preserve"> </w:t>
      </w:r>
      <w:r>
        <w:rPr>
          <w:rFonts w:ascii="Times New Roman" w:hAnsi="Times New Roman"/>
          <w:b w:val="false"/>
          <w:color w:val="000000"/>
          <w:sz w:val="20"/>
        </w:rPr>
        <w:t>of additional liquidity.</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Side Hustle: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Dave seeks to help Members improve their financial health by presenting new job opportunities to them. Through Dave’s partnership with leading employers, Members can quickly submit applications to improve their income with flexible employment.</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Surveys: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Dave’s Surveys product allows for additional income earning opportunities, allowing Members to take paid surveys anytime within the Dave mobile application. This functionality drives engagement within the Dave ecosystem and deepens the Company’s relationship to its Members’ financial wellbeing.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unaudited condensed consolidated financial statements have been prepared in accordance with accounting principles generally accepted in the United States of America (“U.S. GAAP”).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January 4, 2023, the Board approved an amendment to the Company’s certificate of incorporation to complete a 1-for-32</w:t>
      </w:r>
      <w:r>
        <w:rPr>
          <w:rFonts w:ascii="Times New Roman" w:hAnsi="Times New Roman"/>
          <w:color w:val="000000"/>
          <w:sz w:val="20"/>
        </w:rPr>
        <w:t xml:space="preserve"> </w:t>
      </w:r>
      <w:r>
        <w:rPr>
          <w:rFonts w:ascii="Times New Roman" w:hAnsi="Times New Roman"/>
          <w:b w:val="false"/>
          <w:color w:val="000000"/>
          <w:sz w:val="20"/>
        </w:rPr>
        <w:t>reverse stock split effective January 5, 2023. At a special meeting held on December 16, 2022, stockholders approved the reverse stock split. The primary goal of the reverse stock split was to bring the Company’s stock price above the share bid price requirement for continued listing on Nasdaq. The effects of the reverse stock split have been reflected in the unaudited condensed consolidated financial statements and the footnotes.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unaudited condensed consolidated financial statements include the accounts of the Company and a variable interest entity (“VIE”). All intercompany transactions and balances have been eliminated upon consolidation.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accordance with the provisions of Accounting Standards Codification (“ASC”) 810, Consolidation, the Company consolidates any VIE of which the Company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Company does not consolidate a VIE in which it has a majority ownership interest when it is not considered the primary beneficiary. The Company evaluates its relationships with its VIEs on an ongoing basis to ensure that the Company continues to be the primary beneficiary. 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 The carrying value of Dave OD’s assets and liabilities, after elimination of any intercompany transactions and balances are shown in the unaudited condensed consolidated balance sheets. The assets of Dave OD are restricted and its creditors have full recourse against the Company for its liabilities.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preparation of these unaudited condensed</w:t>
      </w:r>
      <w:r>
        <w:rPr>
          <w:rFonts w:ascii="Times New Roman" w:hAnsi="Times New Roman"/>
          <w:color w:val="FF00FF"/>
          <w:sz w:val="20"/>
        </w:rPr>
        <w:t xml:space="preserve"> </w:t>
      </w:r>
      <w:r>
        <w:rPr>
          <w:rFonts w:ascii="Times New Roman" w:hAnsi="Times New Roman"/>
          <w:b w:val="false"/>
          <w:color w:val="000000"/>
          <w:sz w:val="20"/>
        </w:rPr>
        <w:t xml:space="preserve">consolidated financial statements requires the Company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The Company’s estimates are based on its historical experience and </w:t>
      </w:r>
      <w:r>
        <w:rPr>
          <w:rFonts w:ascii="Times New Roman" w:hAnsi="Times New Roman"/>
          <w:b w:val="false"/>
          <w:strike/>
          <w:color w:val="000000"/>
          <w:sz w:val="20"/>
        </w:rPr>
        <w:t xml:space="preserve">on </w:t>
      </w:r>
      <w:r>
        <w:rPr>
          <w:rFonts w:ascii="Times New Roman" w:hAnsi="Times New Roman"/>
          <w:b w:val="false"/>
          <w:color w:val="000000"/>
          <w:sz w:val="20"/>
        </w:rPr>
        <w:t>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 Fair value of earnout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(iii) Allowance for credit losses;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(iv) 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Actual results may differ from these estimates under different assumptions or conditions.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Below is detail of operating revenues (in thousands):</w:t>
      </w:r>
    </w:p>
    <w:p>
      <w:pPr>
        <w:pStyle w:val="TextBody"/>
        <w:bidi w:val="0"/>
        <w:jc w:val="left"/>
        <w:rPr/>
      </w:pPr>
      <w:r>
        <w:rPr/>
        <w:t> </w:t>
      </w:r>
    </w:p>
    <w:tbl>
      <w:tblPr>
        <w:tblW w:w="8201" w:type="dxa"/>
        <w:jc w:val="left"/>
        <w:tblInd w:w="0" w:type="dxa"/>
        <w:tblLayout w:type="fixed"/>
        <w:tblCellMar>
          <w:top w:w="28" w:type="dxa"/>
          <w:left w:w="28" w:type="dxa"/>
          <w:bottom w:w="28" w:type="dxa"/>
          <w:right w:w="28" w:type="dxa"/>
        </w:tblCellMar>
      </w:tblPr>
      <w:tblGrid>
        <w:gridCol w:w="2626"/>
        <w:gridCol w:w="146"/>
        <w:gridCol w:w="259"/>
        <w:gridCol w:w="829"/>
        <w:gridCol w:w="179"/>
        <w:gridCol w:w="179"/>
        <w:gridCol w:w="259"/>
        <w:gridCol w:w="829"/>
        <w:gridCol w:w="146"/>
        <w:gridCol w:w="146"/>
        <w:gridCol w:w="223"/>
        <w:gridCol w:w="829"/>
        <w:gridCol w:w="154"/>
        <w:gridCol w:w="154"/>
        <w:gridCol w:w="223"/>
        <w:gridCol w:w="829"/>
        <w:gridCol w:w="1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9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based revenue, net</w:t>
            </w:r>
          </w:p>
        </w:tc>
        <w:tc>
          <w:tcPr>
            <w:tcW w:w="146"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52" w:type="dxa"/>
            <w:gridSpan w:val="2"/>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1052" w:type="dxa"/>
            <w:gridSpan w:val="2"/>
            <w:tcBorders/>
            <w:shd w:fill="B6DEE8" w:val="clear"/>
            <w:vAlign w:val="center"/>
          </w:tcPr>
          <w:p>
            <w:pPr>
              <w:pStyle w:val="TableContents"/>
              <w:bidi w:val="0"/>
              <w:spacing w:before="0" w:after="283"/>
              <w:jc w:val="left"/>
              <w:rPr/>
            </w:pPr>
            <w:r>
              <w:rPr/>
              <w:t> </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Processing fees,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39,166</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108,153</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74,624</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Tips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14,548</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17,496</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41,447</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45,991</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Subscriptions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5,119</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16,150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13,691</w:t>
            </w:r>
          </w:p>
        </w:tc>
        <w:tc>
          <w:tcPr>
            <w:tcW w:w="191" w:type="dxa"/>
            <w:tcBorders/>
            <w:shd w:fill="FFFFFF" w:val="cle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191" w:type="dxa"/>
            <w:tcBorders/>
            <w:shd w:fill="B6DEE8"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based revenue, net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65,811</w:t>
            </w:r>
          </w:p>
        </w:tc>
        <w:tc>
          <w:tcPr>
            <w:tcW w:w="17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56,807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185,974</w:t>
            </w:r>
          </w:p>
        </w:tc>
        <w:tc>
          <w:tcPr>
            <w:tcW w:w="15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145,163</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Service Based Revenue,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Service based revenue, net primarily consists of optional tips, optional processing fees, and subscriptions charged to Members, net of processor costs associate with advance disbursements. Member advances are treated as financial receivables under ASC 310 Receivables (“ASC 310”) and processing fees, net and tips are also accounted for in accordance with ASC 310.</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Processing Fees, Net: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Processing fees apply when a Member requests an expedited cash advance. At the Member’s election, the Company expedites the funding of advance funds within eight hours of the advance approval, as opposed to the customary two or three business days. Processing fees are nonrefundable loan origination fees and are recognized as revenues over the average expected contractual term of its advances.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Costs incurred by the Company to fund cash advances are treated as direct loan origination costs. These direct loan origination costs are netted against advance-related income over the average expected contractual term of its advances. Direct origination costs recognized as a reduction of advance-related income during the three and nine months ended September 30, 2023 were approximately $0.7</w:t>
      </w:r>
      <w:r>
        <w:rPr>
          <w:rFonts w:ascii="Times New Roman" w:hAnsi="Times New Roman"/>
          <w:color w:val="000000"/>
          <w:sz w:val="20"/>
        </w:rPr>
        <w:t xml:space="preserve"> </w:t>
      </w:r>
      <w:r>
        <w:rPr>
          <w:rFonts w:ascii="Times New Roman" w:hAnsi="Times New Roman"/>
          <w:b w:val="false"/>
          <w:color w:val="000000"/>
          <w:sz w:val="20"/>
        </w:rPr>
        <w:t>million and $2.7</w:t>
      </w:r>
      <w:r>
        <w:rPr>
          <w:rFonts w:ascii="Times New Roman" w:hAnsi="Times New Roman"/>
          <w:color w:val="000000"/>
          <w:sz w:val="20"/>
        </w:rPr>
        <w:t xml:space="preserve"> </w:t>
      </w:r>
      <w:r>
        <w:rPr>
          <w:rFonts w:ascii="Times New Roman" w:hAnsi="Times New Roman"/>
          <w:b w:val="false"/>
          <w:color w:val="000000"/>
          <w:sz w:val="20"/>
        </w:rPr>
        <w:t>million, respectively. During the three and nine months ended September 30, 2022, the Company recognized direct origination costs as a reduction of advance-related income of approximately $1.5</w:t>
      </w:r>
      <w:r>
        <w:rPr>
          <w:rFonts w:ascii="Times New Roman" w:hAnsi="Times New Roman"/>
          <w:color w:val="000000"/>
          <w:sz w:val="20"/>
        </w:rPr>
        <w:t xml:space="preserve"> </w:t>
      </w:r>
      <w:r>
        <w:rPr>
          <w:rFonts w:ascii="Times New Roman" w:hAnsi="Times New Roman"/>
          <w:b w:val="false"/>
          <w:color w:val="000000"/>
          <w:sz w:val="20"/>
        </w:rPr>
        <w:t>million and $3.6</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Tips: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encourages, but does not contractually require its Members who receive a cash advance to leave a discretionary tip. The Company treats tips as an adjustment of yield to the advances and are recognized over the average expected contractual term of its advances.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Subscriptions: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accounts for subscriptions in accordance with ASC 606, Revenue from Contracts with Customers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For revenue sources that are within the scope of Topic 606, the Company fully satisfies its performance obligations and recognizes revenue in the period it is earned as services are rendered. Transaction prices are typically fixed, charged on a periodic basis or based on 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Subscription fees of $1</w:t>
      </w:r>
      <w:r>
        <w:rPr>
          <w:rFonts w:ascii="Times New Roman" w:hAnsi="Times New Roman"/>
          <w:color w:val="000000"/>
          <w:sz w:val="20"/>
        </w:rPr>
        <w:t xml:space="preserve"> </w:t>
      </w:r>
      <w:r>
        <w:rPr>
          <w:rFonts w:ascii="Times New Roman" w:hAnsi="Times New Roman"/>
          <w:b w:val="false"/>
          <w:color w:val="000000"/>
          <w:sz w:val="20"/>
        </w:rPr>
        <w:t>are received on a monthly basis from Members who subscribe to the Company’s application. The Company continually fulfills its obligation to each Member over the subscription term. The series of distinct services represents a single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performance obligation that is satisfied over time. The Company recognizes revenue ratably as the Member receives and consumes the benefits of the platform throughout the contract period.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Price concessions granted to Members who have insufficient funds when subscription fees are due and not collected are forms of variable consideration under the Company’s contracts with Members. For price concessions, the Company has elected, as an accounting policy, to account for price concessions for the month at the end of the reporting month based on the actual amount of concessions granted.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Other service based revenue consists of lead generation fees from the Company’s Side Hustle advertising partners and revenue share from its survey partners.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Transaction Based Revenue, Net: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Transaction based revenue, net primarily consists of interchange and ATM revenues from the Company’s Checking Product, net of certain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referrals and are recognized at the point in time the transactions occur, as the performance obligations are satisfied and the variable consideration is not constrained. The Company earns interchange fees from Members spend on Dave-branded debit cards, which are reduced by interchange-related costs payable to fulfillment partners. Interchange revenue is remitted by merchants and represents a percentage of the underlying transaction value processed through a payment network. ATM fees earned from the Member’s usage of out-of-network ATMs reduced by related ATM transaction costs during the three and nine months ended September 30, 2023, were $0.5</w:t>
      </w:r>
      <w:r>
        <w:rPr>
          <w:rFonts w:ascii="Times New Roman" w:hAnsi="Times New Roman"/>
          <w:color w:val="000000"/>
          <w:sz w:val="20"/>
        </w:rPr>
        <w:t xml:space="preserve"> </w:t>
      </w:r>
      <w:r>
        <w:rPr>
          <w:rFonts w:ascii="Times New Roman" w:hAnsi="Times New Roman"/>
          <w:b w:val="false"/>
          <w:color w:val="000000"/>
          <w:sz w:val="20"/>
        </w:rPr>
        <w:t>million and $1.3</w:t>
      </w:r>
      <w:r>
        <w:rPr>
          <w:rFonts w:ascii="Times New Roman" w:hAnsi="Times New Roman"/>
          <w:color w:val="000000"/>
          <w:sz w:val="20"/>
        </w:rPr>
        <w:t xml:space="preserve"> </w:t>
      </w:r>
      <w:r>
        <w:rPr>
          <w:rFonts w:ascii="Times New Roman" w:hAnsi="Times New Roman"/>
          <w:b w:val="false"/>
          <w:color w:val="000000"/>
          <w:sz w:val="20"/>
        </w:rPr>
        <w:t>million, respectively. ATM-related fees recognized as a reduction of transaction based revenue during the three and nine months ended September 30, 2022 were $0.3</w:t>
      </w:r>
      <w:r>
        <w:rPr>
          <w:rFonts w:ascii="Times New Roman" w:hAnsi="Times New Roman"/>
          <w:color w:val="000000"/>
          <w:sz w:val="20"/>
        </w:rPr>
        <w:t xml:space="preserve"> </w:t>
      </w:r>
      <w:r>
        <w:rPr>
          <w:rFonts w:ascii="Times New Roman" w:hAnsi="Times New Roman"/>
          <w:b w:val="false"/>
          <w:color w:val="000000"/>
          <w:sz w:val="20"/>
        </w:rPr>
        <w:t>million and $0.5</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Processing and Servicing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Processing costs consist of amounts paid to third party processors for the recovery of advances, tips, processing fees, and subscriptions. These costs also include fees paid for services to connect Member’s bank accounts to the Company’s application. Except for processing and service costs associated with advance disbursements, which are recorded net against revenue, all other processing and service costs are expensed as incurred.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classifies all highly liquid instruments with an original maturity of three months or less as cash equivalents.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Restricted cash primarily represents cash held at financial institutions that is pledged as collateral for specific accounts that may become overdrawn.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Marketable securities consist of a money market mutual fund. The fair value of marketable securities is determined by quoted prices in active markets and changes in fair value are recorded in other (income) expense in the unaudited condensed consolidated statements of operations.</w:t>
      </w:r>
    </w:p>
    <w:p>
      <w:pPr>
        <w:pStyle w:val="TextBody"/>
        <w:bidi w:val="0"/>
        <w:spacing w:before="16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Short-Term Investments</w:t>
      </w:r>
    </w:p>
    <w:p>
      <w:pPr>
        <w:pStyle w:val="TextBody"/>
        <w:bidi w:val="0"/>
        <w:jc w:val="left"/>
        <w:rPr>
          <w:rFonts w:ascii="Times New Roman" w:hAnsi="Times New Roman"/>
          <w:sz w:val="20"/>
        </w:rPr>
      </w:pPr>
      <w:r>
        <w:rPr>
          <w:rFonts w:ascii="Times New Roman" w:hAnsi="Times New Roman"/>
          <w:b w:val="false"/>
          <w:color w:val="000000"/>
          <w:sz w:val="20"/>
        </w:rPr>
        <w:t>Short-term investments consist of corporate bonds and notes, asset backed securities, and government securities and are classified as “available-for-sale”, as the sale of such securities may be required prior to maturity to implement the Company’s strategies. The fair value of short-term investments is determined by quoted prices in active markets with unrealized gains and losses (other than credit related impairment) reported as a separate component of other comprehensive income. For securities with unrealized losses, inclusive of any accrued interest,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the unaudited condensed</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consolidated statements of comprehensive income. Any related amounts recorded in accumulated other comprehensive income are reclassified to earnings (on a pretax basis).</w:t>
      </w:r>
    </w:p>
    <w:p>
      <w:pPr>
        <w:pStyle w:val="TextBody"/>
        <w:bidi w:val="0"/>
        <w:jc w:val="left"/>
        <w:rPr>
          <w:rFonts w:ascii="Times New Roman" w:hAnsi="Times New Roman"/>
          <w:b/>
          <w:color w:val="000000"/>
          <w:sz w:val="20"/>
        </w:rPr>
      </w:pPr>
      <w:r>
        <w:rPr>
          <w:rFonts w:ascii="Times New Roman" w:hAnsi="Times New Roman"/>
          <w:b/>
          <w:color w:val="000000"/>
          <w:sz w:val="20"/>
        </w:rPr>
        <w:t>Member Advances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Member advances include ExtraCash advances, fees, and tips, net of certain direct origination costs and allowance for credit losses. Management’s intent is to hold advances until the earlier of repayment or payoff date. Members’ cash advances are treated as financial receivables under ASC 310.</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Advances to Members are not interest-bearing. The Company recognizes these advances at the advanced amount and does not use discounting techniques to determine present value of advances due to their short-term nature.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does not provide modifications to advances and does not charge late fees.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Allowance for Credit Losses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Member advances from contracts with Members as of the balance sheet dates are recorded at their original advance amounts, inclusive of outstanding processing fees and tips, and reduced by an allowance for expected credit losses. The Company pools its Member advances, all of which are short-term (average term of approximately 11</w:t>
      </w:r>
      <w:r>
        <w:rPr>
          <w:rFonts w:ascii="Times New Roman" w:hAnsi="Times New Roman"/>
          <w:color w:val="000000"/>
          <w:sz w:val="20"/>
        </w:rPr>
        <w:t xml:space="preserve"> </w:t>
      </w:r>
      <w:r>
        <w:rPr>
          <w:rFonts w:ascii="Times New Roman" w:hAnsi="Times New Roman"/>
          <w:b w:val="false"/>
          <w:color w:val="000000"/>
          <w:sz w:val="20"/>
        </w:rPr>
        <w:t>days) in nature and arise from contracts with Members, based on shared risk characteristics to assess their risk of loss, even when that risk is remote. The Company uses an aging method and historical loss rates as a basis for estimating the percentage of current and delinquent Member advances balances that will result in credit losses to derive the allowance for credit losses. The Company considers whether the conditions at the measurement date and reasonable and supportable forecasts about future conditions warrant an adjustment to its historical loss experience. In assessing such adjustments, the Company primarily evaluates current economic conditions, expectations of near-term economic trends and changes in customer payment terms, collection trends and cash collections subsequent to the balance sheet date. For the measurement dates presented herein, given its methods of collecting funds, and that the Company has not observed meaningful changes in its customers’ payment behavior, it determined that its historical loss rates remained most indicative of its lifetime expected losses. The Company immediately recognizes an allowance for expected credit losses upon the origination of the advance. Adjustments to the allowance each period for changes in the estimate of lifetime expected credit losses are recognized in operating expenses—provision for credit losses in the unaudited condensed consolidated statements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When the Company determines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Internally Developed Software</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unaudited condensed consolidated balance sheets as intangible assets, net. Other costs are expensed as incurred and included within other operating expenses in the unaudited condensed consolidated statements of operations. Capitalized costs for the three and nine months ended September 30, 2023, were $1.8</w:t>
      </w:r>
      <w:r>
        <w:rPr>
          <w:rFonts w:ascii="Times New Roman" w:hAnsi="Times New Roman"/>
          <w:color w:val="000000"/>
          <w:sz w:val="20"/>
        </w:rPr>
        <w:t xml:space="preserve"> </w:t>
      </w:r>
      <w:r>
        <w:rPr>
          <w:rFonts w:ascii="Times New Roman" w:hAnsi="Times New Roman"/>
          <w:b w:val="false"/>
          <w:color w:val="000000"/>
          <w:sz w:val="20"/>
        </w:rPr>
        <w:t>million and $5.9</w:t>
      </w:r>
      <w:r>
        <w:rPr>
          <w:rFonts w:ascii="Times New Roman" w:hAnsi="Times New Roman"/>
          <w:color w:val="000000"/>
          <w:sz w:val="20"/>
        </w:rPr>
        <w:t xml:space="preserve"> </w:t>
      </w:r>
      <w:r>
        <w:rPr>
          <w:rFonts w:ascii="Times New Roman" w:hAnsi="Times New Roman"/>
          <w:b w:val="false"/>
          <w:color w:val="000000"/>
          <w:sz w:val="20"/>
        </w:rPr>
        <w:t>million, respectively. Additionally, $7.7</w:t>
      </w:r>
      <w:r>
        <w:rPr>
          <w:rFonts w:ascii="Times New Roman" w:hAnsi="Times New Roman"/>
          <w:color w:val="000000"/>
          <w:sz w:val="20"/>
        </w:rPr>
        <w:t xml:space="preserve"> </w:t>
      </w:r>
      <w:r>
        <w:rPr>
          <w:rFonts w:ascii="Times New Roman" w:hAnsi="Times New Roman"/>
          <w:b w:val="false"/>
          <w:color w:val="000000"/>
          <w:sz w:val="20"/>
        </w:rPr>
        <w:t>million related to the Company's legacy advance application software asset has been fully amortized and written off as of June 2023. Capitalized costs for the three and nine months ended September 30, 2022, were $2.0</w:t>
      </w:r>
      <w:r>
        <w:rPr>
          <w:rFonts w:ascii="Times New Roman" w:hAnsi="Times New Roman"/>
          <w:color w:val="000000"/>
          <w:sz w:val="20"/>
        </w:rPr>
        <w:t xml:space="preserve"> </w:t>
      </w:r>
      <w:r>
        <w:rPr>
          <w:rFonts w:ascii="Times New Roman" w:hAnsi="Times New Roman"/>
          <w:b w:val="false"/>
          <w:color w:val="000000"/>
          <w:sz w:val="20"/>
        </w:rPr>
        <w:t>million and $6.4</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Amortization of internally developed software commences when the software is ready for its intended use (i.e., after all substantial testing is complete). Internally developed software is amortized over its estimated useful life of three years.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Company’s accounting policy is to perform annual reviews of capitalized internally developed software projects to determine whether any impairment indicators are present as of December 31, or whenever a change in circumstances suggests an impairment indicator is present. If any impairment indicators are present, the Company will perform a recoverability test by comparing the sum of the estimated undiscounted cash flows attributed to the asset group to their carrying value. If the undiscounted cash flows expected to result from the remaining use of the asset (i.e., cash flows when testing recoverability) are less than the asset group’s carrying value,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will determine the fair value of the asset group and recognize an impairment loss as the amount by which the carrying value of the asset group exceeds its fair value. If based on the results of the recoverability test, no impairment is indicated as the remaining undiscounted cash flows exceed the carrying value of the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value of the intangible asset shall be amortized prospectively over that revised remaining useful life.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Property and equipment are stated at cost less accumulated depreciation. Property and equipment are recorded at cost and depreciated over the estimated useful lives ranging from three</w:t>
      </w:r>
      <w:r>
        <w:rPr>
          <w:rFonts w:ascii="Times New Roman" w:hAnsi="Times New Roman"/>
          <w:color w:val="000000"/>
          <w:sz w:val="20"/>
        </w:rPr>
        <w:t xml:space="preserve"> </w:t>
      </w:r>
      <w:r>
        <w:rPr>
          <w:rFonts w:ascii="Times New Roman" w:hAnsi="Times New Roman"/>
          <w:b w:val="false"/>
          <w:color w:val="000000"/>
          <w:sz w:val="20"/>
        </w:rPr>
        <w:t>to seven years</w:t>
      </w:r>
      <w:r>
        <w:rPr>
          <w:rFonts w:ascii="Times New Roman" w:hAnsi="Times New Roman"/>
          <w:color w:val="000000"/>
          <w:sz w:val="20"/>
        </w:rPr>
        <w:t xml:space="preserve"> </w:t>
      </w:r>
      <w:r>
        <w:rPr>
          <w:rFonts w:ascii="Times New Roman" w:hAnsi="Times New Roman"/>
          <w:b w:val="false"/>
          <w:color w:val="000000"/>
          <w:sz w:val="20"/>
        </w:rPr>
        <w:t>using the straight-line method. Maintenance and repair costs are charged to operations as incurred and included within other operating expenses in the unaudited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of Financial Instruments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ASC 820, Fair Value Measurement (“ASC 820”), provides a single definition of fair value and a common framework for measuring fair value as well as disclosure requirements for fair value measurements used in the unaudited condensed consolidated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Level 1—Quoted prices in active markets for identical assets or liabilities.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Level 2—Observable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Level 3—Valuations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Risk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Financial instruments, which potentially subject the Company to concentrations of credit risk, principally consist of cash and cash equivalents, restricted cash, Member cash advances, and short-term investments.</w:t>
      </w:r>
      <w:r>
        <w:rPr>
          <w:rFonts w:ascii="Times New Roman" w:hAnsi="Times New Roman"/>
          <w:color w:val="FF00FF"/>
          <w:sz w:val="20"/>
        </w:rPr>
        <w:t xml:space="preserve"> </w:t>
      </w:r>
      <w:r>
        <w:rPr>
          <w:rFonts w:ascii="Times New Roman" w:hAnsi="Times New Roman"/>
          <w:b w:val="false"/>
          <w:color w:val="000000"/>
          <w:sz w:val="20"/>
        </w:rPr>
        <w:t>The Company’s cash and cash equivalents and restricted cash in excess of the Federal Deposit Insurance Corporation (“FDIC”) insured limits were $42.8</w:t>
      </w:r>
      <w:r>
        <w:rPr>
          <w:rFonts w:ascii="Times New Roman" w:hAnsi="Times New Roman"/>
          <w:color w:val="000000"/>
          <w:sz w:val="20"/>
        </w:rPr>
        <w:t xml:space="preserve"> </w:t>
      </w:r>
      <w:r>
        <w:rPr>
          <w:rFonts w:ascii="Times New Roman" w:hAnsi="Times New Roman"/>
          <w:b w:val="false"/>
          <w:color w:val="000000"/>
          <w:sz w:val="20"/>
        </w:rPr>
        <w:t>million at September 30,</w:t>
      </w:r>
      <w:r>
        <w:rPr>
          <w:rFonts w:ascii="Times New Roman" w:hAnsi="Times New Roman"/>
          <w:color w:val="FF00FF"/>
          <w:sz w:val="20"/>
        </w:rPr>
        <w:t xml:space="preserve"> </w:t>
      </w:r>
      <w:r>
        <w:rPr>
          <w:rFonts w:ascii="Times New Roman" w:hAnsi="Times New Roman"/>
          <w:b w:val="false"/>
          <w:color w:val="000000"/>
          <w:sz w:val="20"/>
        </w:rPr>
        <w:t>2023 and $20.7</w:t>
      </w:r>
      <w:r>
        <w:rPr>
          <w:rFonts w:ascii="Times New Roman" w:hAnsi="Times New Roman"/>
          <w:color w:val="000000"/>
          <w:sz w:val="20"/>
        </w:rPr>
        <w:t xml:space="preserve"> </w:t>
      </w:r>
      <w:r>
        <w:rPr>
          <w:rFonts w:ascii="Times New Roman" w:hAnsi="Times New Roman"/>
          <w:b w:val="false"/>
          <w:color w:val="000000"/>
          <w:sz w:val="20"/>
        </w:rPr>
        <w:t>million at December 31, 2022, respectively. The Company’s payment processors also collect cash on the Company’s behalf and will hold these cash balances temporarily until they are settled the next business day. Also, the Company does not believe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its marketable securities are exposed to any significant credit risk due to the quality and nature of the securities in which the money is held.</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No Member individually exceeded 10% or more of the Company’s Member cash advances balances as of September 30, 2023 or December 31, 2022.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ASC 842, Leases (“ASC 842”) requires lessees to recognize most leases on the unaudited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 At the time of a lease abandonment, the operating lease right-of-use asset is derecognized, while the corresponding lease liability is evaluated by the Company based any remaining contractual obligations as of the lease abandonment date.</w:t>
      </w:r>
    </w:p>
    <w:p>
      <w:pPr>
        <w:pStyle w:val="TextBody"/>
        <w:bidi w:val="0"/>
        <w:spacing w:before="4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leases office space under two separate leases, both of which are considered operating leases.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Stock Option Awards: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 Subsequent modifications to outstanding awards result in incremental cost if the fair value is increased as a result of the modification.</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Restricted Stock Unit Awards: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Restricted stock units (“RSUs”) are valued on the grant date. The fair value of the RSUs that vest based solely on a service condition is equal to the estimated fair value of the Company’s Common Stock on the grant date. This compensation cost is recognized on a straight-line basis over the requisite service period for the entire award. For RSUs that contain both a market condition and a service condition, market volatility and other factors are taken into consideration in determining the grant date fair value and the related compensation expense is recognized on a straight-line basis over the requisite service period of each separately vesting tranche, regardless of whether the market condition is satisfied, provided that the requisite service has been provided. These costs are a component of stock-based compensation expense, presented within compensation and benefits in the unaudited condensed consolidated statements of operations. The Company recognizes forfeitures as they occur.</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Restricted Stock Awards: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Restricted stock awards (“RSAs”) are valued on the grant date. The fair value of the RSAs is equal to the estimated fair value of the Company’s Common Stock on the grant date. This compensation cost is recognized over the requisite service period as a component of stock-based compensation expense, presented within compensation and benefits in the unaudited condensed consolidated statements of operations. The Company recognizes forfeitures as they occur.</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RSAs Issued to Non-Employees: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issued shares of restricted stock to consultants for various advisory and consulting-related services. The Company recognized this expense, measured as the estimated value of the shares issued, as a component of stock-based compensation expense, presented within compensation and benefits in the unaudited condensed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Advertising Costs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Advertising costs are expensed as incurred. Advertising costs for the three and nine months ended September 30, 2023, were $13.9</w:t>
      </w:r>
      <w:r>
        <w:rPr>
          <w:rFonts w:ascii="Times New Roman" w:hAnsi="Times New Roman"/>
          <w:color w:val="000000"/>
          <w:sz w:val="20"/>
        </w:rPr>
        <w:t xml:space="preserve"> </w:t>
      </w:r>
      <w:r>
        <w:rPr>
          <w:rFonts w:ascii="Times New Roman" w:hAnsi="Times New Roman"/>
          <w:b w:val="false"/>
          <w:color w:val="000000"/>
          <w:sz w:val="20"/>
        </w:rPr>
        <w:t>million and $38.4</w:t>
      </w:r>
      <w:r>
        <w:rPr>
          <w:rFonts w:ascii="Times New Roman" w:hAnsi="Times New Roman"/>
          <w:color w:val="000000"/>
          <w:sz w:val="20"/>
        </w:rPr>
        <w:t xml:space="preserve"> </w:t>
      </w:r>
      <w:r>
        <w:rPr>
          <w:rFonts w:ascii="Times New Roman" w:hAnsi="Times New Roman"/>
          <w:b w:val="false"/>
          <w:color w:val="000000"/>
          <w:sz w:val="20"/>
        </w:rPr>
        <w:t>million, respectively, and are presented within advertising and marketing within the unaudited condensed consolidated statements of operations. Advertising costs for the three and nine months ended September 30, 2022, were $24.1</w:t>
      </w:r>
      <w:r>
        <w:rPr>
          <w:rFonts w:ascii="Times New Roman" w:hAnsi="Times New Roman"/>
          <w:color w:val="000000"/>
          <w:sz w:val="20"/>
        </w:rPr>
        <w:t xml:space="preserve"> </w:t>
      </w:r>
      <w:r>
        <w:rPr>
          <w:rFonts w:ascii="Times New Roman" w:hAnsi="Times New Roman"/>
          <w:b w:val="false"/>
          <w:color w:val="000000"/>
          <w:sz w:val="20"/>
        </w:rPr>
        <w:t>million and $57.1</w:t>
      </w:r>
      <w:r>
        <w:rPr>
          <w:rFonts w:ascii="Times New Roman" w:hAnsi="Times New Roman"/>
          <w:color w:val="000000"/>
          <w:sz w:val="20"/>
        </w:rPr>
        <w:t xml:space="preserve"> </w:t>
      </w:r>
      <w:r>
        <w:rPr>
          <w:rFonts w:ascii="Times New Roman" w:hAnsi="Times New Roman"/>
          <w:b w:val="false"/>
          <w:color w:val="000000"/>
          <w:sz w:val="20"/>
        </w:rPr>
        <w:t>million,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Taxes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 follows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unaudited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jc w:val="left"/>
        <w:rPr>
          <w:rFonts w:ascii="Times New Roman" w:hAnsi="Times New Roman"/>
          <w:sz w:val="20"/>
        </w:rPr>
      </w:pPr>
      <w:r>
        <w:rPr>
          <w:rFonts w:ascii="Times New Roman" w:hAnsi="Times New Roman"/>
          <w:b w:val="false"/>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$1.1</w:t>
      </w:r>
      <w:r>
        <w:rPr>
          <w:rFonts w:ascii="Times New Roman" w:hAnsi="Times New Roman"/>
          <w:color w:val="000000"/>
          <w:sz w:val="20"/>
        </w:rPr>
        <w:t xml:space="preserve"> </w:t>
      </w:r>
      <w:r>
        <w:rPr>
          <w:rFonts w:ascii="Times New Roman" w:hAnsi="Times New Roman"/>
          <w:b w:val="false"/>
          <w:color w:val="000000"/>
          <w:sz w:val="20"/>
        </w:rPr>
        <w:t>million and $0.9</w:t>
      </w:r>
      <w:r>
        <w:rPr>
          <w:rFonts w:ascii="Times New Roman" w:hAnsi="Times New Roman"/>
          <w:color w:val="000000"/>
          <w:sz w:val="20"/>
        </w:rPr>
        <w:t xml:space="preserve"> </w:t>
      </w:r>
      <w:r>
        <w:rPr>
          <w:rFonts w:ascii="Times New Roman" w:hAnsi="Times New Roman"/>
          <w:b w:val="false"/>
          <w:color w:val="000000"/>
          <w:sz w:val="20"/>
        </w:rPr>
        <w:t>million of uncertain tax positions as of September 30, 2023 and December 31, 2022, respectively, related to state income taxes. and federal and state research tax credits.</w:t>
      </w:r>
    </w:p>
    <w:p>
      <w:pPr>
        <w:pStyle w:val="TextBody"/>
        <w:bidi w:val="0"/>
        <w:jc w:val="left"/>
        <w:rPr>
          <w:rFonts w:ascii="Times New Roman" w:hAnsi="Times New Roman"/>
          <w:sz w:val="20"/>
        </w:rPr>
      </w:pPr>
      <w:r>
        <w:rPr>
          <w:rFonts w:ascii="Times New Roman" w:hAnsi="Times New Roman"/>
          <w:b w:val="false"/>
          <w:color w:val="000000"/>
          <w:sz w:val="20"/>
        </w:rPr>
        <w:t>The Company’s policy is to recognize interest expense and penalties accrued on any unrecognized tax benefits as a component of income tax expense within the statement of operations. The Company recognized $0.005</w:t>
      </w:r>
      <w:r>
        <w:rPr>
          <w:rFonts w:ascii="Times New Roman" w:hAnsi="Times New Roman"/>
          <w:color w:val="000000"/>
          <w:sz w:val="20"/>
        </w:rPr>
        <w:t xml:space="preserve"> </w:t>
      </w:r>
      <w:r>
        <w:rPr>
          <w:rFonts w:ascii="Times New Roman" w:hAnsi="Times New Roman"/>
          <w:b w:val="false"/>
          <w:color w:val="000000"/>
          <w:sz w:val="20"/>
        </w:rPr>
        <w:t>million and $0.003</w:t>
      </w:r>
      <w:r>
        <w:rPr>
          <w:rFonts w:ascii="Times New Roman" w:hAnsi="Times New Roman"/>
          <w:color w:val="000000"/>
          <w:sz w:val="20"/>
        </w:rPr>
        <w:t xml:space="preserve"> </w:t>
      </w:r>
      <w:r>
        <w:rPr>
          <w:rFonts w:ascii="Times New Roman" w:hAnsi="Times New Roman"/>
          <w:b w:val="false"/>
          <w:color w:val="000000"/>
          <w:sz w:val="20"/>
        </w:rPr>
        <w:t>million of interest expense and penalties as a component of income tax expense during the nine months ended September 30, 2023 and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reportable segment.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 Attributable to Stockholders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Company has two classes of participating securities (Class A Common Stock and Class V Common Stock) issued and outstanding as of September 30, 2023.</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16, Related-Party Transactions for further details on the Company’s Loans to Stockholders).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Diluted net loss per share attributable to holders of common stock adjusts the basic net loss per share attributable to stockholders and the weighted- average number of shares outstanding for the potentially dilutive impact of stock options, warrants, and restricted stock using the treasury stock method and convertible preferred stock using the as-if-converted method.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the Company’s basic and diluted net loss per share attributable to holders of common stock (in thousands, except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2"/>
        <w:gridCol w:w="146"/>
        <w:gridCol w:w="211"/>
        <w:gridCol w:w="1036"/>
        <w:gridCol w:w="166"/>
        <w:gridCol w:w="211"/>
        <w:gridCol w:w="1036"/>
        <w:gridCol w:w="166"/>
        <w:gridCol w:w="211"/>
        <w:gridCol w:w="1036"/>
        <w:gridCol w:w="166"/>
        <w:gridCol w:w="211"/>
        <w:gridCol w:w="1036"/>
        <w:gridCol w:w="411"/>
      </w:tblGrid>
      <w:tr>
        <w:trPr/>
        <w:tc>
          <w:tcPr>
            <w:tcW w:w="41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Nine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2"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Numerator</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16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(12,053</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(47,504</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(48,696</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(107,414</w:t>
            </w:r>
          </w:p>
        </w:tc>
        <w:tc>
          <w:tcPr>
            <w:tcW w:w="411" w:type="dxa"/>
            <w:tcBorders/>
            <w:shd w:fill="B6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noncumulative dividend to convertible preferred stockholders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62" w:type="dxa"/>
            <w:tcBorders/>
            <w:shd w:fill="B6DEE8"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Less: undistributed earnings to participating securities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attributed to common stockholders—basic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(107,414</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62" w:type="dxa"/>
            <w:tcBorders/>
            <w:shd w:fill="B6DEE8"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 undistributed earnings reallocated to common stockholders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attributed to common stockholders—diluted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(107,414</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162"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411" w:type="dxa"/>
            <w:tcBorders/>
            <w:shd w:fill="B6DEE8" w:val="clear"/>
            <w:vAlign w:val="center"/>
          </w:tcPr>
          <w:p>
            <w:pPr>
              <w:pStyle w:val="TableContents"/>
              <w:bidi w:val="0"/>
              <w:spacing w:before="0" w:after="283"/>
              <w:jc w:val="left"/>
              <w:rPr/>
            </w:pPr>
            <w:r>
              <w:rPr/>
              <w:t> </w:t>
            </w:r>
          </w:p>
        </w:tc>
      </w:tr>
      <w:tr>
        <w:trPr/>
        <w:tc>
          <w:tcPr>
            <w:tcW w:w="4162"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Denominator</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16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stock—basic</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11,960,078</w:t>
            </w:r>
          </w:p>
        </w:tc>
        <w:tc>
          <w:tcPr>
            <w:tcW w:w="16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11,702,147</w:t>
            </w:r>
          </w:p>
        </w:tc>
        <w:tc>
          <w:tcPr>
            <w:tcW w:w="16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11,887,199</w:t>
            </w:r>
          </w:p>
        </w:tc>
        <w:tc>
          <w:tcPr>
            <w:tcW w:w="16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11,525,164</w:t>
            </w:r>
          </w:p>
        </w:tc>
        <w:tc>
          <w:tcPr>
            <w:tcW w:w="411" w:type="dxa"/>
            <w:tcBorders/>
            <w:shd w:fill="B6DEE8" w:val="clear"/>
            <w:vAlign w:val="center"/>
          </w:tcPr>
          <w:p>
            <w:pPr>
              <w:pStyle w:val="TableContents"/>
              <w:bidi w:val="0"/>
              <w:spacing w:before="0" w:after="283"/>
              <w:ind w:left="0" w:right="0" w:firstLine="200"/>
              <w:jc w:val="left"/>
              <w:rPr/>
            </w:pPr>
            <w:r>
              <w:rPr/>
              <w:t> </w:t>
            </w:r>
          </w:p>
        </w:tc>
      </w:tr>
      <w:tr>
        <w:trPr/>
        <w:tc>
          <w:tcPr>
            <w:tcW w:w="41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Dilutive effect of convertible preferred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62" w:type="dxa"/>
            <w:tcBorders/>
            <w:shd w:fill="B6DEE8"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Dilutive effect of equity incentive awards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41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shares of common stock—diluted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11,960,078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11,702,147</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11,887,199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11,525,164</w:t>
            </w:r>
          </w:p>
        </w:tc>
        <w:tc>
          <w:tcPr>
            <w:tcW w:w="411" w:type="dxa"/>
            <w:tcBorders/>
            <w:shd w:fill="FFFFFF" w:val="clear"/>
            <w:vAlign w:val="center"/>
          </w:tcPr>
          <w:p>
            <w:pPr>
              <w:pStyle w:val="TableContents"/>
              <w:bidi w:val="0"/>
              <w:spacing w:before="0" w:after="283"/>
              <w:jc w:val="left"/>
              <w:rPr/>
            </w:pPr>
            <w:r>
              <w:rPr/>
              <w:t> </w:t>
            </w:r>
          </w:p>
        </w:tc>
      </w:tr>
      <w:tr>
        <w:trPr/>
        <w:tc>
          <w:tcPr>
            <w:tcW w:w="4162"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247" w:type="dxa"/>
            <w:gridSpan w:val="2"/>
            <w:tcBorders/>
            <w:shd w:fill="B6DEE8" w:val="clear"/>
            <w:vAlign w:val="center"/>
          </w:tcPr>
          <w:p>
            <w:pPr>
              <w:pStyle w:val="TableContents"/>
              <w:bidi w:val="0"/>
              <w:spacing w:before="0" w:after="283"/>
              <w:jc w:val="left"/>
              <w:rPr/>
            </w:pPr>
            <w:r>
              <w:rPr/>
              <w:t> </w:t>
            </w:r>
          </w:p>
        </w:tc>
        <w:tc>
          <w:tcPr>
            <w:tcW w:w="411" w:type="dxa"/>
            <w:tcBorders/>
            <w:shd w:fill="B6DEE8" w:val="clear"/>
            <w:vAlign w:val="center"/>
          </w:tcPr>
          <w:p>
            <w:pPr>
              <w:pStyle w:val="TableContents"/>
              <w:bidi w:val="0"/>
              <w:spacing w:before="0" w:after="283"/>
              <w:jc w:val="left"/>
              <w:rPr/>
            </w:pPr>
            <w:r>
              <w:rPr/>
              <w:t> </w:t>
            </w:r>
          </w:p>
        </w:tc>
      </w:tr>
      <w:tr>
        <w:trPr/>
        <w:tc>
          <w:tcPr>
            <w:tcW w:w="4162"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Net loss per share</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162" w:type="dxa"/>
            <w:tcBorders/>
            <w:shd w:fill="B6DEE8"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Basic</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411" w:type="dxa"/>
            <w:tcBorders/>
            <w:shd w:fill="B6DEE8"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416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(9.32</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potentially dilutive shares were excluded from the computation of diluted net loss per share for the periods presented because including them would have been antidilutive:</w:t>
      </w:r>
    </w:p>
    <w:p>
      <w:pPr>
        <w:pStyle w:val="TextBody"/>
        <w:bidi w:val="0"/>
        <w:jc w:val="left"/>
        <w:rPr/>
      </w:pPr>
      <w:r>
        <w:rPr/>
        <w:t> </w:t>
      </w:r>
    </w:p>
    <w:tbl>
      <w:tblPr>
        <w:tblW w:w="7606" w:type="dxa"/>
        <w:jc w:val="left"/>
        <w:tblInd w:w="0" w:type="dxa"/>
        <w:tblLayout w:type="fixed"/>
        <w:tblCellMar>
          <w:top w:w="28" w:type="dxa"/>
          <w:left w:w="28" w:type="dxa"/>
          <w:bottom w:w="28" w:type="dxa"/>
          <w:right w:w="28" w:type="dxa"/>
        </w:tblCellMar>
      </w:tblPr>
      <w:tblGrid>
        <w:gridCol w:w="2086"/>
        <w:gridCol w:w="146"/>
        <w:gridCol w:w="163"/>
        <w:gridCol w:w="1044"/>
        <w:gridCol w:w="163"/>
        <w:gridCol w:w="163"/>
        <w:gridCol w:w="1044"/>
        <w:gridCol w:w="146"/>
        <w:gridCol w:w="156"/>
        <w:gridCol w:w="996"/>
        <w:gridCol w:w="156"/>
        <w:gridCol w:w="156"/>
        <w:gridCol w:w="99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For the Nine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2023</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Equity incentive awards</w:t>
            </w:r>
          </w:p>
        </w:tc>
        <w:tc>
          <w:tcPr>
            <w:tcW w:w="146" w:type="dxa"/>
            <w:tcBorders/>
            <w:shd w:fill="B6DEE8" w:val="clear"/>
            <w:vAlign w:val="center"/>
          </w:tcPr>
          <w:p>
            <w:pPr>
              <w:pStyle w:val="TableContents"/>
              <w:bidi w:val="0"/>
              <w:spacing w:before="0" w:after="283"/>
              <w:jc w:val="left"/>
              <w:rPr/>
            </w:pPr>
            <w:r>
              <w:rPr/>
              <w:t> </w:t>
            </w:r>
          </w:p>
        </w:tc>
        <w:tc>
          <w:tcPr>
            <w:tcW w:w="163" w:type="dxa"/>
            <w:tcBorders/>
            <w:shd w:fill="B6DEE8" w:val="clear"/>
            <w:vAlign w:val="center"/>
          </w:tcPr>
          <w:p>
            <w:pPr>
              <w:pStyle w:val="TableContents"/>
              <w:bidi w:val="0"/>
              <w:spacing w:before="0" w:after="283"/>
              <w:jc w:val="left"/>
              <w:rPr/>
            </w:pPr>
            <w:r>
              <w:rPr/>
              <w:t> </w:t>
            </w:r>
          </w:p>
        </w:tc>
        <w:tc>
          <w:tcPr>
            <w:tcW w:w="104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2,408,298</w:t>
            </w:r>
          </w:p>
        </w:tc>
        <w:tc>
          <w:tcPr>
            <w:tcW w:w="163" w:type="dxa"/>
            <w:tcBorders/>
            <w:shd w:fill="B6DEE8" w:val="clear"/>
            <w:vAlign w:val="center"/>
          </w:tcPr>
          <w:p>
            <w:pPr>
              <w:pStyle w:val="TableContents"/>
              <w:bidi w:val="0"/>
              <w:spacing w:before="0" w:after="283"/>
              <w:jc w:val="left"/>
              <w:rPr/>
            </w:pPr>
            <w:r>
              <w:rPr/>
              <w:t> </w:t>
            </w:r>
          </w:p>
        </w:tc>
        <w:tc>
          <w:tcPr>
            <w:tcW w:w="163" w:type="dxa"/>
            <w:tcBorders/>
            <w:shd w:fill="B6DEE8" w:val="clear"/>
            <w:vAlign w:val="center"/>
          </w:tcPr>
          <w:p>
            <w:pPr>
              <w:pStyle w:val="TableContents"/>
              <w:bidi w:val="0"/>
              <w:spacing w:before="0" w:after="283"/>
              <w:jc w:val="left"/>
              <w:rPr/>
            </w:pPr>
            <w:r>
              <w:rPr/>
              <w:t> </w:t>
            </w:r>
          </w:p>
        </w:tc>
        <w:tc>
          <w:tcPr>
            <w:tcW w:w="104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1,493,939</w:t>
            </w:r>
          </w:p>
        </w:tc>
        <w:tc>
          <w:tcPr>
            <w:tcW w:w="146" w:type="dxa"/>
            <w:tcBorders/>
            <w:shd w:fill="B6DEE8" w:val="clear"/>
            <w:vAlign w:val="center"/>
          </w:tcPr>
          <w:p>
            <w:pPr>
              <w:pStyle w:val="TableContents"/>
              <w:bidi w:val="0"/>
              <w:spacing w:before="0" w:after="283"/>
              <w:jc w:val="left"/>
              <w:rPr/>
            </w:pPr>
            <w:r>
              <w:rPr/>
              <w:t> </w:t>
            </w:r>
          </w:p>
        </w:tc>
        <w:tc>
          <w:tcPr>
            <w:tcW w:w="156" w:type="dxa"/>
            <w:tcBorders/>
            <w:shd w:fill="B6DEE8" w:val="clear"/>
            <w:vAlign w:val="center"/>
          </w:tcPr>
          <w:p>
            <w:pPr>
              <w:pStyle w:val="TableContents"/>
              <w:bidi w:val="0"/>
              <w:spacing w:before="0" w:after="283"/>
              <w:jc w:val="left"/>
              <w:rPr/>
            </w:pPr>
            <w:r>
              <w:rPr/>
              <w:t> </w:t>
            </w:r>
          </w:p>
        </w:tc>
        <w:tc>
          <w:tcPr>
            <w:tcW w:w="99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2,408,298</w:t>
            </w:r>
          </w:p>
        </w:tc>
        <w:tc>
          <w:tcPr>
            <w:tcW w:w="156" w:type="dxa"/>
            <w:tcBorders/>
            <w:shd w:fill="B6DEE8" w:val="clear"/>
            <w:vAlign w:val="center"/>
          </w:tcPr>
          <w:p>
            <w:pPr>
              <w:pStyle w:val="TableContents"/>
              <w:bidi w:val="0"/>
              <w:spacing w:before="0" w:after="283"/>
              <w:jc w:val="left"/>
              <w:rPr/>
            </w:pPr>
            <w:r>
              <w:rPr/>
              <w:t> </w:t>
            </w:r>
          </w:p>
        </w:tc>
        <w:tc>
          <w:tcPr>
            <w:tcW w:w="156" w:type="dxa"/>
            <w:tcBorders/>
            <w:shd w:fill="B6DEE8" w:val="clear"/>
            <w:vAlign w:val="center"/>
          </w:tcPr>
          <w:p>
            <w:pPr>
              <w:pStyle w:val="TableContents"/>
              <w:bidi w:val="0"/>
              <w:spacing w:before="0" w:after="283"/>
              <w:jc w:val="left"/>
              <w:rPr/>
            </w:pPr>
            <w:r>
              <w:rPr/>
              <w:t> </w:t>
            </w:r>
          </w:p>
        </w:tc>
        <w:tc>
          <w:tcPr>
            <w:tcW w:w="99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1,493,939</w:t>
            </w:r>
          </w:p>
        </w:tc>
        <w:tc>
          <w:tcPr>
            <w:tcW w:w="191" w:type="dxa"/>
            <w:tcBorders/>
            <w:shd w:fill="B6DEE8" w:val="cle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Convertible debt</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312,500</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312,500</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312,500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16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2,720,798</w:t>
            </w:r>
          </w:p>
        </w:tc>
        <w:tc>
          <w:tcPr>
            <w:tcW w:w="16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4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1,806,439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2,720,798</w:t>
            </w:r>
          </w:p>
        </w:tc>
        <w:tc>
          <w:tcPr>
            <w:tcW w:w="1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1,806,439</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2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Management does not believe that any recently issued, but not yet effective, accounting pronouncements, if currently adopted, would have a material effect on the Company’s financial statements.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Recently Adopted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 xml:space="preserve">In June 2016, the Financial Accounting Standards Board (“FASB”) issued Accounting Standards Update (“ASU”) 2016-13, </w:t>
      </w:r>
      <w:r>
        <w:rPr>
          <w:rFonts w:ascii="Times New Roman" w:hAnsi="Times New Roman"/>
          <w:b w:val="false"/>
          <w:i/>
          <w:color w:val="000000"/>
          <w:sz w:val="20"/>
        </w:rPr>
        <w:t>Financial Instruments—Credit Losses (Topic 326): Measurement of Credit Losses on Financial Instruments (“ASU 2016-13”)</w:t>
      </w:r>
      <w:r>
        <w:rPr>
          <w:rFonts w:ascii="Times New Roman" w:hAnsi="Times New Roman"/>
          <w:b w:val="false"/>
          <w:color w:val="000000"/>
          <w:sz w:val="20"/>
        </w:rPr>
        <w:t>. ASU 2016-13 introduced a new credit loss 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improvements and provide additional disclosure guidance. The Company adopted this ASU on January 1, 2023 and determined that ASU 2016-13 had no material impact on the Company’s unaudited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 xml:space="preserve">In March 2020, the FASB issued ASU No. 2020-04,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b w:val="false"/>
          <w:color w:val="000000"/>
          <w:sz w:val="20"/>
        </w:rPr>
        <w:t>, which provides optional guidance for accounting for contracts, hedging relationships, and other transactions affected by reference rate reform, if certain criteria are met. In December 2022, the FASB issued ASU No. 2022-06, Reference Rate Reform (Topic 848), Deferral of the Sunset Date of Topic 848. The amendments in this Update defer the sunset date of Topic 848 from December 31, 2022, to December 31, 2024, after which entities will no longer be permitted to apply the relief in Topic 848. The Company has evaluated the effect that the updated standard had on its internal processes, unaudited condensed consolidated financial statements, and related disclosures, and has determined that the adoption did not have a significant impact on its unaudited condensed consolidated financial statements and related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 Marketable Securities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Below is a detail of marketable securities (in thousands):</w:t>
      </w:r>
    </w:p>
    <w:p>
      <w:pPr>
        <w:pStyle w:val="TextBody"/>
        <w:bidi w:val="0"/>
        <w:jc w:val="left"/>
        <w:rPr/>
      </w:pPr>
      <w:r>
        <w:rPr/>
        <w:t> </w:t>
      </w:r>
    </w:p>
    <w:tbl>
      <w:tblPr>
        <w:tblW w:w="5985" w:type="dxa"/>
        <w:jc w:val="left"/>
        <w:tblInd w:w="0" w:type="dxa"/>
        <w:tblLayout w:type="fixed"/>
        <w:tblCellMar>
          <w:top w:w="28" w:type="dxa"/>
          <w:left w:w="28" w:type="dxa"/>
          <w:bottom w:w="28" w:type="dxa"/>
          <w:right w:w="28" w:type="dxa"/>
        </w:tblCellMar>
      </w:tblPr>
      <w:tblGrid>
        <w:gridCol w:w="1861"/>
        <w:gridCol w:w="146"/>
        <w:gridCol w:w="477"/>
        <w:gridCol w:w="1293"/>
        <w:gridCol w:w="146"/>
        <w:gridCol w:w="146"/>
        <w:gridCol w:w="574"/>
        <w:gridCol w:w="1151"/>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2022</w:t>
            </w:r>
          </w:p>
        </w:tc>
        <w:tc>
          <w:tcPr>
            <w:tcW w:w="191" w:type="dxa"/>
            <w:tcBorders/>
            <w:shd w:fill="FFFFFF" w:val="clear"/>
            <w:vAlign w:val="center"/>
          </w:tcPr>
          <w:p>
            <w:pPr>
              <w:pStyle w:val="TableContents"/>
              <w:bidi w:val="0"/>
              <w:spacing w:before="0" w:after="283"/>
              <w:jc w:val="center"/>
              <w:rPr/>
            </w:pPr>
            <w:r>
              <w:rPr/>
              <w:t> </w:t>
            </w:r>
          </w:p>
        </w:tc>
      </w:tr>
      <w:tr>
        <w:trPr/>
        <w:tc>
          <w:tcPr>
            <w:tcW w:w="18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5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At September 30, 2023 and December 31, 2022, the Company’s marketable securities consisted of investments in a publicly traded money market mutual fund with a ticker symbol SSPXX. The underlying money market instruments were primarily comprised of certificates of deposit and financial company asset backed commercial paper. At September 30, 2023 the investment portfolio had a weighted-average maturity of 45</w:t>
      </w:r>
      <w:r>
        <w:rPr>
          <w:rFonts w:ascii="Times New Roman" w:hAnsi="Times New Roman"/>
          <w:color w:val="000000"/>
          <w:sz w:val="20"/>
        </w:rPr>
        <w:t xml:space="preserve"> </w:t>
      </w:r>
      <w:r>
        <w:rPr>
          <w:rFonts w:ascii="Times New Roman" w:hAnsi="Times New Roman"/>
          <w:b w:val="false"/>
          <w:color w:val="000000"/>
          <w:sz w:val="20"/>
        </w:rPr>
        <w:t>days. At December 31, 2022 the investment portfolio had a weighted-average maturity of 48</w:t>
      </w:r>
      <w:r>
        <w:rPr>
          <w:rFonts w:ascii="Times New Roman" w:hAnsi="Times New Roman"/>
          <w:color w:val="000000"/>
          <w:sz w:val="20"/>
        </w:rPr>
        <w:t xml:space="preserve"> </w:t>
      </w:r>
      <w:r>
        <w:rPr>
          <w:rFonts w:ascii="Times New Roman" w:hAnsi="Times New Roman"/>
          <w:b w:val="false"/>
          <w:color w:val="000000"/>
          <w:sz w:val="20"/>
        </w:rPr>
        <w:t>days. The gain recognized in connection with the investment in marketable securities for the three and nine months ended September 30, 2023 was $0.04</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 and recorded as a component of interest income in the unaudited condensed consolidated statements of operations. The gain recognized in connection with the investment in marketable securities for the three and nine months ended September 30, 2022 was $0.1</w:t>
      </w:r>
      <w:r>
        <w:rPr>
          <w:rFonts w:ascii="Times New Roman" w:hAnsi="Times New Roman"/>
          <w:color w:val="000000"/>
          <w:sz w:val="20"/>
        </w:rPr>
        <w:t xml:space="preserve"> </w:t>
      </w:r>
      <w:r>
        <w:rPr>
          <w:rFonts w:ascii="Times New Roman" w:hAnsi="Times New Roman"/>
          <w:b w:val="false"/>
          <w:color w:val="000000"/>
          <w:sz w:val="20"/>
        </w:rPr>
        <w:t>million and $0.4</w:t>
      </w:r>
      <w:r>
        <w:rPr>
          <w:rFonts w:ascii="Times New Roman" w:hAnsi="Times New Roman"/>
          <w:color w:val="000000"/>
          <w:sz w:val="20"/>
        </w:rPr>
        <w:t xml:space="preserve"> </w:t>
      </w:r>
      <w:r>
        <w:rPr>
          <w:rFonts w:ascii="Times New Roman" w:hAnsi="Times New Roman"/>
          <w:b w:val="false"/>
          <w:color w:val="000000"/>
          <w:sz w:val="20"/>
        </w:rPr>
        <w:t>million, respectively, and recorded as a component of interest income in the unaudited condensed consolidated statements of operations.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 Short-Term Investments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Below is a summary of short-term investments, which are measured at fair value as of September 30, 2023 (in thousands):</w:t>
      </w:r>
    </w:p>
    <w:p>
      <w:pPr>
        <w:pStyle w:val="TextBody"/>
        <w:bidi w:val="0"/>
        <w:jc w:val="left"/>
        <w:rPr/>
      </w:pPr>
      <w:r>
        <w:rPr/>
        <w:t> </w:t>
      </w:r>
    </w:p>
    <w:tbl>
      <w:tblPr>
        <w:tblW w:w="9546"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704"/>
        <w:gridCol w:w="1411"/>
        <w:gridCol w:w="146"/>
        <w:gridCol w:w="146"/>
        <w:gridCol w:w="661"/>
        <w:gridCol w:w="1514"/>
        <w:gridCol w:w="166"/>
        <w:gridCol w:w="146"/>
        <w:gridCol w:w="217"/>
        <w:gridCol w:w="803"/>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90,860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0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1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66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1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90,180</w:t>
            </w:r>
          </w:p>
        </w:tc>
        <w:tc>
          <w:tcPr>
            <w:tcW w:w="191" w:type="dxa"/>
            <w:tcBorders/>
            <w:shd w:fill="B6DEE8"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left"/>
              <w:rPr/>
            </w:pPr>
            <w:r>
              <w:rPr/>
              <w:t> </w:t>
            </w:r>
          </w:p>
        </w:tc>
        <w:tc>
          <w:tcPr>
            <w:tcW w:w="15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1,281</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32,953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33,120</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Below is a summary of short-term investments, which are measured at fair value as of December 31, 2022 (in thousands):</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93"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704"/>
        <w:gridCol w:w="1411"/>
        <w:gridCol w:w="146"/>
        <w:gridCol w:w="146"/>
        <w:gridCol w:w="544"/>
        <w:gridCol w:w="1632"/>
        <w:gridCol w:w="166"/>
        <w:gridCol w:w="146"/>
        <w:gridCol w:w="217"/>
        <w:gridCol w:w="803"/>
        <w:gridCol w:w="14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151,245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0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1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149,576</w:t>
            </w:r>
          </w:p>
        </w:tc>
        <w:tc>
          <w:tcPr>
            <w:tcW w:w="146" w:type="dxa"/>
            <w:tcBorders/>
            <w:shd w:fill="B6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4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left"/>
              <w:rPr/>
            </w:pPr>
            <w:r>
              <w:rPr/>
              <w:t> </w:t>
            </w:r>
          </w:p>
        </w:tc>
        <w:tc>
          <w:tcPr>
            <w:tcW w:w="16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16,254</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3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gross unrealized losses and fair values of available-for-sale investment securities that were in unrealized loss positions were as follows (in thousands):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2"/>
        <w:gridCol w:w="146"/>
        <w:gridCol w:w="214"/>
        <w:gridCol w:w="792"/>
        <w:gridCol w:w="146"/>
        <w:gridCol w:w="146"/>
        <w:gridCol w:w="313"/>
        <w:gridCol w:w="942"/>
        <w:gridCol w:w="166"/>
        <w:gridCol w:w="146"/>
        <w:gridCol w:w="226"/>
        <w:gridCol w:w="727"/>
        <w:gridCol w:w="146"/>
        <w:gridCol w:w="146"/>
        <w:gridCol w:w="382"/>
        <w:gridCol w:w="874"/>
        <w:gridCol w:w="166"/>
        <w:gridCol w:w="146"/>
        <w:gridCol w:w="214"/>
        <w:gridCol w:w="792"/>
        <w:gridCol w:w="146"/>
        <w:gridCol w:w="146"/>
        <w:gridCol w:w="313"/>
        <w:gridCol w:w="942"/>
        <w:gridCol w:w="216"/>
      </w:tblGrid>
      <w:tr>
        <w:trPr/>
        <w:tc>
          <w:tcPr>
            <w:tcW w:w="1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September 30, 2023</w:t>
            </w:r>
          </w:p>
        </w:tc>
        <w:tc>
          <w:tcPr>
            <w:tcW w:w="146" w:type="dxa"/>
            <w:tcBorders/>
            <w:shd w:fill="FFFFFF" w:val="clear"/>
            <w:vAlign w:val="center"/>
          </w:tcPr>
          <w:p>
            <w:pPr>
              <w:pStyle w:val="TableContents"/>
              <w:bidi w:val="0"/>
              <w:spacing w:before="0" w:after="283"/>
              <w:jc w:val="center"/>
              <w:rPr/>
            </w:pPr>
            <w:r>
              <w:rPr/>
              <w:t> </w:t>
            </w:r>
          </w:p>
        </w:tc>
        <w:tc>
          <w:tcPr>
            <w:tcW w:w="2553"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3" w:type="dxa"/>
            <w:gridSpan w:val="6"/>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r>
      <w:tr>
        <w:trPr/>
        <w:tc>
          <w:tcPr>
            <w:tcW w:w="161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19,628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1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7"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36,484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(786</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56,113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1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w:t>
            </w:r>
          </w:p>
        </w:tc>
        <w:tc>
          <w:tcPr>
            <w:tcW w:w="2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 Months or More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2022</w:t>
            </w:r>
          </w:p>
        </w:tc>
        <w:tc>
          <w:tcPr>
            <w:tcW w:w="146" w:type="dxa"/>
            <w:tcBorders/>
            <w:shd w:fill="FFFFFF" w:val="clear"/>
            <w:vAlign w:val="center"/>
          </w:tcPr>
          <w:p>
            <w:pPr>
              <w:pStyle w:val="TableContents"/>
              <w:bidi w:val="0"/>
              <w:spacing w:before="0" w:after="283"/>
              <w:jc w:val="center"/>
              <w:rPr/>
            </w:pPr>
            <w:r>
              <w:rPr/>
              <w:t> </w:t>
            </w:r>
          </w:p>
        </w:tc>
        <w:tc>
          <w:tcPr>
            <w:tcW w:w="2553"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01" w:type="dxa"/>
            <w:gridSpan w:val="6"/>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3" w:type="dxa"/>
            <w:gridSpan w:val="6"/>
            <w:tcBorders/>
            <w:shd w:fill="FFFFFF" w:val="clear"/>
            <w:vAlign w:val="center"/>
          </w:tcPr>
          <w:p>
            <w:pPr>
              <w:pStyle w:val="TableContents"/>
              <w:bidi w:val="0"/>
              <w:spacing w:before="0" w:after="283"/>
              <w:jc w:val="center"/>
              <w:rPr/>
            </w:pPr>
            <w:r>
              <w:rPr/>
              <w:t> </w:t>
            </w:r>
          </w:p>
        </w:tc>
        <w:tc>
          <w:tcPr>
            <w:tcW w:w="216" w:type="dxa"/>
            <w:tcBorders/>
            <w:shd w:fill="FFFFFF" w:val="clear"/>
            <w:vAlign w:val="center"/>
          </w:tcPr>
          <w:p>
            <w:pPr>
              <w:pStyle w:val="TableContents"/>
              <w:bidi w:val="0"/>
              <w:spacing w:before="0" w:after="283"/>
              <w:jc w:val="center"/>
              <w:rPr/>
            </w:pPr>
            <w:r>
              <w:rPr/>
              <w:t> </w:t>
            </w:r>
          </w:p>
        </w:tc>
      </w:tr>
      <w:tr>
        <w:trPr/>
        <w:tc>
          <w:tcPr>
            <w:tcW w:w="161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Corporate bonds</w:t>
            </w:r>
          </w:p>
        </w:tc>
        <w:tc>
          <w:tcPr>
            <w:tcW w:w="146" w:type="dxa"/>
            <w:tcBorders/>
            <w:shd w:fill="B6DEE8" w:val="clear"/>
            <w:vAlign w:val="center"/>
          </w:tcPr>
          <w:p>
            <w:pPr>
              <w:pStyle w:val="TableContents"/>
              <w:bidi w:val="0"/>
              <w:spacing w:before="0" w:after="283"/>
              <w:jc w:val="left"/>
              <w:rPr/>
            </w:pPr>
            <w:r>
              <w:rPr/>
              <w:t> </w:t>
            </w:r>
          </w:p>
        </w:tc>
        <w:tc>
          <w:tcPr>
            <w:tcW w:w="21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129,573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1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7"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8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129,573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1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w:t>
            </w:r>
          </w:p>
        </w:tc>
        <w:tc>
          <w:tcPr>
            <w:tcW w:w="2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Asset-backed securities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2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61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Government securities</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1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(1,815</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6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5" w:type="dxa"/>
            <w:gridSpan w:val="2"/>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gain recorded in connection with the investment in short-term investments for the three and nine months ended September 30, 2023, was $0.2</w:t>
      </w:r>
      <w:r>
        <w:rPr>
          <w:rFonts w:ascii="Times New Roman" w:hAnsi="Times New Roman"/>
          <w:color w:val="000000"/>
          <w:sz w:val="20"/>
        </w:rPr>
        <w:t xml:space="preserve"> </w:t>
      </w:r>
      <w:r>
        <w:rPr>
          <w:rFonts w:ascii="Times New Roman" w:hAnsi="Times New Roman"/>
          <w:b w:val="false"/>
          <w:color w:val="000000"/>
          <w:sz w:val="20"/>
        </w:rPr>
        <w:t>million and $0.5</w:t>
      </w:r>
      <w:r>
        <w:rPr>
          <w:rFonts w:ascii="Times New Roman" w:hAnsi="Times New Roman"/>
          <w:color w:val="000000"/>
          <w:sz w:val="20"/>
        </w:rPr>
        <w:t xml:space="preserve"> </w:t>
      </w:r>
      <w:r>
        <w:rPr>
          <w:rFonts w:ascii="Times New Roman" w:hAnsi="Times New Roman"/>
          <w:b w:val="false"/>
          <w:color w:val="000000"/>
          <w:sz w:val="20"/>
        </w:rPr>
        <w:t>million, respectively, and was recorded as a component of interest income in the condensed consolidated statements of operations. The gain or loss in connection with the investment in short-term investments for the three and nine months ended September 30, 2022 was insignificant. Accrued interest of $1.0</w:t>
      </w:r>
      <w:r>
        <w:rPr>
          <w:rFonts w:ascii="Times New Roman" w:hAnsi="Times New Roman"/>
          <w:color w:val="000000"/>
          <w:sz w:val="20"/>
        </w:rPr>
        <w:t xml:space="preserve"> </w:t>
      </w:r>
      <w:r>
        <w:rPr>
          <w:rFonts w:ascii="Times New Roman" w:hAnsi="Times New Roman"/>
          <w:b w:val="false"/>
          <w:color w:val="000000"/>
          <w:sz w:val="20"/>
        </w:rPr>
        <w:t>million and $1.4</w:t>
      </w:r>
      <w:r>
        <w:rPr>
          <w:rFonts w:ascii="Times New Roman" w:hAnsi="Times New Roman"/>
          <w:color w:val="000000"/>
          <w:sz w:val="20"/>
        </w:rPr>
        <w:t xml:space="preserve"> </w:t>
      </w:r>
      <w:r>
        <w:rPr>
          <w:rFonts w:ascii="Times New Roman" w:hAnsi="Times New Roman"/>
          <w:b w:val="false"/>
          <w:color w:val="000000"/>
          <w:sz w:val="20"/>
        </w:rPr>
        <w:t>million is included in short-term investments within the unaudited condensed consolidated balance sheets for the period ended September 30, 2023 and December 31,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Unrealized losses on the available-for-sale investment securities as of September 30, 2023 and December 31, 2022 are primarily the result of increases in interest rates as a significant portion of the investments were purchased prior to the Federal reserve commenced interest rate increases in 2022. The Company does not intend to sell nor anticipate that it will be required to sell these investments before recovery of the amortized cost basis. As such, unrealized losses were determined not to be related to credit losses and the Company did not record any credit-related impairment losses on the available-for-sale investment securities during the three and nine months ended September 30, 2023 and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September 30, 2023, the contractual maturities of available-for-sale investment securities were as follows (in thousands):</w:t>
      </w:r>
    </w:p>
    <w:p>
      <w:pPr>
        <w:pStyle w:val="TextBody"/>
        <w:bidi w:val="0"/>
        <w:jc w:val="left"/>
        <w:rPr/>
      </w:pPr>
      <w:r>
        <w:rPr/>
        <w:t> </w:t>
      </w:r>
    </w:p>
    <w:tbl>
      <w:tblPr>
        <w:tblW w:w="6326" w:type="dxa"/>
        <w:jc w:val="left"/>
        <w:tblInd w:w="0" w:type="dxa"/>
        <w:tblLayout w:type="fixed"/>
        <w:tblCellMar>
          <w:top w:w="28" w:type="dxa"/>
          <w:left w:w="28" w:type="dxa"/>
          <w:bottom w:w="28" w:type="dxa"/>
          <w:right w:w="28" w:type="dxa"/>
        </w:tblCellMar>
      </w:tblPr>
      <w:tblGrid>
        <w:gridCol w:w="3106"/>
        <w:gridCol w:w="146"/>
        <w:gridCol w:w="301"/>
        <w:gridCol w:w="1124"/>
        <w:gridCol w:w="146"/>
        <w:gridCol w:w="146"/>
        <w:gridCol w:w="217"/>
        <w:gridCol w:w="803"/>
        <w:gridCol w:w="146"/>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in one year or less</w:t>
            </w:r>
          </w:p>
        </w:tc>
        <w:tc>
          <w:tcPr>
            <w:tcW w:w="146" w:type="dxa"/>
            <w:tcBorders/>
            <w:shd w:fill="B6DEE8" w:val="clear"/>
            <w:vAlign w:val="center"/>
          </w:tcPr>
          <w:p>
            <w:pPr>
              <w:pStyle w:val="TableContents"/>
              <w:bidi w:val="0"/>
              <w:spacing w:before="0" w:after="283"/>
              <w:jc w:val="left"/>
              <w:rPr/>
            </w:pPr>
            <w:r>
              <w:rPr/>
              <w:t> </w:t>
            </w:r>
          </w:p>
        </w:tc>
        <w:tc>
          <w:tcPr>
            <w:tcW w:w="30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91,418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91,629</w:t>
            </w:r>
          </w:p>
        </w:tc>
        <w:tc>
          <w:tcPr>
            <w:tcW w:w="146" w:type="dxa"/>
            <w:tcBorders/>
            <w:shd w:fill="B6DEE8"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Due after one year through five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32,952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125,089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124,581</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2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5 Member Cash Advances,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Below is a detail of Member cash advances, net as of September 30, 2023</w:t>
      </w:r>
      <w:r>
        <w:rPr>
          <w:rFonts w:ascii="Times New Roman" w:hAnsi="Times New Roman"/>
          <w:color w:val="FF00FF"/>
          <w:sz w:val="20"/>
        </w:rPr>
        <w:t xml:space="preserve"> </w:t>
      </w:r>
      <w:r>
        <w:rPr>
          <w:rFonts w:ascii="Times New Roman" w:hAnsi="Times New Roman"/>
          <w:b w:val="false"/>
          <w:color w:val="000000"/>
          <w:sz w:val="20"/>
        </w:rPr>
        <w:t>(in thousands):</w:t>
      </w:r>
    </w:p>
    <w:p>
      <w:pPr>
        <w:pStyle w:val="TextBody"/>
        <w:bidi w:val="0"/>
        <w:spacing w:before="120" w:after="283"/>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87"/>
        <w:gridCol w:w="156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Advances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Advances,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86,578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(2,578</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8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6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84,000</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15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8,192</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31-60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pPr>
            <w:r>
              <w:rPr/>
              <w:t> </w:t>
            </w:r>
          </w:p>
        </w:tc>
        <w:tc>
          <w:tcPr>
            <w:tcW w:w="174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7,159</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pPr>
            <w:r>
              <w:rPr/>
              <w:t> </w:t>
            </w:r>
          </w:p>
        </w:tc>
        <w:tc>
          <w:tcPr>
            <w:tcW w:w="19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(4,612</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87" w:type="dxa"/>
            <w:tcBorders/>
            <w:shd w:fill="B6DEE8" w:val="clear"/>
            <w:vAlign w:val="center"/>
          </w:tcPr>
          <w:p>
            <w:pPr>
              <w:pStyle w:val="TableContents"/>
              <w:bidi w:val="0"/>
              <w:spacing w:before="0" w:after="283"/>
              <w:jc w:val="left"/>
              <w:rPr/>
            </w:pPr>
            <w:r>
              <w:rPr/>
              <w:t> </w:t>
            </w:r>
          </w:p>
        </w:tc>
        <w:tc>
          <w:tcPr>
            <w:tcW w:w="156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2,547</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61-90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(4,507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15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1,322</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6,474</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(5,411</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6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1,063</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97,124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Below is a detail of Member cash advances, net as of December 31, 2022 (in thousands):</w:t>
      </w:r>
    </w:p>
    <w:p>
      <w:pPr>
        <w:pStyle w:val="TextBody"/>
        <w:bidi w:val="0"/>
        <w:spacing w:before="4" w:after="283"/>
        <w:jc w:val="left"/>
        <w:rPr/>
      </w:pPr>
      <w:r>
        <w:rPr/>
        <w:t> </w:t>
      </w:r>
    </w:p>
    <w:tbl>
      <w:tblPr>
        <w:tblW w:w="9807" w:type="dxa"/>
        <w:jc w:val="left"/>
        <w:tblInd w:w="0" w:type="dxa"/>
        <w:tblLayout w:type="fixed"/>
        <w:tblCellMar>
          <w:top w:w="28" w:type="dxa"/>
          <w:left w:w="28" w:type="dxa"/>
          <w:bottom w:w="28" w:type="dxa"/>
          <w:right w:w="28" w:type="dxa"/>
        </w:tblCellMar>
      </w:tblPr>
      <w:tblGrid>
        <w:gridCol w:w="2116"/>
        <w:gridCol w:w="146"/>
        <w:gridCol w:w="472"/>
        <w:gridCol w:w="1748"/>
        <w:gridCol w:w="146"/>
        <w:gridCol w:w="146"/>
        <w:gridCol w:w="549"/>
        <w:gridCol w:w="1926"/>
        <w:gridCol w:w="166"/>
        <w:gridCol w:w="146"/>
        <w:gridCol w:w="437"/>
        <w:gridCol w:w="1618"/>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Days From Origination</w:t>
            </w:r>
          </w:p>
        </w:tc>
        <w:tc>
          <w:tcPr>
            <w:tcW w:w="146" w:type="dxa"/>
            <w:tcBorders/>
            <w:shd w:fill="FFFFFF" w:val="clear"/>
            <w:vAlign w:val="center"/>
          </w:tcPr>
          <w:p>
            <w:pPr>
              <w:pStyle w:val="TableContents"/>
              <w:bidi w:val="0"/>
              <w:spacing w:before="0" w:after="283"/>
              <w:jc w:val="center"/>
              <w:rPr/>
            </w:pPr>
            <w:r>
              <w:rPr/>
              <w:t> </w:t>
            </w:r>
          </w:p>
        </w:tc>
        <w:tc>
          <w:tcPr>
            <w:tcW w:w="22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Member Advances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Allowance for Credit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Member Advances, 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4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91,121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(2,224</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1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88,897</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11-30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(2,582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8,101</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31-60</w:t>
            </w:r>
          </w:p>
        </w:tc>
        <w:tc>
          <w:tcPr>
            <w:tcW w:w="146" w:type="dxa"/>
            <w:tcBorders/>
            <w:shd w:fill="B6DEE8" w:val="clear"/>
            <w:vAlign w:val="center"/>
          </w:tcPr>
          <w:p>
            <w:pPr>
              <w:pStyle w:val="TableContents"/>
              <w:bidi w:val="0"/>
              <w:spacing w:before="0" w:after="283"/>
              <w:jc w:val="left"/>
              <w:rPr/>
            </w:pPr>
            <w:r>
              <w:rPr/>
              <w:t> </w:t>
            </w:r>
          </w:p>
        </w:tc>
        <w:tc>
          <w:tcPr>
            <w:tcW w:w="472" w:type="dxa"/>
            <w:tcBorders/>
            <w:shd w:fill="B6DEE8" w:val="clear"/>
            <w:vAlign w:val="center"/>
          </w:tcPr>
          <w:p>
            <w:pPr>
              <w:pStyle w:val="TableContents"/>
              <w:bidi w:val="0"/>
              <w:spacing w:before="0" w:after="283"/>
              <w:jc w:val="left"/>
              <w:rPr/>
            </w:pPr>
            <w:r>
              <w:rPr/>
              <w:t> </w:t>
            </w:r>
          </w:p>
        </w:tc>
        <w:tc>
          <w:tcPr>
            <w:tcW w:w="174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9,022</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549" w:type="dxa"/>
            <w:tcBorders/>
            <w:shd w:fill="B6DEE8" w:val="clear"/>
            <w:vAlign w:val="center"/>
          </w:tcPr>
          <w:p>
            <w:pPr>
              <w:pStyle w:val="TableContents"/>
              <w:bidi w:val="0"/>
              <w:spacing w:before="0" w:after="283"/>
              <w:jc w:val="left"/>
              <w:rPr/>
            </w:pPr>
            <w:r>
              <w:rPr/>
              <w:t> </w:t>
            </w:r>
          </w:p>
        </w:tc>
        <w:tc>
          <w:tcPr>
            <w:tcW w:w="19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(5,529</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437" w:type="dxa"/>
            <w:tcBorders/>
            <w:shd w:fill="B6DEE8" w:val="clear"/>
            <w:vAlign w:val="center"/>
          </w:tcPr>
          <w:p>
            <w:pPr>
              <w:pStyle w:val="TableContents"/>
              <w:bidi w:val="0"/>
              <w:spacing w:before="0" w:after="283"/>
              <w:jc w:val="left"/>
              <w:rPr/>
            </w:pPr>
            <w:r>
              <w:rPr/>
              <w:t> </w:t>
            </w:r>
          </w:p>
        </w:tc>
        <w:tc>
          <w:tcPr>
            <w:tcW w:w="161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3,493</w:t>
            </w:r>
          </w:p>
        </w:tc>
        <w:tc>
          <w:tcPr>
            <w:tcW w:w="191" w:type="dxa"/>
            <w:tcBorders/>
            <w:shd w:fill="B6DEE8" w:val="clear"/>
            <w:vAlign w:val="center"/>
          </w:tcPr>
          <w:p>
            <w:pPr>
              <w:pStyle w:val="TableContents"/>
              <w:bidi w:val="0"/>
              <w:spacing w:before="0" w:after="283"/>
              <w:jc w:val="left"/>
              <w:rPr/>
            </w:pPr>
            <w:r>
              <w:rPr/>
              <w:t> </w:t>
            </w:r>
          </w:p>
        </w:tc>
      </w:tr>
      <w:tr>
        <w:trPr/>
        <w:tc>
          <w:tcPr>
            <w:tcW w:w="21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61-90</w:t>
            </w:r>
          </w:p>
        </w:tc>
        <w:tc>
          <w:tcPr>
            <w:tcW w:w="146" w:type="dxa"/>
            <w:tcBorders/>
            <w:shd w:fill="FFFFFF" w:val="clear"/>
            <w:vAlign w:val="center"/>
          </w:tcPr>
          <w:p>
            <w:pPr>
              <w:pStyle w:val="TableContents"/>
              <w:bidi w:val="0"/>
              <w:spacing w:before="0" w:after="283"/>
              <w:jc w:val="left"/>
              <w:rPr/>
            </w:pPr>
            <w:r>
              <w:rPr/>
              <w:t> </w:t>
            </w:r>
          </w:p>
        </w:tc>
        <w:tc>
          <w:tcPr>
            <w:tcW w:w="472" w:type="dxa"/>
            <w:tcBorders/>
            <w:shd w:fill="FFFFFF" w:val="clear"/>
            <w:vAlign w:val="center"/>
          </w:tcPr>
          <w:p>
            <w:pPr>
              <w:pStyle w:val="TableContents"/>
              <w:bidi w:val="0"/>
              <w:spacing w:before="0" w:after="283"/>
              <w:jc w:val="left"/>
              <w:rPr/>
            </w:pPr>
            <w:r>
              <w:rPr/>
              <w:t> </w:t>
            </w:r>
          </w:p>
        </w:tc>
        <w:tc>
          <w:tcPr>
            <w:tcW w:w="1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left"/>
              <w:rPr/>
            </w:pPr>
            <w:r>
              <w:rPr/>
              <w:t> </w:t>
            </w:r>
          </w:p>
        </w:tc>
        <w:tc>
          <w:tcPr>
            <w:tcW w:w="19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left"/>
              <w:rPr/>
            </w:pPr>
            <w:r>
              <w:rPr/>
              <w:t> </w:t>
            </w:r>
          </w:p>
        </w:tc>
        <w:tc>
          <w:tcPr>
            <w:tcW w:w="161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2,163</w:t>
            </w:r>
          </w:p>
        </w:tc>
        <w:tc>
          <w:tcPr>
            <w:tcW w:w="191" w:type="dxa"/>
            <w:tcBorders/>
            <w:shd w:fill="FFFFFF" w:val="clear"/>
            <w:vAlign w:val="center"/>
          </w:tcPr>
          <w:p>
            <w:pPr>
              <w:pStyle w:val="TableContents"/>
              <w:bidi w:val="0"/>
              <w:spacing w:before="0" w:after="283"/>
              <w:jc w:val="left"/>
              <w:rPr/>
            </w:pPr>
            <w:r>
              <w:rPr/>
              <w:t> </w:t>
            </w:r>
          </w:p>
        </w:tc>
      </w:tr>
      <w:tr>
        <w:trPr/>
        <w:tc>
          <w:tcPr>
            <w:tcW w:w="21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91-120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4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8,993</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92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1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1,529</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128,684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104,183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Member advances, net, represent outstanding advances, tips, and processing fees, net of direct origination costs, less an allowance for credit losses.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roll-forward of the allowance for credit losses is as follows (in thousands):</w:t>
      </w:r>
    </w:p>
    <w:p>
      <w:pPr>
        <w:pStyle w:val="TextBody"/>
        <w:bidi w:val="0"/>
        <w:jc w:val="left"/>
        <w:rPr/>
      </w:pPr>
      <w:r>
        <w:rPr/>
        <w:t> </w:t>
      </w:r>
    </w:p>
    <w:tbl>
      <w:tblPr>
        <w:tblW w:w="5857" w:type="dxa"/>
        <w:jc w:val="left"/>
        <w:tblInd w:w="0" w:type="dxa"/>
        <w:tblLayout w:type="fixed"/>
        <w:tblCellMar>
          <w:top w:w="28" w:type="dxa"/>
          <w:left w:w="28" w:type="dxa"/>
          <w:bottom w:w="28" w:type="dxa"/>
          <w:right w:w="28" w:type="dxa"/>
        </w:tblCellMar>
      </w:tblPr>
      <w:tblGrid>
        <w:gridCol w:w="4261"/>
        <w:gridCol w:w="146"/>
        <w:gridCol w:w="146"/>
        <w:gridCol w:w="146"/>
        <w:gridCol w:w="211"/>
        <w:gridCol w:w="736"/>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24,501</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Plus: provision for credit losses</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43,861</w:t>
            </w:r>
          </w:p>
        </w:tc>
        <w:tc>
          <w:tcPr>
            <w:tcW w:w="211" w:type="dxa"/>
            <w:tcBorders/>
            <w:shd w:fill="B6DEE8"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Plus: amounts recovered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9,422</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(58,026</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September 30,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allowance balance at January 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11,995</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Plus: provision for credit losses</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3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45,995</w:t>
            </w:r>
          </w:p>
        </w:tc>
        <w:tc>
          <w:tcPr>
            <w:tcW w:w="211" w:type="dxa"/>
            <w:tcBorders/>
            <w:shd w:fill="B6DEE8"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Plus: amounts recovered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6,662</w:t>
            </w:r>
          </w:p>
        </w:tc>
        <w:tc>
          <w:tcPr>
            <w:tcW w:w="211" w:type="dxa"/>
            <w:tcBorders/>
            <w:shd w:fill="FFFFFF" w:val="clear"/>
            <w:vAlign w:val="center"/>
          </w:tcPr>
          <w:p>
            <w:pPr>
              <w:pStyle w:val="TableContents"/>
              <w:bidi w:val="0"/>
              <w:spacing w:before="0" w:after="283"/>
              <w:jc w:val="left"/>
              <w:rPr/>
            </w:pPr>
            <w:r>
              <w:rPr/>
              <w:t> </w:t>
            </w:r>
          </w:p>
        </w:tc>
      </w:tr>
      <w:tr>
        <w:trPr/>
        <w:tc>
          <w:tcPr>
            <w:tcW w:w="42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amounts written-off</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(42,536</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allowance balance at September 30, 2022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22,116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Intangible Assets, Net</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Company’s intangible assets,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6"/>
        <w:gridCol w:w="146"/>
        <w:gridCol w:w="1061"/>
        <w:gridCol w:w="146"/>
        <w:gridCol w:w="228"/>
        <w:gridCol w:w="732"/>
        <w:gridCol w:w="146"/>
        <w:gridCol w:w="146"/>
        <w:gridCol w:w="328"/>
        <w:gridCol w:w="982"/>
        <w:gridCol w:w="166"/>
        <w:gridCol w:w="146"/>
        <w:gridCol w:w="218"/>
        <w:gridCol w:w="698"/>
        <w:gridCol w:w="146"/>
        <w:gridCol w:w="146"/>
        <w:gridCol w:w="228"/>
        <w:gridCol w:w="732"/>
        <w:gridCol w:w="146"/>
        <w:gridCol w:w="291"/>
        <w:gridCol w:w="1018"/>
        <w:gridCol w:w="166"/>
        <w:gridCol w:w="218"/>
        <w:gridCol w:w="698"/>
        <w:gridCol w:w="197"/>
      </w:tblGrid>
      <w:tr>
        <w:trPr/>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49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Book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Internally developed software</w:t>
            </w:r>
          </w:p>
        </w:tc>
        <w:tc>
          <w:tcPr>
            <w:tcW w:w="146" w:type="dxa"/>
            <w:tcBorders/>
            <w:shd w:fill="B6DEE8" w:val="clear"/>
            <w:vAlign w:val="center"/>
          </w:tcPr>
          <w:p>
            <w:pPr>
              <w:pStyle w:val="TableContents"/>
              <w:bidi w:val="0"/>
              <w:spacing w:before="0" w:after="283"/>
              <w:jc w:val="left"/>
              <w:rPr/>
            </w:pPr>
            <w:r>
              <w:rPr/>
              <w:t> </w:t>
            </w:r>
          </w:p>
        </w:tc>
        <w:tc>
          <w:tcPr>
            <w:tcW w:w="1061" w:type="dxa"/>
            <w:tcBorders/>
            <w:shd w:fill="B6DEE8" w:val="cle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3.0</w:t>
            </w:r>
            <w:r>
              <w:rPr>
                <w:rFonts w:ascii="Times New Roman" w:hAnsi="Times New Roman"/>
                <w:color w:val="000000"/>
                <w:sz w:val="20"/>
              </w:rPr>
              <w:t> </w:t>
            </w:r>
            <w:r>
              <w:rPr>
                <w:rFonts w:ascii="Times New Roman" w:hAnsi="Times New Roman"/>
                <w:b w:val="false"/>
                <w:color w:val="000000"/>
                <w:sz w:val="20"/>
              </w:rPr>
              <w:t>Years</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19,931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2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(7,274</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1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12,657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21,694</w:t>
            </w:r>
          </w:p>
        </w:tc>
        <w:tc>
          <w:tcPr>
            <w:tcW w:w="146" w:type="dxa"/>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1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(11,605</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8"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10,089</w:t>
            </w:r>
          </w:p>
        </w:tc>
        <w:tc>
          <w:tcPr>
            <w:tcW w:w="197" w:type="dxa"/>
            <w:tcBorders/>
            <w:shd w:fill="B6DEE8" w:val="clear"/>
            <w:vAlign w:val="center"/>
          </w:tcPr>
          <w:p>
            <w:pPr>
              <w:pStyle w:val="TableContents"/>
              <w:bidi w:val="0"/>
              <w:spacing w:before="0" w:after="283"/>
              <w:jc w:val="left"/>
              <w:rPr/>
            </w:pPr>
            <w:r>
              <w:rPr/>
              <w:t> </w:t>
            </w:r>
          </w:p>
        </w:tc>
      </w:tr>
      <w:tr>
        <w:trPr/>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Domain 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val="false"/>
                <w:color w:val="000000"/>
                <w:sz w:val="20"/>
              </w:rPr>
              <w:t>15.0</w:t>
            </w:r>
            <w:r>
              <w:rPr>
                <w:rFonts w:ascii="Times New Roman" w:hAnsi="Times New Roman"/>
                <w:color w:val="000000"/>
                <w:sz w:val="20"/>
              </w:rPr>
              <w:t> </w:t>
            </w:r>
            <w:r>
              <w:rPr>
                <w:rFonts w:ascii="Times New Roman" w:hAnsi="Times New Roman"/>
                <w:b w:val="false"/>
                <w:color w:val="000000"/>
                <w:sz w:val="20"/>
              </w:rP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20,052</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8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(7,327</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21,815</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(11,652</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10,163</w:t>
            </w:r>
          </w:p>
        </w:tc>
        <w:tc>
          <w:tcPr>
            <w:tcW w:w="19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future estimated amortization expenses as of September 30, 2023, were as follows (in thousands):</w:t>
      </w:r>
    </w:p>
    <w:p>
      <w:pPr>
        <w:pStyle w:val="TextBody"/>
        <w:bidi w:val="0"/>
        <w:jc w:val="left"/>
        <w:rPr/>
      </w:pPr>
      <w:r>
        <w:rPr/>
        <w:t> </w:t>
      </w:r>
    </w:p>
    <w:tbl>
      <w:tblPr>
        <w:tblW w:w="3812" w:type="dxa"/>
        <w:jc w:val="left"/>
        <w:tblInd w:w="0" w:type="dxa"/>
        <w:tblLayout w:type="fixed"/>
        <w:tblCellMar>
          <w:top w:w="28" w:type="dxa"/>
          <w:left w:w="28" w:type="dxa"/>
          <w:bottom w:w="28" w:type="dxa"/>
          <w:right w:w="28" w:type="dxa"/>
        </w:tblCellMar>
      </w:tblPr>
      <w:tblGrid>
        <w:gridCol w:w="2296"/>
        <w:gridCol w:w="146"/>
        <w:gridCol w:w="146"/>
        <w:gridCol w:w="146"/>
        <w:gridCol w:w="211"/>
        <w:gridCol w:w="676"/>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(remaining)</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1,344</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5,627</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3,770</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1,942</w:t>
            </w:r>
          </w:p>
        </w:tc>
        <w:tc>
          <w:tcPr>
            <w:tcW w:w="191" w:type="dxa"/>
            <w:tcBorders/>
            <w:shd w:fill="FFFFFF" w:val="clear"/>
            <w:vAlign w:val="center"/>
          </w:tcPr>
          <w:p>
            <w:pPr>
              <w:pStyle w:val="TableContents"/>
              <w:bidi w:val="0"/>
              <w:spacing w:before="0" w:after="283"/>
              <w:jc w:val="left"/>
              <w:rPr/>
            </w:pPr>
            <w:r>
              <w:rPr/>
              <w:t> </w:t>
            </w:r>
          </w:p>
        </w:tc>
      </w:tr>
      <w:tr>
        <w:trPr/>
        <w:tc>
          <w:tcPr>
            <w:tcW w:w="229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67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91" w:type="dxa"/>
            <w:tcBorders/>
            <w:shd w:fill="B6DEE8" w:val="clear"/>
            <w:vAlign w:val="center"/>
          </w:tcPr>
          <w:p>
            <w:pPr>
              <w:pStyle w:val="TableContents"/>
              <w:bidi w:val="0"/>
              <w:spacing w:before="0" w:after="283"/>
              <w:jc w:val="left"/>
              <w:rPr/>
            </w:pPr>
            <w:r>
              <w:rPr/>
              <w:t> </w:t>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future amortization</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12,725</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Amortization expense for the three and nine months ended September 30, 2023, was $1.2</w:t>
      </w:r>
      <w:r>
        <w:rPr>
          <w:rFonts w:ascii="Times New Roman" w:hAnsi="Times New Roman"/>
          <w:color w:val="000000"/>
          <w:sz w:val="20"/>
        </w:rPr>
        <w:t xml:space="preserve"> </w:t>
      </w:r>
      <w:r>
        <w:rPr>
          <w:rFonts w:ascii="Times New Roman" w:hAnsi="Times New Roman"/>
          <w:b w:val="false"/>
          <w:color w:val="000000"/>
          <w:sz w:val="20"/>
        </w:rPr>
        <w:t>million and $3.3</w:t>
      </w:r>
      <w:r>
        <w:rPr>
          <w:rFonts w:ascii="Times New Roman" w:hAnsi="Times New Roman"/>
          <w:color w:val="000000"/>
          <w:sz w:val="20"/>
        </w:rPr>
        <w:t xml:space="preserve"> </w:t>
      </w:r>
      <w:r>
        <w:rPr>
          <w:rFonts w:ascii="Times New Roman" w:hAnsi="Times New Roman"/>
          <w:b w:val="false"/>
          <w:color w:val="000000"/>
          <w:sz w:val="20"/>
        </w:rPr>
        <w:t>million, respectively. Amortization expense for the three and nine months ended September 30, 2022, was $2.3</w:t>
      </w:r>
      <w:r>
        <w:rPr>
          <w:rFonts w:ascii="Times New Roman" w:hAnsi="Times New Roman"/>
          <w:color w:val="000000"/>
          <w:sz w:val="20"/>
        </w:rPr>
        <w:t xml:space="preserve"> </w:t>
      </w:r>
      <w:r>
        <w:rPr>
          <w:rFonts w:ascii="Times New Roman" w:hAnsi="Times New Roman"/>
          <w:b w:val="false"/>
          <w:color w:val="000000"/>
          <w:sz w:val="20"/>
        </w:rPr>
        <w:t>million and $4.9</w:t>
      </w:r>
      <w:r>
        <w:rPr>
          <w:rFonts w:ascii="Times New Roman" w:hAnsi="Times New Roman"/>
          <w:color w:val="000000"/>
          <w:sz w:val="20"/>
        </w:rPr>
        <w:t xml:space="preserve"> </w:t>
      </w:r>
      <w:r>
        <w:rPr>
          <w:rFonts w:ascii="Times New Roman" w:hAnsi="Times New Roman"/>
          <w:b w:val="false"/>
          <w:color w:val="000000"/>
          <w:sz w:val="20"/>
        </w:rPr>
        <w:t>million, respectively. No</w:t>
      </w:r>
      <w:r>
        <w:rPr>
          <w:rFonts w:ascii="Times New Roman" w:hAnsi="Times New Roman"/>
          <w:color w:val="000000"/>
          <w:sz w:val="20"/>
        </w:rPr>
        <w:t xml:space="preserve"> </w:t>
      </w:r>
      <w:r>
        <w:rPr>
          <w:rFonts w:ascii="Times New Roman" w:hAnsi="Times New Roman"/>
          <w:b w:val="false"/>
          <w:color w:val="000000"/>
          <w:sz w:val="20"/>
        </w:rPr>
        <w:t>impairment charges were recognized related to long-lived assets for the for the three and nine months ended September 30,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Amortization expense related to change in useful life of a certain definite-lived intangible asset for the three and nine months ended September 30, 2023, was $0</w:t>
      </w:r>
      <w:r>
        <w:rPr>
          <w:rFonts w:ascii="Times New Roman" w:hAnsi="Times New Roman"/>
          <w:color w:val="000000"/>
          <w:sz w:val="20"/>
        </w:rPr>
        <w:t xml:space="preserve"> </w:t>
      </w:r>
      <w:r>
        <w:rPr>
          <w:rFonts w:ascii="Times New Roman" w:hAnsi="Times New Roman"/>
          <w:b w:val="false"/>
          <w:color w:val="000000"/>
          <w:sz w:val="20"/>
        </w:rPr>
        <w:t>and $0.3</w:t>
      </w:r>
      <w:r>
        <w:rPr>
          <w:rFonts w:ascii="Times New Roman" w:hAnsi="Times New Roman"/>
          <w:color w:val="000000"/>
          <w:sz w:val="20"/>
        </w:rPr>
        <w:t xml:space="preserve"> </w:t>
      </w:r>
      <w:r>
        <w:rPr>
          <w:rFonts w:ascii="Times New Roman" w:hAnsi="Times New Roman"/>
          <w:b w:val="false"/>
          <w:color w:val="000000"/>
          <w:sz w:val="20"/>
        </w:rPr>
        <w:t>million, respectively. Amortization expense related to change in useful life of a certain definite-lived intangible asset for the three and nine months ended September 30, 2022, was $1.5</w:t>
      </w:r>
      <w:r>
        <w:rPr>
          <w:rFonts w:ascii="Times New Roman" w:hAnsi="Times New Roman"/>
          <w:color w:val="000000"/>
          <w:sz w:val="20"/>
        </w:rPr>
        <w:t xml:space="preserve"> </w:t>
      </w:r>
      <w:r>
        <w:rPr>
          <w:rFonts w:ascii="Times New Roman" w:hAnsi="Times New Roman"/>
          <w:b w:val="false"/>
          <w:color w:val="000000"/>
          <w:sz w:val="20"/>
        </w:rPr>
        <w:t>million and 2.1</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Accrued Expenses and Other Current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Accrued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accrued expenses consisted of the following (dollars in thousands):</w:t>
      </w:r>
    </w:p>
    <w:p>
      <w:pPr>
        <w:pStyle w:val="TextBody"/>
        <w:bidi w:val="0"/>
        <w:jc w:val="left"/>
        <w:rPr/>
      </w:pPr>
      <w:r>
        <w:rPr/>
        <w:t> </w:t>
      </w:r>
    </w:p>
    <w:tbl>
      <w:tblPr>
        <w:tblW w:w="7380" w:type="dxa"/>
        <w:jc w:val="left"/>
        <w:tblInd w:w="0" w:type="dxa"/>
        <w:tblLayout w:type="fixed"/>
        <w:tblCellMar>
          <w:top w:w="28" w:type="dxa"/>
          <w:left w:w="28" w:type="dxa"/>
          <w:bottom w:w="28" w:type="dxa"/>
          <w:right w:w="28" w:type="dxa"/>
        </w:tblCellMar>
      </w:tblPr>
      <w:tblGrid>
        <w:gridCol w:w="3256"/>
        <w:gridCol w:w="146"/>
        <w:gridCol w:w="420"/>
        <w:gridCol w:w="1350"/>
        <w:gridCol w:w="146"/>
        <w:gridCol w:w="146"/>
        <w:gridCol w:w="409"/>
        <w:gridCol w:w="1316"/>
        <w:gridCol w:w="1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770"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2022</w:t>
            </w:r>
          </w:p>
        </w:tc>
        <w:tc>
          <w:tcPr>
            <w:tcW w:w="191" w:type="dxa"/>
            <w:tcBorders/>
            <w:shd w:fill="FFFFFF" w:val="clear"/>
            <w:vAlign w:val="center"/>
          </w:tcPr>
          <w:p>
            <w:pPr>
              <w:pStyle w:val="TableContents"/>
              <w:bidi w:val="0"/>
              <w:spacing w:before="0" w:after="283"/>
              <w:jc w:val="center"/>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charitable contributions</w:t>
            </w:r>
          </w:p>
        </w:tc>
        <w:tc>
          <w:tcPr>
            <w:tcW w:w="146" w:type="dxa"/>
            <w:tcBorders/>
            <w:shd w:fill="B6DEE8" w:val="clear"/>
            <w:vAlign w:val="center"/>
          </w:tcPr>
          <w:p>
            <w:pPr>
              <w:pStyle w:val="TableContents"/>
              <w:bidi w:val="0"/>
              <w:spacing w:before="0" w:after="283"/>
              <w:jc w:val="left"/>
              <w:rPr/>
            </w:pPr>
            <w:r>
              <w:rPr/>
              <w:t> </w:t>
            </w:r>
          </w:p>
        </w:tc>
        <w:tc>
          <w:tcPr>
            <w:tcW w:w="42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5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3,752</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1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3,067</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1,534</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tax payable</w:t>
            </w:r>
          </w:p>
        </w:tc>
        <w:tc>
          <w:tcPr>
            <w:tcW w:w="146" w:type="dxa"/>
            <w:tcBorders/>
            <w:shd w:fill="B6DEE8" w:val="clear"/>
            <w:vAlign w:val="center"/>
          </w:tcPr>
          <w:p>
            <w:pPr>
              <w:pStyle w:val="TableContents"/>
              <w:bidi w:val="0"/>
              <w:spacing w:before="0" w:after="283"/>
              <w:jc w:val="left"/>
              <w:rPr/>
            </w:pPr>
            <w:r>
              <w:rPr/>
              <w:t> </w:t>
            </w:r>
          </w:p>
        </w:tc>
        <w:tc>
          <w:tcPr>
            <w:tcW w:w="420" w:type="dxa"/>
            <w:tcBorders/>
            <w:shd w:fill="B6DEE8" w:val="clear"/>
            <w:vAlign w:val="center"/>
          </w:tcPr>
          <w:p>
            <w:pPr>
              <w:pStyle w:val="TableContents"/>
              <w:bidi w:val="0"/>
              <w:spacing w:before="0" w:after="283"/>
              <w:jc w:val="left"/>
              <w:rPr/>
            </w:pPr>
            <w:r>
              <w:rPr/>
              <w:t> </w:t>
            </w:r>
          </w:p>
        </w:tc>
        <w:tc>
          <w:tcPr>
            <w:tcW w:w="135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409" w:type="dxa"/>
            <w:tcBorders/>
            <w:shd w:fill="B6DEE8" w:val="clear"/>
            <w:vAlign w:val="center"/>
          </w:tcPr>
          <w:p>
            <w:pPr>
              <w:pStyle w:val="TableContents"/>
              <w:bidi w:val="0"/>
              <w:spacing w:before="0" w:after="283"/>
              <w:jc w:val="left"/>
              <w:rPr/>
            </w:pPr>
            <w:r>
              <w:rPr/>
              <w:t> </w:t>
            </w:r>
          </w:p>
        </w:tc>
        <w:tc>
          <w:tcPr>
            <w:tcW w:w="131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1,357</w:t>
            </w:r>
          </w:p>
        </w:tc>
        <w:tc>
          <w:tcPr>
            <w:tcW w:w="191" w:type="dxa"/>
            <w:tcBorders/>
            <w:shd w:fill="B6DEE8" w:val="clear"/>
            <w:vAlign w:val="center"/>
          </w:tcPr>
          <w:p>
            <w:pPr>
              <w:pStyle w:val="TableContents"/>
              <w:bidi w:val="0"/>
              <w:spacing w:before="0" w:after="283"/>
              <w:jc w:val="left"/>
              <w:rPr/>
            </w:pPr>
            <w:r>
              <w:rPr/>
              <w:t> </w:t>
            </w:r>
          </w:p>
        </w:tc>
      </w:tr>
      <w:tr>
        <w:trPr/>
        <w:tc>
          <w:tcPr>
            <w:tcW w:w="3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professional and program fees</w:t>
            </w:r>
          </w:p>
        </w:tc>
        <w:tc>
          <w:tcPr>
            <w:tcW w:w="14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35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4,008</w:t>
            </w:r>
          </w:p>
        </w:tc>
        <w:tc>
          <w:tcPr>
            <w:tcW w:w="191" w:type="dxa"/>
            <w:tcBorders/>
            <w:shd w:fill="FFFFFF" w:val="clear"/>
            <w:vAlign w:val="center"/>
          </w:tcPr>
          <w:p>
            <w:pPr>
              <w:pStyle w:val="TableContents"/>
              <w:bidi w:val="0"/>
              <w:spacing w:before="0" w:after="283"/>
              <w:jc w:val="left"/>
              <w:rPr/>
            </w:pPr>
            <w:r>
              <w:rPr/>
              <w:t> </w:t>
            </w:r>
          </w:p>
        </w:tc>
      </w:tr>
      <w:tr>
        <w:trPr/>
        <w:tc>
          <w:tcPr>
            <w:tcW w:w="325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1,042</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999</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Accrued charitable contributions includes amounts the Company has pledged related to charitable meal donations. The Company uses a portion of tips received to make a charitable cash donation to a third party who uses the funds to provide meals to those in need. For the three and nine months ended September 30, 2023, the Company pledged approximately $0.9</w:t>
      </w:r>
      <w:r>
        <w:rPr>
          <w:rFonts w:ascii="Times New Roman" w:hAnsi="Times New Roman"/>
          <w:color w:val="000000"/>
          <w:sz w:val="20"/>
        </w:rPr>
        <w:t xml:space="preserve"> </w:t>
      </w:r>
      <w:r>
        <w:rPr>
          <w:rFonts w:ascii="Times New Roman" w:hAnsi="Times New Roman"/>
          <w:b w:val="false"/>
          <w:color w:val="000000"/>
          <w:sz w:val="20"/>
        </w:rPr>
        <w:t>million and $4.2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related to charitable donations, respectively. For the three and nine months ended September 30, 2022, the Company pledged approximately $0.9</w:t>
      </w:r>
      <w:r>
        <w:rPr>
          <w:rFonts w:ascii="Times New Roman" w:hAnsi="Times New Roman"/>
          <w:color w:val="000000"/>
          <w:sz w:val="20"/>
        </w:rPr>
        <w:t xml:space="preserve"> </w:t>
      </w:r>
      <w:r>
        <w:rPr>
          <w:rFonts w:ascii="Times New Roman" w:hAnsi="Times New Roman"/>
          <w:b w:val="false"/>
          <w:color w:val="000000"/>
          <w:sz w:val="20"/>
        </w:rPr>
        <w:t>million and $2.9</w:t>
      </w:r>
      <w:r>
        <w:rPr>
          <w:rFonts w:ascii="Times New Roman" w:hAnsi="Times New Roman"/>
          <w:color w:val="000000"/>
          <w:sz w:val="20"/>
        </w:rPr>
        <w:t xml:space="preserve"> </w:t>
      </w:r>
      <w:r>
        <w:rPr>
          <w:rFonts w:ascii="Times New Roman" w:hAnsi="Times New Roman"/>
          <w:b w:val="false"/>
          <w:color w:val="000000"/>
          <w:sz w:val="20"/>
        </w:rPr>
        <w:t>million related to charitable donations, respectively. These costs are expensed as incurred and are presented within other operating expenses in the unaudited condensed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Other Current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Company’s other current liabilities consisted of the following (dollars in thousands):</w:t>
      </w:r>
    </w:p>
    <w:p>
      <w:pPr>
        <w:pStyle w:val="TextBody"/>
        <w:bidi w:val="0"/>
        <w:spacing w:before="120" w:after="283"/>
        <w:jc w:val="left"/>
        <w:rPr/>
      </w:pPr>
      <w:r>
        <w:rPr/>
        <w:t> </w:t>
      </w:r>
    </w:p>
    <w:tbl>
      <w:tblPr>
        <w:tblW w:w="6330" w:type="dxa"/>
        <w:jc w:val="left"/>
        <w:tblInd w:w="0" w:type="dxa"/>
        <w:tblLayout w:type="fixed"/>
        <w:tblCellMar>
          <w:top w:w="28" w:type="dxa"/>
          <w:left w:w="28" w:type="dxa"/>
          <w:bottom w:w="28" w:type="dxa"/>
          <w:right w:w="28" w:type="dxa"/>
        </w:tblCellMar>
      </w:tblPr>
      <w:tblGrid>
        <w:gridCol w:w="2206"/>
        <w:gridCol w:w="146"/>
        <w:gridCol w:w="477"/>
        <w:gridCol w:w="1293"/>
        <w:gridCol w:w="146"/>
        <w:gridCol w:w="146"/>
        <w:gridCol w:w="465"/>
        <w:gridCol w:w="1260"/>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center"/>
              <w:rPr/>
            </w:pPr>
            <w:r>
              <w:rPr/>
              <w:t> </w:t>
            </w:r>
          </w:p>
        </w:tc>
        <w:tc>
          <w:tcPr>
            <w:tcW w:w="1770" w:type="dxa"/>
            <w:gridSpan w:val="2"/>
            <w:tcBorders/>
            <w:shd w:fill="B6DEE8"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September 30, 2023</w:t>
            </w:r>
          </w:p>
        </w:tc>
        <w:tc>
          <w:tcPr>
            <w:tcW w:w="146" w:type="dxa"/>
            <w:tcBorders/>
            <w:shd w:fill="B6DEE8" w:val="clear"/>
            <w:vAlign w:val="center"/>
          </w:tcPr>
          <w:p>
            <w:pPr>
              <w:pStyle w:val="TableContents"/>
              <w:bidi w:val="0"/>
              <w:spacing w:before="0" w:after="283"/>
              <w:jc w:val="center"/>
              <w:rPr/>
            </w:pPr>
            <w:r>
              <w:rPr/>
              <w:t> </w:t>
            </w:r>
          </w:p>
        </w:tc>
        <w:tc>
          <w:tcPr>
            <w:tcW w:w="146" w:type="dxa"/>
            <w:tcBorders/>
            <w:shd w:fill="B6DEE8" w:val="clear"/>
            <w:vAlign w:val="center"/>
          </w:tcPr>
          <w:p>
            <w:pPr>
              <w:pStyle w:val="TableContents"/>
              <w:bidi w:val="0"/>
              <w:spacing w:before="0" w:after="283"/>
              <w:jc w:val="center"/>
              <w:rPr/>
            </w:pPr>
            <w:r>
              <w:rPr/>
              <w:t> </w:t>
            </w:r>
          </w:p>
        </w:tc>
        <w:tc>
          <w:tcPr>
            <w:tcW w:w="1725" w:type="dxa"/>
            <w:gridSpan w:val="2"/>
            <w:tcBorders/>
            <w:shd w:fill="B6DEE8"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December 31, 2022</w:t>
            </w:r>
          </w:p>
        </w:tc>
        <w:tc>
          <w:tcPr>
            <w:tcW w:w="191" w:type="dxa"/>
            <w:tcBorders/>
            <w:shd w:fill="B6DEE8" w:val="cle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transaction costs</w:t>
            </w:r>
          </w:p>
        </w:tc>
        <w:tc>
          <w:tcPr>
            <w:tcW w:w="146" w:type="dxa"/>
            <w:tcBorders/>
            <w:shd w:fill="FFFFFF" w:val="clear"/>
            <w:vAlign w:val="center"/>
          </w:tcPr>
          <w:p>
            <w:pPr>
              <w:pStyle w:val="TableContents"/>
              <w:bidi w:val="0"/>
              <w:spacing w:before="0" w:after="283"/>
              <w:jc w:val="left"/>
              <w:rPr/>
            </w:pPr>
            <w:r>
              <w:rPr/>
              <w:t> </w:t>
            </w:r>
          </w:p>
        </w:tc>
        <w:tc>
          <w:tcPr>
            <w:tcW w:w="47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6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3,150</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1,161</w:t>
            </w:r>
          </w:p>
        </w:tc>
        <w:tc>
          <w:tcPr>
            <w:tcW w:w="1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Other current liabilities includes $3.2</w:t>
      </w:r>
      <w:r>
        <w:rPr>
          <w:rFonts w:ascii="Times New Roman" w:hAnsi="Times New Roman"/>
          <w:color w:val="000000"/>
          <w:sz w:val="20"/>
        </w:rPr>
        <w:t xml:space="preserve"> </w:t>
      </w:r>
      <w:r>
        <w:rPr>
          <w:rFonts w:ascii="Times New Roman" w:hAnsi="Times New Roman"/>
          <w:b w:val="false"/>
          <w:color w:val="000000"/>
          <w:sz w:val="20"/>
        </w:rPr>
        <w:t>million in deferred transaction costs associated with the Business Combination. These transaction costs were also capitalized and included within APIC in the unaudited condensed consolidated balance sheets. Other current liabilities also includes approximately $0.2</w:t>
      </w:r>
      <w:r>
        <w:rPr>
          <w:rFonts w:ascii="Times New Roman" w:hAnsi="Times New Roman"/>
          <w:color w:val="000000"/>
          <w:sz w:val="20"/>
        </w:rPr>
        <w:t xml:space="preserve"> </w:t>
      </w:r>
      <w:r>
        <w:rPr>
          <w:rFonts w:ascii="Times New Roman" w:hAnsi="Times New Roman"/>
          <w:b w:val="false"/>
          <w:color w:val="000000"/>
          <w:sz w:val="20"/>
        </w:rPr>
        <w:t>million and $0.7</w:t>
      </w:r>
      <w:r>
        <w:rPr>
          <w:rFonts w:ascii="Times New Roman" w:hAnsi="Times New Roman"/>
          <w:color w:val="000000"/>
          <w:sz w:val="20"/>
        </w:rPr>
        <w:t xml:space="preserve"> </w:t>
      </w:r>
      <w:r>
        <w:rPr>
          <w:rFonts w:ascii="Times New Roman" w:hAnsi="Times New Roman"/>
          <w:b w:val="false"/>
          <w:color w:val="000000"/>
          <w:sz w:val="20"/>
        </w:rPr>
        <w:t>million in unearned revenue as of September 30, 2023 and December 31, 2022,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8 Convertible Note Payable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March 21, 2022, the Company entered into a Convertible Note Purchase Agreement (“Purchase Agreement”) with FTX Ventures Ltd., (the “Purchaser”) owner of FTX US (“FTX”), providing for the purchase and sale of a convertible note in the initial principal amount of $100.0</w:t>
      </w:r>
      <w:r>
        <w:rPr>
          <w:rFonts w:ascii="Times New Roman" w:hAnsi="Times New Roman"/>
          <w:color w:val="000000"/>
          <w:sz w:val="20"/>
        </w:rPr>
        <w:t xml:space="preserve"> </w:t>
      </w:r>
      <w:r>
        <w:rPr>
          <w:rFonts w:ascii="Times New Roman" w:hAnsi="Times New Roman"/>
          <w:b w:val="false"/>
          <w:color w:val="000000"/>
          <w:sz w:val="20"/>
        </w:rPr>
        <w:t>million (the “Note”). The Note bears interest at a rate of 3.00% per year (compounded semiannually), payable</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semi-annually in arrears on June 30th and December 31st of each year. Interest may be paid in-kind or in cash, at the Company’s option. Forty-eight months</w:t>
      </w:r>
      <w:r>
        <w:rPr>
          <w:rFonts w:ascii="Times New Roman" w:hAnsi="Times New Roman"/>
          <w:color w:val="000000"/>
          <w:sz w:val="20"/>
        </w:rPr>
        <w:t xml:space="preserve"> </w:t>
      </w:r>
      <w:r>
        <w:rPr>
          <w:rFonts w:ascii="Times New Roman" w:hAnsi="Times New Roman"/>
          <w:b w:val="false"/>
          <w:color w:val="000000"/>
          <w:sz w:val="20"/>
        </w:rPr>
        <w:t>(the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pStyle w:val="TextBody"/>
        <w:bidi w:val="0"/>
        <w:spacing w:before="40" w:after="283"/>
        <w:jc w:val="left"/>
        <w:rPr>
          <w:rFonts w:ascii="Times New Roman" w:hAnsi="Times New Roman"/>
          <w:sz w:val="20"/>
        </w:rPr>
      </w:pPr>
      <w:r>
        <w:rPr>
          <w:rFonts w:ascii="Times New Roman" w:hAnsi="Times New Roman"/>
          <w:b w:val="false"/>
          <w:color w:val="000000"/>
          <w:sz w:val="20"/>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$320.00</w:t>
      </w:r>
      <w:r>
        <w:rPr>
          <w:rFonts w:ascii="Times New Roman" w:hAnsi="Times New Roman"/>
          <w:color w:val="000000"/>
          <w:sz w:val="20"/>
        </w:rPr>
        <w:t xml:space="preserve"> </w:t>
      </w:r>
      <w:r>
        <w:rPr>
          <w:rFonts w:ascii="Times New Roman" w:hAnsi="Times New Roman"/>
          <w:b w:val="false"/>
          <w:color w:val="000000"/>
          <w:sz w:val="20"/>
        </w:rPr>
        <w:t>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pStyle w:val="TextBody"/>
        <w:bidi w:val="0"/>
        <w:spacing w:before="40" w:after="283"/>
        <w:jc w:val="left"/>
        <w:rPr>
          <w:rFonts w:ascii="Times New Roman" w:hAnsi="Times New Roman"/>
          <w:sz w:val="20"/>
        </w:rPr>
      </w:pPr>
      <w:r>
        <w:rPr>
          <w:rFonts w:ascii="Times New Roman" w:hAnsi="Times New Roman"/>
          <w:b w:val="false"/>
          <w:color w:val="000000"/>
          <w:sz w:val="20"/>
        </w:rPr>
        <w:t>Beginning on the 24-month anniversary of the Issuance Date continuing until the Maturity Date, if the closing price of the Common Stock equals or exceeds 175% of the Conversion Price for 20</w:t>
      </w:r>
      <w:r>
        <w:rPr>
          <w:rFonts w:ascii="Times New Roman" w:hAnsi="Times New Roman"/>
          <w:color w:val="000000"/>
          <w:sz w:val="20"/>
        </w:rPr>
        <w:t xml:space="preserve"> </w:t>
      </w:r>
      <w:r>
        <w:rPr>
          <w:rFonts w:ascii="Times New Roman" w:hAnsi="Times New Roman"/>
          <w:b w:val="false"/>
          <w:color w:val="000000"/>
          <w:sz w:val="20"/>
        </w:rPr>
        <w:t>out of the 30</w:t>
      </w:r>
      <w:r>
        <w:rPr>
          <w:rFonts w:ascii="Times New Roman" w:hAnsi="Times New Roman"/>
          <w:color w:val="000000"/>
          <w:sz w:val="20"/>
        </w:rPr>
        <w:t xml:space="preserve"> </w:t>
      </w:r>
      <w:r>
        <w:rPr>
          <w:rFonts w:ascii="Times New Roman" w:hAnsi="Times New Roman"/>
          <w:b w:val="false"/>
          <w:color w:val="000000"/>
          <w:sz w:val="20"/>
        </w:rPr>
        <w:t>consecutive trading days ending immediately preceding the delivery of the notice of the Company’s election to convert the Note, the Note will be convertible into shares of Class A Common Stock at the option of the Company, upon delivery of a written notice to the Purchaser electing to convert the Note or all or any portion of the outstanding principal amount of the Note.</w:t>
      </w:r>
    </w:p>
    <w:p>
      <w:pPr>
        <w:pStyle w:val="TextBody"/>
        <w:bidi w:val="0"/>
        <w:spacing w:before="40" w:after="283"/>
        <w:jc w:val="both"/>
        <w:rPr>
          <w:rFonts w:ascii="Times New Roman" w:hAnsi="Times New Roman"/>
          <w:b w:val="false"/>
          <w:color w:val="000000"/>
          <w:sz w:val="20"/>
        </w:rPr>
      </w:pPr>
      <w:r>
        <w:rPr>
          <w:rFonts w:ascii="Times New Roman" w:hAnsi="Times New Roman"/>
          <w:b w:val="false"/>
          <w:color w:val="000000"/>
          <w:sz w:val="20"/>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canceled and retired.</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effective interest rate as of September 30, 2023 was 3.01%. As of September 30, 2023, the outstanding balance of the Note, including paid in-kind interest, was approximately $104.7</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360" w:after="283"/>
        <w:jc w:val="left"/>
        <w:rPr>
          <w:rFonts w:ascii="Times New Roman" w:hAnsi="Times New Roman"/>
          <w:sz w:val="20"/>
        </w:rPr>
      </w:pPr>
      <w:r>
        <w:rPr>
          <w:rFonts w:ascii="Times New Roman" w:hAnsi="Times New Roman"/>
          <w:b/>
          <w:color w:val="000000"/>
          <w:sz w:val="20"/>
        </w:rPr>
        <w:t>Note 9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there were</w:t>
      </w:r>
      <w:r>
        <w:rPr>
          <w:rFonts w:ascii="Times New Roman" w:hAnsi="Times New Roman"/>
          <w:color w:val="000000"/>
          <w:sz w:val="20"/>
        </w:rPr>
        <w:t xml:space="preserve"> </w:t>
      </w:r>
      <w:r>
        <w:rPr>
          <w:rFonts w:ascii="Times New Roman" w:hAnsi="Times New Roman"/>
          <w:b w:val="false"/>
          <w:color w:val="000000"/>
          <w:sz w:val="20"/>
        </w:rPr>
        <w:t>6,344,021</w:t>
      </w:r>
      <w:r>
        <w:rPr>
          <w:rFonts w:ascii="Times New Roman" w:hAnsi="Times New Roman"/>
          <w:color w:val="000000"/>
          <w:sz w:val="20"/>
        </w:rPr>
        <w:t xml:space="preserve"> </w:t>
      </w:r>
      <w:r>
        <w:rPr>
          <w:rFonts w:ascii="Times New Roman" w:hAnsi="Times New Roman"/>
          <w:b w:val="false"/>
          <w:color w:val="000000"/>
          <w:sz w:val="20"/>
        </w:rPr>
        <w:t>public warrants (“Public Warrants”) outstanding and 5,100,214</w:t>
      </w:r>
      <w:r>
        <w:rPr>
          <w:rFonts w:ascii="Times New Roman" w:hAnsi="Times New Roman"/>
          <w:color w:val="000000"/>
          <w:sz w:val="20"/>
        </w:rPr>
        <w:t xml:space="preserve"> </w:t>
      </w:r>
      <w:r>
        <w:rPr>
          <w:rFonts w:ascii="Times New Roman" w:hAnsi="Times New Roman"/>
          <w:b w:val="false"/>
          <w:color w:val="000000"/>
          <w:sz w:val="20"/>
        </w:rPr>
        <w:t>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Following the 1-for-32</w:t>
      </w:r>
      <w:r>
        <w:rPr>
          <w:rFonts w:ascii="Times New Roman" w:hAnsi="Times New Roman"/>
          <w:color w:val="000000"/>
          <w:sz w:val="20"/>
        </w:rPr>
        <w:t xml:space="preserve"> </w:t>
      </w:r>
      <w:r>
        <w:rPr>
          <w:rFonts w:ascii="Times New Roman" w:hAnsi="Times New Roman"/>
          <w:b w:val="false"/>
          <w:color w:val="000000"/>
          <w:sz w:val="20"/>
        </w:rPr>
        <w:t>reverse stock split effective January 5, 2023, a total of 32 Public Warrants or Private Warrants would need to be exercised for one share of Class A Common Stock.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Public Warrants and the Private Warrants have an exercise price of $368</w:t>
      </w:r>
      <w:r>
        <w:rPr>
          <w:rFonts w:ascii="Times New Roman" w:hAnsi="Times New Roman"/>
          <w:color w:val="000000"/>
          <w:sz w:val="20"/>
        </w:rPr>
        <w:t xml:space="preserve"> </w:t>
      </w:r>
      <w:r>
        <w:rPr>
          <w:rFonts w:ascii="Times New Roman" w:hAnsi="Times New Roman"/>
          <w:b w:val="false"/>
          <w:color w:val="000000"/>
          <w:sz w:val="20"/>
        </w:rPr>
        <w:t>per share, subject to adjustments and will expire five years</w:t>
      </w:r>
      <w:r>
        <w:rPr>
          <w:rFonts w:ascii="Times New Roman" w:hAnsi="Times New Roman"/>
          <w:color w:val="000000"/>
          <w:sz w:val="20"/>
        </w:rPr>
        <w:t xml:space="preserve"> </w:t>
      </w:r>
      <w:r>
        <w:rPr>
          <w:rFonts w:ascii="Times New Roman" w:hAnsi="Times New Roman"/>
          <w:b w:val="false"/>
          <w:color w:val="000000"/>
          <w:sz w:val="20"/>
        </w:rPr>
        <w:t>after the completion of the Business Combination or earlier upon redemption or liquidation.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Redemption of Public Warrants when the price per share of Class A Common Stock equals or exceeds $576.00:</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Once the Public Warrants become exercisable, the Company may redeem the outstanding Public Warrants for cash:</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in whole and not in part;</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at a price of $0.01</w:t>
      </w:r>
      <w:r>
        <w:rPr>
          <w:rFonts w:ascii="Times New Roman" w:hAnsi="Times New Roman"/>
          <w:color w:val="000000"/>
          <w:sz w:val="20"/>
        </w:rPr>
        <w:t xml:space="preserve"> </w:t>
      </w:r>
      <w:r>
        <w:rPr>
          <w:rFonts w:ascii="Times New Roman" w:hAnsi="Times New Roman"/>
          <w:b w:val="false"/>
          <w:color w:val="000000"/>
          <w:sz w:val="20"/>
        </w:rPr>
        <w:t>per warrant;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upon a minimum of 30</w:t>
      </w:r>
      <w:r>
        <w:rPr>
          <w:rFonts w:ascii="Times New Roman" w:hAnsi="Times New Roman"/>
          <w:color w:val="000000"/>
          <w:sz w:val="20"/>
        </w:rPr>
        <w:t xml:space="preserve"> </w:t>
      </w:r>
      <w:r>
        <w:rPr>
          <w:rFonts w:ascii="Times New Roman" w:hAnsi="Times New Roman"/>
          <w:b w:val="false"/>
          <w:color w:val="000000"/>
          <w:sz w:val="20"/>
        </w:rPr>
        <w:t>days prior written notice of redemption; and if, and only if, the closing price of Class A Common Stock equals or exceeds $576.00</w:t>
      </w:r>
      <w:r>
        <w:rPr>
          <w:rFonts w:ascii="Times New Roman" w:hAnsi="Times New Roman"/>
          <w:color w:val="000000"/>
          <w:sz w:val="20"/>
        </w:rPr>
        <w:t xml:space="preserve"> </w:t>
      </w:r>
      <w:r>
        <w:rPr>
          <w:rFonts w:ascii="Times New Roman" w:hAnsi="Times New Roman"/>
          <w:b w:val="false"/>
          <w:color w:val="000000"/>
          <w:sz w:val="20"/>
        </w:rPr>
        <w:t>per share (as adjusted) for any 20</w:t>
      </w:r>
      <w:r>
        <w:rPr>
          <w:rFonts w:ascii="Times New Roman" w:hAnsi="Times New Roman"/>
          <w:color w:val="000000"/>
          <w:sz w:val="20"/>
        </w:rPr>
        <w:t xml:space="preserve"> </w:t>
      </w:r>
      <w:r>
        <w:rPr>
          <w:rFonts w:ascii="Times New Roman" w:hAnsi="Times New Roman"/>
          <w:b w:val="false"/>
          <w:color w:val="000000"/>
          <w:sz w:val="20"/>
        </w:rPr>
        <w:t>trading days within a 30-trading day period ending on the third</w:t>
      </w:r>
      <w:r>
        <w:rPr>
          <w:rFonts w:ascii="Times New Roman" w:hAnsi="Times New Roman"/>
          <w:color w:val="000000"/>
          <w:sz w:val="20"/>
        </w:rPr>
        <w:t xml:space="preserve"> </w:t>
      </w:r>
      <w:r>
        <w:rPr>
          <w:rFonts w:ascii="Times New Roman" w:hAnsi="Times New Roman"/>
          <w:b w:val="false"/>
          <w:color w:val="000000"/>
          <w:sz w:val="20"/>
        </w:rPr>
        <w:t>trading day prior to the date on which the Company sends the notice of redemption to the warrant holders.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Redemption of Public Warrants for when the price per share of Class A Common Stock equals or exceeds $320.00:</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Once the Public Warrants become exercisable, the Company may redeem the outstanding Public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in whole and not in part;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at $0.10</w:t>
      </w:r>
      <w:r>
        <w:rPr>
          <w:rFonts w:ascii="Times New Roman" w:hAnsi="Times New Roman"/>
          <w:color w:val="000000"/>
          <w:sz w:val="20"/>
        </w:rPr>
        <w:t xml:space="preserve"> </w:t>
      </w:r>
      <w:r>
        <w:rPr>
          <w:rFonts w:ascii="Times New Roman" w:hAnsi="Times New Roman"/>
          <w:b w:val="false"/>
          <w:color w:val="000000"/>
          <w:sz w:val="20"/>
        </w:rPr>
        <w:t>per warrant upon a minimum of 30</w:t>
      </w:r>
      <w:r>
        <w:rPr>
          <w:rFonts w:ascii="Times New Roman" w:hAnsi="Times New Roman"/>
          <w:color w:val="000000"/>
          <w:sz w:val="20"/>
        </w:rPr>
        <w:t xml:space="preserve"> </w:t>
      </w:r>
      <w:r>
        <w:rPr>
          <w:rFonts w:ascii="Times New Roman" w:hAnsi="Times New Roman"/>
          <w:b w:val="false"/>
          <w:color w:val="000000"/>
          <w:sz w:val="20"/>
        </w:rPr>
        <w:t>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if, and only if, the closing price of Class A Common Stock equals or exceeds $320.00</w:t>
      </w:r>
      <w:r>
        <w:rPr>
          <w:rFonts w:ascii="Times New Roman" w:hAnsi="Times New Roman"/>
          <w:color w:val="000000"/>
          <w:sz w:val="20"/>
        </w:rPr>
        <w:t xml:space="preserve"> </w:t>
      </w:r>
      <w:r>
        <w:rPr>
          <w:rFonts w:ascii="Times New Roman" w:hAnsi="Times New Roman"/>
          <w:b w:val="false"/>
          <w:color w:val="000000"/>
          <w:sz w:val="20"/>
        </w:rPr>
        <w:t>per Public Share (as adjusted) for any 20</w:t>
      </w:r>
      <w:r>
        <w:rPr>
          <w:rFonts w:ascii="Times New Roman" w:hAnsi="Times New Roman"/>
          <w:color w:val="000000"/>
          <w:sz w:val="20"/>
        </w:rPr>
        <w:t xml:space="preserve"> </w:t>
      </w:r>
      <w:r>
        <w:rPr>
          <w:rFonts w:ascii="Times New Roman" w:hAnsi="Times New Roman"/>
          <w:b w:val="false"/>
          <w:color w:val="000000"/>
          <w:sz w:val="20"/>
        </w:rPr>
        <w:t>trading days within the 30-trading day period ending three</w:t>
      </w:r>
      <w:r>
        <w:rPr>
          <w:rFonts w:ascii="Times New Roman" w:hAnsi="Times New Roman"/>
          <w:color w:val="000000"/>
          <w:sz w:val="20"/>
        </w:rPr>
        <w:t xml:space="preserve"> </w:t>
      </w:r>
      <w:r>
        <w:rPr>
          <w:rFonts w:ascii="Times New Roman" w:hAnsi="Times New Roman"/>
          <w:b w:val="false"/>
          <w:color w:val="000000"/>
          <w:sz w:val="20"/>
        </w:rPr>
        <w:t>trading days before the Company sends notice of redemption to the warrant holders.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w:t>
      </w:r>
      <w:r>
        <w:rPr>
          <w:rFonts w:ascii="Times New Roman" w:hAnsi="Times New Roman"/>
          <w:color w:val="000000"/>
          <w:sz w:val="20"/>
        </w:rPr>
        <w:t xml:space="preserve"> </w:t>
      </w:r>
      <w:r>
        <w:rPr>
          <w:rFonts w:ascii="Times New Roman" w:hAnsi="Times New Roman"/>
          <w:b w:val="false"/>
          <w:color w:val="000000"/>
          <w:sz w:val="20"/>
        </w:rPr>
        <w:t>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w:t>
      </w:r>
      <w:r>
        <w:rPr>
          <w:rFonts w:ascii="Times New Roman" w:hAnsi="Times New Roman"/>
          <w:color w:val="000000"/>
          <w:sz w:val="20"/>
        </w:rPr>
        <w:t xml:space="preserve"> </w:t>
      </w:r>
      <w:r>
        <w:rPr>
          <w:rFonts w:ascii="Times New Roman" w:hAnsi="Times New Roman"/>
          <w:b w:val="false"/>
          <w:color w:val="000000"/>
          <w:sz w:val="20"/>
        </w:rPr>
        <w:t>million (“Qualified Financing Event”) or immediately prior to the consummation of a liquidity event. The exercise price of the warrants is the greater of (i) 80% of the fair market value of each share of Common Stock at the Equity Closing Date and (ii) $120.0656</w:t>
      </w:r>
      <w:r>
        <w:rPr>
          <w:rFonts w:ascii="Times New Roman" w:hAnsi="Times New Roman"/>
          <w:color w:val="000000"/>
          <w:sz w:val="20"/>
        </w:rPr>
        <w:t xml:space="preserve"> </w:t>
      </w:r>
      <w:r>
        <w:rPr>
          <w:rFonts w:ascii="Times New Roman" w:hAnsi="Times New Roman"/>
          <w:b w:val="false"/>
          <w:color w:val="000000"/>
          <w:sz w:val="20"/>
        </w:rPr>
        <w:t>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unaudited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w:t>
      </w:r>
      <w:r>
        <w:rPr>
          <w:rFonts w:ascii="Times New Roman" w:hAnsi="Times New Roman"/>
          <w:color w:val="000000"/>
          <w:sz w:val="20"/>
        </w:rPr>
        <w:t xml:space="preserve"> </w:t>
      </w:r>
      <w:r>
        <w:rPr>
          <w:rFonts w:ascii="Times New Roman" w:hAnsi="Times New Roman"/>
          <w:b w:val="false"/>
          <w:color w:val="000000"/>
          <w:sz w:val="20"/>
        </w:rPr>
        <w:t>million using the Black-Scholes option-pricing model. Determining the fair value of these warrants under this model requires subjective assumptions. These estimates involve inherent uncertainties and the application of management’s judgment.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Immediately prior to the close of the Business Combination, all, or 1,664,394</w:t>
      </w:r>
      <w:r>
        <w:rPr>
          <w:rFonts w:ascii="Times New Roman" w:hAnsi="Times New Roman"/>
          <w:color w:val="000000"/>
          <w:sz w:val="20"/>
        </w:rPr>
        <w:t xml:space="preserve"> </w:t>
      </w:r>
      <w:r>
        <w:rPr>
          <w:rFonts w:ascii="Times New Roman" w:hAnsi="Times New Roman"/>
          <w:b w:val="false"/>
          <w:color w:val="000000"/>
          <w:sz w:val="20"/>
        </w:rPr>
        <w:t>of</w:t>
      </w:r>
      <w:r>
        <w:rPr>
          <w:rFonts w:ascii="Times New Roman" w:hAnsi="Times New Roman"/>
          <w:color w:val="000000"/>
          <w:sz w:val="20"/>
        </w:rPr>
        <w:t xml:space="preserve"> </w:t>
      </w:r>
      <w:r>
        <w:rPr>
          <w:rFonts w:ascii="Times New Roman" w:hAnsi="Times New Roman"/>
          <w:b w:val="false"/>
          <w:color w:val="000000"/>
          <w:sz w:val="20"/>
        </w:rPr>
        <w:t>the vested warrants were exercised and net settled for 14,087</w:t>
      </w:r>
      <w:r>
        <w:rPr>
          <w:rFonts w:ascii="Times New Roman" w:hAnsi="Times New Roman"/>
          <w:color w:val="000000"/>
          <w:sz w:val="20"/>
        </w:rPr>
        <w:t xml:space="preserve"> </w:t>
      </w:r>
      <w:r>
        <w:rPr>
          <w:rFonts w:ascii="Times New Roman" w:hAnsi="Times New Roman"/>
          <w:b w:val="false"/>
          <w:color w:val="000000"/>
          <w:sz w:val="20"/>
        </w:rPr>
        <w:t>shares of Legacy Dave’s Class A Common Stock after applying the exchange ratio for the Business Combination.</w:t>
      </w:r>
    </w:p>
    <w:p>
      <w:pPr>
        <w:pStyle w:val="TextBody"/>
        <w:bidi w:val="0"/>
        <w:spacing w:before="36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10 Debt Facility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January 2021, Dave OD Funding I, LLC (“Borrower”) entered into a delayed draw senior secured loan facility (the “Debt Facility”) with Victory Park Management, LLC (“Agent”), and allowed the Borrower to draw up to $100</w:t>
      </w:r>
      <w:r>
        <w:rPr>
          <w:rFonts w:ascii="Times New Roman" w:hAnsi="Times New Roman"/>
          <w:color w:val="000000"/>
          <w:sz w:val="20"/>
        </w:rPr>
        <w:t xml:space="preserve"> </w:t>
      </w:r>
      <w:r>
        <w:rPr>
          <w:rFonts w:ascii="Times New Roman" w:hAnsi="Times New Roman"/>
          <w:b w:val="false"/>
          <w:color w:val="000000"/>
          <w:sz w:val="20"/>
        </w:rPr>
        <w:t>million from various lenders (the “Lenders”) associated with Victory Park Management, LLC. The Debt Facility had an interest rate of 6.95% annually plus a base rate defined as the greater of the three-month London interbank offered rate ("LIBOR")</w:t>
      </w:r>
      <w:r>
        <w:rPr>
          <w:rFonts w:ascii="Times New Roman" w:hAnsi="Times New Roman"/>
          <w:color w:val="000000"/>
          <w:sz w:val="20"/>
        </w:rPr>
        <w:t xml:space="preserve"> </w:t>
      </w:r>
      <w:r>
        <w:rPr>
          <w:rFonts w:ascii="Times New Roman" w:hAnsi="Times New Roman"/>
          <w:b w:val="false"/>
          <w:color w:val="000000"/>
          <w:sz w:val="20"/>
        </w:rPr>
        <w:t>as of the last business day of each calendar month and 2.55%. Interest is payable monthly in arrears. The Debt Facility contained certain financial covenants, including a requirement to maintain a minimum cash, cash equivalents, or marketable securities balance of $8.0</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On September 13, 2023, the Company executed the Third Amendment to the Debt Facility with the existing Lenders. The Third Amendment, among other things: (i) increases the secured loan facility commitment amount by $50</w:t>
      </w:r>
      <w:r>
        <w:rPr>
          <w:rFonts w:ascii="Times New Roman" w:hAnsi="Times New Roman"/>
          <w:color w:val="000000"/>
          <w:sz w:val="20"/>
        </w:rPr>
        <w:t xml:space="preserve"> </w:t>
      </w:r>
      <w:r>
        <w:rPr>
          <w:rFonts w:ascii="Times New Roman" w:hAnsi="Times New Roman"/>
          <w:b w:val="false"/>
          <w:color w:val="000000"/>
          <w:sz w:val="20"/>
        </w:rPr>
        <w:t>million to a total of $150</w:t>
      </w:r>
      <w:r>
        <w:rPr>
          <w:rFonts w:ascii="Times New Roman" w:hAnsi="Times New Roman"/>
          <w:color w:val="000000"/>
          <w:sz w:val="20"/>
        </w:rPr>
        <w:t xml:space="preserve"> </w:t>
      </w:r>
      <w:r>
        <w:rPr>
          <w:rFonts w:ascii="Times New Roman" w:hAnsi="Times New Roman"/>
          <w:b w:val="false"/>
          <w:color w:val="000000"/>
          <w:sz w:val="20"/>
        </w:rPr>
        <w:t>million; (ii) extends the maturity date of the Debt Facility from January 2025</w:t>
      </w:r>
      <w:r>
        <w:rPr>
          <w:rFonts w:ascii="Times New Roman" w:hAnsi="Times New Roman"/>
          <w:color w:val="000000"/>
          <w:sz w:val="20"/>
        </w:rPr>
        <w:t xml:space="preserve"> </w:t>
      </w:r>
      <w:r>
        <w:rPr>
          <w:rFonts w:ascii="Times New Roman" w:hAnsi="Times New Roman"/>
          <w:b w:val="false"/>
          <w:color w:val="000000"/>
          <w:sz w:val="20"/>
        </w:rPr>
        <w:t>to December 2026; (iii) adds a liquidity trigger threshold, measured as of the last day of any calendar month, equal to the lesser of (a) the trailing six-month EBITDA as of such date, (b) the product of (A) the trailing three-month EBITDA as of such date, multiplied by (B) two (2), and (c) zero ($0)</w:t>
      </w:r>
      <w:r>
        <w:rPr>
          <w:rFonts w:ascii="Times New Roman" w:hAnsi="Times New Roman"/>
          <w:b w:val="false"/>
          <w:color w:val="000000"/>
          <w:sz w:val="16"/>
        </w:rPr>
        <w:t xml:space="preserve">[1] </w:t>
      </w:r>
      <w:r>
        <w:rPr>
          <w:rFonts w:ascii="Times New Roman" w:hAnsi="Times New Roman"/>
          <w:b w:val="false"/>
          <w:color w:val="000000"/>
          <w:sz w:val="20"/>
        </w:rPr>
        <w:t>; (iv) increases the minimum liquidity threshold, a requirement to maintain a minimum cash, cash equivalents, or marketable securities balance, from $8.0</w:t>
      </w:r>
      <w:r>
        <w:rPr>
          <w:rFonts w:ascii="Times New Roman" w:hAnsi="Times New Roman"/>
          <w:color w:val="000000"/>
          <w:sz w:val="20"/>
        </w:rPr>
        <w:t xml:space="preserve"> </w:t>
      </w:r>
      <w:r>
        <w:rPr>
          <w:rFonts w:ascii="Times New Roman" w:hAnsi="Times New Roman"/>
          <w:b w:val="false"/>
          <w:color w:val="000000"/>
          <w:sz w:val="20"/>
        </w:rPr>
        <w:t>million to $15</w:t>
      </w:r>
      <w:r>
        <w:rPr>
          <w:rFonts w:ascii="Times New Roman" w:hAnsi="Times New Roman"/>
          <w:color w:val="000000"/>
          <w:sz w:val="20"/>
        </w:rPr>
        <w:t xml:space="preserve"> </w:t>
      </w:r>
      <w:r>
        <w:rPr>
          <w:rFonts w:ascii="Times New Roman" w:hAnsi="Times New Roman"/>
          <w:b w:val="false"/>
          <w:color w:val="000000"/>
          <w:sz w:val="20"/>
        </w:rPr>
        <w:t>million (v) replaces LIBOR with the secured overnight financing rate ("SOFR") and updates interest rates to the base rate (or if greater, SOFR for such date for a 3-month tenor</w:t>
      </w:r>
      <w:r>
        <w:rPr>
          <w:rFonts w:ascii="Times New Roman" w:hAnsi="Times New Roman"/>
          <w:color w:val="000000"/>
          <w:sz w:val="20"/>
        </w:rPr>
        <w:t xml:space="preserve"> </w:t>
      </w:r>
      <w:r>
        <w:rPr>
          <w:rFonts w:ascii="Times New Roman" w:hAnsi="Times New Roman"/>
          <w:b w:val="false"/>
          <w:color w:val="000000"/>
          <w:sz w:val="20"/>
        </w:rPr>
        <w:t>and 3.00%) plus 5.00% per annum on that portion of the aggregate outstanding principal balance that is less than or equal to $75 million, plus the base rate plus 4.50% per annum on that portion of the aggregate outstanding principal balance, if any, that is greater than $75 million; (vi) updates prepayment premiums for early or voluntary principal repayments and (vii) the Company's guaranty (the limited guaranty was secured by a first-priority lien against substantially all of the Company's assets) of up to $25,000,000</w:t>
      </w:r>
      <w:r>
        <w:rPr>
          <w:rFonts w:ascii="Times New Roman" w:hAnsi="Times New Roman"/>
          <w:color w:val="000000"/>
          <w:sz w:val="20"/>
        </w:rPr>
        <w:t xml:space="preserve"> </w:t>
      </w:r>
      <w:r>
        <w:rPr>
          <w:rFonts w:ascii="Times New Roman" w:hAnsi="Times New Roman"/>
          <w:b w:val="false"/>
          <w:color w:val="000000"/>
          <w:sz w:val="20"/>
        </w:rPr>
        <w:t>of the Borrower's obligations under the Debt Facility has been terminated.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Payments of the loan draws are due at the following dates: (i) within five business days after the date of receipt by the Borrower of any net cash proceeds in excess of $0.25</w:t>
      </w:r>
      <w:r>
        <w:rPr>
          <w:rFonts w:ascii="Times New Roman" w:hAnsi="Times New Roman"/>
          <w:color w:val="000000"/>
          <w:sz w:val="20"/>
        </w:rPr>
        <w:t xml:space="preserve"> </w:t>
      </w:r>
      <w:r>
        <w:rPr>
          <w:rFonts w:ascii="Times New Roman" w:hAnsi="Times New Roman"/>
          <w:b w:val="false"/>
          <w:color w:val="000000"/>
          <w:sz w:val="20"/>
        </w:rPr>
        <w:t>million in the aggregate during any fiscal year from any asset sales (other than certain permitted dispositions), Borrower must prepay the loans or remit such net cash proceeds in an aggregate amount equal to 100% of such net cash proceeds; (ii) within five business days after the date of receipt by Borrower, or the Agent as loss payee, of any net cash proceeds from any destruction or taking, the Borrower must prepay the loans or remit such net cash proceeds in an aggregate amount equal to 100% of such net cash proceeds; (iii) within three business days after the date of receipt by Borrower of any net cash proceeds from the incurrence of any indebtedness of Borrower (other than with respect to permitted borrower indebtedness), the Borrower will prepay the loans or remit such net cash proceeds in an aggregate amount equal to 100% of such net cash proceeds; and (iv) (a) if extraordinary receipts are received by Borrower in the aggregate amount in any fiscal year in excess of $0.25</w:t>
      </w:r>
      <w:r>
        <w:rPr>
          <w:rFonts w:ascii="Times New Roman" w:hAnsi="Times New Roman"/>
          <w:color w:val="000000"/>
          <w:sz w:val="20"/>
        </w:rPr>
        <w:t xml:space="preserve"> </w:t>
      </w:r>
      <w:r>
        <w:rPr>
          <w:rFonts w:ascii="Times New Roman" w:hAnsi="Times New Roman"/>
          <w:b w:val="false"/>
          <w:color w:val="000000"/>
          <w:sz w:val="20"/>
        </w:rPr>
        <w:t>million or (b) if an event of default has occurred and is continuing at any time when any extraordinary receipts are received by Borrower, then within five business days of the receipt by Borrower of any such extraordinary receipts, the Borrower must prepay the loans or remit such net cash proceeds in an aggregate amount equal to (x) 100% of such extraordinary receipts in excess of $0.25</w:t>
      </w:r>
      <w:r>
        <w:rPr>
          <w:rFonts w:ascii="Times New Roman" w:hAnsi="Times New Roman"/>
          <w:color w:val="000000"/>
          <w:sz w:val="20"/>
        </w:rPr>
        <w:t xml:space="preserve"> </w:t>
      </w:r>
      <w:r>
        <w:rPr>
          <w:rFonts w:ascii="Times New Roman" w:hAnsi="Times New Roman"/>
          <w:b w:val="false"/>
          <w:color w:val="000000"/>
          <w:sz w:val="20"/>
        </w:rPr>
        <w:t>million in respect of clause (a) above and (y) 100% of such extraordinary receipts in respect of clause (b)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and December 31, 2022, the Company had drawn $75.0</w:t>
      </w:r>
      <w:r>
        <w:rPr>
          <w:rFonts w:ascii="Times New Roman" w:hAnsi="Times New Roman"/>
          <w:color w:val="000000"/>
          <w:sz w:val="20"/>
        </w:rPr>
        <w:t xml:space="preserve"> </w:t>
      </w:r>
      <w:r>
        <w:rPr>
          <w:rFonts w:ascii="Times New Roman" w:hAnsi="Times New Roman"/>
          <w:b w:val="false"/>
          <w:color w:val="000000"/>
          <w:sz w:val="20"/>
        </w:rPr>
        <w:t>million on the Debt Facility and had made no repayments.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Third Amendment was accounted for as a debt modification and, accordingly, the Company capitalized $0.4</w:t>
      </w:r>
      <w:r>
        <w:rPr>
          <w:rFonts w:ascii="Times New Roman" w:hAnsi="Times New Roman"/>
          <w:color w:val="000000"/>
          <w:sz w:val="20"/>
        </w:rPr>
        <w:t xml:space="preserve"> </w:t>
      </w:r>
      <w:r>
        <w:rPr>
          <w:rFonts w:ascii="Times New Roman" w:hAnsi="Times New Roman"/>
          <w:b w:val="false"/>
          <w:color w:val="000000"/>
          <w:sz w:val="20"/>
        </w:rPr>
        <w:t>million of financing costs which will be recognized within the statement of operations evenly through maturity date of the Debt Facility, no</w:t>
      </w:r>
      <w:r>
        <w:rPr>
          <w:rFonts w:ascii="Times New Roman" w:hAnsi="Times New Roman"/>
          <w:color w:val="000000"/>
          <w:sz w:val="20"/>
        </w:rPr>
        <w:t xml:space="preserve"> </w:t>
      </w:r>
      <w:r>
        <w:rPr>
          <w:rFonts w:ascii="Times New Roman" w:hAnsi="Times New Roman"/>
          <w:b w:val="false"/>
          <w:color w:val="000000"/>
          <w:sz w:val="20"/>
        </w:rPr>
        <w:t>gain or loss was recognized. As of September 30, 2023, the Company was in compliance with all covenants.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11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From time to time, the Company is subject to various legal proceedings and claims, either asserted or unasserted, that arise in the ordinary course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1. Martinsek v. Dave Inc. (filed January 9, 2020</w:t>
      </w:r>
      <w:r>
        <w:rPr>
          <w:rFonts w:ascii="Times New Roman" w:hAnsi="Times New Roman"/>
          <w:color w:val="000000"/>
          <w:sz w:val="20"/>
        </w:rPr>
        <w:t xml:space="preserve"> </w:t>
      </w:r>
      <w:r>
        <w:rPr>
          <w:rFonts w:ascii="Times New Roman" w:hAnsi="Times New Roman"/>
          <w:b w:val="false"/>
          <w:color w:val="000000"/>
          <w:sz w:val="20"/>
        </w:rPr>
        <w:t>in the California Superior Court for the County of Los Angeles)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Company settled this matter in January 2023 for approximately $6.0</w:t>
      </w:r>
      <w:r>
        <w:rPr>
          <w:rFonts w:ascii="Times New Roman" w:hAnsi="Times New Roman"/>
          <w:color w:val="000000"/>
          <w:sz w:val="20"/>
        </w:rPr>
        <w:t xml:space="preserve"> </w:t>
      </w:r>
      <w:r>
        <w:rPr>
          <w:rFonts w:ascii="Times New Roman" w:hAnsi="Times New Roman"/>
          <w:b w:val="false"/>
          <w:color w:val="000000"/>
          <w:sz w:val="20"/>
        </w:rPr>
        <w:t>million which</w:t>
      </w:r>
      <w:r>
        <w:rPr>
          <w:rFonts w:ascii="Times New Roman" w:hAnsi="Times New Roman"/>
          <w:color w:val="FF0000"/>
          <w:sz w:val="20"/>
        </w:rPr>
        <w:t xml:space="preserve"> </w:t>
      </w:r>
      <w:r>
        <w:rPr>
          <w:rFonts w:ascii="Times New Roman" w:hAnsi="Times New Roman"/>
          <w:b w:val="false"/>
          <w:color w:val="000000"/>
          <w:sz w:val="20"/>
        </w:rPr>
        <w:t>was included in the Legal settlement accrual within the unaudited condensed consolidated balance sheet for the period ended December 31,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2. Stoffers v. Dave Inc. (filed September 16, 2020</w:t>
      </w:r>
      <w:r>
        <w:rPr>
          <w:rFonts w:ascii="Times New Roman" w:hAnsi="Times New Roman"/>
          <w:color w:val="000000"/>
          <w:sz w:val="20"/>
        </w:rPr>
        <w:t xml:space="preserve"> </w:t>
      </w:r>
      <w:r>
        <w:rPr>
          <w:rFonts w:ascii="Times New Roman" w:hAnsi="Times New Roman"/>
          <w:b w:val="false"/>
          <w:color w:val="000000"/>
          <w:sz w:val="20"/>
        </w:rPr>
        <w:t>in LA County Superior Court)</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This is a purported class action lawsuit filed in connection with a July 2020 data breach. The Company is in the process of settling this matter and the estimated settlement amount of approximately $3.1</w:t>
      </w:r>
      <w:r>
        <w:rPr>
          <w:rFonts w:ascii="Times New Roman" w:hAnsi="Times New Roman"/>
          <w:color w:val="000000"/>
          <w:sz w:val="20"/>
        </w:rPr>
        <w:t xml:space="preserve"> </w:t>
      </w:r>
      <w:r>
        <w:rPr>
          <w:rFonts w:ascii="Times New Roman" w:hAnsi="Times New Roman"/>
          <w:b w:val="false"/>
          <w:color w:val="000000"/>
          <w:sz w:val="20"/>
        </w:rPr>
        <w:t>million is included in the Legal settlement accrual within the unaudited condensed consolidated balance sheets for the period ended September 30, 2023 and December 31,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has recorded an estimated legal settlement expense in the amount of $4.3</w:t>
      </w:r>
      <w:r>
        <w:rPr>
          <w:rFonts w:ascii="Times New Roman" w:hAnsi="Times New Roman"/>
          <w:color w:val="000000"/>
          <w:sz w:val="20"/>
        </w:rPr>
        <w:t xml:space="preserve"> </w:t>
      </w:r>
      <w:r>
        <w:rPr>
          <w:rFonts w:ascii="Times New Roman" w:hAnsi="Times New Roman"/>
          <w:b w:val="false"/>
          <w:color w:val="000000"/>
          <w:sz w:val="20"/>
        </w:rPr>
        <w:t>million relating to individual claims arising from the July 2020 data breach. This accrual is also included in the Legal settlement accrual within the unaudited condensed consolidated balance sheet for the period ended September 30, 2023. In October 2023, the Company paid $3.3</w:t>
      </w:r>
      <w:r>
        <w:rPr>
          <w:rFonts w:ascii="Times New Roman" w:hAnsi="Times New Roman"/>
          <w:color w:val="000000"/>
          <w:sz w:val="20"/>
        </w:rPr>
        <w:t xml:space="preserve"> </w:t>
      </w:r>
      <w:r>
        <w:rPr>
          <w:rFonts w:ascii="Times New Roman" w:hAnsi="Times New Roman"/>
          <w:b w:val="false"/>
          <w:color w:val="000000"/>
          <w:sz w:val="20"/>
        </w:rPr>
        <w:t>million of the estimated $4.3</w:t>
      </w:r>
      <w:r>
        <w:rPr>
          <w:rFonts w:ascii="Times New Roman" w:hAnsi="Times New Roman"/>
          <w:color w:val="000000"/>
          <w:sz w:val="20"/>
        </w:rPr>
        <w:t xml:space="preserve"> </w:t>
      </w:r>
      <w:r>
        <w:rPr>
          <w:rFonts w:ascii="Times New Roman" w:hAnsi="Times New Roman"/>
          <w:b w:val="false"/>
          <w:color w:val="000000"/>
          <w:sz w:val="20"/>
        </w:rPr>
        <w:t>million in legal settlement expense. The Company will settle the remaining amounts at a later time.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Leases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December 2018, the Company entered into a sublease agreement with PCJW Properties LLC (“PCJW”), controlled by Company’s founders (including the Company’s current CEO), for general office space next door to its other leased property in Los Angeles, California, detailed below. The lease term is five years</w:t>
      </w:r>
      <w:r>
        <w:rPr>
          <w:rFonts w:ascii="Times New Roman" w:hAnsi="Times New Roman"/>
          <w:color w:val="000000"/>
          <w:sz w:val="20"/>
        </w:rPr>
        <w:t xml:space="preserve"> </w:t>
      </w:r>
      <w:r>
        <w:rPr>
          <w:rFonts w:ascii="Times New Roman" w:hAnsi="Times New Roman"/>
          <w:b w:val="false"/>
          <w:color w:val="000000"/>
          <w:sz w:val="20"/>
        </w:rPr>
        <w:t>subject to early termination by either party, beginning November 2018 and ending October 2023. The current monthly lease paymen</w:t>
      </w:r>
      <w:r>
        <w:rPr>
          <w:rFonts w:ascii="Times New Roman" w:hAnsi="Times New Roman"/>
          <w:b w:val="false"/>
          <w:strike/>
          <w:color w:val="000000"/>
          <w:sz w:val="20"/>
        </w:rPr>
        <w:t>t</w:t>
      </w:r>
      <w:r>
        <w:rPr>
          <w:rFonts w:ascii="Times New Roman" w:hAnsi="Times New Roman"/>
          <w:color w:val="000000"/>
          <w:sz w:val="20"/>
        </w:rPr>
        <w:t xml:space="preserve"> </w:t>
      </w:r>
      <w:r>
        <w:rPr>
          <w:rFonts w:ascii="Times New Roman" w:hAnsi="Times New Roman"/>
          <w:b w:val="false"/>
          <w:color w:val="000000"/>
          <w:sz w:val="20"/>
        </w:rPr>
        <w:t>is $0.006</w:t>
      </w:r>
      <w:r>
        <w:rPr>
          <w:rFonts w:ascii="Times New Roman" w:hAnsi="Times New Roman"/>
          <w:color w:val="000000"/>
          <w:sz w:val="20"/>
        </w:rPr>
        <w:t xml:space="preserve"> </w:t>
      </w:r>
      <w:r>
        <w:rPr>
          <w:rFonts w:ascii="Times New Roman" w:hAnsi="Times New Roman"/>
          <w:b w:val="false"/>
          <w:color w:val="000000"/>
          <w:sz w:val="20"/>
        </w:rPr>
        <w:t>million, subject to an annual escalation of 4%.</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In January 2019, the Company entered into a lease agreement with PCJW for office space located in Los Angeles, California. The lease term is seven years, beginning January 1, 2019 and ending December 31, 2025. The current monthly lease payment is $0.02</w:t>
      </w:r>
      <w:r>
        <w:rPr>
          <w:rFonts w:ascii="Times New Roman" w:hAnsi="Times New Roman"/>
          <w:color w:val="000000"/>
          <w:sz w:val="20"/>
        </w:rPr>
        <w:t xml:space="preserve"> </w:t>
      </w:r>
      <w:r>
        <w:rPr>
          <w:rFonts w:ascii="Times New Roman" w:hAnsi="Times New Roman"/>
          <w:b w:val="false"/>
          <w:color w:val="000000"/>
          <w:sz w:val="20"/>
        </w:rPr>
        <w:t>million, subject to an annual escalation of 5%.</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All leases were classified as operating and operating lease expenses are presented within Other operating expenses in the unaudited condensed consolidated statements of operations. The Company does not have any finance leases or sublease arrangements where the Company is the sublessor. The Company’s leasing activities are as follows (in thousands):</w:t>
      </w:r>
    </w:p>
    <w:p>
      <w:pPr>
        <w:pStyle w:val="TextBody"/>
        <w:bidi w:val="0"/>
        <w:jc w:val="left"/>
        <w:rPr/>
      </w:pPr>
      <w:r>
        <w:rPr/>
        <w:t> </w:t>
      </w:r>
    </w:p>
    <w:tbl>
      <w:tblPr>
        <w:tblW w:w="4552" w:type="dxa"/>
        <w:jc w:val="left"/>
        <w:tblInd w:w="0" w:type="dxa"/>
        <w:tblLayout w:type="fixed"/>
        <w:tblCellMar>
          <w:top w:w="28" w:type="dxa"/>
          <w:left w:w="28" w:type="dxa"/>
          <w:bottom w:w="28" w:type="dxa"/>
          <w:right w:w="28" w:type="dxa"/>
        </w:tblCellMar>
      </w:tblPr>
      <w:tblGrid>
        <w:gridCol w:w="1801"/>
        <w:gridCol w:w="146"/>
        <w:gridCol w:w="326"/>
        <w:gridCol w:w="652"/>
        <w:gridCol w:w="226"/>
        <w:gridCol w:w="326"/>
        <w:gridCol w:w="884"/>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4"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91" w:type="dxa"/>
            <w:tcBorders/>
            <w:shd w:fill="FFFFFF" w:val="clear"/>
            <w:vAlign w:val="center"/>
          </w:tcPr>
          <w:p>
            <w:pPr>
              <w:pStyle w:val="TableContents"/>
              <w:bidi w:val="0"/>
              <w:spacing w:before="0" w:after="283"/>
              <w:jc w:val="center"/>
              <w:rPr/>
            </w:pPr>
            <w:r>
              <w:rPr/>
              <w:t> </w:t>
            </w:r>
          </w:p>
        </w:tc>
      </w:tr>
      <w:tr>
        <w:trPr/>
        <w:tc>
          <w:tcPr>
            <w:tcW w:w="18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cost</w:t>
            </w:r>
          </w:p>
        </w:tc>
        <w:tc>
          <w:tcPr>
            <w:tcW w:w="146" w:type="dxa"/>
            <w:tcBorders/>
            <w:shd w:fill="FFFFFF" w:val="clear"/>
            <w:vAlign w:val="center"/>
          </w:tcPr>
          <w:p>
            <w:pPr>
              <w:pStyle w:val="TableContents"/>
              <w:bidi w:val="0"/>
              <w:spacing w:before="0" w:after="283"/>
              <w:jc w:val="left"/>
              <w:rPr/>
            </w:pPr>
            <w:r>
              <w:rPr/>
              <w:t> </w:t>
            </w:r>
          </w:p>
        </w:tc>
        <w:tc>
          <w:tcPr>
            <w:tcW w:w="32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226" w:type="dxa"/>
            <w:tcBorders/>
            <w:shd w:fill="B6DEE8" w:val="clear"/>
            <w:vAlign w:val="center"/>
          </w:tcPr>
          <w:p>
            <w:pPr>
              <w:pStyle w:val="TableContents"/>
              <w:bidi w:val="0"/>
              <w:spacing w:before="0" w:after="283"/>
              <w:jc w:val="left"/>
              <w:rPr/>
            </w:pPr>
            <w:r>
              <w:rPr/>
              <w:t> </w:t>
            </w:r>
          </w:p>
        </w:tc>
        <w:tc>
          <w:tcPr>
            <w:tcW w:w="32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2,058</w:t>
            </w:r>
          </w:p>
        </w:tc>
        <w:tc>
          <w:tcPr>
            <w:tcW w:w="191" w:type="dxa"/>
            <w:tcBorders/>
            <w:shd w:fill="B6DEE8" w:val="clear"/>
            <w:vAlign w:val="center"/>
          </w:tcPr>
          <w:p>
            <w:pPr>
              <w:pStyle w:val="TableContents"/>
              <w:bidi w:val="0"/>
              <w:spacing w:before="0" w:after="283"/>
              <w:jc w:val="left"/>
              <w:rPr/>
            </w:pPr>
            <w:r>
              <w:rPr/>
              <w:t> </w:t>
            </w:r>
          </w:p>
        </w:tc>
      </w:tr>
      <w:tr>
        <w:trPr/>
        <w:tc>
          <w:tcPr>
            <w:tcW w:w="1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lease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5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w:t>
            </w:r>
          </w:p>
        </w:tc>
        <w:tc>
          <w:tcPr>
            <w:tcW w:w="22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8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2,084</w:t>
            </w:r>
          </w:p>
        </w:tc>
        <w:tc>
          <w:tcPr>
            <w:tcW w:w="1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02" w:type="dxa"/>
        <w:jc w:val="left"/>
        <w:tblInd w:w="0" w:type="dxa"/>
        <w:tblLayout w:type="fixed"/>
        <w:tblCellMar>
          <w:top w:w="28" w:type="dxa"/>
          <w:left w:w="28" w:type="dxa"/>
          <w:bottom w:w="28" w:type="dxa"/>
          <w:right w:w="28" w:type="dxa"/>
        </w:tblCellMar>
      </w:tblPr>
      <w:tblGrid>
        <w:gridCol w:w="4711"/>
        <w:gridCol w:w="146"/>
        <w:gridCol w:w="299"/>
        <w:gridCol w:w="661"/>
        <w:gridCol w:w="378"/>
        <w:gridCol w:w="294"/>
        <w:gridCol w:w="797"/>
        <w:gridCol w:w="31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9" w:type="dxa"/>
            <w:gridSpan w:val="5"/>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316" w:type="dxa"/>
            <w:tcBorders/>
            <w:shd w:fill="FFFFFF" w:val="clear"/>
            <w:vAlign w:val="center"/>
          </w:tcPr>
          <w:p>
            <w:pPr>
              <w:pStyle w:val="TableContents"/>
              <w:bidi w:val="0"/>
              <w:spacing w:before="0" w:after="283"/>
              <w:jc w:val="center"/>
              <w:rPr/>
            </w:pPr>
            <w:r>
              <w:rPr/>
              <w:t> </w:t>
            </w:r>
          </w:p>
        </w:tc>
      </w:tr>
      <w:tr>
        <w:trPr/>
        <w:tc>
          <w:tcPr>
            <w:tcW w:w="47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9/30/2023</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9/30/2022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information:</w:t>
            </w:r>
          </w:p>
        </w:tc>
        <w:tc>
          <w:tcPr>
            <w:tcW w:w="146" w:type="dxa"/>
            <w:tcBorders/>
            <w:shd w:fill="B6DEE8" w:val="clear"/>
            <w:vAlign w:val="center"/>
          </w:tcPr>
          <w:p>
            <w:pPr>
              <w:pStyle w:val="TableContents"/>
              <w:bidi w:val="0"/>
              <w:spacing w:before="0" w:after="283"/>
              <w:jc w:val="left"/>
              <w:rPr/>
            </w:pPr>
            <w:r>
              <w:rPr/>
              <w:t> </w:t>
            </w:r>
          </w:p>
        </w:tc>
        <w:tc>
          <w:tcPr>
            <w:tcW w:w="960" w:type="dxa"/>
            <w:gridSpan w:val="2"/>
            <w:tcBorders/>
            <w:shd w:fill="B6DEE8" w:val="clear"/>
            <w:vAlign w:val="center"/>
          </w:tcPr>
          <w:p>
            <w:pPr>
              <w:pStyle w:val="TableContents"/>
              <w:bidi w:val="0"/>
              <w:spacing w:before="0" w:after="283"/>
              <w:jc w:val="left"/>
              <w:rPr/>
            </w:pPr>
            <w:r>
              <w:rPr/>
              <w:t> </w:t>
            </w:r>
          </w:p>
        </w:tc>
        <w:tc>
          <w:tcPr>
            <w:tcW w:w="378" w:type="dxa"/>
            <w:tcBorders/>
            <w:shd w:fill="B6DEE8" w:val="clear"/>
            <w:vAlign w:val="center"/>
          </w:tcPr>
          <w:p>
            <w:pPr>
              <w:pStyle w:val="TableContents"/>
              <w:bidi w:val="0"/>
              <w:spacing w:before="0" w:after="283"/>
              <w:jc w:val="left"/>
              <w:rPr/>
            </w:pPr>
            <w:r>
              <w:rPr/>
              <w:t> </w:t>
            </w:r>
          </w:p>
        </w:tc>
        <w:tc>
          <w:tcPr>
            <w:tcW w:w="1091"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operating leases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w:t>
            </w:r>
          </w:p>
        </w:tc>
        <w:tc>
          <w:tcPr>
            <w:tcW w:w="378"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1,457</w:t>
            </w:r>
          </w:p>
        </w:tc>
        <w:tc>
          <w:tcPr>
            <w:tcW w:w="316" w:type="dxa"/>
            <w:tcBorders/>
            <w:shd w:fill="FFFFFF" w:val="clear"/>
            <w:vAlign w:val="center"/>
          </w:tcPr>
          <w:p>
            <w:pPr>
              <w:pStyle w:val="TableContents"/>
              <w:bidi w:val="0"/>
              <w:spacing w:before="0" w:after="283"/>
              <w:jc w:val="left"/>
              <w:rPr/>
            </w:pPr>
            <w:r>
              <w:rPr/>
              <w:t> </w:t>
            </w:r>
          </w:p>
        </w:tc>
      </w:tr>
      <w:tr>
        <w:trPr/>
        <w:tc>
          <w:tcPr>
            <w:tcW w:w="47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remaining lease term - operating lease</w:t>
            </w:r>
          </w:p>
        </w:tc>
        <w:tc>
          <w:tcPr>
            <w:tcW w:w="146" w:type="dxa"/>
            <w:tcBorders/>
            <w:shd w:fill="B6DEE8" w:val="clear"/>
            <w:vAlign w:val="center"/>
          </w:tcPr>
          <w:p>
            <w:pPr>
              <w:pStyle w:val="TableContents"/>
              <w:bidi w:val="0"/>
              <w:spacing w:before="0" w:after="283"/>
              <w:jc w:val="left"/>
              <w:rPr/>
            </w:pPr>
            <w:r>
              <w:rPr/>
              <w:t> </w:t>
            </w:r>
          </w:p>
        </w:tc>
        <w:tc>
          <w:tcPr>
            <w:tcW w:w="299" w:type="dxa"/>
            <w:tcBorders/>
            <w:shd w:fill="B6DEE8" w:val="clear"/>
            <w:vAlign w:val="center"/>
          </w:tcPr>
          <w:p>
            <w:pPr>
              <w:pStyle w:val="TableContents"/>
              <w:bidi w:val="0"/>
              <w:spacing w:before="0" w:after="283"/>
              <w:jc w:val="left"/>
              <w:rPr/>
            </w:pPr>
            <w:r>
              <w:rPr/>
              <w:t> </w:t>
            </w:r>
          </w:p>
        </w:tc>
        <w:tc>
          <w:tcPr>
            <w:tcW w:w="66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2.23</w:t>
            </w:r>
          </w:p>
        </w:tc>
        <w:tc>
          <w:tcPr>
            <w:tcW w:w="378" w:type="dxa"/>
            <w:tcBorders/>
            <w:shd w:fill="B6DEE8" w:val="clear"/>
            <w:vAlign w:val="center"/>
          </w:tcPr>
          <w:p>
            <w:pPr>
              <w:pStyle w:val="TableContents"/>
              <w:bidi w:val="0"/>
              <w:spacing w:before="0" w:after="283"/>
              <w:jc w:val="left"/>
              <w:rPr/>
            </w:pPr>
            <w:r>
              <w:rPr/>
              <w:t> </w:t>
            </w:r>
          </w:p>
        </w:tc>
        <w:tc>
          <w:tcPr>
            <w:tcW w:w="294" w:type="dxa"/>
            <w:tcBorders/>
            <w:shd w:fill="B6DEE8" w:val="clear"/>
            <w:vAlign w:val="center"/>
          </w:tcPr>
          <w:p>
            <w:pPr>
              <w:pStyle w:val="TableContents"/>
              <w:bidi w:val="0"/>
              <w:spacing w:before="0" w:after="283"/>
              <w:jc w:val="left"/>
              <w:rPr/>
            </w:pPr>
            <w:r>
              <w:rPr/>
              <w:t> </w:t>
            </w:r>
          </w:p>
        </w:tc>
        <w:tc>
          <w:tcPr>
            <w:tcW w:w="797"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3.08</w:t>
            </w:r>
          </w:p>
        </w:tc>
        <w:tc>
          <w:tcPr>
            <w:tcW w:w="316" w:type="dxa"/>
            <w:tcBorders/>
            <w:shd w:fill="B6DEE8" w:val="clear"/>
            <w:vAlign w:val="center"/>
          </w:tcPr>
          <w:p>
            <w:pPr>
              <w:pStyle w:val="TableContents"/>
              <w:bidi w:val="0"/>
              <w:spacing w:before="0" w:after="283"/>
              <w:jc w:val="left"/>
              <w:rPr/>
            </w:pPr>
            <w:r>
              <w:rPr/>
              <w:t> </w:t>
            </w:r>
          </w:p>
        </w:tc>
      </w:tr>
      <w:tr>
        <w:trPr/>
        <w:tc>
          <w:tcPr>
            <w:tcW w:w="47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discount rate - operating lease</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7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4"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future minimum lease payments as</w:t>
      </w:r>
      <w:r>
        <w:rPr>
          <w:rFonts w:ascii="Times New Roman" w:hAnsi="Times New Roman"/>
          <w:color w:val="000000"/>
          <w:sz w:val="20"/>
        </w:rPr>
        <w:t xml:space="preserve"> </w:t>
      </w:r>
      <w:r>
        <w:rPr>
          <w:rFonts w:ascii="Times New Roman" w:hAnsi="Times New Roman"/>
          <w:b w:val="false"/>
          <w:color w:val="000000"/>
          <w:sz w:val="20"/>
        </w:rPr>
        <w:t>of September 30, 2023, were as follows (in thousands):</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 (remaining)</w:t>
            </w:r>
          </w:p>
        </w:tc>
        <w:tc>
          <w:tcPr>
            <w:tcW w:w="146" w:type="dxa"/>
            <w:tcBorders/>
            <w:shd w:fill="FFFFFF"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pPr>
            <w:r>
              <w:rPr/>
              <w:t> </w:t>
            </w:r>
          </w:p>
        </w:tc>
        <w:tc>
          <w:tcPr>
            <w:tcW w:w="16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13 Fair Value of Financial Instruments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are the major categories of assets and liabilities measured at fair value on a recurring basis as of September 30, 2023 and December 31, 2022, using quoted prices in active markets for identical assets (Level 1), significant other observable inputs (Level 2), and significant unobservable inputs (Level 3) (in thousands):</w:t>
      </w:r>
    </w:p>
    <w:p>
      <w:pPr>
        <w:pStyle w:val="TextBody"/>
        <w:bidi w:val="0"/>
        <w:jc w:val="left"/>
        <w:rPr/>
      </w:pPr>
      <w:r>
        <w:rPr/>
        <w:t> </w:t>
      </w:r>
    </w:p>
    <w:tbl>
      <w:tblPr>
        <w:tblW w:w="8025" w:type="dxa"/>
        <w:jc w:val="left"/>
        <w:tblInd w:w="0" w:type="dxa"/>
        <w:tblLayout w:type="fixed"/>
        <w:tblCellMar>
          <w:top w:w="28" w:type="dxa"/>
          <w:left w:w="28" w:type="dxa"/>
          <w:bottom w:w="28" w:type="dxa"/>
          <w:right w:w="28" w:type="dxa"/>
        </w:tblCellMar>
      </w:tblPr>
      <w:tblGrid>
        <w:gridCol w:w="3211"/>
        <w:gridCol w:w="146"/>
        <w:gridCol w:w="211"/>
        <w:gridCol w:w="571"/>
        <w:gridCol w:w="146"/>
        <w:gridCol w:w="146"/>
        <w:gridCol w:w="211"/>
        <w:gridCol w:w="781"/>
        <w:gridCol w:w="146"/>
        <w:gridCol w:w="146"/>
        <w:gridCol w:w="245"/>
        <w:gridCol w:w="490"/>
        <w:gridCol w:w="146"/>
        <w:gridCol w:w="146"/>
        <w:gridCol w:w="211"/>
        <w:gridCol w:w="78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September 30, 2023</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78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1,638</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Short-term investments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124,581</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124,581</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124,581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126,219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B6DEE8" w:val="clear"/>
            <w:vAlign w:val="center"/>
          </w:tcPr>
          <w:p>
            <w:pPr>
              <w:pStyle w:val="TableContents"/>
              <w:bidi w:val="0"/>
              <w:spacing w:before="0" w:after="283"/>
              <w:jc w:val="left"/>
              <w:rPr/>
            </w:pPr>
            <w:r>
              <w:rPr/>
              <w:t> </w:t>
            </w:r>
          </w:p>
        </w:tc>
        <w:tc>
          <w:tcPr>
            <w:tcW w:w="78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Warrant liabilities - public warrants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Warrant liabilities - private warrants</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57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w:t>
            </w:r>
          </w:p>
        </w:tc>
        <w:tc>
          <w:tcPr>
            <w:tcW w:w="291" w:type="dxa"/>
            <w:tcBorders/>
            <w:shd w:fill="B6DEE8" w:val="clear"/>
            <w:vAlign w:val="center"/>
          </w:tcPr>
          <w:p>
            <w:pPr>
              <w:pStyle w:val="TableContents"/>
              <w:bidi w:val="0"/>
              <w:spacing w:before="0" w:after="283"/>
              <w:ind w:left="0" w:right="0" w:firstLine="100"/>
              <w:jc w:val="left"/>
              <w:rPr/>
            </w:pPr>
            <w:r>
              <w:rPr/>
              <w:t> </w:t>
            </w:r>
          </w:p>
        </w:tc>
      </w:tr>
      <w:tr>
        <w:trPr/>
        <w:tc>
          <w:tcPr>
            <w:tcW w:w="321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20"/>
              </w:rPr>
              <w:t>Earnout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241</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978" w:type="dxa"/>
        <w:jc w:val="left"/>
        <w:tblInd w:w="0" w:type="dxa"/>
        <w:tblLayout w:type="fixed"/>
        <w:tblCellMar>
          <w:top w:w="28" w:type="dxa"/>
          <w:left w:w="28" w:type="dxa"/>
          <w:bottom w:w="28" w:type="dxa"/>
          <w:right w:w="28" w:type="dxa"/>
        </w:tblCellMar>
      </w:tblPr>
      <w:tblGrid>
        <w:gridCol w:w="3211"/>
        <w:gridCol w:w="146"/>
        <w:gridCol w:w="245"/>
        <w:gridCol w:w="490"/>
        <w:gridCol w:w="146"/>
        <w:gridCol w:w="146"/>
        <w:gridCol w:w="211"/>
        <w:gridCol w:w="781"/>
        <w:gridCol w:w="146"/>
        <w:gridCol w:w="146"/>
        <w:gridCol w:w="245"/>
        <w:gridCol w:w="490"/>
        <w:gridCol w:w="146"/>
        <w:gridCol w:w="146"/>
        <w:gridCol w:w="211"/>
        <w:gridCol w:w="781"/>
        <w:gridCol w:w="29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2022</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285</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Short-term investments</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168,789</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168,789</w:t>
            </w:r>
          </w:p>
        </w:tc>
        <w:tc>
          <w:tcPr>
            <w:tcW w:w="29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169,074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735"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992" w:type="dxa"/>
            <w:gridSpan w:val="2"/>
            <w:tcBorders/>
            <w:shd w:fill="B6DEE8" w:val="clear"/>
            <w:vAlign w:val="center"/>
          </w:tcPr>
          <w:p>
            <w:pPr>
              <w:pStyle w:val="TableContents"/>
              <w:bidi w:val="0"/>
              <w:spacing w:before="0" w:after="283"/>
              <w:jc w:val="left"/>
              <w:rPr/>
            </w:pPr>
            <w:r>
              <w:rPr/>
              <w:t> </w:t>
            </w:r>
          </w:p>
        </w:tc>
        <w:tc>
          <w:tcPr>
            <w:tcW w:w="291" w:type="dxa"/>
            <w:tcBorders/>
            <w:shd w:fill="B6DEE8" w:val="clear"/>
            <w:vAlign w:val="center"/>
          </w:tcPr>
          <w:p>
            <w:pPr>
              <w:pStyle w:val="TableContents"/>
              <w:bidi w:val="0"/>
              <w:spacing w:before="0" w:after="283"/>
              <w:jc w:val="left"/>
              <w:rPr/>
            </w:pPr>
            <w:r>
              <w:rPr/>
              <w:t> </w:t>
            </w:r>
          </w:p>
        </w:tc>
      </w:tr>
      <w:tr>
        <w:trPr/>
        <w:tc>
          <w:tcPr>
            <w:tcW w:w="321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Warrant liabilities - public warrants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49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209</w:t>
            </w:r>
          </w:p>
        </w:tc>
        <w:tc>
          <w:tcPr>
            <w:tcW w:w="291" w:type="dxa"/>
            <w:tcBorders/>
            <w:shd w:fill="FFFFFF" w:val="cle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Warrant liabilities - private warrants</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color w:val="000000"/>
              </w:rPr>
            </w:pPr>
            <w:r>
              <w:rPr>
                <w:color w:val="000000"/>
              </w:rPr>
              <w:t>—</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shd w:fill="B6DEE8" w:val="clear"/>
            <w:vAlign w:val="center"/>
          </w:tcPr>
          <w:p>
            <w:pPr>
              <w:pStyle w:val="TableContents"/>
              <w:bidi w:val="0"/>
              <w:spacing w:before="0" w:after="283"/>
              <w:jc w:val="left"/>
              <w:rPr/>
            </w:pPr>
            <w:r>
              <w:rPr/>
              <w:t> </w:t>
            </w:r>
          </w:p>
        </w:tc>
        <w:tc>
          <w:tcPr>
            <w:tcW w:w="49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291" w:type="dxa"/>
            <w:tcBorders/>
            <w:shd w:fill="B6DEE8" w:val="clear"/>
            <w:vAlign w:val="center"/>
          </w:tcPr>
          <w:p>
            <w:pPr>
              <w:pStyle w:val="TableContents"/>
              <w:bidi w:val="0"/>
              <w:spacing w:before="0" w:after="283"/>
              <w:ind w:left="0" w:right="0" w:firstLine="100"/>
              <w:jc w:val="left"/>
              <w:rPr/>
            </w:pPr>
            <w:r>
              <w:rPr/>
              <w:t> </w:t>
            </w:r>
          </w:p>
        </w:tc>
      </w:tr>
      <w:tr>
        <w:trPr/>
        <w:tc>
          <w:tcPr>
            <w:tcW w:w="321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b w:val="false"/>
                <w:color w:val="000000"/>
                <w:sz w:val="20"/>
              </w:rPr>
              <w:t>Earnout liabilities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9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516</w:t>
            </w:r>
          </w:p>
        </w:tc>
        <w:tc>
          <w:tcPr>
            <w:tcW w:w="29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The Company had no</w:t>
      </w:r>
      <w:r>
        <w:rPr>
          <w:rFonts w:ascii="Times New Roman" w:hAnsi="Times New Roman"/>
          <w:color w:val="000000"/>
          <w:sz w:val="20"/>
        </w:rPr>
        <w:t xml:space="preserve"> </w:t>
      </w:r>
      <w:r>
        <w:rPr>
          <w:rFonts w:ascii="Times New Roman" w:hAnsi="Times New Roman"/>
          <w:b w:val="false"/>
          <w:color w:val="000000"/>
          <w:sz w:val="20"/>
        </w:rPr>
        <w:t>assets or liabilities measured at fair value on a non-recurring basis as of September 30, 2023 and December 31, 2022.</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also has the following financial instruments not measured at fair value. The Company has evaluated cash (Level 1), restricted cash (Level 1), Member advances (Level 2), accounts payable (Level 2) and accrued expenses (Level 2), and believes the carrying value approximates the fair value due to the short-term nature of these balances. The fair value of the debt facility (Level 2) and convertible note payable (level 2) approximate their carrying values.</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Marketable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similar items in active markets multiplied by the number of securities owned.</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Short-Term Investments: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following describes the valuation techniques used by the Company to measure the fair value of short-term investments held as of September 30, 2023 and December 31, 2022.</w:t>
      </w:r>
      <w:r>
        <w:rPr>
          <w:rFonts w:ascii="Times New Roman" w:hAnsi="Times New Roman"/>
          <w:color w:val="000000"/>
          <w:sz w:val="20"/>
        </w:rPr>
        <w:t xml:space="preserve"> </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U.S. Government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fair value of U.S. government securities is estimated by independent pricing services who use computerized valuation formulas to calculate current values. U.S. government securities are categorized in Level 2 of the fair value hierarchy.</w:t>
      </w:r>
    </w:p>
    <w:p>
      <w:pPr>
        <w:pStyle w:val="TextBody"/>
        <w:bidi w:val="0"/>
        <w:jc w:val="left"/>
        <w:rPr/>
      </w:pPr>
      <w:r>
        <w:rPr/>
        <w:t> </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Corporate Bonds and Notes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pStyle w:val="TextBody"/>
        <w:bidi w:val="0"/>
        <w:spacing w:before="160" w:after="283"/>
        <w:jc w:val="left"/>
        <w:rPr>
          <w:rFonts w:ascii="Times New Roman" w:hAnsi="Times New Roman"/>
          <w:b w:val="false"/>
          <w:i/>
          <w:color w:val="000000"/>
          <w:sz w:val="20"/>
        </w:rPr>
      </w:pPr>
      <w:r>
        <w:rPr>
          <w:rFonts w:ascii="Times New Roman" w:hAnsi="Times New Roman"/>
          <w:b w:val="false"/>
          <w:i/>
          <w:color w:val="000000"/>
          <w:sz w:val="20"/>
        </w:rPr>
        <w:t>Asset-Backed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fair value of these asset-backed securities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r>
        <w:rPr>
          <w:rFonts w:ascii="Times New Roman" w:hAnsi="Times New Roman"/>
          <w:color w:val="000000"/>
          <w:sz w:val="20"/>
        </w:rPr>
        <w:t xml:space="preserve"> </w:t>
      </w:r>
    </w:p>
    <w:p>
      <w:pPr>
        <w:pStyle w:val="TextBody"/>
        <w:bidi w:val="0"/>
        <w:spacing w:before="160" w:after="283"/>
        <w:jc w:val="left"/>
        <w:rPr/>
      </w:pPr>
      <w:r>
        <w:rPr/>
        <w:t> </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Public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discussed further in Note 9,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related to the change in fair value of the public warrant liability for three and nine months ended September 30, 2023 were both $0.1</w:t>
      </w:r>
      <w:r>
        <w:rPr>
          <w:rFonts w:ascii="Times New Roman" w:hAnsi="Times New Roman"/>
          <w:color w:val="000000"/>
          <w:sz w:val="20"/>
        </w:rPr>
        <w:t xml:space="preserve"> </w:t>
      </w:r>
      <w:r>
        <w:rPr>
          <w:rFonts w:ascii="Times New Roman" w:hAnsi="Times New Roman"/>
          <w:b w:val="false"/>
          <w:color w:val="000000"/>
          <w:sz w:val="20"/>
        </w:rPr>
        <w:t>million, which is presented within changes in fair value of public warrant liabilities in the unaudited condensed consolidated statements of operations.</w:t>
      </w:r>
    </w:p>
    <w:p>
      <w:pPr>
        <w:pStyle w:val="TextBody"/>
        <w:bidi w:val="0"/>
        <w:spacing w:before="40" w:after="283"/>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 roll-forward of the Level 1 public warrant liability is as follows (dollars in thousands):</w:t>
      </w:r>
    </w:p>
    <w:p>
      <w:pPr>
        <w:pStyle w:val="TextBody"/>
        <w:bidi w:val="0"/>
        <w:spacing w:before="40" w:after="283"/>
        <w:jc w:val="left"/>
        <w:rPr/>
      </w:pPr>
      <w:r>
        <w:rPr/>
        <w:t> </w:t>
      </w:r>
    </w:p>
    <w:tbl>
      <w:tblPr>
        <w:tblW w:w="485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8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B6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w:t>
            </w:r>
          </w:p>
        </w:tc>
        <w:tc>
          <w:tcPr>
            <w:tcW w:w="211" w:type="dxa"/>
            <w:tcBorders/>
            <w:shd w:fill="B6DEE8"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during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September 30, 2023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Private Warrants: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discussed further in Note 9, Warrant Liabilities, in January 2022, upon completion of the Business Combination, private warrants were automatically converted to warrants to purchase Class A Common Stock of the Company. These private warrants met the definition of a derivative under ASC 815, and due to the terms of the warrants, were required to be liability classified. This warrant liability was initially recorded as a liability at fair value, with the offsetting entry recorded as a non-cash expense within the unaudited condensed consolidated statement of operations. The derivative liability was subsequently recorded at fair value at each reporting period, with changes in fair value reflected in earnings. The gain related to the change in fair value of the private warrant liability for the three and nine months ended September 30, 2023 was $0.2</w:t>
      </w:r>
      <w:r>
        <w:rPr>
          <w:rFonts w:ascii="Times New Roman" w:hAnsi="Times New Roman"/>
          <w:color w:val="000000"/>
          <w:sz w:val="20"/>
        </w:rPr>
        <w:t xml:space="preserve"> </w:t>
      </w:r>
      <w:r>
        <w:rPr>
          <w:rFonts w:ascii="Times New Roman" w:hAnsi="Times New Roman"/>
          <w:b w:val="false"/>
          <w:color w:val="000000"/>
          <w:sz w:val="20"/>
        </w:rPr>
        <w:t>million 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respectively, which is presented within changes in fair value of private warrant liabilities in the unaudited condensed consolidated statements of operations.</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 roll-forward of the Level 3 private warrant liability is as follows (dollars in thousands):</w:t>
      </w:r>
    </w:p>
    <w:p>
      <w:pPr>
        <w:pStyle w:val="TextBody"/>
        <w:bidi w:val="0"/>
        <w:jc w:val="left"/>
        <w:rPr/>
      </w:pPr>
      <w:r>
        <w:rPr/>
        <w:t> </w:t>
      </w:r>
    </w:p>
    <w:tbl>
      <w:tblPr>
        <w:tblW w:w="4859"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481"/>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w:t>
            </w:r>
          </w:p>
        </w:tc>
        <w:tc>
          <w:tcPr>
            <w:tcW w:w="211" w:type="dxa"/>
            <w:tcBorders/>
            <w:shd w:fill="FFFFFF" w:val="clear"/>
            <w:vAlign w:val="center"/>
          </w:tcPr>
          <w:p>
            <w:pPr>
              <w:pStyle w:val="TableContents"/>
              <w:bidi w:val="0"/>
              <w:spacing w:before="0" w:after="283"/>
              <w:jc w:val="left"/>
              <w:rPr/>
            </w:pPr>
            <w:r>
              <w:rPr/>
              <w:t> </w:t>
            </w:r>
          </w:p>
        </w:tc>
      </w:tr>
      <w:tr>
        <w:trPr/>
        <w:tc>
          <w:tcPr>
            <w:tcW w:w="322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during the period</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The Company used a Black-Scholes option pricing model to determine the fair value of the private warrant liability. The following table presents the assumptions used to value the private warrant liability for the nine months ended September 30, 2023:</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21"/>
        <w:gridCol w:w="710"/>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368.00</w:t>
            </w:r>
          </w:p>
        </w:tc>
        <w:tc>
          <w:tcPr>
            <w:tcW w:w="316" w:type="dxa"/>
            <w:tcBorders/>
            <w:shd w:fill="FFFFFF" w:val="clear"/>
            <w:vAlign w:val="center"/>
          </w:tcPr>
          <w:p>
            <w:pPr>
              <w:pStyle w:val="TableContents"/>
              <w:bidi w:val="0"/>
              <w:spacing w:before="0" w:after="283"/>
              <w:jc w:val="left"/>
              <w:rPr/>
            </w:pPr>
            <w:r>
              <w:rPr/>
              <w:t> </w:t>
            </w:r>
          </w:p>
        </w:tc>
      </w:tr>
      <w:tr>
        <w:trPr/>
        <w:tc>
          <w:tcPr>
            <w:tcW w:w="184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21" w:type="dxa"/>
            <w:tcBorders/>
            <w:shd w:fill="B7DEE8" w:val="clear"/>
            <w:vAlign w:val="center"/>
          </w:tcPr>
          <w:p>
            <w:pPr>
              <w:pStyle w:val="TableContents"/>
              <w:bidi w:val="0"/>
              <w:spacing w:before="0" w:after="283"/>
              <w:jc w:val="left"/>
              <w:rPr/>
            </w:pPr>
            <w:r>
              <w:rPr/>
              <w:t> </w:t>
            </w:r>
          </w:p>
        </w:tc>
        <w:tc>
          <w:tcPr>
            <w:tcW w:w="710"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w:t>
            </w:r>
          </w:p>
        </w:tc>
        <w:tc>
          <w:tcPr>
            <w:tcW w:w="31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931" w:type="dxa"/>
            <w:gridSpan w:val="2"/>
            <w:tcBorders/>
            <w:shd w:fill="B7DEE8"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3.26</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1"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val="false"/>
          <w:color w:val="000000"/>
          <w:sz w:val="20"/>
        </w:rPr>
        <w:t>Earnout Shares Liability: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part of the reverse recapitalization, 49,563</w:t>
      </w:r>
      <w:r>
        <w:rPr>
          <w:rFonts w:ascii="Times New Roman" w:hAnsi="Times New Roman"/>
          <w:color w:val="000000"/>
          <w:sz w:val="20"/>
        </w:rPr>
        <w:t xml:space="preserve"> </w:t>
      </w:r>
      <w:r>
        <w:rPr>
          <w:rFonts w:ascii="Times New Roman" w:hAnsi="Times New Roman"/>
          <w:b w:val="false"/>
          <w:color w:val="000000"/>
          <w:sz w:val="20"/>
        </w:rPr>
        <w:t>shares of Class A Common Stock held by founders of VPCC are subject to forfeiture if the vesting condition is not met over the five year</w:t>
      </w:r>
      <w:r>
        <w:rPr>
          <w:rFonts w:ascii="Times New Roman" w:hAnsi="Times New Roman"/>
          <w:color w:val="000000"/>
          <w:sz w:val="20"/>
        </w:rPr>
        <w:t xml:space="preserve"> </w:t>
      </w:r>
      <w:r>
        <w:rPr>
          <w:rFonts w:ascii="Times New Roman" w:hAnsi="Times New Roman"/>
          <w:b w:val="false"/>
          <w:color w:val="000000"/>
          <w:sz w:val="20"/>
        </w:rPr>
        <w:t>term following the closing date of the Business Combination (“Founder Holder Earnout Shares”). These Founder Holder Earnout Shares were initially recorded as a liability at fair value and subsequently recorded at fair value at each reporting period, with changes in fair value reflected in earnings. The (loss)/gain related to the change in fair value of the Founder Holder Earnout Shares liabilities for the three and nine months ended September 30, 2023 was ($0.002) million and $0.04</w:t>
      </w:r>
      <w:r>
        <w:rPr>
          <w:rFonts w:ascii="Times New Roman" w:hAnsi="Times New Roman"/>
          <w:color w:val="000000"/>
          <w:sz w:val="20"/>
        </w:rPr>
        <w:t xml:space="preserve"> </w:t>
      </w:r>
      <w:r>
        <w:rPr>
          <w:rFonts w:ascii="Times New Roman" w:hAnsi="Times New Roman"/>
          <w:b w:val="false"/>
          <w:color w:val="000000"/>
          <w:sz w:val="20"/>
        </w:rPr>
        <w:t>million, respectively, which are presented within changes in fair value of earnout liabilities in the unaudited condensed consolidated statements of operations.</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A roll-forward of the Level 3 Founder Holder Earnout Shares liability is as follows (dollars in thousands):</w:t>
      </w:r>
    </w:p>
    <w:p>
      <w:pPr>
        <w:pStyle w:val="TextBody"/>
        <w:bidi w:val="0"/>
        <w:spacing w:before="40" w:after="283"/>
        <w:jc w:val="left"/>
        <w:rPr/>
      </w:pPr>
      <w:r>
        <w:rPr/>
        <w:t> </w:t>
      </w:r>
    </w:p>
    <w:tbl>
      <w:tblPr>
        <w:tblW w:w="4754" w:type="dxa"/>
        <w:jc w:val="left"/>
        <w:tblInd w:w="0" w:type="dxa"/>
        <w:tblLayout w:type="fixed"/>
        <w:tblCellMar>
          <w:top w:w="28" w:type="dxa"/>
          <w:left w:w="28" w:type="dxa"/>
          <w:bottom w:w="28" w:type="dxa"/>
          <w:right w:w="28" w:type="dxa"/>
        </w:tblCellMar>
      </w:tblPr>
      <w:tblGrid>
        <w:gridCol w:w="3226"/>
        <w:gridCol w:w="146"/>
        <w:gridCol w:w="146"/>
        <w:gridCol w:w="146"/>
        <w:gridCol w:w="146"/>
        <w:gridCol w:w="146"/>
        <w:gridCol w:w="211"/>
        <w:gridCol w:w="376"/>
        <w:gridCol w:w="21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Opening value at January 1, 2023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76" w:type="dxa"/>
            <w:tcBorders/>
            <w:shd w:fill="B6DEE8"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w:t>
            </w:r>
          </w:p>
        </w:tc>
        <w:tc>
          <w:tcPr>
            <w:tcW w:w="211" w:type="dxa"/>
            <w:tcBorders/>
            <w:shd w:fill="B6DEE8" w:val="clear"/>
            <w:vAlign w:val="center"/>
          </w:tcPr>
          <w:p>
            <w:pPr>
              <w:pStyle w:val="TableContents"/>
              <w:bidi w:val="0"/>
              <w:spacing w:before="0" w:after="283"/>
              <w:jc w:val="left"/>
              <w:rPr/>
            </w:pPr>
            <w:r>
              <w:rPr/>
              <w:t> </w:t>
            </w:r>
          </w:p>
        </w:tc>
      </w:tr>
      <w:tr>
        <w:trPr/>
        <w:tc>
          <w:tcPr>
            <w:tcW w:w="32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 in fair value during the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26"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value at September 30, 2023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7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2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used a Monte Carlo Simulation Method to determine the fair value of the Founder Holder Earnout Shares liability. The following table presents the assumptions used to value the Founder Holder Earnout Shares liability for the</w:t>
      </w:r>
      <w:r>
        <w:rPr>
          <w:rFonts w:ascii="Times New Roman" w:hAnsi="Times New Roman"/>
          <w:color w:val="000000"/>
          <w:sz w:val="20"/>
        </w:rPr>
        <w:t xml:space="preserve"> </w:t>
      </w:r>
      <w:r>
        <w:rPr>
          <w:rFonts w:ascii="Times New Roman" w:hAnsi="Times New Roman"/>
          <w:b w:val="false"/>
          <w:color w:val="000000"/>
          <w:sz w:val="20"/>
        </w:rPr>
        <w:t>period ended September 30, 2023:</w:t>
      </w:r>
    </w:p>
    <w:p>
      <w:pPr>
        <w:pStyle w:val="TextBody"/>
        <w:bidi w:val="0"/>
        <w:jc w:val="left"/>
        <w:rPr/>
      </w:pPr>
      <w:r>
        <w:rPr/>
        <w:t> </w:t>
      </w:r>
    </w:p>
    <w:tbl>
      <w:tblPr>
        <w:tblW w:w="3897" w:type="dxa"/>
        <w:jc w:val="left"/>
        <w:tblInd w:w="0" w:type="dxa"/>
        <w:tblLayout w:type="fixed"/>
        <w:tblCellMar>
          <w:top w:w="28" w:type="dxa"/>
          <w:left w:w="28" w:type="dxa"/>
          <w:bottom w:w="28" w:type="dxa"/>
          <w:right w:w="28" w:type="dxa"/>
        </w:tblCellMar>
      </w:tblPr>
      <w:tblGrid>
        <w:gridCol w:w="1846"/>
        <w:gridCol w:w="146"/>
        <w:gridCol w:w="146"/>
        <w:gridCol w:w="146"/>
        <w:gridCol w:w="146"/>
        <w:gridCol w:w="146"/>
        <w:gridCol w:w="239"/>
        <w:gridCol w:w="766"/>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$400-$480</w:t>
            </w:r>
          </w:p>
        </w:tc>
        <w:tc>
          <w:tcPr>
            <w:tcW w:w="316" w:type="dxa"/>
            <w:tcBorders/>
            <w:shd w:fill="FFFFFF" w:val="clear"/>
            <w:vAlign w:val="center"/>
          </w:tcPr>
          <w:p>
            <w:pPr>
              <w:pStyle w:val="TableContents"/>
              <w:bidi w:val="0"/>
              <w:spacing w:before="0" w:after="283"/>
              <w:jc w:val="right"/>
              <w:rPr/>
            </w:pPr>
            <w:r>
              <w:rPr/>
              <w:t> </w:t>
            </w:r>
          </w:p>
        </w:tc>
      </w:tr>
      <w:tr>
        <w:trPr/>
        <w:tc>
          <w:tcPr>
            <w:tcW w:w="184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239" w:type="dxa"/>
            <w:tcBorders/>
            <w:shd w:fill="B7DEE8" w:val="clear"/>
            <w:vAlign w:val="center"/>
          </w:tcPr>
          <w:p>
            <w:pPr>
              <w:pStyle w:val="TableContents"/>
              <w:bidi w:val="0"/>
              <w:spacing w:before="0" w:after="283"/>
              <w:jc w:val="left"/>
              <w:rPr/>
            </w:pPr>
            <w:r>
              <w:rPr/>
              <w:t> </w:t>
            </w:r>
          </w:p>
        </w:tc>
        <w:tc>
          <w:tcPr>
            <w:tcW w:w="766"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91.6</w:t>
            </w:r>
          </w:p>
        </w:tc>
        <w:tc>
          <w:tcPr>
            <w:tcW w:w="31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46" w:type="dxa"/>
            <w:tcBorders/>
            <w:shd w:fill="B7DEE8" w:val="clear"/>
            <w:vAlign w:val="center"/>
          </w:tcPr>
          <w:p>
            <w:pPr>
              <w:pStyle w:val="TableContents"/>
              <w:bidi w:val="0"/>
              <w:spacing w:before="0" w:after="283"/>
              <w:jc w:val="right"/>
              <w:rPr/>
            </w:pPr>
            <w:r>
              <w:rPr/>
              <w:t> </w:t>
            </w:r>
          </w:p>
        </w:tc>
        <w:tc>
          <w:tcPr>
            <w:tcW w:w="1005" w:type="dxa"/>
            <w:gridSpan w:val="2"/>
            <w:tcBorders/>
            <w:shd w:fill="B7DEE8"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3.27</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There were no</w:t>
      </w:r>
      <w:r>
        <w:rPr>
          <w:rFonts w:ascii="Times New Roman" w:hAnsi="Times New Roman"/>
          <w:color w:val="000000"/>
          <w:sz w:val="20"/>
        </w:rPr>
        <w:t xml:space="preserve"> </w:t>
      </w:r>
      <w:r>
        <w:rPr>
          <w:rFonts w:ascii="Times New Roman" w:hAnsi="Times New Roman"/>
          <w:b w:val="false"/>
          <w:color w:val="000000"/>
          <w:sz w:val="20"/>
        </w:rPr>
        <w:t>other assets or liabilities that were required to be measured at fair value on a recurring basis as of September</w:t>
      </w:r>
      <w:r>
        <w:rPr>
          <w:rFonts w:ascii="Times New Roman" w:hAnsi="Times New Roman"/>
          <w:color w:val="000000"/>
          <w:sz w:val="20"/>
        </w:rPr>
        <w:t xml:space="preserve"> </w:t>
      </w:r>
      <w:r>
        <w:rPr>
          <w:rFonts w:ascii="Times New Roman" w:hAnsi="Times New Roman"/>
          <w:b w:val="false"/>
          <w:color w:val="000000"/>
          <w:sz w:val="20"/>
        </w:rPr>
        <w:t>30, 2023 and December 31, 2022.</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As of September 30, 2023, no</w:t>
      </w:r>
      <w:r>
        <w:rPr>
          <w:rFonts w:ascii="Times New Roman" w:hAnsi="Times New Roman"/>
          <w:color w:val="000000"/>
          <w:sz w:val="20"/>
        </w:rPr>
        <w:t xml:space="preserve"> </w:t>
      </w:r>
      <w:r>
        <w:rPr>
          <w:rFonts w:ascii="Times New Roman" w:hAnsi="Times New Roman"/>
          <w:b w:val="false"/>
          <w:color w:val="000000"/>
          <w:sz w:val="20"/>
        </w:rPr>
        <w:t>shares of preferred stock were outstanding, and the Company has no present plans to issue any shares of preferred stock.</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Pursuant to the terms of the Company’s amended and restated certificate of incorporation, shares of preferred stock may be issued from time to time in one or more series. The Company’s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Company’s Board of Directors is able to, without stockholder approval,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or the removal of existing management.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Class A and Class V Common Stock:</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Company’s Board of Directors has authorized two classes of common stock, Class A Common Stock and Class V Common Stock. The Company had authorized 500,000,000</w:t>
      </w:r>
      <w:r>
        <w:rPr>
          <w:rFonts w:ascii="Times New Roman" w:hAnsi="Times New Roman"/>
          <w:color w:val="000000"/>
          <w:sz w:val="20"/>
        </w:rPr>
        <w:t xml:space="preserve"> </w:t>
      </w:r>
      <w:r>
        <w:rPr>
          <w:rFonts w:ascii="Times New Roman" w:hAnsi="Times New Roman"/>
          <w:b w:val="false"/>
          <w:color w:val="000000"/>
          <w:sz w:val="20"/>
        </w:rPr>
        <w:t>and 100,000,000</w:t>
      </w:r>
      <w:r>
        <w:rPr>
          <w:rFonts w:ascii="Times New Roman" w:hAnsi="Times New Roman"/>
          <w:color w:val="000000"/>
          <w:sz w:val="20"/>
        </w:rPr>
        <w:t xml:space="preserve"> </w:t>
      </w:r>
      <w:r>
        <w:rPr>
          <w:rFonts w:ascii="Times New Roman" w:hAnsi="Times New Roman"/>
          <w:b w:val="false"/>
          <w:color w:val="000000"/>
          <w:sz w:val="20"/>
        </w:rPr>
        <w:t>shares of Class A Common Stock and Class V Common Stock,</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respectively. Shares of Class V Common Stock have 10 votes per share, while shares of Class A Common Stock have one vote per share. The holders of shares of Class A Common Stock and Class V Common Stock will at all times vote together as a single class on all matters (including the election of directors) submitted to a vote of the Company’s stockholders. Shares of Class V Common Stock are convertible into shares of Class A Common Stock on a one-to-one basis at the option of the holders of Class V Common Stock at any time upon written notice to the Company.</w:t>
      </w:r>
      <w:r>
        <w:rPr>
          <w:rFonts w:ascii="Times New Roman" w:hAnsi="Times New Roman"/>
          <w:color w:val="000000"/>
          <w:sz w:val="20"/>
        </w:rPr>
        <w:t xml:space="preserve"> </w:t>
      </w:r>
      <w:r>
        <w:rPr>
          <w:rFonts w:ascii="Times New Roman" w:hAnsi="Times New Roman"/>
          <w:b w:val="false"/>
          <w:color w:val="000000"/>
          <w:sz w:val="20"/>
        </w:rPr>
        <w:t>As of September 30, 2023, the Company had 10,587,288</w:t>
      </w:r>
      <w:r>
        <w:rPr>
          <w:rFonts w:ascii="Times New Roman" w:hAnsi="Times New Roman"/>
          <w:color w:val="000000"/>
          <w:sz w:val="20"/>
        </w:rPr>
        <w:t xml:space="preserve"> </w:t>
      </w:r>
      <w:r>
        <w:rPr>
          <w:rFonts w:ascii="Times New Roman" w:hAnsi="Times New Roman"/>
          <w:b w:val="false"/>
          <w:color w:val="000000"/>
          <w:sz w:val="20"/>
        </w:rPr>
        <w:t>and 1,514,082</w:t>
      </w:r>
      <w:r>
        <w:rPr>
          <w:rFonts w:ascii="Times New Roman" w:hAnsi="Times New Roman"/>
          <w:color w:val="000000"/>
          <w:sz w:val="20"/>
        </w:rPr>
        <w:t xml:space="preserve"> </w:t>
      </w:r>
      <w:r>
        <w:rPr>
          <w:rFonts w:ascii="Times New Roman" w:hAnsi="Times New Roman"/>
          <w:b w:val="false"/>
          <w:color w:val="000000"/>
          <w:sz w:val="20"/>
        </w:rPr>
        <w:t>shares of Class A Common Stock and Class V Common Stock issued, respectively. As of September 30, 2023, the Company had 10,537,725</w:t>
      </w:r>
      <w:r>
        <w:rPr>
          <w:rFonts w:ascii="Times New Roman" w:hAnsi="Times New Roman"/>
          <w:color w:val="000000"/>
          <w:sz w:val="20"/>
        </w:rPr>
        <w:t xml:space="preserve"> </w:t>
      </w:r>
      <w:r>
        <w:rPr>
          <w:rFonts w:ascii="Times New Roman" w:hAnsi="Times New Roman"/>
          <w:b w:val="false"/>
          <w:color w:val="000000"/>
          <w:sz w:val="20"/>
        </w:rPr>
        <w:t>and 1,514,082</w:t>
      </w:r>
      <w:r>
        <w:rPr>
          <w:rFonts w:ascii="Times New Roman" w:hAnsi="Times New Roman"/>
          <w:color w:val="000000"/>
          <w:sz w:val="20"/>
        </w:rPr>
        <w:t xml:space="preserve"> </w:t>
      </w:r>
      <w:r>
        <w:rPr>
          <w:rFonts w:ascii="Times New Roman" w:hAnsi="Times New Roman"/>
          <w:b w:val="false"/>
          <w:color w:val="000000"/>
          <w:sz w:val="20"/>
        </w:rPr>
        <w:t>shares of Class A Common Stock and Class V Common Stock outstanding,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Stock-Based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four-year</w:t>
      </w:r>
      <w:r>
        <w:rPr>
          <w:rFonts w:ascii="Times New Roman" w:hAnsi="Times New Roman"/>
          <w:color w:val="000000"/>
          <w:sz w:val="20"/>
        </w:rPr>
        <w:t xml:space="preserve"> </w:t>
      </w:r>
      <w:r>
        <w:rPr>
          <w:rFonts w:ascii="Times New Roman" w:hAnsi="Times New Roman"/>
          <w:b w:val="false"/>
          <w:color w:val="000000"/>
          <w:sz w:val="20"/>
        </w:rPr>
        <w:t>period.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On January 4, 2022, the stockholders of the Company approved the 2021 Equity Incentive Plan (the “2021 Plan”). The 2021 Plan was previously approved, subject to stockholder approval, by the Company’s Board of Directors on January 4, 2022. The 2021 Plan became effective immediately upon the completion of the Business Combination.</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recognized approximately $6.7</w:t>
      </w:r>
      <w:r>
        <w:rPr>
          <w:rFonts w:ascii="Times New Roman" w:hAnsi="Times New Roman"/>
          <w:color w:val="000000"/>
          <w:sz w:val="20"/>
        </w:rPr>
        <w:t xml:space="preserve"> </w:t>
      </w:r>
      <w:r>
        <w:rPr>
          <w:rFonts w:ascii="Times New Roman" w:hAnsi="Times New Roman"/>
          <w:b w:val="false"/>
          <w:color w:val="000000"/>
          <w:sz w:val="20"/>
        </w:rPr>
        <w:t>million and $20.1</w:t>
      </w:r>
      <w:r>
        <w:rPr>
          <w:rFonts w:ascii="Times New Roman" w:hAnsi="Times New Roman"/>
          <w:color w:val="000000"/>
          <w:sz w:val="20"/>
        </w:rPr>
        <w:t xml:space="preserve"> </w:t>
      </w:r>
      <w:r>
        <w:rPr>
          <w:rFonts w:ascii="Times New Roman" w:hAnsi="Times New Roman"/>
          <w:b w:val="false"/>
          <w:color w:val="000000"/>
          <w:sz w:val="20"/>
        </w:rPr>
        <w:t>million of stock-based compensation expense arising from stock option and restricted stock unit grants which is recorded as a component of compensation and benefits in the unaudited condensed consolidated statements of operations for the three and nine months ended September 30, 2023, respectively. The Company recognized $8.0</w:t>
      </w:r>
      <w:r>
        <w:rPr>
          <w:rFonts w:ascii="Times New Roman" w:hAnsi="Times New Roman"/>
          <w:color w:val="000000"/>
          <w:sz w:val="20"/>
        </w:rPr>
        <w:t xml:space="preserve"> </w:t>
      </w:r>
      <w:r>
        <w:rPr>
          <w:rFonts w:ascii="Times New Roman" w:hAnsi="Times New Roman"/>
          <w:b w:val="false"/>
          <w:color w:val="000000"/>
          <w:sz w:val="20"/>
        </w:rPr>
        <w:t>million and $34.1</w:t>
      </w:r>
      <w:r>
        <w:rPr>
          <w:rFonts w:ascii="Times New Roman" w:hAnsi="Times New Roman"/>
          <w:color w:val="000000"/>
          <w:sz w:val="20"/>
        </w:rPr>
        <w:t xml:space="preserve"> </w:t>
      </w:r>
      <w:r>
        <w:rPr>
          <w:rFonts w:ascii="Times New Roman" w:hAnsi="Times New Roman"/>
          <w:b w:val="false"/>
          <w:color w:val="000000"/>
          <w:sz w:val="20"/>
        </w:rPr>
        <w:t>million of stock-based compensation expense arising from stock option and restricted stock unit grants for the three and nine months ended September 30, 2022,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Stock Option Repricing:</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val="false"/>
          <w:color w:val="000000"/>
          <w:sz w:val="20"/>
        </w:rPr>
        <w:t>In April 2023, the Company’s Board of Directors approved a repricing of certain previously granted and still outstanding vested and unvested stock option awards held by eligible employees, which was approved by stockholders on June 9, 2023. As a result, the exercise price for these awards was lowered to $5.18</w:t>
      </w:r>
      <w:r>
        <w:rPr>
          <w:rFonts w:ascii="Times New Roman" w:hAnsi="Times New Roman"/>
          <w:color w:val="000000"/>
          <w:sz w:val="20"/>
        </w:rPr>
        <w:t xml:space="preserve"> </w:t>
      </w:r>
      <w:r>
        <w:rPr>
          <w:rFonts w:ascii="Times New Roman" w:hAnsi="Times New Roman"/>
          <w:b w:val="false"/>
          <w:color w:val="000000"/>
          <w:sz w:val="20"/>
        </w:rPr>
        <w:t>per share, which was the average per share closing price of the Company’s Class A Common Stock as reported on the Nasdaq Global Stock Market for the 30 trading days ending on and including June 9, 2023. No other terms of the repriced stock options were modified, and the repriced stock options will continue to vest according to their original vesting schedules and will retain their original expiration dates. As a result of the repricing, 134,931</w:t>
      </w:r>
      <w:r>
        <w:rPr>
          <w:rFonts w:ascii="Times New Roman" w:hAnsi="Times New Roman"/>
          <w:color w:val="000000"/>
          <w:sz w:val="20"/>
        </w:rPr>
        <w:t xml:space="preserve"> </w:t>
      </w:r>
      <w:r>
        <w:rPr>
          <w:rFonts w:ascii="Times New Roman" w:hAnsi="Times New Roman"/>
          <w:b w:val="false"/>
          <w:color w:val="000000"/>
          <w:sz w:val="20"/>
        </w:rPr>
        <w:t>vested and unvested stock options outstanding as of June 9, 2023, with original exercise prices ranging from $22.09</w:t>
      </w:r>
      <w:r>
        <w:rPr>
          <w:rFonts w:ascii="Times New Roman" w:hAnsi="Times New Roman"/>
          <w:color w:val="000000"/>
          <w:sz w:val="20"/>
        </w:rPr>
        <w:t xml:space="preserve"> </w:t>
      </w:r>
      <w:r>
        <w:rPr>
          <w:rFonts w:ascii="Times New Roman" w:hAnsi="Times New Roman"/>
          <w:b w:val="false"/>
          <w:color w:val="000000"/>
          <w:sz w:val="20"/>
        </w:rPr>
        <w:t>to $23.18, were repriced.</w:t>
      </w:r>
    </w:p>
    <w:p>
      <w:pPr>
        <w:pStyle w:val="TextBody"/>
        <w:bidi w:val="0"/>
        <w:jc w:val="left"/>
        <w:rPr>
          <w:rFonts w:ascii="Times New Roman" w:hAnsi="Times New Roman"/>
          <w:sz w:val="20"/>
        </w:rPr>
      </w:pPr>
      <w:r>
        <w:rPr>
          <w:rFonts w:ascii="Times New Roman" w:hAnsi="Times New Roman"/>
          <w:b w:val="false"/>
          <w:color w:val="000000"/>
          <w:sz w:val="20"/>
        </w:rPr>
        <w:br/>
        <w:t>The repricing on June 9, 2023 resulted in incremental stock-based compensation expense of $0.2</w:t>
      </w:r>
      <w:r>
        <w:rPr>
          <w:rFonts w:ascii="Times New Roman" w:hAnsi="Times New Roman"/>
          <w:color w:val="000000"/>
          <w:sz w:val="20"/>
        </w:rPr>
        <w:t xml:space="preserve"> </w:t>
      </w:r>
      <w:r>
        <w:rPr>
          <w:rFonts w:ascii="Times New Roman" w:hAnsi="Times New Roman"/>
          <w:b w:val="false"/>
          <w:color w:val="000000"/>
          <w:sz w:val="20"/>
        </w:rPr>
        <w:t>million, of which $0.14</w:t>
      </w:r>
      <w:r>
        <w:rPr>
          <w:rFonts w:ascii="Times New Roman" w:hAnsi="Times New Roman"/>
          <w:color w:val="000000"/>
          <w:sz w:val="20"/>
        </w:rPr>
        <w:t xml:space="preserve"> </w:t>
      </w:r>
      <w:r>
        <w:rPr>
          <w:rFonts w:ascii="Times New Roman" w:hAnsi="Times New Roman"/>
          <w:b w:val="false"/>
          <w:color w:val="000000"/>
          <w:sz w:val="20"/>
        </w:rPr>
        <w:t>million related to vested stock option awards was expensed on the repricing date. The remaining $0.06</w:t>
      </w:r>
      <w:r>
        <w:rPr>
          <w:rFonts w:ascii="Times New Roman" w:hAnsi="Times New Roman"/>
          <w:color w:val="000000"/>
          <w:sz w:val="20"/>
        </w:rPr>
        <w:t xml:space="preserve"> </w:t>
      </w:r>
      <w:r>
        <w:rPr>
          <w:rFonts w:ascii="Times New Roman" w:hAnsi="Times New Roman"/>
          <w:b w:val="false"/>
          <w:color w:val="000000"/>
          <w:sz w:val="20"/>
        </w:rPr>
        <w:t>million related to unvested stock option awards is being amortized on a straight-line basis over the weighted-average vesting period of those awards of approximately 1.3</w:t>
      </w:r>
      <w:r>
        <w:rPr>
          <w:rFonts w:ascii="Times New Roman" w:hAnsi="Times New Roman"/>
          <w:color w:val="000000"/>
          <w:sz w:val="20"/>
        </w:rPr>
        <w:t xml:space="preserve"> </w:t>
      </w:r>
      <w:r>
        <w:rPr>
          <w:rFonts w:ascii="Times New Roman" w:hAnsi="Times New Roman"/>
          <w:b w:val="false"/>
          <w:color w:val="000000"/>
          <w:sz w:val="20"/>
        </w:rPr>
        <w:t>years as of June 9,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September 2023, the Company’s Board of Directors approved a repricing of certain previously granted and still outstanding vested and unvested stock option awards held by eight remaining eligible employees excluded from the aforementioned June 9th repricing. As a result, the exercise price for these awards was lowered to $7.23</w:t>
      </w:r>
      <w:r>
        <w:rPr>
          <w:rFonts w:ascii="Times New Roman" w:hAnsi="Times New Roman"/>
          <w:color w:val="000000"/>
          <w:sz w:val="20"/>
        </w:rPr>
        <w:t xml:space="preserve"> </w:t>
      </w:r>
      <w:r>
        <w:rPr>
          <w:rFonts w:ascii="Times New Roman" w:hAnsi="Times New Roman"/>
          <w:b w:val="false"/>
          <w:color w:val="000000"/>
          <w:sz w:val="20"/>
        </w:rPr>
        <w:t>per share, which was the average per share closing price of the Company’s Class A Common Stock as reported on the Nasdaq Global Stock Market for the 30 trading days ending on and including September 13, 2023. No other terms of the repriced stock options were modified, and the repriced stock options will continue to vest according to their original vesting schedules and will retain their original expiration dates. As a result of the repricing, 200,571</w:t>
      </w:r>
      <w:r>
        <w:rPr>
          <w:rFonts w:ascii="Times New Roman" w:hAnsi="Times New Roman"/>
          <w:color w:val="000000"/>
          <w:sz w:val="20"/>
        </w:rPr>
        <w:t xml:space="preserve"> </w:t>
      </w:r>
      <w:r>
        <w:rPr>
          <w:rFonts w:ascii="Times New Roman" w:hAnsi="Times New Roman"/>
          <w:b w:val="false"/>
          <w:color w:val="000000"/>
          <w:sz w:val="20"/>
        </w:rPr>
        <w:t>vested and unvested stock options outstanding as of September 13, 2023, with original exercise prices ranging from $22.09</w:t>
      </w:r>
      <w:r>
        <w:rPr>
          <w:rFonts w:ascii="Times New Roman" w:hAnsi="Times New Roman"/>
          <w:color w:val="000000"/>
          <w:sz w:val="20"/>
        </w:rPr>
        <w:t xml:space="preserve"> </w:t>
      </w:r>
      <w:r>
        <w:rPr>
          <w:rFonts w:ascii="Times New Roman" w:hAnsi="Times New Roman"/>
          <w:b w:val="false"/>
          <w:color w:val="000000"/>
          <w:sz w:val="20"/>
        </w:rPr>
        <w:t>to $23.18, were repriced.</w:t>
      </w:r>
    </w:p>
    <w:p>
      <w:pPr>
        <w:pStyle w:val="TextBody"/>
        <w:bidi w:val="0"/>
        <w:jc w:val="left"/>
        <w:rPr>
          <w:rFonts w:ascii="Times New Roman" w:hAnsi="Times New Roman"/>
          <w:sz w:val="20"/>
        </w:rPr>
      </w:pPr>
      <w:r>
        <w:rPr>
          <w:rFonts w:ascii="Times New Roman" w:hAnsi="Times New Roman"/>
          <w:b w:val="false"/>
          <w:color w:val="000000"/>
          <w:sz w:val="20"/>
        </w:rPr>
        <w:br/>
        <w:t>The repricing on September 13, 2023 resulted in incremental stock-based compensation expense of $0.2</w:t>
      </w:r>
      <w:r>
        <w:rPr>
          <w:rFonts w:ascii="Times New Roman" w:hAnsi="Times New Roman"/>
          <w:color w:val="000000"/>
          <w:sz w:val="20"/>
        </w:rPr>
        <w:t xml:space="preserve"> </w:t>
      </w:r>
      <w:r>
        <w:rPr>
          <w:rFonts w:ascii="Times New Roman" w:hAnsi="Times New Roman"/>
          <w:b w:val="false"/>
          <w:color w:val="000000"/>
          <w:sz w:val="20"/>
        </w:rPr>
        <w:t>million, of which $0.17</w:t>
      </w:r>
      <w:r>
        <w:rPr>
          <w:rFonts w:ascii="Times New Roman" w:hAnsi="Times New Roman"/>
          <w:color w:val="000000"/>
          <w:sz w:val="20"/>
        </w:rPr>
        <w:t xml:space="preserve"> </w:t>
      </w:r>
      <w:r>
        <w:rPr>
          <w:rFonts w:ascii="Times New Roman" w:hAnsi="Times New Roman"/>
          <w:b w:val="false"/>
          <w:color w:val="000000"/>
          <w:sz w:val="20"/>
        </w:rPr>
        <w:t>million related to vested stock option awards was expensed on the repricing date. The remaining $0.07</w:t>
      </w:r>
      <w:r>
        <w:rPr>
          <w:rFonts w:ascii="Times New Roman" w:hAnsi="Times New Roman"/>
          <w:color w:val="000000"/>
          <w:sz w:val="20"/>
        </w:rPr>
        <w:t xml:space="preserve"> </w:t>
      </w:r>
      <w:r>
        <w:rPr>
          <w:rFonts w:ascii="Times New Roman" w:hAnsi="Times New Roman"/>
          <w:b w:val="false"/>
          <w:color w:val="000000"/>
          <w:sz w:val="20"/>
        </w:rPr>
        <w:t>million related to unvested stock option awards is being amortized on a straight-line basis over the weighted-average vesting period of those awards of approximately 1.0</w:t>
      </w:r>
      <w:r>
        <w:rPr>
          <w:rFonts w:ascii="Times New Roman" w:hAnsi="Times New Roman"/>
          <w:color w:val="000000"/>
          <w:sz w:val="20"/>
        </w:rPr>
        <w:t xml:space="preserve"> </w:t>
      </w:r>
      <w:r>
        <w:rPr>
          <w:rFonts w:ascii="Times New Roman" w:hAnsi="Times New Roman"/>
          <w:b w:val="false"/>
          <w:color w:val="000000"/>
          <w:sz w:val="20"/>
        </w:rPr>
        <w:t>years as of September 13, 2023.</w:t>
      </w:r>
    </w:p>
    <w:p>
      <w:pPr>
        <w:pStyle w:val="TextBody"/>
        <w:bidi w:val="0"/>
        <w:spacing w:before="360" w:after="283"/>
        <w:jc w:val="left"/>
        <w:rPr/>
      </w:pPr>
      <w:r>
        <w:rPr/>
        <w:t> </w:t>
      </w:r>
    </w:p>
    <w:p>
      <w:pPr>
        <w:pStyle w:val="TextBody"/>
        <w:bidi w:val="0"/>
        <w:spacing w:before="36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Stock Options: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Management has valued stock options at their date of grant utilizing the Black-Scholes option pricing model. The fair value of the underlying shares was estimated by using a number of inputs, including recent arm’s length transactions involving the sale of the Company’s common stock.</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Expected term</w:t>
      </w:r>
      <w:r>
        <w:rPr>
          <w:rFonts w:ascii="Times New Roman" w:hAnsi="Times New Roman"/>
          <w:color w:val="000000"/>
          <w:sz w:val="20"/>
        </w:rPr>
        <w:t>—</w:t>
      </w:r>
      <w:r>
        <w:rPr>
          <w:rFonts w:ascii="Times New Roman" w:hAnsi="Times New Roman"/>
          <w:b w:val="false"/>
          <w:color w:val="000000"/>
          <w:sz w:val="20"/>
        </w:rPr>
        <w:t>The expected term represents the period of time that options are expected to be outstanding. As the Company does not have sufficient historical exercise behavior, it determines the expected life assumption using the simplified method, which is an average of the contractual term of the option and its vesting period.</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Risk free interest rate</w:t>
      </w:r>
      <w:r>
        <w:rPr>
          <w:rFonts w:ascii="Times New Roman" w:hAnsi="Times New Roman"/>
          <w:color w:val="000000"/>
          <w:sz w:val="20"/>
        </w:rPr>
        <w:t>—</w:t>
      </w:r>
      <w:r>
        <w:rPr>
          <w:rFonts w:ascii="Times New Roman" w:hAnsi="Times New Roman"/>
          <w:b w:val="false"/>
          <w:color w:val="000000"/>
          <w:sz w:val="20"/>
        </w:rPr>
        <w:t>The risk-free interest rate is based on the implied yield available on U.S. Treasury issues with an equivalent term approximating the expected life of the options depending on the date of the grant and expected life of the options.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Expected dividend yield</w:t>
      </w:r>
      <w:r>
        <w:rPr>
          <w:rFonts w:ascii="Times New Roman" w:hAnsi="Times New Roman"/>
          <w:color w:val="000000"/>
          <w:sz w:val="20"/>
        </w:rPr>
        <w:t>—</w:t>
      </w:r>
      <w:r>
        <w:rPr>
          <w:rFonts w:ascii="Times New Roman" w:hAnsi="Times New Roman"/>
          <w:b w:val="false"/>
          <w:color w:val="000000"/>
          <w:sz w:val="20"/>
        </w:rPr>
        <w:t>The Company bases the expected dividend yield assumption on the fact that it has never paid cash dividends and has no present intention to pay cash dividends.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Expected volatility</w:t>
      </w:r>
      <w:r>
        <w:rPr>
          <w:rFonts w:ascii="Times New Roman" w:hAnsi="Times New Roman"/>
          <w:color w:val="000000"/>
          <w:sz w:val="20"/>
        </w:rPr>
        <w:t>—</w:t>
      </w:r>
      <w:r>
        <w:rPr>
          <w:rFonts w:ascii="Times New Roman" w:hAnsi="Times New Roman"/>
          <w:b w:val="false"/>
          <w:color w:val="000000"/>
          <w:sz w:val="20"/>
        </w:rPr>
        <w:t>Due to the Company’s limited operating history and lack of company-specific historical or implied volatility, the expected volatility 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Activity with respect to stock options is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67"/>
        <w:gridCol w:w="146"/>
        <w:gridCol w:w="146"/>
        <w:gridCol w:w="841"/>
        <w:gridCol w:w="166"/>
        <w:gridCol w:w="146"/>
        <w:gridCol w:w="457"/>
        <w:gridCol w:w="1239"/>
        <w:gridCol w:w="146"/>
        <w:gridCol w:w="146"/>
        <w:gridCol w:w="345"/>
        <w:gridCol w:w="857"/>
        <w:gridCol w:w="146"/>
        <w:gridCol w:w="146"/>
        <w:gridCol w:w="438"/>
        <w:gridCol w:w="879"/>
        <w:gridCol w:w="494"/>
      </w:tblGrid>
      <w:tr>
        <w:trPr/>
        <w:tc>
          <w:tcPr>
            <w:tcW w:w="3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4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 Value</w:t>
              <w:br/>
              <w:t>(in thousands)</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655</w:t>
            </w:r>
          </w:p>
        </w:tc>
        <w:tc>
          <w:tcPr>
            <w:tcW w:w="494" w:type="dxa"/>
            <w:tcBorders/>
            <w:shd w:fill="FFFFFF" w:val="clear"/>
            <w:vAlign w:val="center"/>
          </w:tcPr>
          <w:p>
            <w:pPr>
              <w:pStyle w:val="TableContents"/>
              <w:bidi w:val="0"/>
              <w:spacing w:before="0" w:after="283"/>
              <w:ind w:left="0" w:right="0" w:firstLine="300"/>
              <w:jc w:val="left"/>
              <w:rPr/>
            </w:pPr>
            <w:r>
              <w:rPr/>
              <w:t> </w:t>
            </w:r>
          </w:p>
        </w:tc>
      </w:tr>
      <w:tr>
        <w:trPr/>
        <w:tc>
          <w:tcPr>
            <w:tcW w:w="3467" w:type="dxa"/>
            <w:tcBorders/>
            <w:shd w:fill="B7DEE8"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41"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335,502</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6.41</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02"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17" w:type="dxa"/>
            <w:gridSpan w:val="2"/>
            <w:tcBorders/>
            <w:shd w:fill="B7DEE8" w:val="clear"/>
            <w:vAlign w:val="center"/>
          </w:tcPr>
          <w:p>
            <w:pPr>
              <w:pStyle w:val="TableContents"/>
              <w:bidi w:val="0"/>
              <w:spacing w:before="0" w:after="283"/>
              <w:jc w:val="left"/>
              <w:rPr/>
            </w:pPr>
            <w:r>
              <w:rPr/>
              <w:t> </w:t>
            </w:r>
          </w:p>
        </w:tc>
        <w:tc>
          <w:tcPr>
            <w:tcW w:w="494" w:type="dxa"/>
            <w:tcBorders/>
            <w:shd w:fill="B7DEE8" w:val="clear"/>
            <w:vAlign w:val="center"/>
          </w:tcPr>
          <w:p>
            <w:pPr>
              <w:pStyle w:val="TableContents"/>
              <w:bidi w:val="0"/>
              <w:spacing w:before="0" w:after="283"/>
              <w:ind w:left="0" w:right="0" w:firstLine="300"/>
              <w:jc w:val="left"/>
              <w:rPr/>
            </w:pPr>
            <w:r>
              <w:rPr/>
              <w:t> </w:t>
            </w:r>
          </w:p>
        </w:tc>
      </w:tr>
      <w:tr>
        <w:trPr/>
        <w:tc>
          <w:tcPr>
            <w:tcW w:w="3467"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ind w:left="0" w:right="0" w:firstLine="300"/>
              <w:jc w:val="left"/>
              <w:rPr/>
            </w:pPr>
            <w:r>
              <w:rPr/>
              <w:t> </w:t>
            </w:r>
          </w:p>
        </w:tc>
      </w:tr>
      <w:tr>
        <w:trPr/>
        <w:tc>
          <w:tcPr>
            <w:tcW w:w="3467" w:type="dxa"/>
            <w:tcBorders/>
            <w:shd w:fill="B7DEE8"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Forfeited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841"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(140,950</w:t>
            </w:r>
          </w:p>
        </w:tc>
        <w:tc>
          <w:tcPr>
            <w:tcW w:w="16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21.89</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202" w:type="dxa"/>
            <w:gridSpan w:val="2"/>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1317" w:type="dxa"/>
            <w:gridSpan w:val="2"/>
            <w:tcBorders/>
            <w:shd w:fill="B7DEE8" w:val="clear"/>
            <w:vAlign w:val="center"/>
          </w:tcPr>
          <w:p>
            <w:pPr>
              <w:pStyle w:val="TableContents"/>
              <w:bidi w:val="0"/>
              <w:spacing w:before="0" w:after="283"/>
              <w:jc w:val="left"/>
              <w:rPr/>
            </w:pPr>
            <w:r>
              <w:rPr/>
              <w:t> </w:t>
            </w:r>
          </w:p>
        </w:tc>
        <w:tc>
          <w:tcPr>
            <w:tcW w:w="494" w:type="dxa"/>
            <w:tcBorders/>
            <w:shd w:fill="B7DEE8" w:val="clear"/>
            <w:vAlign w:val="center"/>
          </w:tcPr>
          <w:p>
            <w:pPr>
              <w:pStyle w:val="TableContents"/>
              <w:bidi w:val="0"/>
              <w:spacing w:before="0" w:after="283"/>
              <w:ind w:left="0" w:right="0" w:firstLine="300"/>
              <w:jc w:val="left"/>
              <w:rPr/>
            </w:pPr>
            <w:r>
              <w:rPr/>
              <w:t> </w:t>
            </w:r>
          </w:p>
        </w:tc>
      </w:tr>
      <w:tr>
        <w:trPr/>
        <w:tc>
          <w:tcPr>
            <w:tcW w:w="3467"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(317,854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17" w:type="dxa"/>
            <w:gridSpan w:val="2"/>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r>
      <w:tr>
        <w:trPr/>
        <w:tc>
          <w:tcPr>
            <w:tcW w:w="3467"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Options outstanding, September 30, 2023</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776,140</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13.93</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857"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38"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w:t>
            </w:r>
          </w:p>
        </w:tc>
        <w:tc>
          <w:tcPr>
            <w:tcW w:w="494" w:type="dxa"/>
            <w:tcBorders/>
            <w:shd w:fill="B7DEE8" w:val="clear"/>
            <w:vAlign w:val="center"/>
          </w:tcPr>
          <w:p>
            <w:pPr>
              <w:pStyle w:val="TableContents"/>
              <w:bidi w:val="0"/>
              <w:spacing w:before="0" w:after="283"/>
              <w:jc w:val="left"/>
              <w:rPr/>
            </w:pPr>
            <w:r>
              <w:rPr/>
              <w:t> </w:t>
            </w:r>
          </w:p>
        </w:tc>
      </w:tr>
      <w:tr>
        <w:trPr/>
        <w:tc>
          <w:tcPr>
            <w:tcW w:w="346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Nonvested options,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428,165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45"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3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494" w:type="dxa"/>
            <w:tcBorders/>
            <w:shd w:fill="FFFFFF" w:val="clear"/>
            <w:vAlign w:val="center"/>
          </w:tcPr>
          <w:p>
            <w:pPr>
              <w:pStyle w:val="TableContents"/>
              <w:bidi w:val="0"/>
              <w:spacing w:before="0" w:after="283"/>
              <w:jc w:val="left"/>
              <w:rPr/>
            </w:pPr>
            <w:r>
              <w:rPr/>
              <w:t> </w:t>
            </w:r>
          </w:p>
        </w:tc>
      </w:tr>
      <w:tr>
        <w:trPr/>
        <w:tc>
          <w:tcPr>
            <w:tcW w:w="3467" w:type="dxa"/>
            <w:tcBorders/>
            <w:shd w:fill="B7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September 30, 2023</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347,975</w:t>
            </w:r>
          </w:p>
        </w:tc>
        <w:tc>
          <w:tcPr>
            <w:tcW w:w="166" w:type="dxa"/>
            <w:tcBorders>
              <w:bottom w:val="double" w:sz="6"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57"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3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345" w:type="dxa"/>
            <w:tcBorders/>
            <w:shd w:fill="B7DEE8" w:val="clear"/>
            <w:vAlign w:val="center"/>
          </w:tcPr>
          <w:p>
            <w:pPr>
              <w:pStyle w:val="TableContents"/>
              <w:bidi w:val="0"/>
              <w:spacing w:before="0" w:after="283"/>
              <w:jc w:val="left"/>
              <w:rPr/>
            </w:pPr>
            <w:r>
              <w:rPr/>
              <w:t> </w:t>
            </w:r>
          </w:p>
        </w:tc>
        <w:tc>
          <w:tcPr>
            <w:tcW w:w="857"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38"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495</w:t>
            </w:r>
          </w:p>
        </w:tc>
        <w:tc>
          <w:tcPr>
            <w:tcW w:w="494" w:type="dxa"/>
            <w:tcBorders/>
            <w:shd w:fill="B7DEE8"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color w:val="000000"/>
          <w:sz w:val="20"/>
        </w:rPr>
        <w:t>At September 30, 2023, total estimated unrecognized stock-based compensation cost related to unvested stock options prior to that date was approximately $7.8</w:t>
      </w:r>
      <w:r>
        <w:rPr>
          <w:rFonts w:ascii="Times New Roman" w:hAnsi="Times New Roman"/>
          <w:color w:val="000000"/>
          <w:sz w:val="20"/>
        </w:rPr>
        <w:t xml:space="preserve"> </w:t>
      </w:r>
      <w:r>
        <w:rPr>
          <w:rFonts w:ascii="Times New Roman" w:hAnsi="Times New Roman"/>
          <w:b w:val="false"/>
          <w:color w:val="000000"/>
          <w:sz w:val="20"/>
        </w:rPr>
        <w:t>million, which is expected to be recognized over a weighted-average remaining period of 3.3</w:t>
      </w:r>
      <w:r>
        <w:rPr>
          <w:rFonts w:ascii="Times New Roman" w:hAnsi="Times New Roman"/>
          <w:color w:val="000000"/>
          <w:sz w:val="20"/>
        </w:rPr>
        <w:t xml:space="preserve"> </w:t>
      </w:r>
      <w:r>
        <w:rPr>
          <w:rFonts w:ascii="Times New Roman" w:hAnsi="Times New Roman"/>
          <w:b w:val="false"/>
          <w:color w:val="000000"/>
          <w:sz w:val="20"/>
        </w:rPr>
        <w:t>years.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September 30, 2023 and September 30, 2022, 0</w:t>
      </w:r>
      <w:r>
        <w:rPr>
          <w:rFonts w:ascii="Times New Roman" w:hAnsi="Times New Roman"/>
          <w:color w:val="000000"/>
          <w:sz w:val="20"/>
        </w:rPr>
        <w:t xml:space="preserve"> </w:t>
      </w:r>
      <w:r>
        <w:rPr>
          <w:rFonts w:ascii="Times New Roman" w:hAnsi="Times New Roman"/>
          <w:b w:val="false"/>
          <w:color w:val="000000"/>
          <w:sz w:val="20"/>
        </w:rPr>
        <w:t>and 8,332</w:t>
      </w:r>
      <w:r>
        <w:rPr>
          <w:rFonts w:ascii="Times New Roman" w:hAnsi="Times New Roman"/>
          <w:color w:val="000000"/>
          <w:sz w:val="20"/>
        </w:rPr>
        <w:t xml:space="preserve"> </w:t>
      </w:r>
      <w:r>
        <w:rPr>
          <w:rFonts w:ascii="Times New Roman" w:hAnsi="Times New Roman"/>
          <w:b w:val="false"/>
          <w:color w:val="000000"/>
          <w:sz w:val="20"/>
        </w:rPr>
        <w:t>shares of Common Stock were subject to repurchase at a weighted-average prices of $22.09</w:t>
      </w:r>
      <w:r>
        <w:rPr>
          <w:rFonts w:ascii="Times New Roman" w:hAnsi="Times New Roman"/>
          <w:color w:val="000000"/>
          <w:sz w:val="20"/>
        </w:rPr>
        <w:t xml:space="preserve"> </w:t>
      </w:r>
      <w:r>
        <w:rPr>
          <w:rFonts w:ascii="Times New Roman" w:hAnsi="Times New Roman"/>
          <w:b w:val="false"/>
          <w:color w:val="000000"/>
          <w:sz w:val="20"/>
        </w:rPr>
        <w:t>per share, respectively. The shares issued pursuant to unvested options have been included in shares issued and outstanding on the unaudited condensed consolidated balance sheets as such shares are considered legally outstanding.</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On March 3, 2021, the Company granted the Chief Executive Officer stock options to purchase up to 358,001</w:t>
      </w:r>
      <w:r>
        <w:rPr>
          <w:rFonts w:ascii="Times New Roman" w:hAnsi="Times New Roman"/>
          <w:color w:val="000000"/>
          <w:sz w:val="20"/>
        </w:rPr>
        <w:t xml:space="preserve"> </w:t>
      </w:r>
      <w:r>
        <w:rPr>
          <w:rFonts w:ascii="Times New Roman" w:hAnsi="Times New Roman"/>
          <w:b w:val="false"/>
          <w:color w:val="000000"/>
          <w:sz w:val="20"/>
        </w:rPr>
        <w:t>shares of Common Stock in nine</w:t>
      </w:r>
      <w:r>
        <w:rPr>
          <w:rFonts w:ascii="Times New Roman" w:hAnsi="Times New Roman"/>
          <w:color w:val="000000"/>
          <w:sz w:val="20"/>
        </w:rPr>
        <w:t xml:space="preserve"> </w:t>
      </w:r>
      <w:r>
        <w:rPr>
          <w:rFonts w:ascii="Times New Roman" w:hAnsi="Times New Roman"/>
          <w:b w:val="false"/>
          <w:color w:val="000000"/>
          <w:sz w:val="20"/>
        </w:rPr>
        <w:t>tranches. Each of the nine tranches contain service, market and performance conditions. The market conditions relate to the achievement of certain specified price targets. Vesting commences on the grant date; however, no compensation charges are recognized until the service and performance condition are probable, which is upon the completion of a liquidity event, the achievement of specified price targets for each tranche of shares, and continuous employment. Upon the completion of the Business Combination, the performance condition was met and the Company recorded a cumulative stock-based compensation expense of $1.9</w:t>
      </w:r>
      <w:r>
        <w:rPr>
          <w:rFonts w:ascii="Times New Roman" w:hAnsi="Times New Roman"/>
          <w:color w:val="000000"/>
          <w:sz w:val="20"/>
        </w:rPr>
        <w:t xml:space="preserve"> </w:t>
      </w:r>
      <w:r>
        <w:rPr>
          <w:rFonts w:ascii="Times New Roman" w:hAnsi="Times New Roman"/>
          <w:b w:val="false"/>
          <w:color w:val="000000"/>
          <w:sz w:val="20"/>
        </w:rPr>
        <w:t>million. The options have a strike price of $23.18</w:t>
      </w:r>
      <w:r>
        <w:rPr>
          <w:rFonts w:ascii="Times New Roman" w:hAnsi="Times New Roman"/>
          <w:color w:val="000000"/>
          <w:sz w:val="20"/>
        </w:rPr>
        <w:t xml:space="preserve"> </w:t>
      </w:r>
      <w:r>
        <w:rPr>
          <w:rFonts w:ascii="Times New Roman" w:hAnsi="Times New Roman"/>
          <w:b w:val="false"/>
          <w:color w:val="000000"/>
          <w:sz w:val="20"/>
        </w:rPr>
        <w:t>per share. The Company determined the fair value of the options on the grant date to be $10.5</w:t>
      </w:r>
      <w:r>
        <w:rPr>
          <w:rFonts w:ascii="Times New Roman" w:hAnsi="Times New Roman"/>
          <w:color w:val="000000"/>
          <w:sz w:val="20"/>
        </w:rPr>
        <w:t xml:space="preserve"> </w:t>
      </w:r>
      <w:r>
        <w:rPr>
          <w:rFonts w:ascii="Times New Roman" w:hAnsi="Times New Roman"/>
          <w:b w:val="false"/>
          <w:color w:val="000000"/>
          <w:sz w:val="20"/>
        </w:rPr>
        <w:t>million using a Monte Carlo simulation with key inputs and assumptions such as stock price, term, dividend yield, risk-free interest rate, and volatility. The derived service periods determined by the valuation for each of the nine tranches range from approximately three years</w:t>
      </w:r>
      <w:r>
        <w:rPr>
          <w:rFonts w:ascii="Times New Roman" w:hAnsi="Times New Roman"/>
          <w:color w:val="000000"/>
          <w:sz w:val="20"/>
        </w:rPr>
        <w:t xml:space="preserve"> </w:t>
      </w:r>
      <w:r>
        <w:rPr>
          <w:rFonts w:ascii="Times New Roman" w:hAnsi="Times New Roman"/>
          <w:b w:val="false"/>
          <w:color w:val="000000"/>
          <w:sz w:val="20"/>
        </w:rPr>
        <w:t>to approximately seven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presents the key inputs and assumptions used to value the options granted to the Chief Executive Officer on the grant date:</w:t>
      </w:r>
    </w:p>
    <w:p>
      <w:pPr>
        <w:pStyle w:val="TextBody"/>
        <w:bidi w:val="0"/>
        <w:jc w:val="left"/>
        <w:rPr/>
      </w:pPr>
      <w:r>
        <w:rPr/>
        <w:t> </w:t>
      </w:r>
    </w:p>
    <w:tbl>
      <w:tblPr>
        <w:tblW w:w="3524" w:type="dxa"/>
        <w:jc w:val="left"/>
        <w:tblInd w:w="0" w:type="dxa"/>
        <w:tblLayout w:type="fixed"/>
        <w:tblCellMar>
          <w:top w:w="28" w:type="dxa"/>
          <w:left w:w="28" w:type="dxa"/>
          <w:bottom w:w="28" w:type="dxa"/>
          <w:right w:w="28" w:type="dxa"/>
        </w:tblCellMar>
      </w:tblPr>
      <w:tblGrid>
        <w:gridCol w:w="2131"/>
        <w:gridCol w:w="146"/>
        <w:gridCol w:w="222"/>
        <w:gridCol w:w="709"/>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931" w:type="dxa"/>
            <w:gridSpan w:val="2"/>
            <w:tcBorders/>
            <w:shd w:fill="B7DEE8"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10.0</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B7DEE8"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dividend yield</w:t>
            </w:r>
          </w:p>
        </w:tc>
        <w:tc>
          <w:tcPr>
            <w:tcW w:w="146" w:type="dxa"/>
            <w:tcBorders/>
            <w:shd w:fill="B7DEE8" w:val="clear"/>
            <w:vAlign w:val="center"/>
          </w:tcPr>
          <w:p>
            <w:pPr>
              <w:pStyle w:val="TableContents"/>
              <w:bidi w:val="0"/>
              <w:spacing w:before="0" w:after="283"/>
              <w:jc w:val="left"/>
              <w:rPr/>
            </w:pPr>
            <w:r>
              <w:rPr/>
              <w:t> </w:t>
            </w:r>
          </w:p>
        </w:tc>
        <w:tc>
          <w:tcPr>
            <w:tcW w:w="222" w:type="dxa"/>
            <w:tcBorders/>
            <w:shd w:fill="B7DEE8" w:val="clear"/>
            <w:vAlign w:val="center"/>
          </w:tcPr>
          <w:p>
            <w:pPr>
              <w:pStyle w:val="TableContents"/>
              <w:bidi w:val="0"/>
              <w:spacing w:before="0" w:after="283"/>
              <w:jc w:val="left"/>
              <w:rPr/>
            </w:pPr>
            <w:r>
              <w:rPr/>
              <w:t> </w:t>
            </w:r>
          </w:p>
        </w:tc>
        <w:tc>
          <w:tcPr>
            <w:tcW w:w="70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0.0</w:t>
            </w:r>
          </w:p>
        </w:tc>
        <w:tc>
          <w:tcPr>
            <w:tcW w:w="31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Restricted Stock Units: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Activity with respect to RSUs is summarized as follows:</w:t>
      </w:r>
    </w:p>
    <w:p>
      <w:pPr>
        <w:pStyle w:val="TextBody"/>
        <w:bidi w:val="0"/>
        <w:jc w:val="center"/>
        <w:rPr/>
      </w:pPr>
      <w:r>
        <w:rPr/>
        <w:t> </w:t>
      </w:r>
    </w:p>
    <w:tbl>
      <w:tblPr>
        <w:tblW w:w="7278" w:type="dxa"/>
        <w:jc w:val="left"/>
        <w:tblInd w:w="0" w:type="dxa"/>
        <w:tblLayout w:type="fixed"/>
        <w:tblCellMar>
          <w:top w:w="28" w:type="dxa"/>
          <w:left w:w="28" w:type="dxa"/>
          <w:bottom w:w="28" w:type="dxa"/>
          <w:right w:w="28" w:type="dxa"/>
        </w:tblCellMar>
      </w:tblPr>
      <w:tblGrid>
        <w:gridCol w:w="3556"/>
        <w:gridCol w:w="146"/>
        <w:gridCol w:w="146"/>
        <w:gridCol w:w="931"/>
        <w:gridCol w:w="166"/>
        <w:gridCol w:w="146"/>
        <w:gridCol w:w="403"/>
        <w:gridCol w:w="1293"/>
        <w:gridCol w:w="4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w:t>
              <w:br/>
              <w:t>Grant-Date</w:t>
              <w:br/>
              <w:t>Fair Value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Nonvested shares at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508,506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122.27</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556" w:type="dxa"/>
            <w:tcBorders/>
            <w:shd w:fill="B7DEE8"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931"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1,735,135</w:t>
            </w:r>
          </w:p>
        </w:tc>
        <w:tc>
          <w:tcPr>
            <w:tcW w:w="166" w:type="dxa"/>
            <w:tcBorders/>
            <w:shd w:fill="B7DEE8" w:val="clear"/>
            <w:vAlign w:val="center"/>
          </w:tcPr>
          <w:p>
            <w:pPr>
              <w:pStyle w:val="TableContents"/>
              <w:bidi w:val="0"/>
              <w:spacing w:before="0" w:after="283"/>
              <w:jc w:val="left"/>
              <w:rPr/>
            </w:pPr>
            <w:r>
              <w:rPr/>
              <w:t> </w:t>
            </w:r>
          </w:p>
        </w:tc>
        <w:tc>
          <w:tcPr>
            <w:tcW w:w="146" w:type="dxa"/>
            <w:tcBorders/>
            <w:shd w:fill="B7DEE8" w:val="clear"/>
            <w:vAlign w:val="center"/>
          </w:tcPr>
          <w:p>
            <w:pPr>
              <w:pStyle w:val="TableContents"/>
              <w:bidi w:val="0"/>
              <w:spacing w:before="0" w:after="283"/>
              <w:jc w:val="left"/>
              <w:rPr/>
            </w:pPr>
            <w:r>
              <w:rPr/>
              <w:t> </w:t>
            </w:r>
          </w:p>
        </w:tc>
        <w:tc>
          <w:tcPr>
            <w:tcW w:w="40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w:t>
            </w:r>
          </w:p>
        </w:tc>
        <w:tc>
          <w:tcPr>
            <w:tcW w:w="491" w:type="dxa"/>
            <w:tcBorders/>
            <w:shd w:fill="B7DEE8" w:val="clear"/>
            <w:vAlign w:val="center"/>
          </w:tcPr>
          <w:p>
            <w:pPr>
              <w:pStyle w:val="TableContents"/>
              <w:bidi w:val="0"/>
              <w:spacing w:before="0" w:after="283"/>
              <w:ind w:left="0" w:right="0" w:firstLine="300"/>
              <w:jc w:val="left"/>
              <w:rPr/>
            </w:pPr>
            <w:r>
              <w:rPr/>
              <w:t> </w:t>
            </w:r>
          </w:p>
        </w:tc>
      </w:tr>
      <w:tr>
        <w:trPr/>
        <w:tc>
          <w:tcPr>
            <w:tcW w:w="355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(248,290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68.15</w:t>
            </w:r>
          </w:p>
        </w:tc>
        <w:tc>
          <w:tcPr>
            <w:tcW w:w="491" w:type="dxa"/>
            <w:tcBorders/>
            <w:shd w:fill="FFFFFF" w:val="clear"/>
            <w:vAlign w:val="center"/>
          </w:tcPr>
          <w:p>
            <w:pPr>
              <w:pStyle w:val="TableContents"/>
              <w:bidi w:val="0"/>
              <w:spacing w:before="0" w:after="283"/>
              <w:ind w:left="0" w:right="0" w:firstLine="300"/>
              <w:jc w:val="left"/>
              <w:rPr/>
            </w:pPr>
            <w:r>
              <w:rPr/>
              <w:t> </w:t>
            </w:r>
          </w:p>
        </w:tc>
      </w:tr>
      <w:tr>
        <w:trPr/>
        <w:tc>
          <w:tcPr>
            <w:tcW w:w="3556" w:type="dxa"/>
            <w:tcBorders/>
            <w:shd w:fill="B7DEE8" w:val="clear"/>
            <w:vAlign w:val="center"/>
          </w:tcPr>
          <w:p>
            <w:pPr>
              <w:pStyle w:val="TableContents"/>
              <w:bidi w:val="0"/>
              <w:spacing w:before="0" w:after="283"/>
              <w:ind w:left="300" w:right="0" w:firstLine="300"/>
              <w:jc w:val="left"/>
              <w:rPr>
                <w:color w:val="000000"/>
              </w:rPr>
            </w:pPr>
            <w:r>
              <w:rPr>
                <w:color w:val="000000"/>
              </w:rPr>
              <w:t> </w:t>
            </w:r>
            <w:r>
              <w:rPr>
                <w:rFonts w:ascii="Times New Roman" w:hAnsi="Times New Roman"/>
                <w:b w:val="false"/>
                <w:color w:val="000000"/>
                <w:sz w:val="20"/>
              </w:rPr>
              <w:t>Forfeited</w:t>
            </w:r>
          </w:p>
        </w:tc>
        <w:tc>
          <w:tcPr>
            <w:tcW w:w="146" w:type="dxa"/>
            <w:tcBorders/>
            <w:shd w:fill="B7DEE8" w:val="clear"/>
            <w:vAlign w:val="center"/>
          </w:tcPr>
          <w:p>
            <w:pPr>
              <w:pStyle w:val="TableContents"/>
              <w:bidi w:val="0"/>
              <w:spacing w:before="0" w:after="283"/>
              <w:jc w:val="left"/>
              <w:rPr/>
            </w:pPr>
            <w:r>
              <w:rPr/>
              <w:t> </w:t>
            </w:r>
          </w:p>
        </w:tc>
        <w:tc>
          <w:tcPr>
            <w:tcW w:w="14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(363,193</w:t>
            </w:r>
          </w:p>
        </w:tc>
        <w:tc>
          <w:tcPr>
            <w:tcW w:w="166" w:type="dxa"/>
            <w:tcBorders>
              <w:bottom w:val="single" w:sz="4" w:space="0" w:color="000000"/>
            </w:tcBorders>
            <w:shd w:fill="B7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7DEE8" w:val="clear"/>
            <w:vAlign w:val="center"/>
          </w:tcPr>
          <w:p>
            <w:pPr>
              <w:pStyle w:val="TableContents"/>
              <w:bidi w:val="0"/>
              <w:spacing w:before="0" w:after="283"/>
              <w:jc w:val="left"/>
              <w:rPr/>
            </w:pPr>
            <w:r>
              <w:rPr/>
              <w:t> </w:t>
            </w:r>
          </w:p>
        </w:tc>
        <w:tc>
          <w:tcPr>
            <w:tcW w:w="403"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26.33</w:t>
            </w:r>
          </w:p>
        </w:tc>
        <w:tc>
          <w:tcPr>
            <w:tcW w:w="491" w:type="dxa"/>
            <w:tcBorders/>
            <w:shd w:fill="B7DEE8"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Nonvested shares at September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1,632,158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2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27.29</w:t>
            </w:r>
          </w:p>
        </w:tc>
        <w:tc>
          <w:tcPr>
            <w:tcW w:w="49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At September 30, 2023, total estimated unrecognized stock-based compensation cost related to nonvested RSUs was approximately $44.0</w:t>
      </w:r>
      <w:r>
        <w:rPr>
          <w:rFonts w:ascii="Times New Roman" w:hAnsi="Times New Roman"/>
          <w:color w:val="000000"/>
          <w:sz w:val="20"/>
        </w:rPr>
        <w:t xml:space="preserve"> </w:t>
      </w:r>
      <w:r>
        <w:rPr>
          <w:rFonts w:ascii="Times New Roman" w:hAnsi="Times New Roman"/>
          <w:b w:val="false"/>
          <w:color w:val="000000"/>
          <w:sz w:val="20"/>
        </w:rPr>
        <w:t>million, which is expected to be recognized over a weighted-average period of 2.2</w:t>
      </w:r>
      <w:r>
        <w:rPr>
          <w:rFonts w:ascii="Times New Roman" w:hAnsi="Times New Roman"/>
          <w:color w:val="000000"/>
          <w:sz w:val="20"/>
        </w:rPr>
        <w:t xml:space="preserve"> </w:t>
      </w:r>
      <w:r>
        <w:rPr>
          <w:rFonts w:ascii="Times New Roman" w:hAnsi="Times New Roman"/>
          <w:b w:val="false"/>
          <w:color w:val="000000"/>
          <w:sz w:val="20"/>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quarter ended March 31, 2023, the Company granted 629,454</w:t>
      </w:r>
      <w:r>
        <w:rPr>
          <w:rFonts w:ascii="Times New Roman" w:hAnsi="Times New Roman"/>
          <w:color w:val="000000"/>
          <w:sz w:val="20"/>
        </w:rPr>
        <w:t xml:space="preserve"> </w:t>
      </w:r>
      <w:r>
        <w:rPr>
          <w:rFonts w:ascii="Times New Roman" w:hAnsi="Times New Roman"/>
          <w:b w:val="false"/>
          <w:color w:val="000000"/>
          <w:sz w:val="20"/>
        </w:rPr>
        <w:t>RSUs to certain employees in six</w:t>
      </w:r>
      <w:r>
        <w:rPr>
          <w:rFonts w:ascii="Times New Roman" w:hAnsi="Times New Roman"/>
          <w:color w:val="000000"/>
          <w:sz w:val="20"/>
        </w:rPr>
        <w:t xml:space="preserve"> </w:t>
      </w:r>
      <w:r>
        <w:rPr>
          <w:rFonts w:ascii="Times New Roman" w:hAnsi="Times New Roman"/>
          <w:b w:val="false"/>
          <w:color w:val="000000"/>
          <w:sz w:val="20"/>
        </w:rPr>
        <w:t>tranches.</w:t>
      </w:r>
      <w:r>
        <w:rPr>
          <w:rFonts w:ascii="Times New Roman" w:hAnsi="Times New Roman"/>
          <w:color w:val="000000"/>
          <w:sz w:val="20"/>
        </w:rPr>
        <w:t xml:space="preserve"> </w:t>
      </w:r>
      <w:r>
        <w:rPr>
          <w:rFonts w:ascii="Times New Roman" w:hAnsi="Times New Roman"/>
          <w:b w:val="false"/>
          <w:color w:val="000000"/>
          <w:sz w:val="20"/>
        </w:rPr>
        <w:t>Each of the six tranches contain service and market conditions. The market conditions relate to the achievement of certain specified price targets. Vesting commences on the grant date and the Company determined the fair value of the RSUs on the grant date to be approximately $3.0</w:t>
      </w:r>
      <w:r>
        <w:rPr>
          <w:rFonts w:ascii="Times New Roman" w:hAnsi="Times New Roman"/>
          <w:color w:val="000000"/>
          <w:sz w:val="20"/>
        </w:rPr>
        <w:t xml:space="preserve"> </w:t>
      </w:r>
      <w:r>
        <w:rPr>
          <w:rFonts w:ascii="Times New Roman" w:hAnsi="Times New Roman"/>
          <w:b w:val="false"/>
          <w:color w:val="000000"/>
          <w:sz w:val="20"/>
        </w:rPr>
        <w:t>million using a Monte Carlo simulation with key inputs and assumptions such as stock price, term, risk-free interest rate, and volatility. The derived service periods determined by the valuation for each of the six tranches range from approximately two years</w:t>
      </w:r>
      <w:r>
        <w:rPr>
          <w:rFonts w:ascii="Times New Roman" w:hAnsi="Times New Roman"/>
          <w:color w:val="000000"/>
          <w:sz w:val="20"/>
        </w:rPr>
        <w:t xml:space="preserve"> </w:t>
      </w:r>
      <w:r>
        <w:rPr>
          <w:rFonts w:ascii="Times New Roman" w:hAnsi="Times New Roman"/>
          <w:b w:val="false"/>
          <w:color w:val="000000"/>
          <w:sz w:val="20"/>
        </w:rPr>
        <w:t>to approximately three years. Each tranche will be expensed monthly over the derived service period unless vesting conditions for a particular tranche are met, at which point all remaining compensation charges related to that particular tranche will be expensed in the period in which the vesting conditions were met.</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presents the key inputs and assumptions used to value the RSUs that contain service and market conditions on the grant date:</w:t>
      </w:r>
    </w:p>
    <w:p>
      <w:pPr>
        <w:pStyle w:val="TextBody"/>
        <w:bidi w:val="0"/>
        <w:jc w:val="left"/>
        <w:rPr/>
      </w:pPr>
      <w:r>
        <w:rPr/>
        <w:t> </w:t>
      </w:r>
    </w:p>
    <w:tbl>
      <w:tblPr>
        <w:tblW w:w="3134" w:type="dxa"/>
        <w:jc w:val="left"/>
        <w:tblInd w:w="0" w:type="dxa"/>
        <w:tblLayout w:type="fixed"/>
        <w:tblCellMar>
          <w:top w:w="28" w:type="dxa"/>
          <w:left w:w="28" w:type="dxa"/>
          <w:bottom w:w="28" w:type="dxa"/>
          <w:right w:w="28" w:type="dxa"/>
        </w:tblCellMar>
      </w:tblPr>
      <w:tblGrid>
        <w:gridCol w:w="1846"/>
        <w:gridCol w:w="146"/>
        <w:gridCol w:w="197"/>
        <w:gridCol w:w="629"/>
        <w:gridCol w:w="3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Remaining term</w:t>
            </w:r>
          </w:p>
        </w:tc>
        <w:tc>
          <w:tcPr>
            <w:tcW w:w="146" w:type="dxa"/>
            <w:tcBorders/>
            <w:shd w:fill="B7DEE8" w:val="clear"/>
            <w:vAlign w:val="center"/>
          </w:tcPr>
          <w:p>
            <w:pPr>
              <w:pStyle w:val="TableContents"/>
              <w:bidi w:val="0"/>
              <w:spacing w:before="0" w:after="283"/>
              <w:jc w:val="left"/>
              <w:rPr/>
            </w:pPr>
            <w:r>
              <w:rPr/>
              <w:t> </w:t>
            </w:r>
          </w:p>
        </w:tc>
        <w:tc>
          <w:tcPr>
            <w:tcW w:w="826" w:type="dxa"/>
            <w:gridSpan w:val="2"/>
            <w:tcBorders/>
            <w:shd w:fill="B7DEE8" w:val="clear"/>
            <w:vAlign w:val="center"/>
          </w:tcPr>
          <w:p>
            <w:pPr>
              <w:pStyle w:val="TableContents"/>
              <w:bidi w:val="0"/>
              <w:spacing w:before="0" w:after="283"/>
              <w:jc w:val="right"/>
              <w:rPr>
                <w:rFonts w:ascii="Times New Roman" w:hAnsi="Times New Roman"/>
                <w:sz w:val="20"/>
              </w:rPr>
            </w:pPr>
            <w:r>
              <w:rPr>
                <w:rFonts w:ascii="Times New Roman" w:hAnsi="Times New Roman"/>
                <w:b w:val="false"/>
                <w:color w:val="000000"/>
                <w:sz w:val="20"/>
              </w:rPr>
              <w:t>5.0</w:t>
            </w:r>
            <w:r>
              <w:rPr>
                <w:rFonts w:ascii="Times New Roman" w:hAnsi="Times New Roman"/>
                <w:color w:val="000000"/>
                <w:sz w:val="20"/>
              </w:rPr>
              <w:t> </w:t>
            </w:r>
            <w:r>
              <w:rPr>
                <w:rFonts w:ascii="Times New Roman" w:hAnsi="Times New Roman"/>
                <w:b w:val="false"/>
                <w:color w:val="000000"/>
                <w:sz w:val="20"/>
              </w:rPr>
              <w:t>years</w:t>
            </w:r>
          </w:p>
        </w:tc>
        <w:tc>
          <w:tcPr>
            <w:tcW w:w="316" w:type="dxa"/>
            <w:tcBorders/>
            <w:shd w:fill="B7DEE8" w:val="clear"/>
            <w:vAlign w:val="center"/>
          </w:tcPr>
          <w:p>
            <w:pPr>
              <w:pStyle w:val="TableContents"/>
              <w:bidi w:val="0"/>
              <w:spacing w:before="0" w:after="283"/>
              <w:jc w:val="right"/>
              <w:rPr/>
            </w:pPr>
            <w:r>
              <w:rPr/>
              <w:t> </w:t>
            </w:r>
          </w:p>
        </w:tc>
      </w:tr>
      <w:tr>
        <w:trPr/>
        <w:tc>
          <w:tcPr>
            <w:tcW w:w="18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Risk-free interest rate</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84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Expected volatility</w:t>
            </w:r>
          </w:p>
        </w:tc>
        <w:tc>
          <w:tcPr>
            <w:tcW w:w="146" w:type="dxa"/>
            <w:tcBorders/>
            <w:shd w:fill="B7DEE8" w:val="clear"/>
            <w:vAlign w:val="center"/>
          </w:tcPr>
          <w:p>
            <w:pPr>
              <w:pStyle w:val="TableContents"/>
              <w:bidi w:val="0"/>
              <w:spacing w:before="0" w:after="283"/>
              <w:jc w:val="left"/>
              <w:rPr/>
            </w:pPr>
            <w:r>
              <w:rPr/>
              <w:t> </w:t>
            </w:r>
          </w:p>
        </w:tc>
        <w:tc>
          <w:tcPr>
            <w:tcW w:w="197" w:type="dxa"/>
            <w:tcBorders/>
            <w:shd w:fill="B7DEE8" w:val="clear"/>
            <w:vAlign w:val="center"/>
          </w:tcPr>
          <w:p>
            <w:pPr>
              <w:pStyle w:val="TableContents"/>
              <w:bidi w:val="0"/>
              <w:spacing w:before="0" w:after="283"/>
              <w:jc w:val="left"/>
              <w:rPr/>
            </w:pPr>
            <w:r>
              <w:rPr/>
              <w:t> </w:t>
            </w:r>
          </w:p>
        </w:tc>
        <w:tc>
          <w:tcPr>
            <w:tcW w:w="629" w:type="dxa"/>
            <w:tcBorders/>
            <w:shd w:fill="B7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79.7</w:t>
            </w:r>
          </w:p>
        </w:tc>
        <w:tc>
          <w:tcPr>
            <w:tcW w:w="316" w:type="dxa"/>
            <w:tcBorders/>
            <w:shd w:fill="B7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16 Related-Party Transactions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Leasing Arrangements: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three and nine months ended September 30, 2023, the Company paid $0.1</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respectively, under lease agreements with PCJW, which is controlled by Company's founders (including the Company's current CEO), for general office space in Los Angeles, California, and during the three and nine months ended September 30, 2022, the Company paid $0.1</w:t>
      </w:r>
      <w:r>
        <w:rPr>
          <w:rFonts w:ascii="Times New Roman" w:hAnsi="Times New Roman"/>
          <w:color w:val="000000"/>
          <w:sz w:val="20"/>
        </w:rPr>
        <w:t xml:space="preserve"> </w:t>
      </w:r>
      <w:r>
        <w:rPr>
          <w:rFonts w:ascii="Times New Roman" w:hAnsi="Times New Roman"/>
          <w:b w:val="false"/>
          <w:color w:val="000000"/>
          <w:sz w:val="20"/>
        </w:rPr>
        <w:t>million and $0.2</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is a schedule of future minimum rental payments as of September 30, 2023 under Company’s sub-lease for the properties located in Los Angeles, California signed with PCJW (in thousands):</w:t>
      </w:r>
    </w:p>
    <w:p>
      <w:pPr>
        <w:pStyle w:val="TextBody"/>
        <w:bidi w:val="0"/>
        <w:jc w:val="left"/>
        <w:rPr/>
      </w:pPr>
      <w:r>
        <w:rPr/>
        <w:t> </w:t>
      </w:r>
    </w:p>
    <w:tbl>
      <w:tblPr>
        <w:tblW w:w="5578" w:type="dxa"/>
        <w:jc w:val="left"/>
        <w:tblInd w:w="0" w:type="dxa"/>
        <w:tblLayout w:type="fixed"/>
        <w:tblCellMar>
          <w:top w:w="28" w:type="dxa"/>
          <w:left w:w="28" w:type="dxa"/>
          <w:bottom w:w="28" w:type="dxa"/>
          <w:right w:w="28" w:type="dxa"/>
        </w:tblCellMar>
      </w:tblPr>
      <w:tblGrid>
        <w:gridCol w:w="2776"/>
        <w:gridCol w:w="146"/>
        <w:gridCol w:w="816"/>
        <w:gridCol w:w="1629"/>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vAlign w:val="center"/>
          </w:tcPr>
          <w:p>
            <w:pPr>
              <w:pStyle w:val="TableContents"/>
              <w:bidi w:val="0"/>
              <w:spacing w:before="0" w:after="283"/>
              <w:jc w:val="left"/>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Related-Party Commitment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816" w:type="dxa"/>
            <w:tcBorders/>
            <w:shd w:fill="B6DEE8" w:val="clear"/>
            <w:vAlign w:val="center"/>
          </w:tcPr>
          <w:p>
            <w:pPr>
              <w:pStyle w:val="TableContents"/>
              <w:bidi w:val="0"/>
              <w:spacing w:before="0" w:after="283"/>
              <w:jc w:val="left"/>
              <w:rPr/>
            </w:pPr>
            <w:r>
              <w:rPr/>
              <w:t> </w:t>
            </w:r>
          </w:p>
        </w:tc>
        <w:tc>
          <w:tcPr>
            <w:tcW w:w="16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w:t>
            </w:r>
          </w:p>
        </w:tc>
        <w:tc>
          <w:tcPr>
            <w:tcW w:w="211" w:type="dxa"/>
            <w:tcBorders/>
            <w:shd w:fill="B6DEE8"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left"/>
              <w:rPr/>
            </w:pPr>
            <w:r>
              <w:rPr/>
              <w:t> </w:t>
            </w:r>
          </w:p>
        </w:tc>
        <w:tc>
          <w:tcPr>
            <w:tcW w:w="16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310</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minimum lease payments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related-party components of the lease right-of-use assets, lease liabilities, short-term, and lease liabilities, long-term are presented as part of the right-of-use asset and lease liability on the unaudited condensed consolidated balance sheets.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Debt Facility</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 Senior Partner at Victory Park Capital Advisors, LLC, an affiliate of Victory Park Management, LLC which is the provider of the Debt Facility, joined the board of directors of the Company upon closing of the Business Combination. For more information about the Debt Facility, refer to Note 10, Debt Facility.</w:t>
      </w:r>
    </w:p>
    <w:p>
      <w:pPr>
        <w:pStyle w:val="TextBody"/>
        <w:bidi w:val="0"/>
        <w:jc w:val="left"/>
        <w:rPr>
          <w:rFonts w:ascii="Times New Roman" w:hAnsi="Times New Roman"/>
          <w:sz w:val="20"/>
        </w:rPr>
      </w:pPr>
      <w:r>
        <w:rPr>
          <w:rFonts w:ascii="Times New Roman" w:hAnsi="Times New Roman"/>
          <w:b w:val="false"/>
          <w:color w:val="000000"/>
          <w:sz w:val="20"/>
        </w:rPr>
        <w:br/>
      </w:r>
      <w:r>
        <w:rPr>
          <w:rFonts w:ascii="Times New Roman" w:hAnsi="Times New Roman"/>
          <w:color w:val="000000"/>
          <w:sz w:val="20"/>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17 401(k) Savings Plan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maintains a 401(k) savings plan for the benefit of its employees. Employees can defer up to 90% of their compensation subject to fixed annual limits. All current employees are eligible to participate in the 401(k) savings plan. Beginning January 2021, the Company began matching contributions to the 401(k) savings plan equal to 100% of the first 4% of wages deferred by each participating employee. The Company incurred expenses for employer matching contributions of $0.5</w:t>
      </w:r>
      <w:r>
        <w:rPr>
          <w:rFonts w:ascii="Times New Roman" w:hAnsi="Times New Roman"/>
          <w:color w:val="000000"/>
          <w:sz w:val="20"/>
        </w:rPr>
        <w:t xml:space="preserve"> </w:t>
      </w:r>
      <w:r>
        <w:rPr>
          <w:rFonts w:ascii="Times New Roman" w:hAnsi="Times New Roman"/>
          <w:b w:val="false"/>
          <w:color w:val="000000"/>
          <w:sz w:val="20"/>
        </w:rPr>
        <w:t>million and $1.6</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and $0.5</w:t>
      </w:r>
      <w:r>
        <w:rPr>
          <w:rFonts w:ascii="Times New Roman" w:hAnsi="Times New Roman"/>
          <w:color w:val="000000"/>
          <w:sz w:val="20"/>
        </w:rPr>
        <w:t xml:space="preserve"> </w:t>
      </w:r>
      <w:r>
        <w:rPr>
          <w:rFonts w:ascii="Times New Roman" w:hAnsi="Times New Roman"/>
          <w:b w:val="false"/>
          <w:color w:val="000000"/>
          <w:sz w:val="20"/>
        </w:rPr>
        <w:t>million and $1.4</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Subsequent Events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Subsequent events are events or transactions that occur after the unaudited condensed consolidated balance sheet date, but before the unaudited condensed consolidated financial statements are available to be issued. The Company recognizes in the unaudited condensed consolidated financial statements the effects of all subsequent events that provide additional evidence about conditions that existed at the date of the unaudited condensed consolidated balance sheet, including the estimates inherent in the process of preparing the unaudited condensed consolidated financial statements. The Company’s unaudited condensed consolidated financial statements do not recognize subsequent events that provide evidence about conditions that did not exist at the date of the unaudited condensed consolidated balance sheet but arose after the unaudited condensed consolidated balance sheet date and before the unaudited condensed consolidated financial statements were available to be issued.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tem2_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The following discussion and analysis of the Company’s financial condition and results of operations should be read in conjunction with our unaudited condensed consolidated financial statements and the notes related thereto which are included elsewhere in this report.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our Annual Report on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story of David vs. Goliath, the small underdog is able to outsmart and defeat his larger adversary. This is the spirit behind the name “Dave.” We have built an integrated and fully digital financial services platform that provides millions of Americans with seamless access to a variety of intuitive financial products at a fraction of the cost and with much greater transparency and higher speed to value than that of the legacy financial services incumbents, such as traditional banks, credit unions and independent finance companies. Our mission is to build products that level the financial playing field. Our near-term strategy is focused on delivering a superior banking experience for anyone living paycheck to paycheck.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Based on our observation and analysis of Member data, legacy financial institutions charge high fees for consumer banking and other financial services products, which disproportionately burdens tens of millions of Americans who can least afford them. We witness this dynamic playing out with our Members who we believe are on average paying between $300-$400 per year in overdraft fees, maintenance and other fees to their existing bank for basic checking services.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Further, we see a significant opportunity to address the broader short-term credit market. According to a report by The Financial Health Network (“FHN”), legacy financial institutions charge approximately $30 billion in fees annually. The FHN estimates that financially “coping” and “vulnerable” populations pay over $160 billion a year in fees and interest for access to short-term credit. Our prospective Member opportunity is also significant. We estimate that our total addressable market consists of between 160 million to 180 million Americans who are in need of financial stability and are either not served or underserved by legacy financial institutions.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Dave offers a suite of innovative financial products aimed at helping our Members improve their financial health. To help Members avoid punitive overdraft fees and access short-term liquidity, Dave offers cash advances through its flagship 0% interest ExtraCash product. Through Dave Banking, we provide a digital checking account experience, seamlessly integrated with ExtraCash advances, with no hidden fees. With a Dave Banking account, Members have access to valuable tools for building long-term financial health, such as Goals savings accounts and customizable automatic round-up savings on debit spend transactions. We also help Members generate extra income for spending or emergencies through i) the annual percentage yield ("APY") interest we pay on both savings accounts and demand deposit accounts for our Members; ii) our Side Hustle product, where we present Members with supplemental work opportunities; and iii) our Surveys product, where Members can earn supplemental income by taking surveys. Our budgeting tool helps Members manage their upcoming bills to avoid overspending.</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val="false"/>
          <w:color w:val="000000"/>
          <w:sz w:val="24"/>
        </w:rPr>
        <w:br/>
      </w:r>
      <w:r>
        <w:rPr>
          <w:rFonts w:ascii="Times New Roman" w:hAnsi="Times New Roman"/>
          <w:b w:val="false"/>
          <w:color w:val="000000"/>
          <w:sz w:val="20"/>
        </w:rPr>
        <w:t>We have only begun to address the many inequities in financial services, but our progress to date demonstrates the demand for Dave to rewire the financial system for the everyday person. As of the date of this report, nearly ten million Members have opened accounts on the Dave app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Comparability of Financial Information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results of operations and financial position may not be comparable to historical results as a result of the consummation of the Business Combination.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Factors Affecting Operating Results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future operating results and cash flows are dependent upon a number of opportunities, challenges and other factors, including Member growth and activity, product expansion, competition, industry trends and general economic conditions.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Member Growth and Activity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ability to continue to offer attractive products and services and the success of our Member acquisition, retention and reactivation efforts.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Product Expansion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Competition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ExtraCash business, competition for deposits in and debit card spending from our Dave Banking product from traditional banks and digital banking products and competition for subscribers to our personal financial management tools.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Components of Statements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Basis of Presentation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Currently, we conduct business through one operating segment which constitutes a single reportable segment. For more information about our basis of presentation, refer to Note 2 in the accompanying unaudited condensed consolidated financial statements of Dave included in this report.</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Service Based Revenue,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and revenue share from our surveys partner.</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Transaction Based Revenue, Net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Transaction based revenue, net primarily consists of interchange and ATM revenues from our Checking Product, net of interchange and ATM-related fees, fees earned from funding and withdrawal-related transactions, volume support from a certain co-branded agreement, fees earned related to the Rewards Product for Members who make debit card spending transactions at participating merchants and deposit referral fees and are recognized at the point in time the transactions occur, as the performance obligations are satisfied and the variable consideration is not constrained.</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Operating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classify our operating expenses into the following five categories: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Provision for Credit Losses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provision for credit losses primarily consists of an allowance for expected credit losses at a level estimated to be adequate to absorb credit losses inherent in the outstanding advances receivable, inclusive of outstanding processing fees and tips along with outstanding amounts aged over 120 days or which become uncollectible based on information available to us during the period. We currently estimate the allowance balance required using historical loss and collections experience, and, if relevant, the nature and volume of the portfolio, economic conditions, and other factors such as collections trends and cash collections received subsequent to the balance sheet date. Changes to the allowance have a direct impact on the provision for credit losses in the unaudited condensed consolidated statement of operations. We consider advances aged more than 120 days or which become uncollectible based on information available to us as impaired. All impaired advances are deemed uncollectible and subsequently written off and are a direct reduction to the allowance for credit losses. Subsequent recoveries, if any, of Member advances written-off are recorded as a reduction to Member advances, resulting in a reduction to the allowance for credit losses and a corresponding reduction to the provision for credit losses in the unaudited condensed consolidated statements of operations when collected.</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Processing and Servicing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Advertising and Marketing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Advertising and marketing expenses consist primarily of fees we pay to our advertising and marketing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Compensation and Benefits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Other Operating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operating expenses consist primarily of technology and infrastructure (third-party Software as a Service or “SaaS”), commitments to charity, transaction based costs (program expenses, association fees, processor fees, losses from Member-disputed transactions, bank card fees and fraud-related costs),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utilities, office-related expenses, general and recurring legal fees, public relations costs, and insurance vary based upon our investment in infrastructure, business development, risk management and internal controls and are generally not correlated with our operating revenues or other transaction metrics.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Other (Income)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Other (income) expenses consist of interest income, interest expense, other strategic financing and transactional expenses, earnout liabilities fair value adjustments, derivative asset fair value adjustments, and changes in fair value of warrant liabilities.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Provision for Income Taxes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Provision for income taxes consists of the federal and state corporate income taxes accrued based on income resulting from the sale of our services.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Months Ended September 30, 2023 and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Operating revenues</w:t>
      </w:r>
    </w:p>
    <w:p>
      <w:pPr>
        <w:pStyle w:val="TextBody"/>
        <w:bidi w:val="0"/>
        <w:jc w:val="left"/>
        <w:rPr/>
      </w:pPr>
      <w:r>
        <w:rPr/>
        <w:t> </w:t>
      </w:r>
    </w:p>
    <w:tbl>
      <w:tblPr>
        <w:tblW w:w="8881" w:type="dxa"/>
        <w:jc w:val="left"/>
        <w:tblInd w:w="0" w:type="dxa"/>
        <w:tblLayout w:type="fixed"/>
        <w:tblCellMar>
          <w:top w:w="28" w:type="dxa"/>
          <w:left w:w="28" w:type="dxa"/>
          <w:bottom w:w="28" w:type="dxa"/>
          <w:right w:w="28" w:type="dxa"/>
        </w:tblCellMar>
      </w:tblPr>
      <w:tblGrid>
        <w:gridCol w:w="3271"/>
        <w:gridCol w:w="146"/>
        <w:gridCol w:w="259"/>
        <w:gridCol w:w="829"/>
        <w:gridCol w:w="179"/>
        <w:gridCol w:w="179"/>
        <w:gridCol w:w="259"/>
        <w:gridCol w:w="829"/>
        <w:gridCol w:w="146"/>
        <w:gridCol w:w="146"/>
        <w:gridCol w:w="252"/>
        <w:gridCol w:w="753"/>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based revenue, net</w:t>
            </w:r>
          </w:p>
        </w:tc>
        <w:tc>
          <w:tcPr>
            <w:tcW w:w="146"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1088"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Processing fees, net</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39,166</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Tips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14,548</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17,497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(2,949</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Subscriptions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5,119</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346</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314</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based revenue, net</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6,632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65,811</w:t>
            </w:r>
          </w:p>
        </w:tc>
        <w:tc>
          <w:tcPr>
            <w:tcW w:w="17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56,807</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5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9,004</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4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Service based revenue, net—</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Processing fees,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Processing fees, net of processor costs associated with advance disbursements, for the three months ended September 30, 2023 were $39.2 million, an increase of $9.4 million, or 31%, from $29.8 million for the three months ended September 30, 2022. The increase was primarily attributable to increases in monthly transacting members and increases in total advance volume from approximately $757 million to approximately $932 million period over period along with individual average advance amounts that increased from $131 to $147 for the three months ended September 30, 2022 and September 30, 2023, respectively. Processing fees tend to increase as advance volume increases but may not always trend ratably as processing fees vary depending on the total amount of the advance. The percentage of Members that paid a processing fee to expedite an advance decreased slightly for the three months ended September 30, 2023 as compared to the three months ended September 30, 2022. The average processing fees Members paid to expedite these advances increased modestly for the three months ended September 30, 2023 as compared to the three months ended September30, 2022.</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Tips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Tips for the three months ended September 30, 2023 were $14.6 million, a decrease of $2.9 million, or 17%, from $17.5 million for the three months ended September 30, 2022. The decrease was primarily attributable to lower tip engagement from our Members, offset by an increase in the average tip amounts from Members. Tip amounts may not always trend ratably with advance volume as tips often vary depending on the total amount of the advance and the level of tip engagement from our Members.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Subscriptions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Subscriptions for the three months ended September 30, 2023 were $5.1 million, a decrease of $0.1 million, or 1%, from $5.2 million for the three months ended September 30, 2022. The decrease was primarily attributable to slightly lower Member engagement on our platform.</w:t>
      </w:r>
    </w:p>
    <w:p>
      <w:pPr>
        <w:pStyle w:val="TextBody"/>
        <w:bidi w:val="0"/>
        <w:spacing w:before="360" w:after="283"/>
        <w:jc w:val="left"/>
        <w:rPr>
          <w:rFonts w:ascii="Times New Roman" w:hAnsi="Times New Roman"/>
          <w:sz w:val="20"/>
        </w:rPr>
      </w:pPr>
      <w:r>
        <w:rPr>
          <w:rFonts w:ascii="Times New Roman" w:hAnsi="Times New Roman"/>
          <w:b w:val="false"/>
          <w:i/>
          <w:color w:val="000000"/>
          <w:sz w:val="20"/>
        </w:rPr>
        <w:t>Transaction based revenue, net</w:t>
      </w:r>
      <w:r>
        <w:rPr>
          <w:rFonts w:ascii="Times New Roman" w:hAnsi="Times New Roman"/>
          <w:color w:val="000000"/>
          <w:sz w:val="20"/>
        </w:rPr>
        <w:t>—</w:t>
      </w:r>
      <w:r>
        <w:rPr>
          <w:rFonts w:ascii="Times New Roman" w:hAnsi="Times New Roman"/>
          <w:b w:val="false"/>
          <w:color w:val="000000"/>
          <w:sz w:val="20"/>
        </w:rPr>
        <w:t>Transaction based revenue, net for the three months ended September 30, 2023 was $6.6 million, an increase of $2.6 million, or 65% from $4.0 million, for the three months ended September 30, 2022. The increase was primarily attributable to interchange revenue earned from the growth in Members engaging with our Checking Product and card spend of $341 million for the three months ended September 30, 2023, an increase of 73%, from $197 million for the three months ended September 30, 2022.</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Operating expenses</w:t>
      </w:r>
    </w:p>
    <w:p>
      <w:pPr>
        <w:pStyle w:val="TextBody"/>
        <w:bidi w:val="0"/>
        <w:jc w:val="left"/>
        <w:rPr/>
      </w:pPr>
      <w:r>
        <w:rPr/>
        <w:t> </w:t>
      </w:r>
    </w:p>
    <w:tbl>
      <w:tblPr>
        <w:tblW w:w="8881" w:type="dxa"/>
        <w:jc w:val="left"/>
        <w:tblInd w:w="0" w:type="dxa"/>
        <w:tblLayout w:type="fixed"/>
        <w:tblCellMar>
          <w:top w:w="28" w:type="dxa"/>
          <w:left w:w="28" w:type="dxa"/>
          <w:bottom w:w="28" w:type="dxa"/>
          <w:right w:w="28" w:type="dxa"/>
        </w:tblCellMar>
      </w:tblPr>
      <w:tblGrid>
        <w:gridCol w:w="3271"/>
        <w:gridCol w:w="146"/>
        <w:gridCol w:w="259"/>
        <w:gridCol w:w="829"/>
        <w:gridCol w:w="179"/>
        <w:gridCol w:w="179"/>
        <w:gridCol w:w="259"/>
        <w:gridCol w:w="829"/>
        <w:gridCol w:w="146"/>
        <w:gridCol w:w="146"/>
        <w:gridCol w:w="224"/>
        <w:gridCol w:w="781"/>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15,983</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18,353</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(2,370</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Processing and servicing costs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7,064</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Advertising and marketing</w:t>
            </w:r>
          </w:p>
        </w:tc>
        <w:tc>
          <w:tcPr>
            <w:tcW w:w="146"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13,914</w:t>
            </w:r>
          </w:p>
        </w:tc>
        <w:tc>
          <w:tcPr>
            <w:tcW w:w="179" w:type="dxa"/>
            <w:tcBorders/>
            <w:shd w:fill="B6DEE8" w:val="cle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24,090</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(10,176</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 and benefits</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23,081</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operating expenses</w:t>
            </w:r>
          </w:p>
        </w:tc>
        <w:tc>
          <w:tcPr>
            <w:tcW w:w="146" w:type="dxa"/>
            <w:tcBorders/>
            <w:shd w:fill="B6DEE8" w:val="cle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16,343</w:t>
            </w:r>
          </w:p>
        </w:tc>
        <w:tc>
          <w:tcPr>
            <w:tcW w:w="1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79" w:type="dxa"/>
            <w:tcBorders/>
            <w:shd w:fill="B6DEE8" w:val="clear"/>
            <w:vAlign w:val="center"/>
          </w:tcPr>
          <w:p>
            <w:pPr>
              <w:pStyle w:val="TableContents"/>
              <w:bidi w:val="0"/>
              <w:spacing w:before="0" w:after="283"/>
              <w:jc w:val="left"/>
              <w:rPr/>
            </w:pPr>
            <w:r>
              <w:rPr/>
              <w:t> </w:t>
            </w:r>
          </w:p>
        </w:tc>
        <w:tc>
          <w:tcPr>
            <w:tcW w:w="25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18,498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(2,155</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76,385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94,729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Provision for credit losses</w:t>
      </w:r>
      <w:r>
        <w:rPr>
          <w:rFonts w:ascii="Times New Roman" w:hAnsi="Times New Roman"/>
          <w:color w:val="000000"/>
          <w:sz w:val="20"/>
        </w:rPr>
        <w:t>—</w:t>
      </w:r>
      <w:r>
        <w:rPr>
          <w:rFonts w:ascii="Times New Roman" w:hAnsi="Times New Roman"/>
          <w:b w:val="false"/>
          <w:color w:val="000000"/>
          <w:sz w:val="20"/>
        </w:rPr>
        <w:t>The provision for credit losses totaled $16.0 million for the three months ended September 30, 2023, compared to $18.4 million for the three months ended September 30, 2022. The decrease of $2.4 million, or 13%, was primarily attributable to an increase in provision expense of $0.6 million related to Member advances aged over 120 days and those that have become uncollectible based on information available to us, offset by a decrease in provision expense of $3.0 million related to Member advances aged 120 days and under.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increase in provision expense of $0.6 million related to Member advances aged over 120 days and those which have become uncollectible based on information available to us, period over period, was primarily driven by the increase in total advance volume from $757 million during the third quarter of 2022 to $932 million during the third quarter of 2023, the period which includes those advances aged over 120 days as of September 30, 2023. All impaired advances deemed uncollectible are subsequently written-off and are a direct reduction to the allowance for credit losses.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decrease in provision expense related to Member advances aged 120 days and under was primarily attributed to improved collections performance for the three months ended September 30, 2023 compared to the three months ended September 30, 2022 along with outstanding advances related to increases in advance volume associated with the Company's 2022 advertising campaigns. We anticipate fluctuations in Member advances outstanding each period as they are directly correlated with the timing and volume of the disbursements and collections of Member advances during the period.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three months ended September 30, 2023, overall loss and collections experience of Member advances improved compared to the three months ended September 30, 2022. The historical loss rates utilized in the calculation of the allowance for credit losses remained relatively consistent period over period. Any changes to our historical loss and collections experience directly affects the historical loss rates utilized in the calculation of the allowance for credit losses. The changes in the allowance for credit losses, period over period, has a direct impact on the provision for credit losses expense.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information on the aging of Member advances and a rollforward of the allowance for credit losses, refer to the tables in Note 5 Member Cash Advances, Net in the accompanying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Processing and service costs</w:t>
      </w:r>
      <w:r>
        <w:rPr>
          <w:rFonts w:ascii="Times New Roman" w:hAnsi="Times New Roman"/>
          <w:color w:val="000000"/>
          <w:sz w:val="20"/>
        </w:rPr>
        <w:t>—</w:t>
      </w:r>
      <w:r>
        <w:rPr>
          <w:rFonts w:ascii="Times New Roman" w:hAnsi="Times New Roman"/>
          <w:b w:val="false"/>
          <w:color w:val="000000"/>
          <w:sz w:val="20"/>
        </w:rPr>
        <w:t>Processing and servicing costs totaled $7.1 million for the three months ended September 30, 2023, compared to $9.5 million for the three months ended September 30, 2022. The decrease of $2.4 million, or 26%, was primarily attributable to certain payment flow optimizations and cost savings related to price reductions from our processors.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Advertising and marketing</w:t>
      </w:r>
      <w:r>
        <w:rPr>
          <w:rFonts w:ascii="Times New Roman" w:hAnsi="Times New Roman"/>
          <w:color w:val="000000"/>
          <w:sz w:val="20"/>
        </w:rPr>
        <w:t>—</w:t>
      </w:r>
      <w:r>
        <w:rPr>
          <w:rFonts w:ascii="Times New Roman" w:hAnsi="Times New Roman"/>
          <w:b w:val="false"/>
          <w:color w:val="000000"/>
          <w:sz w:val="20"/>
        </w:rPr>
        <w:t>Advertising and marketing expenses totaled $13.9 million for the three months ended September 30, 2023, compared to $24.1 million for the three months ended September 30, 2022. The decrease of $10.2 million, or 42%, was primarily attributable to an optimization of advertising efforts and decreased advertising, marketing, production and promotional spend across various social media platforms and television.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Compensation and benefits</w:t>
      </w:r>
      <w:r>
        <w:rPr>
          <w:rFonts w:ascii="Times New Roman" w:hAnsi="Times New Roman"/>
          <w:color w:val="000000"/>
          <w:sz w:val="20"/>
        </w:rPr>
        <w:t>—</w:t>
      </w:r>
      <w:r>
        <w:rPr>
          <w:rFonts w:ascii="Times New Roman" w:hAnsi="Times New Roman"/>
          <w:b w:val="false"/>
          <w:color w:val="000000"/>
          <w:sz w:val="20"/>
        </w:rPr>
        <w:t>Compensation and benefits expenses totaled $23.1 million for the three months ended September 30, 2023, compared to $24.3 million for the three months ended September 30, 2022. The decrease of $1.2 million, or 5%,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increase in payroll and related costs of $0.7 million, primarily due to hiring and increased headcount throughout the business, bonuses, benefits and severance payments;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decrease in stock-based compensation of $1.3 million, primarily due to restricted stock units granted during the second fiscal quarter of 2022;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contractor and consulting fees of $0.6 million.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Other operating expenses</w:t>
      </w:r>
      <w:r>
        <w:rPr>
          <w:rFonts w:ascii="Times New Roman" w:hAnsi="Times New Roman"/>
          <w:color w:val="000000"/>
          <w:sz w:val="20"/>
        </w:rPr>
        <w:t>—</w:t>
      </w:r>
      <w:r>
        <w:rPr>
          <w:rFonts w:ascii="Times New Roman" w:hAnsi="Times New Roman"/>
          <w:b w:val="false"/>
          <w:color w:val="000000"/>
          <w:sz w:val="20"/>
        </w:rPr>
        <w:t>Other operating expenses totaled $16.3 million for the three months ended September 30, 2023, compared to $18.5 million for the three months ended September 30, 2022. The decrease of $2.2 million, or 12%,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expenses related to our Checking Product of $0.7 million, primarily attributable to processing fees, card fees and fraud related costs associated with the growth in Members and the number of transactions processed;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decrease in legal fees of $0.2 million primarily due to ongoing settlement, litigation, compliance, employment and general corporate related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 decrease in insurance related costs of $0.9 million, primarily related to lower director and officer, general liability and cyber insurance premiums;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depreciation and amortization of $1.0 million, primarily due to accelerated amortization resulting from the change in useful life of a certain intangible asset during the nine months ended September 2022, partially offset by increased amortization of other internally capitalized project costs and depreciation related to leasehold improvements and equipment purchases;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rent expense of $1.0 million, due to a reduction in leased office space.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Other (income)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0"/>
        <w:gridCol w:w="146"/>
        <w:gridCol w:w="262"/>
        <w:gridCol w:w="784"/>
        <w:gridCol w:w="205"/>
        <w:gridCol w:w="181"/>
        <w:gridCol w:w="262"/>
        <w:gridCol w:w="784"/>
        <w:gridCol w:w="166"/>
        <w:gridCol w:w="146"/>
        <w:gridCol w:w="248"/>
        <w:gridCol w:w="741"/>
        <w:gridCol w:w="166"/>
        <w:gridCol w:w="146"/>
        <w:gridCol w:w="225"/>
        <w:gridCol w:w="742"/>
        <w:gridCol w:w="321"/>
      </w:tblGrid>
      <w:tr>
        <w:trPr/>
        <w:tc>
          <w:tcPr>
            <w:tcW w:w="4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46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8"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4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B6DEE8" w:val="cle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(1,332</w:t>
            </w:r>
          </w:p>
        </w:tc>
        <w:tc>
          <w:tcPr>
            <w:tcW w:w="205"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1" w:type="dxa"/>
            <w:tcBorders/>
            <w:shd w:fill="B6DEE8" w:val="cle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(1,171</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48"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32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3,057</w:t>
            </w:r>
          </w:p>
        </w:tc>
        <w:tc>
          <w:tcPr>
            <w:tcW w:w="20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settlement and litigation expenses</w:t>
            </w:r>
          </w:p>
        </w:tc>
        <w:tc>
          <w:tcPr>
            <w:tcW w:w="146" w:type="dxa"/>
            <w:tcBorders/>
            <w:shd w:fill="B6DEE8" w:val="cle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pPr>
            <w:r>
              <w:rPr/>
              <w:t> </w:t>
            </w:r>
          </w:p>
        </w:tc>
        <w:tc>
          <w:tcPr>
            <w:tcW w:w="7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B6DEE8" w:val="clear"/>
            <w:vAlign w:val="center"/>
          </w:tcPr>
          <w:p>
            <w:pPr>
              <w:pStyle w:val="TableContents"/>
              <w:bidi w:val="0"/>
              <w:spacing w:before="0" w:after="283"/>
              <w:jc w:val="left"/>
              <w:rPr/>
            </w:pPr>
            <w:r>
              <w:rPr/>
              <w:t> </w:t>
            </w:r>
          </w:p>
        </w:tc>
        <w:tc>
          <w:tcPr>
            <w:tcW w:w="181" w:type="dxa"/>
            <w:tcBorders/>
            <w:shd w:fill="B6DEE8" w:val="cle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pPr>
            <w:r>
              <w:rPr/>
              <w:t> </w:t>
            </w:r>
          </w:p>
        </w:tc>
        <w:tc>
          <w:tcPr>
            <w:tcW w:w="7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8" w:type="dxa"/>
            <w:tcBorders/>
            <w:shd w:fill="B6DEE8" w:val="clear"/>
            <w:vAlign w:val="center"/>
          </w:tcPr>
          <w:p>
            <w:pPr>
              <w:pStyle w:val="TableContents"/>
              <w:bidi w:val="0"/>
              <w:spacing w:before="0" w:after="283"/>
              <w:jc w:val="left"/>
              <w:rPr/>
            </w:pPr>
            <w:r>
              <w:rPr/>
              <w:t> </w:t>
            </w:r>
          </w:p>
        </w:tc>
        <w:tc>
          <w:tcPr>
            <w:tcW w:w="74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strategic financing and transactional expenses</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20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earnout liabilities</w:t>
            </w:r>
          </w:p>
        </w:tc>
        <w:tc>
          <w:tcPr>
            <w:tcW w:w="146" w:type="dxa"/>
            <w:tcBorders/>
            <w:shd w:fill="B6DEE8" w:val="cle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pPr>
            <w:r>
              <w:rPr/>
              <w:t> </w:t>
            </w:r>
          </w:p>
        </w:tc>
        <w:tc>
          <w:tcPr>
            <w:tcW w:w="7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205" w:type="dxa"/>
            <w:tcBorders/>
            <w:shd w:fill="B6DEE8" w:val="clear"/>
            <w:vAlign w:val="center"/>
          </w:tcPr>
          <w:p>
            <w:pPr>
              <w:pStyle w:val="TableContents"/>
              <w:bidi w:val="0"/>
              <w:spacing w:before="0" w:after="283"/>
              <w:jc w:val="left"/>
              <w:rPr/>
            </w:pPr>
            <w:r>
              <w:rPr/>
              <w:t> </w:t>
            </w:r>
          </w:p>
        </w:tc>
        <w:tc>
          <w:tcPr>
            <w:tcW w:w="181" w:type="dxa"/>
            <w:tcBorders/>
            <w:shd w:fill="B6DEE8" w:val="cle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pPr>
            <w:r>
              <w:rPr/>
              <w:t> </w:t>
            </w:r>
          </w:p>
        </w:tc>
        <w:tc>
          <w:tcPr>
            <w:tcW w:w="784"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8" w:type="dxa"/>
            <w:tcBorders/>
            <w:shd w:fill="B6DEE8" w:val="clear"/>
            <w:vAlign w:val="center"/>
          </w:tcPr>
          <w:p>
            <w:pPr>
              <w:pStyle w:val="TableContents"/>
              <w:bidi w:val="0"/>
              <w:spacing w:before="0" w:after="283"/>
              <w:jc w:val="left"/>
              <w:rPr/>
            </w:pPr>
            <w:r>
              <w:rPr/>
              <w:t> </w:t>
            </w:r>
          </w:p>
        </w:tc>
        <w:tc>
          <w:tcPr>
            <w:tcW w:w="74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32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public and private warrant liabilities</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81"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1,470</w:t>
            </w:r>
          </w:p>
        </w:tc>
        <w:tc>
          <w:tcPr>
            <w:tcW w:w="205"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81" w:type="dxa"/>
            <w:tcBorders/>
            <w:shd w:fill="B6DEE8" w:val="clear"/>
            <w:vAlign w:val="center"/>
          </w:tcPr>
          <w:p>
            <w:pPr>
              <w:pStyle w:val="TableContents"/>
              <w:bidi w:val="0"/>
              <w:spacing w:before="0" w:after="283"/>
              <w:jc w:val="left"/>
              <w:rPr/>
            </w:pPr>
            <w:r>
              <w:rPr/>
              <w:t> </w:t>
            </w:r>
          </w:p>
        </w:tc>
        <w:tc>
          <w:tcPr>
            <w:tcW w:w="262"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9,556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48"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(8,086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5" w:type="dxa"/>
            <w:tcBorders/>
            <w:shd w:fill="B6DEE8" w:val="clear"/>
            <w:vAlign w:val="center"/>
          </w:tcPr>
          <w:p>
            <w:pPr>
              <w:pStyle w:val="TableContents"/>
              <w:bidi w:val="0"/>
              <w:spacing w:before="0" w:after="283"/>
              <w:jc w:val="left"/>
              <w:rPr/>
            </w:pPr>
            <w:r>
              <w:rPr/>
              <w:t> </w:t>
            </w:r>
          </w:p>
        </w:tc>
        <w:tc>
          <w:tcPr>
            <w:tcW w:w="74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w:t>
            </w:r>
          </w:p>
        </w:tc>
        <w:tc>
          <w:tcPr>
            <w:tcW w:w="32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4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8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Interest income</w:t>
      </w:r>
      <w:r>
        <w:rPr>
          <w:rFonts w:ascii="Times New Roman" w:hAnsi="Times New Roman"/>
          <w:color w:val="000000"/>
          <w:sz w:val="20"/>
        </w:rPr>
        <w:t xml:space="preserve">— </w:t>
      </w:r>
      <w:r>
        <w:rPr>
          <w:rFonts w:ascii="Times New Roman" w:hAnsi="Times New Roman"/>
          <w:b w:val="false"/>
          <w:color w:val="000000"/>
          <w:sz w:val="20"/>
        </w:rPr>
        <w:t>Interest income totaled $1.3 million for the three months ended September 30, 2023, compared to $1.2 million for three months ended September 30, 2022. The increase of $0.2 million, or 14%, was primarily attributable to a full quarter of interest earned from yields on short-term investments and marketable securities purchased during the quarter ended September 30, 2022 for the quarter ended September 30, 2023 compared to a partial quarter for the quarter ended September 30, 2022.</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r>
        <w:rPr>
          <w:rFonts w:ascii="Times New Roman" w:hAnsi="Times New Roman"/>
          <w:b w:val="false"/>
          <w:color w:val="000000"/>
          <w:sz w:val="20"/>
        </w:rPr>
        <w:t>Interest expense totaled $3.1 million for the three months ended September 30, 2023, compared to $2.4 million for the three months ended September 30, 2022. The increase of $0.7 million, or 27%, was primarily attributable to higher interest rates and interest on increased borrowings from the delayed draw senior secured loan facility (the “Debt Facility”) which Dave OD Funding I, LLC (“Dave OD”) entered into during January 2021.</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Legal Settlement and litigation expenses</w:t>
      </w:r>
      <w:r>
        <w:rPr>
          <w:rFonts w:ascii="Times New Roman" w:hAnsi="Times New Roman"/>
          <w:color w:val="000000"/>
          <w:sz w:val="20"/>
        </w:rPr>
        <w:t xml:space="preserve">— </w:t>
      </w:r>
      <w:r>
        <w:rPr>
          <w:rFonts w:ascii="Times New Roman" w:hAnsi="Times New Roman"/>
          <w:b w:val="false"/>
          <w:color w:val="000000"/>
          <w:sz w:val="20"/>
        </w:rPr>
        <w:t>Legal settlement and litigation expenses totaled $0 for the three months ended September 30, 2023, compared to $6.8 million for the three months ended September 30, 2022. The decrease of $6.8 million, or 100%, was primarily attributable to the settlement of the Martinsek v. Dave Inc. case (“Martinsek”) and termination of the Whalerock v. Dave, Inc. case (“Whalerock”) that occurred during the three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Other strategic financing and transactional expenses</w:t>
      </w:r>
      <w:r>
        <w:rPr>
          <w:rFonts w:ascii="Times New Roman" w:hAnsi="Times New Roman"/>
          <w:color w:val="000000"/>
          <w:sz w:val="20"/>
        </w:rPr>
        <w:t>—</w:t>
      </w:r>
      <w:r>
        <w:rPr>
          <w:rFonts w:ascii="Times New Roman" w:hAnsi="Times New Roman"/>
          <w:b w:val="false"/>
          <w:color w:val="000000"/>
          <w:sz w:val="20"/>
        </w:rPr>
        <w:t>Other strategic financing and transactional expenses totaled $0 for the three months ended September 30, 2023, compared to $2.2</w:t>
      </w:r>
      <w:r>
        <w:rPr>
          <w:rFonts w:ascii="Times New Roman" w:hAnsi="Times New Roman"/>
          <w:color w:val="FF00FF"/>
          <w:sz w:val="20"/>
        </w:rPr>
        <w:t xml:space="preserve"> </w:t>
      </w:r>
      <w:r>
        <w:rPr>
          <w:rFonts w:ascii="Times New Roman" w:hAnsi="Times New Roman"/>
          <w:b w:val="false"/>
          <w:color w:val="000000"/>
          <w:sz w:val="20"/>
        </w:rPr>
        <w:t>million for the three months ended September 30, 2022.</w:t>
      </w:r>
      <w:r>
        <w:rPr>
          <w:rFonts w:ascii="Times New Roman" w:hAnsi="Times New Roman"/>
          <w:color w:val="000000"/>
          <w:sz w:val="20"/>
        </w:rPr>
        <w:t xml:space="preserve"> </w:t>
      </w:r>
      <w:r>
        <w:rPr>
          <w:rFonts w:ascii="Times New Roman" w:hAnsi="Times New Roman"/>
          <w:b w:val="false"/>
          <w:color w:val="000000"/>
          <w:sz w:val="20"/>
        </w:rPr>
        <w:t>The decrease of $2.2 million was related to certain one-time strategic opportunities in addition to certain one-time post-closing expenses associated with the Business Combination that occurred during the three months ended September 30, 2022.</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Changes in fair value of warrant liability</w:t>
      </w:r>
      <w:r>
        <w:rPr>
          <w:rFonts w:ascii="Times New Roman" w:hAnsi="Times New Roman"/>
          <w:color w:val="000000"/>
          <w:sz w:val="20"/>
        </w:rPr>
        <w:t>—</w:t>
      </w:r>
      <w:r>
        <w:rPr>
          <w:rFonts w:ascii="Times New Roman" w:hAnsi="Times New Roman"/>
          <w:b w:val="false"/>
          <w:color w:val="000000"/>
          <w:sz w:val="20"/>
        </w:rPr>
        <w:t>Changes in fair value of warrant liability totaled a benefit of $0.3 million for the three months ended September 30, 2023, compared to a benefit of $0.7 million for the three months ended September 30, 2022. The decrease of $0.5 million, or 66%, was primarily attributable to fair value adjustments associated with certain public and private warrant liabilities due to decreases in our underlying Class A Common Stock price over the last 12 months.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Provision for income taxes</w:t>
      </w:r>
    </w:p>
    <w:p>
      <w:pPr>
        <w:pStyle w:val="TextBody"/>
        <w:bidi w:val="0"/>
        <w:jc w:val="left"/>
        <w:rPr/>
      </w:pPr>
      <w:r>
        <w:rPr/>
        <w:t> </w:t>
      </w:r>
    </w:p>
    <w:tbl>
      <w:tblPr>
        <w:tblW w:w="8881" w:type="dxa"/>
        <w:jc w:val="left"/>
        <w:tblInd w:w="0" w:type="dxa"/>
        <w:tblLayout w:type="fixed"/>
        <w:tblCellMar>
          <w:top w:w="28" w:type="dxa"/>
          <w:left w:w="28" w:type="dxa"/>
          <w:bottom w:w="28" w:type="dxa"/>
          <w:right w:w="28" w:type="dxa"/>
        </w:tblCellMar>
      </w:tblPr>
      <w:tblGrid>
        <w:gridCol w:w="3271"/>
        <w:gridCol w:w="146"/>
        <w:gridCol w:w="431"/>
        <w:gridCol w:w="431"/>
        <w:gridCol w:w="298"/>
        <w:gridCol w:w="298"/>
        <w:gridCol w:w="431"/>
        <w:gridCol w:w="645"/>
        <w:gridCol w:w="146"/>
        <w:gridCol w:w="146"/>
        <w:gridCol w:w="361"/>
        <w:gridCol w:w="644"/>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5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8" w:type="dxa"/>
            <w:tcBorders/>
            <w:shd w:fill="FFFFFF" w:val="clear"/>
            <w:vAlign w:val="center"/>
          </w:tcPr>
          <w:p>
            <w:pPr>
              <w:pStyle w:val="TableContents"/>
              <w:bidi w:val="0"/>
              <w:spacing w:before="0" w:after="283"/>
              <w:jc w:val="center"/>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4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29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98" w:type="dxa"/>
            <w:tcBorders/>
            <w:shd w:fill="B6DEE8" w:val="clear"/>
            <w:vAlign w:val="center"/>
          </w:tcPr>
          <w:p>
            <w:pPr>
              <w:pStyle w:val="TableContents"/>
              <w:bidi w:val="0"/>
              <w:spacing w:before="0" w:after="283"/>
              <w:jc w:val="left"/>
              <w:rPr/>
            </w:pPr>
            <w:r>
              <w:rPr/>
              <w:t> </w:t>
            </w:r>
          </w:p>
        </w:tc>
        <w:tc>
          <w:tcPr>
            <w:tcW w:w="43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62" w:type="dxa"/>
            <w:gridSpan w:val="2"/>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107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Provision for income taxes for the three months ended September 30, 2023 decreased by approximately $0.02 million, or 67%, compared to the three months ended September 30, 2022. This decrease was primarily due to a decrease in state taxes, including gross margin state taxes, resulting from a favorable ruling by the Texas Supreme Court regarding the determination of state sourced service income.</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Nine Months Ended September 30, 2023 and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Operating revenues</w:t>
      </w:r>
    </w:p>
    <w:p>
      <w:pPr>
        <w:pStyle w:val="TextBody"/>
        <w:bidi w:val="0"/>
        <w:spacing w:before="120" w:after="283"/>
        <w:jc w:val="left"/>
        <w:rPr/>
      </w:pPr>
      <w:r>
        <w:rPr/>
        <w:t> </w:t>
      </w:r>
    </w:p>
    <w:tbl>
      <w:tblPr>
        <w:tblW w:w="8759" w:type="dxa"/>
        <w:jc w:val="left"/>
        <w:tblInd w:w="0" w:type="dxa"/>
        <w:tblLayout w:type="fixed"/>
        <w:tblCellMar>
          <w:top w:w="28" w:type="dxa"/>
          <w:left w:w="28" w:type="dxa"/>
          <w:bottom w:w="28" w:type="dxa"/>
          <w:right w:w="28" w:type="dxa"/>
        </w:tblCellMar>
      </w:tblPr>
      <w:tblGrid>
        <w:gridCol w:w="3271"/>
        <w:gridCol w:w="146"/>
        <w:gridCol w:w="223"/>
        <w:gridCol w:w="829"/>
        <w:gridCol w:w="154"/>
        <w:gridCol w:w="154"/>
        <w:gridCol w:w="223"/>
        <w:gridCol w:w="829"/>
        <w:gridCol w:w="146"/>
        <w:gridCol w:w="146"/>
        <w:gridCol w:w="239"/>
        <w:gridCol w:w="766"/>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based revenue, net</w:t>
            </w:r>
          </w:p>
        </w:tc>
        <w:tc>
          <w:tcPr>
            <w:tcW w:w="146" w:type="dxa"/>
            <w:tcBorders/>
            <w:shd w:fill="B6DEE8" w:val="clear"/>
            <w:vAlign w:val="center"/>
          </w:tcPr>
          <w:p>
            <w:pPr>
              <w:pStyle w:val="TableContents"/>
              <w:bidi w:val="0"/>
              <w:spacing w:before="0" w:after="283"/>
              <w:jc w:val="left"/>
              <w:rPr/>
            </w:pPr>
            <w:r>
              <w:rPr/>
              <w:t> </w:t>
            </w:r>
          </w:p>
        </w:tc>
        <w:tc>
          <w:tcPr>
            <w:tcW w:w="1052" w:type="dxa"/>
            <w:gridSpan w:val="2"/>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1052" w:type="dxa"/>
            <w:gridSpan w:val="2"/>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1005" w:type="dxa"/>
            <w:gridSpan w:val="2"/>
            <w:tcBorders/>
            <w:shd w:fill="B6DEE8" w:val="clear"/>
            <w:vAlign w:val="center"/>
          </w:tcPr>
          <w:p>
            <w:pPr>
              <w:pStyle w:val="TableContents"/>
              <w:bidi w:val="0"/>
              <w:spacing w:before="0" w:after="283"/>
              <w:jc w:val="left"/>
              <w:rPr/>
            </w:pPr>
            <w:r>
              <w:rPr/>
              <w:t> </w:t>
            </w:r>
          </w:p>
        </w:tc>
        <w:tc>
          <w:tcPr>
            <w:tcW w:w="316" w:type="dxa"/>
            <w:tcBorders/>
            <w:shd w:fill="B6DEE8" w:val="cle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Processing fees, net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108,153</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Tips</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41,447</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45,991</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(4,544</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Subscriptions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16,150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shd w:fill="B6DEE8" w:val="clear"/>
            <w:vAlign w:val="center"/>
          </w:tcPr>
          <w:p>
            <w:pPr>
              <w:pStyle w:val="TableContents"/>
              <w:bidi w:val="0"/>
              <w:spacing w:before="0" w:after="283"/>
              <w:jc w:val="left"/>
              <w:rPr/>
            </w:pPr>
            <w:r>
              <w:rPr/>
              <w:t> </w:t>
            </w:r>
          </w:p>
        </w:tc>
        <w:tc>
          <w:tcPr>
            <w:tcW w:w="76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Transaction based revenue, net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19,234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185,974</w:t>
            </w:r>
          </w:p>
        </w:tc>
        <w:tc>
          <w:tcPr>
            <w:tcW w:w="15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145,163</w:t>
            </w:r>
          </w:p>
        </w:tc>
        <w:tc>
          <w:tcPr>
            <w:tcW w:w="14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9"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40,811</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Service based revenue, net—</w:t>
      </w:r>
      <w:r>
        <w:rPr>
          <w:rFonts w:ascii="Times New Roman" w:hAnsi="Times New Roman"/>
          <w:color w:val="000000"/>
          <w:sz w:val="20"/>
        </w:rPr>
        <w:t xml:space="preserve"> </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Processing fees,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Processing fees, net of processor costs associated with advance disbursements, for the nine months ended September 30, 2023 were $108.1 million, an increase of $33.5 million, or 45%, from $74.6 million for the nine months ended September 30, 2022. The increase was primarily attributable to increases in monthly transacting members and increases in total advance volume from approximately $1,908 million to approximately $2,597 million period over period along with average individual advance amounts that increased from $130 to $152 for nine months ended September 30, 2022 and 2023, respectively. Processing fees tend to increase as advance volume increases but may not always trend ratably as processing fees vary depending on the total amount of the advance. The percentage of Members that paid a processing fee to expedite an advance decreased slightly for the nine months ended September 30, 2023 as compared to the nine months ended September 30, 2022. The average processing fees Members paid to expedite these advances increased modestly for the nine months ended September 30, 2023 as compared to the nine months ended September 30, 2022.</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Tips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Tips for the nine months ended September 30, 2023 were $41.4 million, a decrease of $4.5 million, or 10%, from $46.0 million for the nine months ended September 30, 2022. The decrease was primarily attributable to lower tip engagement from Members, offset by an increase in the average tip amounts from Members. Tip amounts may not always trend ratably with advance volume as tips often vary depending on the total amount of the advance and the level of tip engagement from our Members.</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Subscriptions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Subscriptions for the nine months ended September 30, 2023 were $16.2 million, an increase of $2.5 million, or 18%, from $13.7 million for the nine months ended September 30, 2022. The increase was primarily attributable to higher Member engagement on our platform.</w:t>
      </w:r>
    </w:p>
    <w:p>
      <w:pPr>
        <w:pStyle w:val="TextBody"/>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Transaction based revenue, net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Transaction based revenue, net for the nine months ended September 30, 2023 was $19.2 million, an increase of $9.1 million, or 90% from $10.1 million, for the nine months ended September 30, 2022. The increase was primarily attributable to interchange revenue earned from the growth in Members engaging with our Checking Product and card spend of $940 million for the nine months ended September 30, 2023, an increase of 71%, from $550 million for the nine months ended September 30,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Operating expenses</w:t>
      </w:r>
    </w:p>
    <w:p>
      <w:pPr>
        <w:pStyle w:val="TextBody"/>
        <w:bidi w:val="0"/>
        <w:spacing w:before="360" w:after="283"/>
        <w:jc w:val="left"/>
        <w:rPr/>
      </w:pPr>
      <w:r>
        <w:rPr/>
        <w:t> </w:t>
      </w:r>
    </w:p>
    <w:tbl>
      <w:tblPr>
        <w:tblW w:w="8759" w:type="dxa"/>
        <w:jc w:val="left"/>
        <w:tblInd w:w="0" w:type="dxa"/>
        <w:tblLayout w:type="fixed"/>
        <w:tblCellMar>
          <w:top w:w="28" w:type="dxa"/>
          <w:left w:w="28" w:type="dxa"/>
          <w:bottom w:w="28" w:type="dxa"/>
          <w:right w:w="28" w:type="dxa"/>
        </w:tblCellMar>
      </w:tblPr>
      <w:tblGrid>
        <w:gridCol w:w="3271"/>
        <w:gridCol w:w="146"/>
        <w:gridCol w:w="223"/>
        <w:gridCol w:w="829"/>
        <w:gridCol w:w="154"/>
        <w:gridCol w:w="154"/>
        <w:gridCol w:w="223"/>
        <w:gridCol w:w="829"/>
        <w:gridCol w:w="146"/>
        <w:gridCol w:w="146"/>
        <w:gridCol w:w="224"/>
        <w:gridCol w:w="781"/>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credit losses</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43,861</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45,995</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(2,134</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Processing and servicing costs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21,414</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23,627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Advertising and marketing</w:t>
            </w:r>
          </w:p>
        </w:tc>
        <w:tc>
          <w:tcPr>
            <w:tcW w:w="146"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38,370</w:t>
            </w:r>
          </w:p>
        </w:tc>
        <w:tc>
          <w:tcPr>
            <w:tcW w:w="154" w:type="dxa"/>
            <w:tcBorders/>
            <w:shd w:fill="B6DEE8" w:val="cle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shd w:fill="B6DEE8" w:val="clear"/>
            <w:vAlign w:val="center"/>
          </w:tcPr>
          <w:p>
            <w:pPr>
              <w:pStyle w:val="TableContents"/>
              <w:bidi w:val="0"/>
              <w:spacing w:before="0" w:after="283"/>
              <w:jc w:val="left"/>
              <w:rPr/>
            </w:pPr>
            <w:r>
              <w:rPr/>
              <w:t> </w:t>
            </w:r>
          </w:p>
        </w:tc>
        <w:tc>
          <w:tcPr>
            <w:tcW w:w="8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57,087</w:t>
            </w:r>
          </w:p>
        </w:tc>
        <w:tc>
          <w:tcPr>
            <w:tcW w:w="14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shd w:fill="B6DEE8" w:val="clear"/>
            <w:vAlign w:val="center"/>
          </w:tcPr>
          <w:p>
            <w:pPr>
              <w:pStyle w:val="TableContents"/>
              <w:bidi w:val="0"/>
              <w:spacing w:before="0" w:after="283"/>
              <w:jc w:val="left"/>
              <w:rPr/>
            </w:pPr>
            <w:r>
              <w:rPr/>
              <w:t> </w:t>
            </w:r>
          </w:p>
        </w:tc>
        <w:tc>
          <w:tcPr>
            <w:tcW w:w="78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(18,717</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Compensation and benefits</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71,380</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(9,946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operating expenses</w:t>
            </w:r>
          </w:p>
        </w:tc>
        <w:tc>
          <w:tcPr>
            <w:tcW w:w="146" w:type="dxa"/>
            <w:tcBorders/>
            <w:shd w:fill="B6DEE8" w:val="clear"/>
            <w:vAlign w:val="center"/>
          </w:tcPr>
          <w:p>
            <w:pPr>
              <w:pStyle w:val="TableContents"/>
              <w:bidi w:val="0"/>
              <w:spacing w:before="0" w:after="283"/>
              <w:jc w:val="left"/>
              <w:rPr/>
            </w:pPr>
            <w:r>
              <w:rP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54,922</w:t>
            </w:r>
          </w:p>
        </w:tc>
        <w:tc>
          <w:tcPr>
            <w:tcW w:w="15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4" w:type="dxa"/>
            <w:tcBorders/>
            <w:shd w:fill="B6DEE8" w:val="clear"/>
            <w:vAlign w:val="center"/>
          </w:tcPr>
          <w:p>
            <w:pPr>
              <w:pStyle w:val="TableContents"/>
              <w:bidi w:val="0"/>
              <w:spacing w:before="0" w:after="283"/>
              <w:jc w:val="left"/>
              <w:rPr/>
            </w:pPr>
            <w:r>
              <w:rPr/>
              <w:t> </w:t>
            </w:r>
          </w:p>
        </w:tc>
        <w:tc>
          <w:tcPr>
            <w:tcW w:w="22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50,738</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4,184</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229,947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Provision for credit losses</w:t>
      </w:r>
      <w:r>
        <w:rPr>
          <w:rFonts w:ascii="Times New Roman" w:hAnsi="Times New Roman"/>
          <w:color w:val="000000"/>
          <w:sz w:val="20"/>
        </w:rPr>
        <w:t>—</w:t>
      </w:r>
      <w:r>
        <w:rPr>
          <w:rFonts w:ascii="Times New Roman" w:hAnsi="Times New Roman"/>
          <w:b w:val="false"/>
          <w:color w:val="000000"/>
          <w:sz w:val="20"/>
        </w:rPr>
        <w:t>The provision for credit losses totaled $43.9 million for the nine months ended September 3, 2023, compared to $46.0 million for the nine months ended September 30, 2022. The decrease of $2.1 million, or 5%, was primarily attributable to an increase in provision expense of $12.7 million related to Member advances aged over 120 days and those that have become uncollectible based on information available to us, offset by a decrease in provision expense of $14.9 million related to Member advances aged 120 days and under.</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increase in provision expense of $12.7 million related to Member advances aged over 120 days and those which have become uncollectible based on information available to us, period over period, was primarily driven by an increase in total advance volume from $1,908 million during the nine months ended September 30, 2022 to $2,597 million during the nine months ended September 30, 2023. All impaired advances deemed uncollectible are subsequently written-off and are a direct reduction to the allowance for credit losses.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decrease in provision expense related to Member advances aged 120 days and under was primarily attributed to strong collections performance during the nine months ended September 30, 2023. The strong collections performance was due in large part to the positive seasonal effects of tax refunds on our Members during the first four months of 2023 and improvements made in the underwriting process improving collections during the nine months ended September 30, 2023. This resulted in a decrease in Member advances outstanding as of September 30, 2023 when compared to the December 31, 2022 and a resulting decrease in provision expense for the period due to improved collections performance during the nine months ended September 30, 2023. We noted the opposite dynamic during the nine months ended September 30, 2022 as Member advances outstanding exceeded Member advances outstanding as of December 31, 2021, primarily due to increases in advance volume related to the advertising campaign during the summer of 2022. This resulted in an increase in the provision expense for the nine months ended September 30, 2022. We anticipate fluctuations in Member advances outstanding each period as they are directly correlated with the timing and volume of the disbursements and collections of Member advances during the period.</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loss and collections experience of Member advances improved compared to the nine months ended September 30, 2022. The historical loss rates utilized in the calculation of the allowance for credit losses remained relatively consistent period over period. Any changes to our historical loss and collections experience directly affects the historical loss rates utilized in the calculation of the allowance for credit losses. The changes in the allowance for credit losses, period over period, has a direct impact on the provision for credit losses expense.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For information on the aging of Member advances and a rollforward of the allowance for credit losses, refer to the tables in Note 5 Member Cash Advances, Net in the accompanying unaudited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Processing and service costs</w:t>
      </w:r>
      <w:r>
        <w:rPr>
          <w:rFonts w:ascii="Times New Roman" w:hAnsi="Times New Roman"/>
          <w:color w:val="000000"/>
          <w:sz w:val="20"/>
        </w:rPr>
        <w:t>—</w:t>
      </w:r>
      <w:r>
        <w:rPr>
          <w:rFonts w:ascii="Times New Roman" w:hAnsi="Times New Roman"/>
          <w:b w:val="false"/>
          <w:color w:val="000000"/>
          <w:sz w:val="20"/>
        </w:rPr>
        <w:t>Processing and servicing costs totaled $21.4 million for the nine months ended September 30, 2023, compared to $23.6 million for the nine months ended September 30, 2022. The decrease of $2.2 million, or 9%, was primarily attributable to the increase in advance volume from $1,908 million during the nine months ended September 30, 2022 to $2,597 million during the nine months ended September 30, 2023, offset by certain payment flow optimizations and cost savings related to price reductions from our processors.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Advertising and marketing</w:t>
      </w:r>
      <w:r>
        <w:rPr>
          <w:rFonts w:ascii="Times New Roman" w:hAnsi="Times New Roman"/>
          <w:color w:val="000000"/>
          <w:sz w:val="20"/>
        </w:rPr>
        <w:t>—</w:t>
      </w:r>
      <w:r>
        <w:rPr>
          <w:rFonts w:ascii="Times New Roman" w:hAnsi="Times New Roman"/>
          <w:b w:val="false"/>
          <w:color w:val="000000"/>
          <w:sz w:val="20"/>
        </w:rPr>
        <w:t>Advertising and marketing expenses totaled $38.4 million for the nine months ended September 30, 2023, compared to $57.1 million for the nine months ended September 30, 2022. The decrease of $18.7 million, or 33%, was primarily attributable to an optimization of advertising efforts and decreased advertising, marketing, production and promotional spend across various social media platforms and television.</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Compensation and benefits</w:t>
      </w:r>
      <w:r>
        <w:rPr>
          <w:rFonts w:ascii="Times New Roman" w:hAnsi="Times New Roman"/>
          <w:color w:val="000000"/>
          <w:sz w:val="20"/>
        </w:rPr>
        <w:t>—</w:t>
      </w:r>
      <w:r>
        <w:rPr>
          <w:rFonts w:ascii="Times New Roman" w:hAnsi="Times New Roman"/>
          <w:b w:val="false"/>
          <w:color w:val="000000"/>
          <w:sz w:val="20"/>
        </w:rPr>
        <w:t>Compensation and benefits expenses totaled $71.4 million for the nine months ended September 30, 2023, compared to $81.3 million for the nine months ended September 30, 2022. The decrease of $10.1 million, or 12%,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 increase in payroll and related costs of $5.9 million, primarily due to hiring and increased headcount throughout the business, bonuses, benefits and severance payments; offset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stock-based compensation of $13.9 million, primarily due to restricted stock units granted during the nine months ended September 30, 2023;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contractor and consulting fees of $1.9 million.</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Other operating expenses</w:t>
      </w:r>
      <w:r>
        <w:rPr>
          <w:rFonts w:ascii="Times New Roman" w:hAnsi="Times New Roman"/>
          <w:color w:val="000000"/>
          <w:sz w:val="20"/>
        </w:rPr>
        <w:t>—</w:t>
      </w:r>
      <w:r>
        <w:rPr>
          <w:rFonts w:ascii="Times New Roman" w:hAnsi="Times New Roman"/>
          <w:b w:val="false"/>
          <w:color w:val="000000"/>
          <w:sz w:val="20"/>
        </w:rPr>
        <w:t>Other operating expenses totaled $54.9 million for the nine months ended September 30, 2023, compared to $50.7 million for the nine months ended September 30, 2022. The increase of $4.2 million, or 8%, was primarily attributable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legal fees of $5.0 million primarily due to ongoing settlement, litigation, compliance, employment and general corporate related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 increase in expenses related to our Checking Product of $3.3 million, primarily attributable to processing fees, card fees and fraud related costs associated with the growth in Members and the number of transactions processed; 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val="false"/>
          <w:color w:val="000000"/>
          <w:sz w:val="20"/>
        </w:rPr>
        <w:t>an increase in charitable contribution expenses of $1.3</w:t>
      </w:r>
      <w:r>
        <w:rPr>
          <w:color w:val="FF00FF"/>
        </w:rPr>
        <w:t xml:space="preserve"> </w:t>
      </w:r>
      <w:r>
        <w:rPr>
          <w:rFonts w:ascii="Times New Roman" w:hAnsi="Times New Roman"/>
          <w:b w:val="false"/>
          <w:color w:val="000000"/>
          <w:sz w:val="20"/>
        </w:rPr>
        <w:t>million, primarily due to amounts pledged to charitable meal donations related to Members’ tips; offset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insurance related costs of $2.6 million, primarily related to lower director and officer, general liability and cyber insurance premiums;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rent expense of $1.8 million, due to a reduction in leased office space;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decrease in depreciation and amortization of $1.4 million, primarily due to accelerated amortization resulting from the change in useful life of a certain intangible asset during the nine months ended September 2022, partially offset by increased amortization of other internally capitalized project costs and depreciation related to leasehold improvements and equipment purchases.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Other (income) expense</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812"/>
        <w:gridCol w:w="146"/>
        <w:gridCol w:w="237"/>
        <w:gridCol w:w="711"/>
        <w:gridCol w:w="186"/>
        <w:gridCol w:w="163"/>
        <w:gridCol w:w="237"/>
        <w:gridCol w:w="830"/>
        <w:gridCol w:w="166"/>
        <w:gridCol w:w="146"/>
        <w:gridCol w:w="234"/>
        <w:gridCol w:w="753"/>
        <w:gridCol w:w="166"/>
        <w:gridCol w:w="146"/>
        <w:gridCol w:w="221"/>
        <w:gridCol w:w="729"/>
        <w:gridCol w:w="322"/>
      </w:tblGrid>
      <w:tr>
        <w:trPr/>
        <w:tc>
          <w:tcPr>
            <w:tcW w:w="4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48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3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income</w:t>
            </w:r>
          </w:p>
        </w:tc>
        <w:tc>
          <w:tcPr>
            <w:tcW w:w="146"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1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(4,009</w:t>
            </w:r>
          </w:p>
        </w:tc>
        <w:tc>
          <w:tcPr>
            <w:tcW w:w="1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(1,831</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34"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5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(2,178</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1" w:type="dxa"/>
            <w:tcBorders/>
            <w:shd w:fill="B6DEE8" w:val="clear"/>
            <w:vAlign w:val="center"/>
          </w:tcPr>
          <w:p>
            <w:pPr>
              <w:pStyle w:val="TableContents"/>
              <w:bidi w:val="0"/>
              <w:spacing w:before="0" w:after="283"/>
              <w:jc w:val="left"/>
              <w:rPr/>
            </w:pPr>
            <w:r>
              <w:rPr/>
              <w:t> </w:t>
            </w:r>
          </w:p>
        </w:tc>
        <w:tc>
          <w:tcPr>
            <w:tcW w:w="7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119</w:t>
            </w:r>
          </w:p>
        </w:tc>
        <w:tc>
          <w:tcPr>
            <w:tcW w:w="32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8,982</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w:t>
            </w:r>
          </w:p>
        </w:tc>
        <w:tc>
          <w:tcPr>
            <w:tcW w:w="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settlement and litigation expenses</w:t>
            </w:r>
          </w:p>
        </w:tc>
        <w:tc>
          <w:tcPr>
            <w:tcW w:w="146"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pPr>
            <w:r>
              <w:rPr/>
              <w:t> </w:t>
            </w:r>
          </w:p>
        </w:tc>
        <w:tc>
          <w:tcPr>
            <w:tcW w:w="71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B6DEE8" w:val="clear"/>
            <w:vAlign w:val="center"/>
          </w:tcPr>
          <w:p>
            <w:pPr>
              <w:pStyle w:val="TableContents"/>
              <w:bidi w:val="0"/>
              <w:spacing w:before="0" w:after="283"/>
              <w:jc w:val="left"/>
              <w:rPr/>
            </w:pPr>
            <w:r>
              <w:rPr/>
              <w:t> </w:t>
            </w:r>
          </w:p>
        </w:tc>
        <w:tc>
          <w:tcPr>
            <w:tcW w:w="163"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pPr>
            <w:r>
              <w:rPr/>
              <w:t> </w:t>
            </w:r>
          </w:p>
        </w:tc>
        <w:tc>
          <w:tcPr>
            <w:tcW w:w="83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4"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1" w:type="dxa"/>
            <w:tcBorders/>
            <w:shd w:fill="B6DEE8" w:val="clear"/>
            <w:vAlign w:val="center"/>
          </w:tcPr>
          <w:p>
            <w:pPr>
              <w:pStyle w:val="TableContents"/>
              <w:bidi w:val="0"/>
              <w:spacing w:before="0" w:after="283"/>
              <w:jc w:val="left"/>
              <w:rPr/>
            </w:pPr>
            <w:r>
              <w:rPr/>
              <w:t> </w:t>
            </w:r>
          </w:p>
        </w:tc>
        <w:tc>
          <w:tcPr>
            <w:tcW w:w="7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strategic financing and transactional expenses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earnout liabilities</w:t>
            </w:r>
          </w:p>
        </w:tc>
        <w:tc>
          <w:tcPr>
            <w:tcW w:w="146"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pPr>
            <w:r>
              <w:rPr/>
              <w:t> </w:t>
            </w:r>
          </w:p>
        </w:tc>
        <w:tc>
          <w:tcPr>
            <w:tcW w:w="71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pPr>
            <w:r>
              <w:rPr/>
              <w:t> </w:t>
            </w:r>
          </w:p>
        </w:tc>
        <w:tc>
          <w:tcPr>
            <w:tcW w:w="83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(9,616</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34"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9,581</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1" w:type="dxa"/>
            <w:tcBorders/>
            <w:shd w:fill="B6DEE8" w:val="clear"/>
            <w:vAlign w:val="center"/>
          </w:tcPr>
          <w:p>
            <w:pPr>
              <w:pStyle w:val="TableContents"/>
              <w:bidi w:val="0"/>
              <w:spacing w:before="0" w:after="283"/>
              <w:jc w:val="left"/>
              <w:rPr/>
            </w:pPr>
            <w:r>
              <w:rPr/>
              <w:t> </w:t>
            </w:r>
          </w:p>
        </w:tc>
        <w:tc>
          <w:tcPr>
            <w:tcW w:w="7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extinguishment of liability</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derivative asset on loans to stockholders</w:t>
            </w:r>
          </w:p>
        </w:tc>
        <w:tc>
          <w:tcPr>
            <w:tcW w:w="146"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pPr>
            <w:r>
              <w:rPr/>
              <w:t> </w:t>
            </w:r>
          </w:p>
        </w:tc>
        <w:tc>
          <w:tcPr>
            <w:tcW w:w="711"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86" w:type="dxa"/>
            <w:tcBorders/>
            <w:shd w:fill="B6DEE8" w:val="clear"/>
            <w:vAlign w:val="center"/>
          </w:tcPr>
          <w:p>
            <w:pPr>
              <w:pStyle w:val="TableContents"/>
              <w:bidi w:val="0"/>
              <w:spacing w:before="0" w:after="283"/>
              <w:jc w:val="left"/>
              <w:rPr/>
            </w:pPr>
            <w:r>
              <w:rPr/>
              <w:t> </w:t>
            </w:r>
          </w:p>
        </w:tc>
        <w:tc>
          <w:tcPr>
            <w:tcW w:w="163" w:type="dxa"/>
            <w:tcBorders/>
            <w:shd w:fill="B6DEE8" w:val="clear"/>
            <w:vAlign w:val="center"/>
          </w:tcPr>
          <w:p>
            <w:pPr>
              <w:pStyle w:val="TableContents"/>
              <w:bidi w:val="0"/>
              <w:spacing w:before="0" w:after="283"/>
              <w:jc w:val="left"/>
              <w:rPr/>
            </w:pPr>
            <w:r>
              <w:rPr/>
              <w:t> </w:t>
            </w:r>
          </w:p>
        </w:tc>
        <w:tc>
          <w:tcPr>
            <w:tcW w:w="237" w:type="dxa"/>
            <w:tcBorders/>
            <w:shd w:fill="B6DEE8" w:val="clear"/>
            <w:vAlign w:val="center"/>
          </w:tcPr>
          <w:p>
            <w:pPr>
              <w:pStyle w:val="TableContents"/>
              <w:bidi w:val="0"/>
              <w:spacing w:before="0" w:after="283"/>
              <w:jc w:val="left"/>
              <w:rPr/>
            </w:pPr>
            <w:r>
              <w:rPr/>
              <w:t> </w:t>
            </w:r>
          </w:p>
        </w:tc>
        <w:tc>
          <w:tcPr>
            <w:tcW w:w="83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w:t>
            </w:r>
          </w:p>
        </w:tc>
        <w:tc>
          <w:tcPr>
            <w:tcW w:w="166" w:type="dxa"/>
            <w:tcBorders/>
            <w:shd w:fill="B6DEE8" w:val="cle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34" w:type="dxa"/>
            <w:tcBorders/>
            <w:shd w:fill="B6DEE8" w:val="clear"/>
            <w:vAlign w:val="center"/>
          </w:tcPr>
          <w:p>
            <w:pPr>
              <w:pStyle w:val="TableContents"/>
              <w:bidi w:val="0"/>
              <w:spacing w:before="0" w:after="283"/>
              <w:jc w:val="left"/>
              <w:rPr/>
            </w:pPr>
            <w:r>
              <w:rPr/>
              <w:t> </w:t>
            </w:r>
          </w:p>
        </w:tc>
        <w:tc>
          <w:tcPr>
            <w:tcW w:w="753"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w:t>
            </w:r>
          </w:p>
        </w:tc>
        <w:tc>
          <w:tcPr>
            <w:tcW w:w="16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21" w:type="dxa"/>
            <w:tcBorders/>
            <w:shd w:fill="B6DEE8" w:val="clear"/>
            <w:vAlign w:val="center"/>
          </w:tcPr>
          <w:p>
            <w:pPr>
              <w:pStyle w:val="TableContents"/>
              <w:bidi w:val="0"/>
              <w:spacing w:before="0" w:after="283"/>
              <w:jc w:val="left"/>
              <w:rPr/>
            </w:pPr>
            <w:r>
              <w:rPr/>
              <w:t> </w:t>
            </w:r>
          </w:p>
        </w:tc>
        <w:tc>
          <w:tcPr>
            <w:tcW w:w="7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w:t>
            </w:r>
          </w:p>
        </w:tc>
        <w:tc>
          <w:tcPr>
            <w:tcW w:w="32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public and private warrant liabilities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3"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-98</w:t>
            </w:r>
          </w:p>
        </w:tc>
        <w:tc>
          <w:tcPr>
            <w:tcW w:w="32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812" w:type="dxa"/>
            <w:tcBorders/>
            <w:shd w:fill="B6DEE8"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6DEE8" w:val="clear"/>
            <w:vAlign w:val="center"/>
          </w:tcPr>
          <w:p>
            <w:pPr>
              <w:pStyle w:val="TableContents"/>
              <w:bidi w:val="0"/>
              <w:spacing w:before="0" w:after="283"/>
              <w:jc w:val="left"/>
              <w:rPr/>
            </w:pPr>
            <w:r>
              <w:rPr/>
              <w:t> </w:t>
            </w:r>
          </w:p>
        </w:tc>
        <w:tc>
          <w:tcPr>
            <w:tcW w:w="23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11"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4,699</w:t>
            </w:r>
          </w:p>
        </w:tc>
        <w:tc>
          <w:tcPr>
            <w:tcW w:w="18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63" w:type="dxa"/>
            <w:tcBorders/>
            <w:shd w:fill="B6DEE8" w:val="clear"/>
            <w:vAlign w:val="center"/>
          </w:tcPr>
          <w:p>
            <w:pPr>
              <w:pStyle w:val="TableContents"/>
              <w:bidi w:val="0"/>
              <w:spacing w:before="0" w:after="283"/>
              <w:jc w:val="left"/>
              <w:rPr/>
            </w:pPr>
            <w:r>
              <w:rPr/>
              <w:t> </w:t>
            </w:r>
          </w:p>
        </w:tc>
        <w:tc>
          <w:tcPr>
            <w:tcW w:w="237"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0"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(6,266</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34"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3"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10,965</w:t>
            </w:r>
          </w:p>
        </w:tc>
        <w:tc>
          <w:tcPr>
            <w:tcW w:w="166" w:type="dxa"/>
            <w:tcBorders>
              <w:bottom w:val="double" w:sz="6"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221" w:type="dxa"/>
            <w:tcBorders/>
            <w:shd w:fill="B6DEE8" w:val="clear"/>
            <w:vAlign w:val="center"/>
          </w:tcPr>
          <w:p>
            <w:pPr>
              <w:pStyle w:val="TableContents"/>
              <w:bidi w:val="0"/>
              <w:spacing w:before="0" w:after="283"/>
              <w:jc w:val="left"/>
              <w:rPr/>
            </w:pPr>
            <w:r>
              <w:rPr/>
              <w:t> </w:t>
            </w:r>
          </w:p>
        </w:tc>
        <w:tc>
          <w:tcPr>
            <w:tcW w:w="72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32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360" w:after="283"/>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Interest income</w:t>
      </w:r>
      <w:r>
        <w:rPr>
          <w:rFonts w:ascii="Times New Roman" w:hAnsi="Times New Roman"/>
          <w:color w:val="000000"/>
          <w:sz w:val="20"/>
        </w:rPr>
        <w:t xml:space="preserve">— </w:t>
      </w:r>
      <w:r>
        <w:rPr>
          <w:rFonts w:ascii="Times New Roman" w:hAnsi="Times New Roman"/>
          <w:b w:val="false"/>
          <w:color w:val="000000"/>
          <w:sz w:val="20"/>
        </w:rPr>
        <w:t>Interest income totaled $4.0 million for the nine months ended September 30, 2023, compared to $1.8 million for nine months ended September 30, 2022. The increase of $2.2 million, or 119%, was primarily attributable to a full nine months of interest earned from yields on short-term investments during the nine months ended September 30, 2023 compared to fewer interest-earning months during the nine months ended September 30, 2022 as our short-term investments were purchased during quarter ended June 30, 2022.</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Interest expense</w:t>
      </w:r>
      <w:r>
        <w:rPr>
          <w:rFonts w:ascii="Times New Roman" w:hAnsi="Times New Roman"/>
          <w:color w:val="000000"/>
          <w:sz w:val="20"/>
        </w:rPr>
        <w:t xml:space="preserve">— </w:t>
      </w:r>
      <w:r>
        <w:rPr>
          <w:rFonts w:ascii="Times New Roman" w:hAnsi="Times New Roman"/>
          <w:b w:val="false"/>
          <w:color w:val="000000"/>
          <w:sz w:val="20"/>
        </w:rPr>
        <w:t>Interest expense totaled $9.0 million for the nine months ended September 30, 2023, compared to $6.2 million for the nine months ended September 30, 2022. The increase of $2.7 million, or 44%, was primarily attributable to higher interest rates and interest on increased borrowings under the Debt Facility, as well as interest related to the note with FTX Ventures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Legal Settlement and litigation expenses</w:t>
      </w:r>
      <w:r>
        <w:rPr>
          <w:rFonts w:ascii="Times New Roman" w:hAnsi="Times New Roman"/>
          <w:color w:val="000000"/>
          <w:sz w:val="20"/>
        </w:rPr>
        <w:t>—</w:t>
      </w:r>
      <w:r>
        <w:rPr>
          <w:rFonts w:ascii="Times New Roman" w:hAnsi="Times New Roman"/>
          <w:b w:val="false"/>
          <w:color w:val="000000"/>
          <w:sz w:val="20"/>
        </w:rPr>
        <w:t>Legal settlement and litigation expenses totaled $0 for the nine months ended September 30, 2023, compared to $6.2 million for the nine months ended September 30, 2022. The decrease of $6.2 million, or 100%, was primarily attributable to the Martinsek settlement and the termination of Whalerock that occurred during the nine months ended September 30, 2022.</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Other strategic financing and transactional expenses</w:t>
      </w:r>
      <w:r>
        <w:rPr>
          <w:rFonts w:ascii="Times New Roman" w:hAnsi="Times New Roman"/>
          <w:color w:val="000000"/>
          <w:sz w:val="20"/>
        </w:rPr>
        <w:t>—</w:t>
      </w:r>
      <w:r>
        <w:rPr>
          <w:rFonts w:ascii="Times New Roman" w:hAnsi="Times New Roman"/>
          <w:b w:val="false"/>
          <w:color w:val="000000"/>
          <w:sz w:val="20"/>
        </w:rPr>
        <w:t>Other strategic financing and transactional expenses totaled $0 for the nine months ended September 30, 2023, compared to $5.0 million for the nine months ended September 30, 2022.</w:t>
      </w:r>
      <w:r>
        <w:rPr>
          <w:rFonts w:ascii="Times New Roman" w:hAnsi="Times New Roman"/>
          <w:color w:val="000000"/>
          <w:sz w:val="20"/>
        </w:rPr>
        <w:t xml:space="preserve"> </w:t>
      </w:r>
      <w:r>
        <w:rPr>
          <w:rFonts w:ascii="Times New Roman" w:hAnsi="Times New Roman"/>
          <w:b w:val="false"/>
          <w:color w:val="000000"/>
          <w:sz w:val="20"/>
        </w:rPr>
        <w:t>The decrease of $5.0 million was related to certain one-time strategic opportunities in addition to certain one-time post-closing expenses associated with the Business Combination that occurred during the nine months ended September 30, 2022.</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Changes in fair value of earnout liability</w:t>
      </w:r>
      <w:r>
        <w:rPr>
          <w:rFonts w:ascii="Times New Roman" w:hAnsi="Times New Roman"/>
          <w:color w:val="000000"/>
          <w:sz w:val="20"/>
        </w:rPr>
        <w:t>—</w:t>
      </w:r>
      <w:r>
        <w:rPr>
          <w:rFonts w:ascii="Times New Roman" w:hAnsi="Times New Roman"/>
          <w:b w:val="false"/>
          <w:color w:val="000000"/>
          <w:sz w:val="20"/>
        </w:rPr>
        <w:t>Changes in fair value of earnout liabilities totaled a benefit of $0.03 million for the nine months ended September 30, 2023 compared to $9.6 million for the nine months ended September 30, 2022. The decrease of $9.6 million, or 100%, was primarily attributable to fair value adjustments associated with certain earnout shares liability due to decreases in our underlying Class A Common Stock price over the last 12 months.</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Gain on extinguishment of liability</w:t>
      </w:r>
      <w:r>
        <w:rPr>
          <w:rFonts w:ascii="Times New Roman" w:hAnsi="Times New Roman"/>
          <w:color w:val="000000"/>
          <w:sz w:val="20"/>
        </w:rPr>
        <w:t>—</w:t>
      </w:r>
      <w:r>
        <w:rPr>
          <w:rFonts w:ascii="Times New Roman" w:hAnsi="Times New Roman"/>
          <w:b w:val="false"/>
          <w:color w:val="000000"/>
          <w:sz w:val="20"/>
        </w:rPr>
        <w:t>Gain on extinguishment of liability totaled $0 for the nine months ended September 30, 2023, compared to $4.3 million for the nine months ended September 30, 2022. The decrease of $4.3 million, or 100%, was primarily attributable to the extinguishment of a $7.5 million liability in exchange for shares of our Class A Common Stock during 2022.</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Changes in fair value of derivative asset on loans to stockholders</w:t>
      </w:r>
      <w:r>
        <w:rPr>
          <w:rFonts w:ascii="Times New Roman" w:hAnsi="Times New Roman"/>
          <w:color w:val="000000"/>
          <w:sz w:val="20"/>
        </w:rPr>
        <w:t>—</w:t>
      </w:r>
      <w:r>
        <w:rPr>
          <w:rFonts w:ascii="Times New Roman" w:hAnsi="Times New Roman"/>
          <w:b w:val="false"/>
          <w:color w:val="000000"/>
          <w:sz w:val="20"/>
        </w:rPr>
        <w:t>Changes in fair value of a derivative asset on loans to stockholders totaled $0 for the nine months ended September 30, 2023, compared to an expense of approximately $5.6 million for the nine months ended September 30, 2022. The decrease of approximately $5.6 million, or 100%, was primarily attributable to fair value adjustments associated with options issued in connection with loans to stockholders resulting from a decrease in the underlying fair value of our Class A Common Stock as of the settlement date of the derivative asset in early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i/>
          <w:color w:val="000000"/>
          <w:sz w:val="20"/>
        </w:rPr>
        <w:t>Changes in fair value of warrant liability</w:t>
      </w:r>
      <w:r>
        <w:rPr>
          <w:rFonts w:ascii="Times New Roman" w:hAnsi="Times New Roman"/>
          <w:color w:val="000000"/>
          <w:sz w:val="20"/>
        </w:rPr>
        <w:t>—</w:t>
      </w:r>
      <w:r>
        <w:rPr>
          <w:rFonts w:ascii="Times New Roman" w:hAnsi="Times New Roman"/>
          <w:b w:val="false"/>
          <w:color w:val="000000"/>
          <w:sz w:val="20"/>
        </w:rPr>
        <w:t>Changes in fair value of warrant liability totaled a benefit of $0.2 million for the nine months ended September 30, 2023, compared to a benefit of $14.2 million for the nine months ended September 30, 2022. The decrease of $14.0 million, or 98%, was primarily attributable to fair value adjustments associated with certain public and private warrant liabilities due to decreases in our underlying Class A Common Stock price over the last 12 months.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Provision for income taxes</w:t>
      </w:r>
    </w:p>
    <w:p>
      <w:pPr>
        <w:pStyle w:val="TextBody"/>
        <w:bidi w:val="0"/>
        <w:jc w:val="left"/>
        <w:rPr/>
      </w:pPr>
      <w:r>
        <w:rPr/>
        <w:t> </w:t>
      </w:r>
    </w:p>
    <w:tbl>
      <w:tblPr>
        <w:tblW w:w="8761" w:type="dxa"/>
        <w:jc w:val="left"/>
        <w:tblInd w:w="0" w:type="dxa"/>
        <w:tblLayout w:type="fixed"/>
        <w:tblCellMar>
          <w:top w:w="28" w:type="dxa"/>
          <w:left w:w="28" w:type="dxa"/>
          <w:bottom w:w="28" w:type="dxa"/>
          <w:right w:w="28" w:type="dxa"/>
        </w:tblCellMar>
      </w:tblPr>
      <w:tblGrid>
        <w:gridCol w:w="3271"/>
        <w:gridCol w:w="146"/>
        <w:gridCol w:w="378"/>
        <w:gridCol w:w="567"/>
        <w:gridCol w:w="262"/>
        <w:gridCol w:w="262"/>
        <w:gridCol w:w="378"/>
        <w:gridCol w:w="567"/>
        <w:gridCol w:w="146"/>
        <w:gridCol w:w="146"/>
        <w:gridCol w:w="361"/>
        <w:gridCol w:w="644"/>
        <w:gridCol w:w="166"/>
        <w:gridCol w:w="146"/>
        <w:gridCol w:w="279"/>
        <w:gridCol w:w="72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4"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 except for percentages)</w:t>
            </w:r>
          </w:p>
        </w:tc>
        <w:tc>
          <w:tcPr>
            <w:tcW w:w="146" w:type="dxa"/>
            <w:tcBorders/>
            <w:shd w:fill="FFFFFF" w:val="clear"/>
            <w:vAlign w:val="center"/>
          </w:tcPr>
          <w:p>
            <w:pPr>
              <w:pStyle w:val="TableContents"/>
              <w:bidi w:val="0"/>
              <w:spacing w:before="0" w:after="283"/>
              <w:jc w:val="left"/>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3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26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262" w:type="dxa"/>
            <w:tcBorders/>
            <w:shd w:fill="B6DEE8" w:val="clear"/>
            <w:vAlign w:val="center"/>
          </w:tcPr>
          <w:p>
            <w:pPr>
              <w:pStyle w:val="TableContents"/>
              <w:bidi w:val="0"/>
              <w:spacing w:before="0" w:after="283"/>
              <w:jc w:val="left"/>
              <w:rPr/>
            </w:pPr>
            <w:r>
              <w:rPr/>
              <w:t> </w:t>
            </w:r>
          </w:p>
        </w:tc>
        <w:tc>
          <w:tcPr>
            <w:tcW w:w="37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6DEE8" w:val="clear"/>
            <w:vAlign w:val="center"/>
          </w:tcPr>
          <w:p>
            <w:pPr>
              <w:pStyle w:val="TableContents"/>
              <w:bidi w:val="0"/>
              <w:spacing w:before="0" w:after="283"/>
              <w:jc w:val="left"/>
              <w:rPr/>
            </w:pPr>
            <w:r>
              <w:rPr/>
              <w:t> </w:t>
            </w:r>
          </w:p>
        </w:tc>
        <w:tc>
          <w:tcPr>
            <w:tcW w:w="36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w:t>
            </w:r>
          </w:p>
        </w:tc>
        <w:tc>
          <w:tcPr>
            <w:tcW w:w="16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B6DEE8" w:val="clear"/>
            <w:vAlign w:val="center"/>
          </w:tcPr>
          <w:p>
            <w:pPr>
              <w:pStyle w:val="TableContents"/>
              <w:bidi w:val="0"/>
              <w:spacing w:before="0" w:after="283"/>
              <w:jc w:val="left"/>
              <w:rPr/>
            </w:pPr>
            <w:r>
              <w:rPr/>
              <w:t> </w:t>
            </w:r>
          </w:p>
        </w:tc>
        <w:tc>
          <w:tcPr>
            <w:tcW w:w="279" w:type="dxa"/>
            <w:tcBorders/>
            <w:shd w:fill="B6DEE8" w:val="clear"/>
            <w:vAlign w:val="center"/>
          </w:tcPr>
          <w:p>
            <w:pPr>
              <w:pStyle w:val="TableContents"/>
              <w:bidi w:val="0"/>
              <w:spacing w:before="0" w:after="283"/>
              <w:jc w:val="left"/>
              <w:rPr/>
            </w:pPr>
            <w:r>
              <w:rPr/>
              <w:t> </w:t>
            </w:r>
          </w:p>
        </w:tc>
        <w:tc>
          <w:tcPr>
            <w:tcW w:w="72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1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Provision for income taxes for the nine months ended September 30, 2023 decreased by approximately $0.05 million, or 65%, compared to the nine months ended September 30, 2022. This decrease was primarily due to a decrease in state taxes, including gross margin state taxes, resulting from a favorable ruling by the Texas Supreme Court regarding the determination of state sourced service income.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facilitates an alternative comparison among fiscal periods. The non-GAAP financial measure is not, and should not be viewed as, a substitute for GAAP reporting measures.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Adjusted EBITDA</w:t>
      </w:r>
    </w:p>
    <w:p>
      <w:pPr>
        <w:pStyle w:val="TextBody"/>
        <w:bidi w:val="0"/>
        <w:spacing w:before="120" w:after="283"/>
        <w:jc w:val="left"/>
        <w:rPr/>
      </w:pPr>
      <w:r>
        <w:rPr>
          <w:color w:val="000000"/>
        </w:rPr>
        <w:t>“</w:t>
      </w:r>
      <w:r>
        <w:rPr>
          <w:rFonts w:ascii="Times New Roman" w:hAnsi="Times New Roman"/>
          <w:b w:val="false"/>
          <w:color w:val="000000"/>
          <w:sz w:val="20"/>
        </w:rPr>
        <w:t>Adjusted EBITDA” is defined as net loss adjusted for interest expense, net, provision for income taxes, depreciation and amortization, stock-based compensation and other discretionary items determined by management. Adjusted EBITDA is intended as a</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 The reconciliation of net loss to Adjusted EBITDA below should be reviewed, and no single financial measure should be relied upon to evaluate our business.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reconciles net loss to Adjusted EBITDA for the three months ended September 30, 2023 and 2022, respectively:</w:t>
      </w:r>
    </w:p>
    <w:p>
      <w:pPr>
        <w:pStyle w:val="TextBody"/>
        <w:bidi w:val="0"/>
        <w:jc w:val="left"/>
        <w:rPr/>
      </w:pPr>
      <w:r>
        <w:rPr/>
        <w:t> </w:t>
      </w:r>
    </w:p>
    <w:tbl>
      <w:tblPr>
        <w:tblW w:w="7946" w:type="dxa"/>
        <w:jc w:val="left"/>
        <w:tblInd w:w="0" w:type="dxa"/>
        <w:tblLayout w:type="fixed"/>
        <w:tblCellMar>
          <w:top w:w="28" w:type="dxa"/>
          <w:left w:w="28" w:type="dxa"/>
          <w:bottom w:w="28" w:type="dxa"/>
          <w:right w:w="28" w:type="dxa"/>
        </w:tblCellMar>
      </w:tblPr>
      <w:tblGrid>
        <w:gridCol w:w="5056"/>
        <w:gridCol w:w="146"/>
        <w:gridCol w:w="242"/>
        <w:gridCol w:w="846"/>
        <w:gridCol w:w="190"/>
        <w:gridCol w:w="167"/>
        <w:gridCol w:w="242"/>
        <w:gridCol w:w="846"/>
        <w:gridCol w:w="21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11" w:type="dxa"/>
            <w:tcBorders/>
            <w:shd w:fill="FFFFFF" w:val="cle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5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(12,053</w:t>
            </w:r>
          </w:p>
        </w:tc>
        <w:tc>
          <w:tcPr>
            <w:tcW w:w="19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(47,504</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1,725</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1,232</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2,381</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6,740</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8,026</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settlement and litigation expenses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strategic financing and transactional expenses</w:t>
            </w:r>
          </w:p>
        </w:tc>
        <w:tc>
          <w:tcPr>
            <w:tcW w:w="146"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90" w:type="dxa"/>
            <w:tcBorders/>
            <w:shd w:fill="B6DEE8" w:val="clear"/>
            <w:vAlign w:val="center"/>
          </w:tcPr>
          <w:p>
            <w:pPr>
              <w:pStyle w:val="TableContents"/>
              <w:bidi w:val="0"/>
              <w:spacing w:before="0" w:after="283"/>
              <w:jc w:val="left"/>
              <w:rPr/>
            </w:pPr>
            <w:r>
              <w:rPr/>
              <w:t> </w:t>
            </w:r>
          </w:p>
        </w:tc>
        <w:tc>
          <w:tcPr>
            <w:tcW w:w="167" w:type="dxa"/>
            <w:tcBorders/>
            <w:shd w:fill="B6DEE8" w:val="clear"/>
            <w:vAlign w:val="center"/>
          </w:tcPr>
          <w:p>
            <w:pPr>
              <w:pStyle w:val="TableContents"/>
              <w:bidi w:val="0"/>
              <w:spacing w:before="0" w:after="283"/>
              <w:jc w:val="left"/>
              <w:rPr/>
            </w:pPr>
            <w:r>
              <w:rPr/>
              <w:t> </w:t>
            </w:r>
          </w:p>
        </w:tc>
        <w:tc>
          <w:tcPr>
            <w:tcW w:w="242" w:type="dxa"/>
            <w:tcBorders/>
            <w:shd w:fill="B6DEE8" w:val="clear"/>
            <w:vAlign w:val="center"/>
          </w:tcPr>
          <w:p>
            <w:pPr>
              <w:pStyle w:val="TableContents"/>
              <w:bidi w:val="0"/>
              <w:spacing w:before="0" w:after="283"/>
              <w:jc w:val="left"/>
              <w:rPr/>
            </w:pPr>
            <w:r>
              <w:rPr/>
              <w:t> </w:t>
            </w:r>
          </w:p>
        </w:tc>
        <w:tc>
          <w:tcPr>
            <w:tcW w:w="846"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2,209</w:t>
            </w:r>
          </w:p>
        </w:tc>
        <w:tc>
          <w:tcPr>
            <w:tcW w:w="211" w:type="dxa"/>
            <w:tcBorders/>
            <w:shd w:fill="B6DEE8"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earnout liabilities</w:t>
            </w:r>
          </w:p>
        </w:tc>
        <w:tc>
          <w:tcPr>
            <w:tcW w:w="146"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211" w:type="dxa"/>
            <w:tcBorders/>
            <w:shd w:fill="FFFFFF" w:val="clear"/>
            <w:vAlign w:val="center"/>
          </w:tcPr>
          <w:p>
            <w:pPr>
              <w:pStyle w:val="TableContents"/>
              <w:bidi w:val="0"/>
              <w:spacing w:before="0" w:after="283"/>
              <w:jc w:val="left"/>
              <w:rPr/>
            </w:pPr>
            <w:r>
              <w:rPr/>
              <w:t> </w:t>
            </w:r>
          </w:p>
        </w:tc>
      </w:tr>
      <w:tr>
        <w:trPr/>
        <w:tc>
          <w:tcPr>
            <w:tcW w:w="505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public and private warrant liabilities</w:t>
            </w:r>
          </w:p>
        </w:tc>
        <w:tc>
          <w:tcPr>
            <w:tcW w:w="146" w:type="dxa"/>
            <w:tcBorders/>
            <w:shd w:fill="B6DEE8" w:val="cle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w:t>
            </w:r>
          </w:p>
        </w:tc>
        <w:tc>
          <w:tcPr>
            <w:tcW w:w="19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67" w:type="dxa"/>
            <w:tcBorders/>
            <w:shd w:fill="B6DEE8" w:val="clear"/>
            <w:vAlign w:val="center"/>
          </w:tcPr>
          <w:p>
            <w:pPr>
              <w:pStyle w:val="TableContents"/>
              <w:bidi w:val="0"/>
              <w:spacing w:before="0" w:after="283"/>
              <w:jc w:val="left"/>
              <w:rPr/>
            </w:pPr>
            <w:r>
              <w:rPr/>
              <w:t> </w:t>
            </w:r>
          </w:p>
        </w:tc>
        <w:tc>
          <w:tcPr>
            <w:tcW w:w="24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0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7"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88"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table reconciles net loss to Adjusted EBITDA for the nine months ended September 30, 2023 and 2022, respectively:</w:t>
      </w:r>
    </w:p>
    <w:p>
      <w:pPr>
        <w:pStyle w:val="TextBody"/>
        <w:bidi w:val="0"/>
        <w:jc w:val="left"/>
        <w:rPr/>
      </w:pPr>
      <w:r>
        <w:rPr/>
        <w:t> </w:t>
      </w:r>
    </w:p>
    <w:tbl>
      <w:tblPr>
        <w:tblW w:w="8156" w:type="dxa"/>
        <w:jc w:val="left"/>
        <w:tblInd w:w="0" w:type="dxa"/>
        <w:tblLayout w:type="fixed"/>
        <w:tblCellMar>
          <w:top w:w="28" w:type="dxa"/>
          <w:left w:w="28" w:type="dxa"/>
          <w:bottom w:w="28" w:type="dxa"/>
          <w:right w:w="28" w:type="dxa"/>
        </w:tblCellMar>
      </w:tblPr>
      <w:tblGrid>
        <w:gridCol w:w="5386"/>
        <w:gridCol w:w="146"/>
        <w:gridCol w:w="220"/>
        <w:gridCol w:w="769"/>
        <w:gridCol w:w="173"/>
        <w:gridCol w:w="152"/>
        <w:gridCol w:w="220"/>
        <w:gridCol w:w="879"/>
        <w:gridCol w:w="2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11" w:type="dxa"/>
            <w:tcBorders/>
            <w:shd w:fill="FFFFFF" w:val="cle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6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(48,696</w:t>
            </w:r>
          </w:p>
        </w:tc>
        <w:tc>
          <w:tcPr>
            <w:tcW w:w="17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7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(107,414</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4,973</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4,415</w:t>
            </w:r>
          </w:p>
        </w:tc>
        <w:tc>
          <w:tcPr>
            <w:tcW w:w="211" w:type="dxa"/>
            <w:tcBorders/>
            <w:shd w:fill="FFFFFF" w:val="clear"/>
            <w:vAlign w:val="center"/>
          </w:tcPr>
          <w:p>
            <w:pPr>
              <w:pStyle w:val="TableContents"/>
              <w:bidi w:val="0"/>
              <w:spacing w:before="0" w:after="283"/>
              <w:jc w:val="left"/>
              <w:rPr/>
            </w:pPr>
            <w:r>
              <w:rPr/>
              <w:t> </w:t>
            </w:r>
          </w:p>
        </w:tc>
      </w:tr>
      <w:tr>
        <w:trPr/>
        <w:tc>
          <w:tcPr>
            <w:tcW w:w="53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76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c>
          <w:tcPr>
            <w:tcW w:w="173" w:type="dxa"/>
            <w:tcBorders/>
            <w:shd w:fill="B6DEE8" w:val="clear"/>
            <w:vAlign w:val="center"/>
          </w:tcPr>
          <w:p>
            <w:pPr>
              <w:pStyle w:val="TableContents"/>
              <w:bidi w:val="0"/>
              <w:spacing w:before="0" w:after="283"/>
              <w:jc w:val="left"/>
              <w:rPr/>
            </w:pPr>
            <w:r>
              <w:rPr/>
              <w:t> </w:t>
            </w:r>
          </w:p>
        </w:tc>
        <w:tc>
          <w:tcPr>
            <w:tcW w:w="152"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87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211" w:type="dxa"/>
            <w:tcBorders/>
            <w:shd w:fill="B6DEE8"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3,750</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5,146</w:t>
            </w:r>
          </w:p>
        </w:tc>
        <w:tc>
          <w:tcPr>
            <w:tcW w:w="211" w:type="dxa"/>
            <w:tcBorders/>
            <w:shd w:fill="FFFFFF" w:val="clear"/>
            <w:vAlign w:val="center"/>
          </w:tcPr>
          <w:p>
            <w:pPr>
              <w:pStyle w:val="TableContents"/>
              <w:bidi w:val="0"/>
              <w:spacing w:before="0" w:after="283"/>
              <w:jc w:val="left"/>
              <w:rPr/>
            </w:pPr>
            <w:r>
              <w:rPr/>
              <w:t> </w:t>
            </w:r>
          </w:p>
        </w:tc>
      </w:tr>
      <w:tr>
        <w:trPr/>
        <w:tc>
          <w:tcPr>
            <w:tcW w:w="53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Stock-based compensation</w:t>
            </w:r>
          </w:p>
        </w:tc>
        <w:tc>
          <w:tcPr>
            <w:tcW w:w="146"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76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20,145</w:t>
            </w:r>
          </w:p>
        </w:tc>
        <w:tc>
          <w:tcPr>
            <w:tcW w:w="173" w:type="dxa"/>
            <w:tcBorders/>
            <w:shd w:fill="B6DEE8" w:val="clear"/>
            <w:vAlign w:val="center"/>
          </w:tcPr>
          <w:p>
            <w:pPr>
              <w:pStyle w:val="TableContents"/>
              <w:bidi w:val="0"/>
              <w:spacing w:before="0" w:after="283"/>
              <w:jc w:val="left"/>
              <w:rPr/>
            </w:pPr>
            <w:r>
              <w:rPr/>
              <w:t> </w:t>
            </w:r>
          </w:p>
        </w:tc>
        <w:tc>
          <w:tcPr>
            <w:tcW w:w="152"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87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34,074</w:t>
            </w:r>
          </w:p>
        </w:tc>
        <w:tc>
          <w:tcPr>
            <w:tcW w:w="211" w:type="dxa"/>
            <w:tcBorders/>
            <w:shd w:fill="B6DEE8"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Legal settlement and litigation expenses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6,845</w:t>
            </w:r>
          </w:p>
        </w:tc>
        <w:tc>
          <w:tcPr>
            <w:tcW w:w="211" w:type="dxa"/>
            <w:tcBorders/>
            <w:shd w:fill="FFFFFF" w:val="clear"/>
            <w:vAlign w:val="center"/>
          </w:tcPr>
          <w:p>
            <w:pPr>
              <w:pStyle w:val="TableContents"/>
              <w:bidi w:val="0"/>
              <w:spacing w:before="0" w:after="283"/>
              <w:jc w:val="left"/>
              <w:rPr/>
            </w:pPr>
            <w:r>
              <w:rPr/>
              <w:t> </w:t>
            </w:r>
          </w:p>
        </w:tc>
      </w:tr>
      <w:tr>
        <w:trPr/>
        <w:tc>
          <w:tcPr>
            <w:tcW w:w="53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strategic financing and transactional expenses</w:t>
            </w:r>
          </w:p>
        </w:tc>
        <w:tc>
          <w:tcPr>
            <w:tcW w:w="146"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76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B6DEE8" w:val="clear"/>
            <w:vAlign w:val="center"/>
          </w:tcPr>
          <w:p>
            <w:pPr>
              <w:pStyle w:val="TableContents"/>
              <w:bidi w:val="0"/>
              <w:spacing w:before="0" w:after="283"/>
              <w:jc w:val="left"/>
              <w:rPr/>
            </w:pPr>
            <w:r>
              <w:rPr/>
              <w:t> </w:t>
            </w:r>
          </w:p>
        </w:tc>
        <w:tc>
          <w:tcPr>
            <w:tcW w:w="152"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87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5,040</w:t>
            </w:r>
          </w:p>
        </w:tc>
        <w:tc>
          <w:tcPr>
            <w:tcW w:w="211" w:type="dxa"/>
            <w:tcBorders/>
            <w:shd w:fill="B6DEE8" w:val="clear"/>
            <w:vAlign w:val="center"/>
          </w:tcPr>
          <w:p>
            <w:pPr>
              <w:pStyle w:val="TableContents"/>
              <w:bidi w:val="0"/>
              <w:spacing w:before="0" w:after="283"/>
              <w:jc w:val="left"/>
              <w:rPr/>
            </w:pPr>
            <w:r>
              <w:rPr/>
              <w:t> </w:t>
            </w:r>
          </w:p>
        </w:tc>
      </w:tr>
      <w:tr>
        <w:trPr/>
        <w:tc>
          <w:tcPr>
            <w:tcW w:w="5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earnout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w:t>
            </w:r>
          </w:p>
        </w:tc>
        <w:tc>
          <w:tcPr>
            <w:tcW w:w="17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(9,616</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3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Gain on extinguishment of liability</w:t>
            </w:r>
          </w:p>
        </w:tc>
        <w:tc>
          <w:tcPr>
            <w:tcW w:w="146"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76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B6DEE8" w:val="clear"/>
            <w:vAlign w:val="center"/>
          </w:tcPr>
          <w:p>
            <w:pPr>
              <w:pStyle w:val="TableContents"/>
              <w:bidi w:val="0"/>
              <w:spacing w:before="0" w:after="283"/>
              <w:jc w:val="left"/>
              <w:rPr/>
            </w:pPr>
            <w:r>
              <w:rPr/>
              <w:t> </w:t>
            </w:r>
          </w:p>
        </w:tc>
        <w:tc>
          <w:tcPr>
            <w:tcW w:w="152" w:type="dxa"/>
            <w:tcBorders/>
            <w:shd w:fill="B6DEE8" w:val="clear"/>
            <w:vAlign w:val="center"/>
          </w:tcPr>
          <w:p>
            <w:pPr>
              <w:pStyle w:val="TableContents"/>
              <w:bidi w:val="0"/>
              <w:spacing w:before="0" w:after="283"/>
              <w:jc w:val="left"/>
              <w:rPr/>
            </w:pPr>
            <w:r>
              <w:rPr/>
              <w:t> </w:t>
            </w:r>
          </w:p>
        </w:tc>
        <w:tc>
          <w:tcPr>
            <w:tcW w:w="220" w:type="dxa"/>
            <w:tcBorders/>
            <w:shd w:fill="B6DEE8" w:val="clear"/>
            <w:vAlign w:val="center"/>
          </w:tcPr>
          <w:p>
            <w:pPr>
              <w:pStyle w:val="TableContents"/>
              <w:bidi w:val="0"/>
              <w:spacing w:before="0" w:after="283"/>
              <w:jc w:val="left"/>
              <w:rPr/>
            </w:pPr>
            <w:r>
              <w:rPr/>
              <w:t> </w:t>
            </w:r>
          </w:p>
        </w:tc>
        <w:tc>
          <w:tcPr>
            <w:tcW w:w="879"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(4,290</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derivative asset on loans to stockholders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5,572</w:t>
            </w:r>
          </w:p>
        </w:tc>
        <w:tc>
          <w:tcPr>
            <w:tcW w:w="211" w:type="dxa"/>
            <w:tcBorders/>
            <w:shd w:fill="FFFFFF" w:val="clear"/>
            <w:vAlign w:val="center"/>
          </w:tcPr>
          <w:p>
            <w:pPr>
              <w:pStyle w:val="TableContents"/>
              <w:bidi w:val="0"/>
              <w:spacing w:before="0" w:after="283"/>
              <w:jc w:val="left"/>
              <w:rPr/>
            </w:pPr>
            <w:r>
              <w:rPr/>
              <w:t> </w:t>
            </w:r>
          </w:p>
        </w:tc>
      </w:tr>
      <w:tr>
        <w:trPr/>
        <w:tc>
          <w:tcPr>
            <w:tcW w:w="538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Changes in fair value of public and private warrant liabilities</w:t>
            </w:r>
          </w:p>
        </w:tc>
        <w:tc>
          <w:tcPr>
            <w:tcW w:w="146" w:type="dxa"/>
            <w:tcBorders/>
            <w:shd w:fill="B6DEE8" w:val="clear"/>
            <w:vAlign w:val="center"/>
          </w:tcPr>
          <w:p>
            <w:pPr>
              <w:pStyle w:val="TableContents"/>
              <w:bidi w:val="0"/>
              <w:spacing w:before="0" w:after="283"/>
              <w:jc w:val="left"/>
              <w:rPr/>
            </w:pPr>
            <w:r>
              <w:rPr/>
              <w:t> </w:t>
            </w:r>
          </w:p>
        </w:tc>
        <w:tc>
          <w:tcPr>
            <w:tcW w:w="2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(239</w:t>
            </w:r>
          </w:p>
        </w:tc>
        <w:tc>
          <w:tcPr>
            <w:tcW w:w="17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2" w:type="dxa"/>
            <w:tcBorders/>
            <w:shd w:fill="B6DEE8" w:val="clear"/>
            <w:vAlign w:val="center"/>
          </w:tcPr>
          <w:p>
            <w:pPr>
              <w:pStyle w:val="TableContents"/>
              <w:bidi w:val="0"/>
              <w:spacing w:before="0" w:after="283"/>
              <w:jc w:val="left"/>
              <w:rPr/>
            </w:pPr>
            <w:r>
              <w:rPr/>
              <w:t> </w:t>
            </w:r>
          </w:p>
        </w:tc>
        <w:tc>
          <w:tcPr>
            <w:tcW w:w="2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(14,232</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53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(20,078</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2"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60" w:after="283"/>
        <w:jc w:val="center"/>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past, we have financed our operations primarily from the issuance of preferred stock, issuances of convertible notes, funds from borrowings under the Debt Facility, and funds received as a result of the Business Combination. As of September 30, 2023 and December 31, 2022, our cash and cash equivalents, marketable securities and short-term investments balance was approximately $169.8 million and $192.0 million, respectively.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an early-stage company, the expenses we have incurred since inception are consistent with our strategy and approach to capital allocation. We expect to incur net losses in accordance with our operating plan as we continue to expand and improve upon our financial platform.</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ability to access capital when needed is not assured and, if capital is not available to us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believe that our cash on hand should be sufficient to meet our working capital and capital expenditure requirements and fund our operations for a period of at least 12 months from the date of this report. We may raise additional capital through private or public equity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Although we have fully implemented our remote employee workforce strategy in the U.S., we have not closed our leased office locations. We are required to continue making our contractual payments until our operating leases are formally terminated or expire. Our remaining leases have remaining terms of one months to 27 months, subject to renewal options of varying terms, and as of September 30, 2023, we had a total lease liability of $0.7 million. See Note 12, Leases in the notes to our unaudited condensed consolidated financial statements for additional information regarding our lease liabilities as of September 30, 2023.</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 the near term, we expect to continue to generate ExtraCash originations relying primarily on our balance sheet cash and Debt Facility, as needed. Interest payments on term loan borrowings under the Debt Facility are required to be made on a monthly basis. As of September 30, 2023, $75.0 million of term loans under the Debt Facility were outstanding. See Note 11, Debt Facility in the notes to our unaudited condensed consolidated financial statements in this report. Additionally, we also have certain contractual payment obligations for interest owed under the $100.0 million note we issued and sold pursuant to the convertible note purchase agreement (the “Purchase Agreement”) entered into with FTX Ventures. Interest payments relating to the note are required to be made or added to the outstanding principal on a semi-annual basis. As of September 30, 2023, $4.7 million of interest was added to the outstanding principal. For more information on the Purchase Agreement with FTX Ventures, see Note 8, Convertible Note Payable.</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We may use cash to acquire businesses and technologies. The nature of these transactions, however, makes it difficult to predict the amount and timing of such cash requirements.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Flows Summary</w:t>
      </w:r>
    </w:p>
    <w:p>
      <w:pPr>
        <w:pStyle w:val="TextBody"/>
        <w:bidi w:val="0"/>
        <w:jc w:val="left"/>
        <w:rPr/>
      </w:pPr>
      <w:r>
        <w:rPr/>
        <w:t> </w:t>
      </w:r>
    </w:p>
    <w:tbl>
      <w:tblPr>
        <w:tblW w:w="9329" w:type="dxa"/>
        <w:jc w:val="left"/>
        <w:tblInd w:w="0" w:type="dxa"/>
        <w:tblLayout w:type="fixed"/>
        <w:tblCellMar>
          <w:top w:w="28" w:type="dxa"/>
          <w:left w:w="28" w:type="dxa"/>
          <w:bottom w:w="28" w:type="dxa"/>
          <w:right w:w="28" w:type="dxa"/>
        </w:tblCellMar>
      </w:tblPr>
      <w:tblGrid>
        <w:gridCol w:w="6106"/>
        <w:gridCol w:w="146"/>
        <w:gridCol w:w="303"/>
        <w:gridCol w:w="972"/>
        <w:gridCol w:w="158"/>
        <w:gridCol w:w="158"/>
        <w:gridCol w:w="255"/>
        <w:gridCol w:w="1020"/>
        <w:gridCol w:w="21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thousands)</w:t>
            </w:r>
          </w:p>
        </w:tc>
        <w:tc>
          <w:tcPr>
            <w:tcW w:w="146" w:type="dxa"/>
            <w:tcBorders/>
            <w:shd w:fill="FFFFFF" w:val="cle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provided by (used in):</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activities</w:t>
            </w:r>
          </w:p>
        </w:tc>
        <w:tc>
          <w:tcPr>
            <w:tcW w:w="146" w:type="dxa"/>
            <w:tcBorders/>
            <w:shd w:fill="B6DEE8" w:val="clear"/>
            <w:vAlign w:val="center"/>
          </w:tcPr>
          <w:p>
            <w:pPr>
              <w:pStyle w:val="TableContents"/>
              <w:bidi w:val="0"/>
              <w:spacing w:before="0" w:after="283"/>
              <w:jc w:val="left"/>
              <w:rPr/>
            </w:pPr>
            <w:r>
              <w:rPr/>
              <w:t> </w:t>
            </w:r>
          </w:p>
        </w:tc>
        <w:tc>
          <w:tcPr>
            <w:tcW w:w="303"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18,121</w:t>
            </w:r>
          </w:p>
        </w:tc>
        <w:tc>
          <w:tcPr>
            <w:tcW w:w="158" w:type="dxa"/>
            <w:tcBorders/>
            <w:shd w:fill="B6DEE8" w:val="clear"/>
            <w:vAlign w:val="center"/>
          </w:tcPr>
          <w:p>
            <w:pPr>
              <w:pStyle w:val="TableContents"/>
              <w:bidi w:val="0"/>
              <w:spacing w:before="0" w:after="283"/>
              <w:jc w:val="left"/>
              <w:rPr/>
            </w:pPr>
            <w:r>
              <w:rPr/>
              <w:t> </w:t>
            </w:r>
          </w:p>
        </w:tc>
        <w:tc>
          <w:tcPr>
            <w:tcW w:w="158" w:type="dxa"/>
            <w:tcBorders/>
            <w:shd w:fill="B6DEE8" w:val="clear"/>
            <w:vAlign w:val="center"/>
          </w:tcPr>
          <w:p>
            <w:pPr>
              <w:pStyle w:val="TableContents"/>
              <w:bidi w:val="0"/>
              <w:spacing w:before="0" w:after="283"/>
              <w:jc w:val="left"/>
              <w:rPr/>
            </w:pPr>
            <w:r>
              <w:rPr/>
              <w:t> </w:t>
            </w:r>
          </w:p>
        </w:tc>
        <w:tc>
          <w:tcPr>
            <w:tcW w:w="255"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0" w:type="dxa"/>
            <w:tcBorders/>
            <w:shd w:fill="B6DEE8"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(40,944</w:t>
            </w:r>
          </w:p>
        </w:tc>
        <w:tc>
          <w:tcPr>
            <w:tcW w:w="211"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2,997</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(263,928</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106" w:type="dxa"/>
            <w:tcBorders/>
            <w:shd w:fill="B6DEE8"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Financing activities</w:t>
            </w:r>
          </w:p>
        </w:tc>
        <w:tc>
          <w:tcPr>
            <w:tcW w:w="146" w:type="dxa"/>
            <w:tcBorders/>
            <w:shd w:fill="B6DEE8" w:val="clear"/>
            <w:vAlign w:val="center"/>
          </w:tcPr>
          <w:p>
            <w:pPr>
              <w:pStyle w:val="TableContents"/>
              <w:bidi w:val="0"/>
              <w:spacing w:before="0" w:after="283"/>
              <w:jc w:val="left"/>
              <w:rPr/>
            </w:pPr>
            <w:r>
              <w:rPr/>
              <w:t> </w:t>
            </w:r>
          </w:p>
        </w:tc>
        <w:tc>
          <w:tcPr>
            <w:tcW w:w="303"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c>
          <w:tcPr>
            <w:tcW w:w="158"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58" w:type="dxa"/>
            <w:tcBorders/>
            <w:shd w:fill="B6DEE8" w:val="clear"/>
            <w:vAlign w:val="center"/>
          </w:tcPr>
          <w:p>
            <w:pPr>
              <w:pStyle w:val="TableContents"/>
              <w:bidi w:val="0"/>
              <w:spacing w:before="0" w:after="283"/>
              <w:jc w:val="left"/>
              <w:rPr/>
            </w:pPr>
            <w:r>
              <w:rPr/>
              <w:t> </w:t>
            </w:r>
          </w:p>
        </w:tc>
        <w:tc>
          <w:tcPr>
            <w:tcW w:w="255"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311,760</w:t>
            </w:r>
          </w:p>
        </w:tc>
        <w:tc>
          <w:tcPr>
            <w:tcW w:w="211" w:type="dxa"/>
            <w:tcBorders>
              <w:bottom w:val="single" w:sz="4" w:space="0" w:color="000000"/>
            </w:tcBorders>
            <w:shd w:fill="B6DEE8"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(decrease) in cash and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21,122</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6,888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275"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b w:val="false"/>
          <w:color w:val="000000"/>
          <w:sz w:val="20"/>
        </w:rPr>
      </w:pPr>
      <w:r>
        <w:rPr>
          <w:rFonts w:ascii="Times New Roman" w:hAnsi="Times New Roman"/>
          <w:b w:val="false"/>
          <w:color w:val="000000"/>
          <w:sz w:val="20"/>
        </w:rPr>
        <w:t>Cash Flows From Operating Activities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During the nine months ended September 30, 2023, net cash provided by operating activities increased compared to the nine months ended September 30, 2022 due to increases in operating revenues, offset primarily by increases in compensation and other operating expenses to support the growth of the business. Net cash provided by operating activities for the nine months ended September 30, 2023 included a net loss of $48.6 million, and excluding non-cash impacts, included a decrease in accounts payable of $2.1 million, a</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decrease in a legal settlement accrual of $1.4 million, and a decrease in other current liabilities of $0.6 million. These changes were offset primarily by an increase in accrued expenses of $2.8 million, a decrease in prepaid expenses and other current assets of $0.4 million and a decrease in other non-current assets of $0.1 million.</w:t>
      </w:r>
    </w:p>
    <w:p>
      <w:pPr>
        <w:pStyle w:val="TextBody"/>
        <w:bidi w:val="0"/>
        <w:spacing w:before="24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Net cash used in operating activities for the nine months ended September 30, 2022 included a net loss of $107.4 million, adjusted for non-cash items of $5.5 million for depreciation and amortization, $46.0 million for provision for unrecoverable advances, $5.6 million for a decrease in derivative asset fair value, $34.1 million for stock-based compensation expense, and $1.5 million for non-cash interest, offset primarily by a decrease in the fair value of earnout liabilities of $9.6 million, a decrease in the fair value of warrant liabilities of $14.2 million, gain on the extinguishment of a liability of $4.3 million and $0.8 million for changes in fair value of marketable securities and short-term investments. Further changes in cash flows from operations included an increase in receivables related to revenue from Member advances of $5.4 million and an increase in prepaid expenses and other current assets of $5.3 million. These changes were offset primarily by a decrease in prepaid income taxes of $0.7 million, an increase in accounts payable of $3.6 million, an increase in accrued expenses of $3.1 million, and an increase in legal settlement accrual of $6.4 million.</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Cash Flows From Investing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nine months ended September 30, 2023, net cash provided by investing activities was $3.0 million. This included the sale and maturity of short-term investments of $137.2 million and sale of marketable securities of $33.0 million, offset by purchases of short-term investments of $92.0 million, net disbursements and collections of Member advances of $34.3 million, payments related to internally developed software costs of $5.9 million, and purchases of marketable securities of $34.4 million.</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nine months ended September 30, 2022, net cash used in investing activities was $263.9 million. This included payments for internally developed software costs of $6.4 million, the purchase of property and equipment of $0.5 million, net disbursements and collections of Member advances of $77.6 million, the purchase of short-term investments of $197.8 million, and the purchase of marketable securities of $300.6 million, offset by the sale of marketable securities of $308.8 million and the sale and maturity of short-term investments of $10.3 million.</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Cash Flows From 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net cash used in financing activities was $0.004 million, which primarily consisted of payments for fractional shares that resulted from a reverse stock split.</w:t>
      </w:r>
    </w:p>
    <w:p>
      <w:pPr>
        <w:pStyle w:val="TextBody"/>
        <w:bidi w:val="0"/>
        <w:spacing w:before="120" w:after="283"/>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During the nine months ended September 30, 2022, net cash provided by financing activities was $311.8 million, which consisted of $195.0 million in proceeds from PIPE financing in connection with the Business Combination, $29.7 million in proceeds from the Business Combination, net of redemptions, $1.6 million in proceeds from stock option exercises, $100 million in proceeds from borrowings related to the Purchase Agreement with FTX Ventures, and $10.0 million related to debt facility borrowings, partially offset by $23.0 million for the payment of issuance costs related to the Business Combination and $1.6 million related to the repurchase of Class A Common Stock. For more information on the Business Combination and Purchase Agreement with FTX Ventures, see “— Business Combination and Public Company Costs” and “—Recent Developments”,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following: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 Fair value of warrant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 Fair value of earnout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(iii) Allowance for credit losses;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(iv) Income taxes.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Actual results may differ from these estimates under different assumptions or conditions. We believe that the accounting estimates discussed below are critical to understanding our historical and future performance, as these estimates relate to the more significant areas involving management’s judgments and estimates. Please refer to Note 2 in our accompanying unaudited condensed consolidated financial statements for the three and nine months ended September 30, 2023 and 2022 included in this report on Form 10-Q.</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While our significant accounting estimates are described in the notes to our unaudited condensed consolidated financial statements, we believe that the following accounting estimates require a greater degree of judgment and complexity and are the most critical to understanding our financial condition and historical and future results of operations.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Valuation techniques used to measure fair value must maximize the use of observable inputs and minimize the use of unobservable inputs.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Warrant Liabilities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liabilities were driven by changes in the underlying value of our Class A Common Stock and were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pStyle w:val="TextBody"/>
        <w:bidi w:val="0"/>
        <w:spacing w:before="360" w:after="283"/>
        <w:jc w:val="left"/>
        <w:rPr>
          <w:rFonts w:ascii="Times New Roman" w:hAnsi="Times New Roman"/>
          <w:b w:val="false"/>
          <w:color w:val="000000"/>
          <w:sz w:val="20"/>
        </w:rPr>
      </w:pPr>
      <w:r>
        <w:rPr>
          <w:rFonts w:ascii="Times New Roman" w:hAnsi="Times New Roman"/>
          <w:b w:val="false"/>
          <w:color w:val="000000"/>
          <w:sz w:val="20"/>
        </w:rPr>
        <w:t>Earnout Liabilities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recorded earnout liabilities associated with the Business Combination. The earnout liabilities are carried on our unaudited condensed consolidated balance sheets as a long-term liability estimated at fair value. Changes in the estimated fair value of the earnout liabilities are reported as a loss (gain) in the accompanying unaudited condensed consolidated statements of operations. We utilized a Monte Carlo Simulation Method to compute the fair value and to mark to market the fair value of the earnout liabilities at each unaudited condensed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Allowance for Credit Losses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Member advances from contracts with Members as of the balance sheet dates are recorded at their original advance amounts reduced by an allowance for expected credit losses. We pool our Member advances, all of which are short-term in nature and arise from contracts with Members, based on shared risk characteristics to assess their risk of loss, even when that risk is remote. We use an aging method and historical loss rates as a basis for estimating the percentage of current and delinquent Member advances balances that will result in credit losses. We consider whether the conditions at the measurement date and reasonable and supportable forecasts about future conditions warrant an adjustment to our historical loss experience. In assessing such adjustments, we primarily evaluate current economic conditions, expectations of near-term economic trends and changes in customer payment terms and collection trends. For the measurement dates presented herein, given our methods of collecting funds, and that we have not observed meaningful changes in our customers’ payment behavior, it determined that our historical loss rates remained most indicative of our lifetime expected losses. We immediately recognize an allowance for expected credit losses upon the origination of the advance. Adjustments to the allowance each period for changes in the estimate of lifetime expected credit losses are recognized in operating expenses—provision for credit losses in the unaudited condensed consolidated statements of operations.</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When we determine that a Member advance is not collectible, the uncollectible amount is written-off as a reduction to both the allowance and the gross asset balance. Subsequent recoveries are recorded when received and are recorded as a recovery of the allowance for expected credit losses. Any change in circumstances related to a specific Member advance may result in an additional allowance for expected credit losses being recognized in the period in which the change occurs.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Company follows ASC 740, Income Taxes (“ASC 740”), which requires recognition of deferred tax assets and liabilities for the expected future tax consequences of events that have been included in the unaudited condensed consolidated financial statements or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tax returns. Under this method, deferred tax assets and liabilities are based on the differences between the unaudited condensed consolidated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effective tax rate used for interim periods is the estimated annual effective tax rate, based on the current estimate of full year results, except that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$1.1 million and $0.9 million of uncertain tax positions as of September 30, 2023 and December 31, 2022, respectively, related to state income taxes. and federal and state research tax credits.</w:t>
      </w:r>
    </w:p>
    <w:p>
      <w:pPr>
        <w:pStyle w:val="TextBody"/>
        <w:bidi w:val="0"/>
        <w:jc w:val="left"/>
        <w:rPr>
          <w:rFonts w:ascii="Times New Roman" w:hAnsi="Times New Roman"/>
          <w:sz w:val="20"/>
        </w:rPr>
      </w:pPr>
      <w:r>
        <w:rPr>
          <w:rFonts w:ascii="Times New Roman" w:hAnsi="Times New Roman"/>
          <w:b w:val="false"/>
          <w:color w:val="000000"/>
          <w:sz w:val="20"/>
        </w:rPr>
        <w:t>The Company’s policy is to recognize interest expense and penalties accrued on any unrecognized tax benefits as a component of income tax expense within the statement of operations. The Company recognized $0.004 million and $0.003 million of interest expense and penalties as a component of income tax expense during the nine months ended September 30, 2023 and 2022, respectively.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 Status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an “emerging growth company” as defined in Section 2(a) of the Securities Act of 1933, as amended, and have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our accompanying unaudited condensed consolidated financial statements included in this report for the recent accounting pronouncements adopted and the recent accounting pronouncements not yet adopted for the three and nine month periods ended September 30, 2023 and 2022.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 (b) 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pStyle w:val="TextBody"/>
        <w:bidi w:val="0"/>
        <w:spacing w:before="360" w:after="283"/>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Standards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Refer to Note 2, “Significant Accounting Policies,” of our unaudited condensed consolidated financial statements included in this report for a discussion of the impact of recent accounting pronouncements.</w:t>
      </w:r>
    </w:p>
    <w:p>
      <w:pPr>
        <w:pStyle w:val="TextBody"/>
        <w:bidi w:val="0"/>
        <w:spacing w:before="360" w:after="283"/>
        <w:jc w:val="left"/>
        <w:rPr>
          <w:rFonts w:ascii="Times New Roman" w:hAnsi="Times New Roman"/>
          <w:sz w:val="20"/>
        </w:rPr>
      </w:pPr>
      <w:bookmarkStart w:id="12" w:name="item3_quantitativeand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Not required for smaller reporting companies.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bookmarkStart w:id="13" w:name="item4_controlsand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As required by Rules 13a-15 and 15d-15 under the Exchange Act, our Chief Executive Officer and Chief Financial Officer carried out an evaluation of the effectiveness of the design and operation of our disclosure controls and procedures as of September 30, 2023. Based on this evaluation, our Chief Executive Officer and Chief Financial Officer have concluded that our disclosure controls and procedures were not effective, due to the material weaknesses in our internal control over financial reporting described below. As a result, we performed additional analysis as deemed necessary to ensure that our financial statements were prepared in accordance with U.S. generally accepted accounting principles. Accordingly, management believes that the financial statements included in this Quarterly Report on Form 10-Q present fairly in all material respects our financial position, results of operations and cash flows for the period presented.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Previously Identified Material Weaknesses</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discussed in Part II, Item 9A in our Annual Report, we identified weaknesses in our internal control over financial reporting for the years ended December 31, 2022 and 2021 because: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We did not design and maintain certain formal accounting policies, procedures, and internal controls to achieve complete, accurate and timely financial accounting, reporting and disclosures, including internal controls over the period-end financial reporting process addressing financial statement and footnote presentation and disclosures, account reconciliations, and journal entries. Additionally, the lack of a sufficient number of accounting and finance professionals resulted in an inability to consistently establish appropriate authorities and responsibilities in pursuit of Dave’s financial reporting objectives, as demonstrated by, amongst other things, insufficient segregation of duties within the finance and accounting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 xml:space="preserve">We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Remediation Plan and Status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Dave is implementing a plan to remediate the material weaknesses described above. Those remediation measures are ongoing and include (i) hiring additional accounting and IT personnel to bolster its financial reporting, technical and transactional accounting and IT capabilities; (ii) designing and implementing controls to formalize roles and review responsibilities and designing and implementing formal controls over segregation of duties; (iii) designing and implementing formal processes, accounting policies, procedures, and controls supporting Dave’s financial close process, including creating standard balance sheet reconciliation templates and journal entry controls; (iv) designing and implementing IT general controls, including controls over change management, the review and update of user access rights and privileges and computer operations controls; and (v) redesigning its internal controls around the allowance for credit losses to detect and prevent future errors.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Other than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4" w:name="partii_other_information"/>
      <w:bookmarkEnd w:id="14"/>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1_legal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For a description of our material pending legal proceedings, please see Note 11, “Commitments and Contingencies,” to the unaudited condensed consolidated financial statements included elsewhere in this report.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From time to time, we may become involved in legal proceedings arising in the ordinary course of business. We are not currently a party to any such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pStyle w:val="TextBody"/>
        <w:bidi w:val="0"/>
        <w:spacing w:before="360" w:after="283"/>
        <w:jc w:val="left"/>
        <w:rPr>
          <w:rFonts w:ascii="Times New Roman" w:hAnsi="Times New Roman"/>
          <w:sz w:val="20"/>
        </w:rPr>
      </w:pPr>
      <w:bookmarkStart w:id="16" w:name="item1a_risk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As of the date of this Form 10-Q, there have been no material changes to the risk factors disclosed in in our Annual Report for the year ended December 31, 2022 filed with the SEC on March 13, 2023.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w:t>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2_unregisteredsalesofequity"/>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None</w:t>
      </w:r>
    </w:p>
    <w:p>
      <w:pPr>
        <w:pStyle w:val="TextBody"/>
        <w:bidi w:val="0"/>
        <w:spacing w:before="120" w:after="283"/>
        <w:jc w:val="left"/>
        <w:rPr>
          <w:rFonts w:ascii="Times New Roman" w:hAnsi="Times New Roman"/>
          <w:sz w:val="20"/>
        </w:rPr>
      </w:pPr>
      <w:bookmarkStart w:id="18" w:name="item3_defaultsuponsenior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None</w:t>
      </w:r>
    </w:p>
    <w:p>
      <w:pPr>
        <w:pStyle w:val="TextBody"/>
        <w:bidi w:val="0"/>
        <w:spacing w:before="120" w:after="283"/>
        <w:jc w:val="left"/>
        <w:rPr>
          <w:rFonts w:ascii="Times New Roman" w:hAnsi="Times New Roman"/>
          <w:sz w:val="20"/>
        </w:rPr>
      </w:pPr>
      <w:bookmarkStart w:id="19" w:name="item4_minesafetydisclosures"/>
      <w:bookmarkEnd w:id="19"/>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None</w:t>
      </w:r>
    </w:p>
    <w:p>
      <w:pPr>
        <w:pStyle w:val="TextBody"/>
        <w:bidi w:val="0"/>
        <w:spacing w:before="120" w:after="283"/>
        <w:jc w:val="left"/>
        <w:rPr>
          <w:rFonts w:ascii="Times New Roman" w:hAnsi="Times New Roman"/>
          <w:sz w:val="20"/>
        </w:rPr>
      </w:pPr>
      <w:bookmarkStart w:id="20" w:name="item5_other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None</w:t>
      </w:r>
    </w:p>
    <w:p>
      <w:pPr>
        <w:pStyle w:val="TextBody"/>
        <w:bidi w:val="0"/>
        <w:spacing w:before="240" w:after="283"/>
        <w:jc w:val="left"/>
        <w:rPr>
          <w:rFonts w:ascii="Times New Roman" w:hAnsi="Times New Roman"/>
          <w:sz w:val="20"/>
        </w:rPr>
      </w:pPr>
      <w:bookmarkStart w:id="21" w:name="item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89"/>
        <w:gridCol w:w="9416"/>
      </w:tblGrid>
      <w:tr>
        <w:trPr/>
        <w:tc>
          <w:tcPr>
            <w:tcW w:w="789" w:type="dxa"/>
            <w:tcBorders/>
            <w:vAlign w:val="center"/>
          </w:tcPr>
          <w:p>
            <w:pPr>
              <w:pStyle w:val="TableContents"/>
              <w:bidi w:val="0"/>
              <w:spacing w:before="0" w:after="283"/>
              <w:jc w:val="left"/>
              <w:rPr>
                <w:sz w:val="4"/>
                <w:szCs w:val="4"/>
              </w:rPr>
            </w:pPr>
            <w:r>
              <w:rPr>
                <w:sz w:val="4"/>
                <w:szCs w:val="4"/>
              </w:rPr>
            </w:r>
          </w:p>
        </w:tc>
        <w:tc>
          <w:tcPr>
            <w:tcW w:w="9416" w:type="dxa"/>
            <w:tcBorders/>
            <w:vAlign w:val="center"/>
          </w:tcPr>
          <w:p>
            <w:pPr>
              <w:pStyle w:val="TableContents"/>
              <w:bidi w:val="0"/>
              <w:spacing w:before="0" w:after="283"/>
              <w:jc w:val="left"/>
              <w:rPr>
                <w:sz w:val="4"/>
                <w:szCs w:val="4"/>
              </w:rPr>
            </w:pPr>
            <w:r>
              <w:rPr>
                <w:sz w:val="4"/>
                <w:szCs w:val="4"/>
              </w:rPr>
            </w:r>
          </w:p>
        </w:tc>
      </w:tr>
      <w:tr>
        <w:trPr/>
        <w:tc>
          <w:tcPr>
            <w:tcW w:w="789"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br/>
            </w:r>
            <w:r>
              <w:rPr>
                <w:rFonts w:ascii="Times New Roman" w:hAnsi="Times New Roman"/>
                <w:b/>
                <w:color w:val="000000"/>
                <w:sz w:val="20"/>
                <w:u w:val="single"/>
              </w:rPr>
              <w:t>No.</w:t>
            </w:r>
          </w:p>
        </w:tc>
        <w:tc>
          <w:tcPr>
            <w:tcW w:w="9416" w:type="dxa"/>
            <w:tcBorders/>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center"/>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2.1</w:t>
            </w:r>
          </w:p>
        </w:tc>
        <w:tc>
          <w:tcPr>
            <w:tcW w:w="9416" w:type="dxa"/>
            <w:tcBorders/>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Agreement and Plan of Merger, dated as of June 7, 2021, by and among VPC Impact Acquisition Holdings III, Inc., Bear Merger Company I Inc., Bear Merger Company II LLC, and Dave Inc. (incorporated by reference to Exhibit 2.1 to the Company’s Current Report on Form 8-K filed with the Commission on June 7, 2021)</w:t>
              </w:r>
            </w:hyperlink>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9416" w:type="dxa"/>
            <w:tcBorders/>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Second Amended and Restated Certificate of Incorporation of Dave Inc. (incorporated by reference to Exhibit 3.1 to the Company’s Current Report on Form 8-K filed with the Commission on January 11, 2022)</w:t>
              </w:r>
            </w:hyperlink>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9416" w:type="dxa"/>
            <w:tcBorders/>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Amended and Restated Bylaws of Dave Inc. (incorporated by reference to Exhibit 3.2 to the Company’s Current Report on Form 8-K filed with the Commission on January 11, 2022)</w:t>
              </w:r>
            </w:hyperlink>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9416" w:type="dxa"/>
            <w:tcBorders/>
            <w:vAlign w:val="center"/>
          </w:tcPr>
          <w:p>
            <w:pPr>
              <w:pStyle w:val="TableContents"/>
              <w:bidi w:val="0"/>
              <w:spacing w:before="0" w:after="283"/>
              <w:jc w:val="left"/>
              <w:rPr/>
            </w:pPr>
            <w:hyperlink w:anchor="dave-ex31_1.htm">
              <w:r>
                <w:rPr>
                  <w:rStyle w:val="InternetLink"/>
                  <w:rFonts w:ascii="Times New Roman" w:hAnsi="Times New Roman"/>
                  <w:b w:val="false"/>
                  <w:color w:val="0000FF"/>
                  <w:sz w:val="20"/>
                  <w:u w:val="single"/>
                </w:rPr>
                <w:t>Certification of the Chief Executive Officer pursuant to Rule 13a-14(a) under the Securities Exchange Act of 1934, as adopted pursuant to §302 of the Sarbanes-Oxley Act of 2002</w:t>
              </w:r>
            </w:hyperlink>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9416" w:type="dxa"/>
            <w:tcBorders/>
            <w:vAlign w:val="center"/>
          </w:tcPr>
          <w:p>
            <w:pPr>
              <w:pStyle w:val="TableContents"/>
              <w:bidi w:val="0"/>
              <w:spacing w:before="0" w:after="283"/>
              <w:jc w:val="left"/>
              <w:rPr/>
            </w:pPr>
            <w:hyperlink w:anchor="dave-ex31_2.htm">
              <w:r>
                <w:rPr>
                  <w:rStyle w:val="InternetLink"/>
                  <w:rFonts w:ascii="Times New Roman" w:hAnsi="Times New Roman"/>
                  <w:b w:val="false"/>
                  <w:color w:val="0000FF"/>
                  <w:sz w:val="20"/>
                  <w:u w:val="single"/>
                </w:rPr>
                <w:t>Certification of the Chief Financial Officer pursuant to Rule 13a-14(a) under the Securities Exchange Act of 1934, as adopted pursuant to §302 of the Sarbanes-Oxley Act of 2002</w:t>
              </w:r>
            </w:hyperlink>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9416" w:type="dxa"/>
            <w:tcBorders/>
            <w:vAlign w:val="center"/>
          </w:tcPr>
          <w:p>
            <w:pPr>
              <w:pStyle w:val="TableContents"/>
              <w:bidi w:val="0"/>
              <w:spacing w:before="0" w:after="283"/>
              <w:jc w:val="left"/>
              <w:rPr/>
            </w:pPr>
            <w:hyperlink w:anchor="dave-ex32_1.htm">
              <w:r>
                <w:rPr>
                  <w:rStyle w:val="InternetLink"/>
                  <w:rFonts w:ascii="Times New Roman" w:hAnsi="Times New Roman"/>
                  <w:b w:val="false"/>
                  <w:color w:val="0000FF"/>
                  <w:sz w:val="20"/>
                  <w:u w:val="single"/>
                </w:rPr>
                <w:t>Certification of the Chief Executive Officer and Chief Financial Officer pursuant to 18 U.S.C. §1350, as adopted pursuant to §906 of the Sarbanes-Oxley Act of 2002</w:t>
              </w:r>
            </w:hyperlink>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9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XBRL tags are embedded within the Inline XBRL document.</w:t>
            </w:r>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9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89"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789"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941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r>
    </w:tbl>
    <w:p>
      <w:pPr>
        <w:pStyle w:val="TextBody"/>
        <w:bidi w:val="0"/>
        <w:jc w:val="center"/>
        <w:rPr>
          <w:rFonts w:ascii="Times New Roman" w:hAnsi="Times New Roman"/>
          <w:b w:val="false"/>
          <w:color w:val="000000"/>
          <w:sz w:val="20"/>
        </w:rPr>
      </w:pPr>
      <w:r>
        <w:rPr>
          <w:rFonts w:ascii="Times New Roman" w:hAnsi="Times New Roman"/>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72" w:type="dxa"/>
        <w:jc w:val="left"/>
        <w:tblInd w:w="0" w:type="dxa"/>
        <w:tblLayout w:type="fixed"/>
        <w:tblCellMar>
          <w:top w:w="28" w:type="dxa"/>
          <w:left w:w="28" w:type="dxa"/>
          <w:bottom w:w="28" w:type="dxa"/>
          <w:right w:w="28" w:type="dxa"/>
        </w:tblCellMar>
      </w:tblPr>
      <w:tblGrid>
        <w:gridCol w:w="871"/>
        <w:gridCol w:w="6601"/>
      </w:tblGrid>
      <w:tr>
        <w:trPr/>
        <w:tc>
          <w:tcPr>
            <w:tcW w:w="87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before="0" w:after="283"/>
              <w:jc w:val="left"/>
              <w:rPr/>
            </w:pPr>
            <w:r>
              <w:rPr/>
              <w:t> </w:t>
            </w:r>
          </w:p>
        </w:tc>
        <w:tc>
          <w:tcPr>
            <w:tcW w:w="6601" w:type="dxa"/>
            <w:tcBorders/>
            <w:vAlign w:val="center"/>
          </w:tcPr>
          <w:p>
            <w:pPr>
              <w:pStyle w:val="TableContents"/>
              <w:bidi w:val="0"/>
              <w:spacing w:before="0" w:after="283"/>
              <w:jc w:val="left"/>
              <w:rPr/>
            </w:pPr>
            <w:r>
              <w:rPr/>
              <w:t> </w:t>
            </w:r>
          </w:p>
        </w:tc>
      </w:tr>
      <w:tr>
        <w:trPr/>
        <w:tc>
          <w:tcPr>
            <w:tcW w:w="8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6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871" w:type="dxa"/>
            <w:tcBorders/>
            <w:vAlign w:val="center"/>
          </w:tcPr>
          <w:p>
            <w:pPr>
              <w:pStyle w:val="TableContents"/>
              <w:bidi w:val="0"/>
              <w:spacing w:before="0" w:after="283"/>
              <w:jc w:val="left"/>
              <w:rPr/>
            </w:pPr>
            <w:r>
              <w:rPr/>
              <w:t> </w:t>
            </w:r>
          </w:p>
        </w:tc>
        <w:tc>
          <w:tcPr>
            <w:tcW w:w="6601" w:type="dxa"/>
            <w:tcBorders/>
            <w:vAlign w:val="center"/>
          </w:tcPr>
          <w:p>
            <w:pPr>
              <w:pStyle w:val="TableContents"/>
              <w:bidi w:val="0"/>
              <w:spacing w:before="0" w:after="283"/>
              <w:jc w:val="left"/>
              <w:rPr/>
            </w:pPr>
            <w:r>
              <w:rPr/>
              <w:t> </w:t>
            </w:r>
          </w:p>
        </w:tc>
      </w:tr>
      <w:tr>
        <w:trPr/>
        <w:tc>
          <w:tcPr>
            <w:tcW w:w="8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6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r>
      <w:tr>
        <w:trPr/>
        <w:tc>
          <w:tcPr>
            <w:tcW w:w="871" w:type="dxa"/>
            <w:tcBorders/>
            <w:vAlign w:val="center"/>
          </w:tcPr>
          <w:p>
            <w:pPr>
              <w:pStyle w:val="TableContents"/>
              <w:bidi w:val="0"/>
              <w:spacing w:before="0" w:after="283"/>
              <w:jc w:val="left"/>
              <w:rPr/>
            </w:pPr>
            <w:r>
              <w:rPr/>
              <w:t> </w:t>
            </w:r>
          </w:p>
        </w:tc>
        <w:tc>
          <w:tcPr>
            <w:tcW w:w="6601" w:type="dxa"/>
            <w:tcBorders/>
            <w:vAlign w:val="center"/>
          </w:tcPr>
          <w:p>
            <w:pPr>
              <w:pStyle w:val="TableContents"/>
              <w:bidi w:val="0"/>
              <w:spacing w:before="0" w:after="283"/>
              <w:jc w:val="left"/>
              <w:rPr/>
            </w:pPr>
            <w:r>
              <w:rPr/>
              <w:t> </w:t>
            </w:r>
          </w:p>
        </w:tc>
      </w:tr>
      <w:tr>
        <w:trPr/>
        <w:tc>
          <w:tcPr>
            <w:tcW w:w="8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6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r>
      <w:tr>
        <w:trPr/>
        <w:tc>
          <w:tcPr>
            <w:tcW w:w="871" w:type="dxa"/>
            <w:tcBorders/>
            <w:vAlign w:val="center"/>
          </w:tcPr>
          <w:p>
            <w:pPr>
              <w:pStyle w:val="TableContents"/>
              <w:bidi w:val="0"/>
              <w:spacing w:before="0" w:after="283"/>
              <w:jc w:val="left"/>
              <w:rPr/>
            </w:pPr>
            <w:r>
              <w:rPr/>
              <w:t> </w:t>
            </w:r>
          </w:p>
        </w:tc>
        <w:tc>
          <w:tcPr>
            <w:tcW w:w="6601" w:type="dxa"/>
            <w:tcBorders/>
            <w:vAlign w:val="center"/>
          </w:tcPr>
          <w:p>
            <w:pPr>
              <w:pStyle w:val="TableContents"/>
              <w:bidi w:val="0"/>
              <w:spacing w:before="0" w:after="283"/>
              <w:jc w:val="left"/>
              <w:rPr/>
            </w:pPr>
            <w:r>
              <w:rPr/>
              <w:t> </w:t>
            </w:r>
          </w:p>
        </w:tc>
      </w:tr>
      <w:tr>
        <w:trPr/>
        <w:tc>
          <w:tcPr>
            <w:tcW w:w="87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66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Furnished not filed.</w:t>
      </w:r>
    </w:p>
    <w:p>
      <w:pPr>
        <w:pStyle w:val="TextBody"/>
        <w:bidi w:val="0"/>
        <w:jc w:val="lef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signatures"/>
      <w:bookmarkEnd w:id="2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tbl>
      <w:tblPr>
        <w:tblW w:w="5324" w:type="dxa"/>
        <w:jc w:val="left"/>
        <w:tblInd w:w="0" w:type="dxa"/>
        <w:tblLayout w:type="fixed"/>
        <w:tblCellMar>
          <w:top w:w="28" w:type="dxa"/>
          <w:left w:w="28" w:type="dxa"/>
          <w:bottom w:w="28" w:type="dxa"/>
          <w:right w:w="28" w:type="dxa"/>
        </w:tblCellMar>
      </w:tblPr>
      <w:tblGrid>
        <w:gridCol w:w="2206"/>
        <w:gridCol w:w="146"/>
        <w:gridCol w:w="406"/>
        <w:gridCol w:w="25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6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7,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Jason Wilk</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Jason Wilk</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Executive Officer</w:t>
            </w:r>
          </w:p>
        </w:tc>
      </w:tr>
    </w:tbl>
    <w:p>
      <w:pPr>
        <w:pStyle w:val="TextBody"/>
        <w:bidi w:val="0"/>
        <w:spacing w:before="240" w:after="283"/>
        <w:jc w:val="center"/>
        <w:rPr/>
      </w:pPr>
      <w:r>
        <w:rPr/>
        <w:t> </w:t>
      </w:r>
    </w:p>
    <w:tbl>
      <w:tblPr>
        <w:tblW w:w="5264" w:type="dxa"/>
        <w:jc w:val="left"/>
        <w:tblInd w:w="0" w:type="dxa"/>
        <w:tblLayout w:type="fixed"/>
        <w:tblCellMar>
          <w:top w:w="28" w:type="dxa"/>
          <w:left w:w="28" w:type="dxa"/>
          <w:bottom w:w="28" w:type="dxa"/>
          <w:right w:w="28" w:type="dxa"/>
        </w:tblCellMar>
      </w:tblPr>
      <w:tblGrid>
        <w:gridCol w:w="2206"/>
        <w:gridCol w:w="146"/>
        <w:gridCol w:w="406"/>
        <w:gridCol w:w="250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Dated: November 7, 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DAVE INC.</w:t>
            </w:r>
          </w:p>
        </w:tc>
      </w:tr>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0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Kyle Beilman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Kyle Beilman</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Title: Chief Financial Officer</w:t>
            </w:r>
          </w:p>
        </w:tc>
      </w:tr>
    </w:tbl>
    <w:p>
      <w:pPr>
        <w:pStyle w:val="TextBody"/>
        <w:bidi w:val="0"/>
        <w:jc w:val="right"/>
        <w:rPr/>
      </w:pPr>
      <w:r>
        <w:rPr/>
        <w:t> </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53</w:t>
      </w:r>
    </w:p>
    <w:p>
      <w:pPr>
        <w:pStyle w:val="HorizontalLine"/>
        <w:pBdr>
          <w:bottom w:val="double" w:sz="2" w:space="0" w:color="808080"/>
        </w:pBdr>
        <w:bidi w:val="0"/>
        <w:spacing w:before="0" w:after="283"/>
        <w:jc w:val="left"/>
        <w:rPr/>
      </w:pPr>
      <w:r>
        <w:rPr/>
      </w:r>
    </w:p>
    <w:p>
      <w:pPr>
        <w:pStyle w:val="TextBody"/>
        <w:bidi w:val="0"/>
        <w:spacing w:before="270" w:after="283"/>
        <w:jc w:val="left"/>
        <w:rPr/>
      </w:pPr>
      <w:bookmarkStart w:id="23" w:name="dave-ex31_1.htm"/>
      <w:bookmarkStart w:id="24" w:name="ksdave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Jason Wilk,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for the quarter ended September 30, 2023 of Dave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
        </w:rPr>
      </w:pPr>
      <w:r>
        <w:rPr>
          <w:rFonts w:ascii="Times New Roman" w:hAnsi="Times New Roman"/>
          <w:b w:val="false"/>
          <w:color w:val="000000"/>
          <w:sz w:val="2"/>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7, 2023</w:t>
      </w:r>
      <w:r>
        <w:rPr>
          <w:rFonts w:ascii="Times New Roman" w:hAnsi="Times New Roman"/>
          <w:color w:val="000000"/>
          <w:sz w:val="20"/>
        </w:rPr>
        <w:t xml:space="preserve">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pPr>
            <w:r>
              <w:rPr/>
              <w:t> </w:t>
            </w:r>
          </w:p>
        </w:tc>
      </w:tr>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Jason Wilk</w:t>
            </w:r>
          </w:p>
        </w:tc>
      </w:tr>
      <w:tr>
        <w:trPr/>
        <w:tc>
          <w:tcPr>
            <w:tcW w:w="243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43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dave-ex31_2.htm"/>
      <w:bookmarkStart w:id="26" w:name="ksdaveex31_2"/>
      <w:bookmarkEnd w:id="25"/>
      <w:bookmarkEnd w:id="26"/>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I, Kyle Beilman, certify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I have reviewed this Quarterly Report on Form 10-Q for the quarter ended September 30, 2023 of Dave Inc.;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Date: November 7, 2023</w:t>
      </w:r>
      <w:r>
        <w:rPr>
          <w:rFonts w:ascii="Times New Roman" w:hAnsi="Times New Roman"/>
          <w:color w:val="000000"/>
          <w:sz w:val="20"/>
        </w:rPr>
        <w:t xml:space="preserve">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283"/>
              <w:jc w:val="left"/>
              <w:rPr>
                <w:sz w:val="4"/>
                <w:szCs w:val="4"/>
              </w:rPr>
            </w:pPr>
            <w:r>
              <w:rPr>
                <w:sz w:val="4"/>
                <w:szCs w:val="4"/>
              </w:rPr>
            </w:r>
          </w:p>
        </w:tc>
      </w:tr>
      <w:tr>
        <w:trPr/>
        <w:tc>
          <w:tcPr>
            <w:tcW w:w="2356" w:type="dxa"/>
            <w:tcBorders/>
            <w:vAlign w:val="center"/>
          </w:tcPr>
          <w:p>
            <w:pPr>
              <w:pStyle w:val="TableContents"/>
              <w:bidi w:val="0"/>
              <w:spacing w:before="0" w:after="283"/>
              <w:jc w:val="left"/>
              <w:rPr/>
            </w:pPr>
            <w:r>
              <w:rPr/>
              <w:t> </w:t>
            </w:r>
          </w:p>
        </w:tc>
      </w:tr>
      <w:tr>
        <w:trPr/>
        <w:tc>
          <w:tcPr>
            <w:tcW w:w="235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Kyle Beilman</w:t>
            </w:r>
          </w:p>
        </w:tc>
      </w:tr>
      <w:tr>
        <w:trPr/>
        <w:tc>
          <w:tcPr>
            <w:tcW w:w="23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235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7" w:name="dave-ex32_1.htm"/>
      <w:bookmarkStart w:id="28" w:name="ksdaveex32_1"/>
      <w:bookmarkEnd w:id="27"/>
      <w:bookmarkEnd w:id="28"/>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center"/>
        <w:rPr>
          <w:rFonts w:ascii="Times New Roman" w:hAnsi="Times New Roman"/>
          <w:sz w:val="20"/>
        </w:rPr>
      </w:pPr>
      <w:r>
        <w:rPr>
          <w:rFonts w:ascii="Times New Roman" w:hAnsi="Times New Roman"/>
          <w:b/>
          <w:color w:val="000000"/>
          <w:sz w:val="20"/>
        </w:rPr>
        <w:t>CERTIFICATIONS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The undersigned, Jason Wilk, Chief Executive Officer, and Kyle Beilman, Chief Financial Officer of Dave Inc. (the “Company”), hereby certify as of the date hereof, solely for the purposes of 18 U.S.C. §1350, that:</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Quarterly Report on Form 10-Q for the period ended September 30, 2023 of the Company (the “Report”) fully complies with the requirements of Section 13(a) or 15(d), as applicable, of the Securities Exchange Act of 1934; and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(ii)</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the information contained in the Report fairly presents, in all material respects, the financial condition and results of operations of the Company at the dates and for the periods indicated.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val="false"/>
          <w:color w:val="000000"/>
          <w:sz w:val="20"/>
        </w:rPr>
        <w:t>Date: November 7, 2023</w:t>
      </w:r>
      <w:r>
        <w:rPr>
          <w:rFonts w:ascii="Times New Roman" w:hAnsi="Times New Roman"/>
          <w:color w:val="000000"/>
          <w:sz w:val="20"/>
        </w:rPr>
        <w:t xml:space="preserve">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Jason Wilk</w:t>
            </w:r>
          </w:p>
        </w:tc>
      </w:tr>
      <w:tr>
        <w:trPr/>
        <w:tc>
          <w:tcPr>
            <w:tcW w:w="208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2086"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Kyle Beilman</w:t>
            </w:r>
          </w:p>
        </w:tc>
      </w:tr>
      <w:tr>
        <w:trPr/>
        <w:tc>
          <w:tcPr>
            <w:tcW w:w="208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Chief Financial Officer</w:t>
            </w:r>
          </w:p>
        </w:tc>
      </w:tr>
    </w:tbl>
    <w:p>
      <w:pPr>
        <w:pStyle w:val="TextBody"/>
        <w:bidi w:val="0"/>
        <w:spacing w:before="240" w:after="283"/>
        <w:jc w:val="left"/>
        <w:rPr>
          <w:rFonts w:ascii="Times New Roman" w:hAnsi="Times New Roman"/>
          <w:sz w:val="20"/>
        </w:rPr>
      </w:pPr>
      <w:r>
        <w:rPr>
          <w:rFonts w:ascii="Times New Roman" w:hAnsi="Times New Roman"/>
          <w:b w:val="false"/>
          <w:color w:val="000000"/>
          <w:sz w:val="20"/>
        </w:rPr>
        <w:t>The foregoing certification is being furnished solely pursuant to 18 U.S.C. Section 1350 and is not being filed as part of the Report or as a separate disclosure document.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1408/000119312521183575/d165916dex21.htm" TargetMode="External"/><Relationship Id="rId3" Type="http://schemas.openxmlformats.org/officeDocument/2006/relationships/hyperlink" Target="https://www.sec.gov/Archives/edgar/data/1841408/000119312522006854/d253532dex31.htm" TargetMode="External"/><Relationship Id="rId4" Type="http://schemas.openxmlformats.org/officeDocument/2006/relationships/hyperlink" Target="https://www.sec.gov/Archives/edgar/data/1841408/000119312522006854/d25353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30598</Words>
  <Characters>166507</Characters>
  <CharactersWithSpaces>198484</CharactersWithSpaces>
  <Paragraphs>7970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