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70485</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86360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9"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For the fiscal year ended December 31, 2023</w:t>
      </w:r>
    </w:p>
    <w:p>
      <w:pPr>
        <w:spacing w:after="0" w:line="13"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OR</w:t>
      </w:r>
    </w:p>
    <w:p>
      <w:pPr>
        <w:spacing w:after="0" w:line="4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40" w:type="dxa"/>
            <w:vAlign w:val="bottom"/>
            <w:tcBorders>
              <w:bottom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 _______</w:t>
            </w:r>
          </w:p>
        </w:tc>
      </w:tr>
      <w:tr>
        <w:trPr>
          <w:trHeight w:val="199"/>
        </w:trPr>
        <w:tc>
          <w:tcPr>
            <w:tcW w:w="33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Commission file number: 001-40161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49530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73" w:lineRule="exact"/>
        <w:rPr>
          <w:sz w:val="24"/>
          <w:szCs w:val="24"/>
          <w:color w:val="auto"/>
        </w:rPr>
      </w:pPr>
    </w:p>
    <w:tbl>
      <w:tblPr>
        <w:tblLayout w:type="fixed"/>
        <w:tblInd w:w="100" w:type="dxa"/>
        <w:tblCellMar>
          <w:top w:w="0" w:type="dxa"/>
          <w:left w:w="0" w:type="dxa"/>
          <w:bottom w:w="0" w:type="dxa"/>
          <w:right w:w="0" w:type="dxa"/>
        </w:tblCellMar>
      </w:tblPr>
      <w:tr>
        <w:trPr>
          <w:trHeight w:val="351"/>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w w:val="97"/>
              </w:rPr>
              <w:t>DAVE INC.</w:t>
            </w:r>
          </w:p>
        </w:tc>
        <w:tc>
          <w:tcPr>
            <w:tcW w:w="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90"/>
        </w:trPr>
        <w:tc>
          <w:tcPr>
            <w:tcW w:w="3680" w:type="dxa"/>
            <w:vAlign w:val="bottom"/>
          </w:tcPr>
          <w:p>
            <w:pPr>
              <w:spacing w:after="0"/>
              <w:rPr>
                <w:sz w:val="16"/>
                <w:szCs w:val="16"/>
                <w:color w:val="auto"/>
              </w:rPr>
            </w:pPr>
          </w:p>
        </w:tc>
        <w:tc>
          <w:tcPr>
            <w:tcW w:w="6820" w:type="dxa"/>
            <w:vAlign w:val="bottom"/>
            <w:gridSpan w:val="6"/>
          </w:tcPr>
          <w:p>
            <w:pPr>
              <w:jc w:val="center"/>
              <w:ind w:right="311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77"/>
        </w:trPr>
        <w:tc>
          <w:tcPr>
            <w:tcW w:w="36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160" w:type="dxa"/>
            <w:vAlign w:val="bottom"/>
          </w:tcPr>
          <w:p>
            <w:pPr>
              <w:spacing w:after="0"/>
              <w:rPr>
                <w:sz w:val="6"/>
                <w:szCs w:val="6"/>
                <w:color w:val="auto"/>
              </w:rPr>
            </w:pPr>
          </w:p>
        </w:tc>
      </w:tr>
      <w:tr>
        <w:trPr>
          <w:trHeight w:val="306"/>
        </w:trPr>
        <w:tc>
          <w:tcPr>
            <w:tcW w:w="3680" w:type="dxa"/>
            <w:vAlign w:val="bottom"/>
          </w:tcPr>
          <w:p>
            <w:pPr>
              <w:jc w:val="center"/>
              <w:ind w:left="167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2"/>
          </w:tcPr>
          <w:p>
            <w:pPr>
              <w:jc w:val="right"/>
              <w:ind w:right="1751"/>
              <w:spacing w:after="0"/>
              <w:rPr>
                <w:sz w:val="20"/>
                <w:szCs w:val="20"/>
                <w:color w:val="auto"/>
              </w:rPr>
            </w:pPr>
            <w:r>
              <w:rPr>
                <w:rFonts w:ascii="Times New Roman" w:cs="Times New Roman" w:eastAsia="Times New Roman" w:hAnsi="Times New Roman"/>
                <w:sz w:val="14"/>
                <w:szCs w:val="14"/>
                <w:b w:val="1"/>
                <w:bCs w:val="1"/>
                <w:color w:val="auto"/>
              </w:rPr>
              <w:t>86-1481509</w:t>
            </w:r>
          </w:p>
        </w:tc>
      </w:tr>
      <w:tr>
        <w:trPr>
          <w:trHeight w:val="149"/>
        </w:trPr>
        <w:tc>
          <w:tcPr>
            <w:tcW w:w="3680" w:type="dxa"/>
            <w:vAlign w:val="bottom"/>
          </w:tcPr>
          <w:p>
            <w:pPr>
              <w:jc w:val="center"/>
              <w:ind w:left="169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jc w:val="center"/>
              <w:ind w:right="9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61"/>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1265 South Cochran Ave</w:t>
            </w:r>
          </w:p>
        </w:tc>
        <w:tc>
          <w:tcPr>
            <w:tcW w:w="8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148"/>
        </w:trPr>
        <w:tc>
          <w:tcPr>
            <w:tcW w:w="3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 Angeles, CA 90019</w:t>
            </w: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r>
      <w:tr>
        <w:trPr>
          <w:trHeight w:val="148"/>
        </w:trPr>
        <w:tc>
          <w:tcPr>
            <w:tcW w:w="3680" w:type="dxa"/>
            <w:vAlign w:val="bottom"/>
          </w:tcPr>
          <w:p>
            <w:pPr>
              <w:spacing w:after="0"/>
              <w:rPr>
                <w:sz w:val="12"/>
                <w:szCs w:val="12"/>
                <w:color w:val="auto"/>
              </w:rPr>
            </w:pPr>
          </w:p>
        </w:tc>
        <w:tc>
          <w:tcPr>
            <w:tcW w:w="2320" w:type="dxa"/>
            <w:vAlign w:val="bottom"/>
            <w:gridSpan w:val="3"/>
          </w:tcPr>
          <w:p>
            <w:pPr>
              <w:jc w:val="center"/>
              <w:ind w:left="1269"/>
              <w:spacing w:after="0" w:line="149" w:lineRule="exact"/>
              <w:rPr>
                <w:sz w:val="20"/>
                <w:szCs w:val="20"/>
                <w:color w:val="auto"/>
              </w:rPr>
            </w:pPr>
            <w:r>
              <w:rPr>
                <w:rFonts w:ascii="Times New Roman" w:cs="Times New Roman" w:eastAsia="Times New Roman" w:hAnsi="Times New Roman"/>
                <w:sz w:val="14"/>
                <w:szCs w:val="14"/>
                <w:b w:val="1"/>
                <w:bCs w:val="1"/>
                <w:color w:val="auto"/>
              </w:rPr>
              <w:t>(844) 857-3283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r>
      <w:tr>
        <w:trPr>
          <w:trHeight w:val="176"/>
        </w:trPr>
        <w:tc>
          <w:tcPr>
            <w:tcW w:w="10500" w:type="dxa"/>
            <w:vAlign w:val="bottom"/>
            <w:gridSpan w:val="7"/>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(Address and telephone number, including area code, of registrant’s principal executive offices)</w:t>
            </w:r>
          </w:p>
        </w:tc>
      </w:tr>
      <w:tr>
        <w:trPr>
          <w:trHeight w:val="190"/>
        </w:trPr>
        <w:tc>
          <w:tcPr>
            <w:tcW w:w="3680" w:type="dxa"/>
            <w:vAlign w:val="bottom"/>
          </w:tcPr>
          <w:p>
            <w:pPr>
              <w:spacing w:after="0"/>
              <w:rPr>
                <w:sz w:val="16"/>
                <w:szCs w:val="16"/>
                <w:color w:val="auto"/>
              </w:rPr>
            </w:pPr>
          </w:p>
        </w:tc>
        <w:tc>
          <w:tcPr>
            <w:tcW w:w="6820" w:type="dxa"/>
            <w:vAlign w:val="bottom"/>
            <w:gridSpan w:val="6"/>
          </w:tcPr>
          <w:p>
            <w:pPr>
              <w:jc w:val="center"/>
              <w:ind w:right="311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98"/>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20" w:type="dxa"/>
            <w:vAlign w:val="bottom"/>
          </w:tcPr>
          <w:p>
            <w:pPr>
              <w:spacing w:after="0"/>
              <w:rPr>
                <w:sz w:val="17"/>
                <w:szCs w:val="17"/>
                <w:color w:val="auto"/>
              </w:rPr>
            </w:pPr>
          </w:p>
        </w:tc>
        <w:tc>
          <w:tcPr>
            <w:tcW w:w="1560" w:type="dxa"/>
            <w:vAlign w:val="bottom"/>
            <w:gridSpan w:val="3"/>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80" w:type="dxa"/>
            <w:vAlign w:val="bottom"/>
          </w:tcPr>
          <w:p>
            <w:pPr>
              <w:spacing w:after="0"/>
              <w:rPr>
                <w:sz w:val="17"/>
                <w:szCs w:val="17"/>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81"/>
        </w:trPr>
        <w:tc>
          <w:tcPr>
            <w:tcW w:w="36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Class A common stock, par value $0.0001</w:t>
            </w:r>
          </w:p>
        </w:tc>
        <w:tc>
          <w:tcPr>
            <w:tcW w:w="1020" w:type="dxa"/>
            <w:vAlign w:val="bottom"/>
          </w:tcPr>
          <w:p>
            <w:pPr>
              <w:spacing w:after="0"/>
              <w:rPr>
                <w:sz w:val="24"/>
                <w:szCs w:val="24"/>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148"/>
        </w:trPr>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warrants, each whole warrant exercisable for one</w:t>
            </w:r>
          </w:p>
        </w:tc>
        <w:tc>
          <w:tcPr>
            <w:tcW w:w="1020" w:type="dxa"/>
            <w:vAlign w:val="bottom"/>
          </w:tcPr>
          <w:p>
            <w:pPr>
              <w:spacing w:after="0"/>
              <w:rPr>
                <w:sz w:val="12"/>
                <w:szCs w:val="12"/>
                <w:color w:val="auto"/>
              </w:rPr>
            </w:pPr>
          </w:p>
        </w:tc>
        <w:tc>
          <w:tcPr>
            <w:tcW w:w="1300" w:type="dxa"/>
            <w:vAlign w:val="bottom"/>
            <w:gridSpan w:val="2"/>
          </w:tcPr>
          <w:p>
            <w:pPr>
              <w:jc w:val="center"/>
              <w:ind w:left="278"/>
              <w:spacing w:after="0"/>
              <w:rPr>
                <w:sz w:val="20"/>
                <w:szCs w:val="20"/>
                <w:color w:val="auto"/>
              </w:rPr>
            </w:pPr>
            <w:r>
              <w:rPr>
                <w:rFonts w:ascii="Times New Roman" w:cs="Times New Roman" w:eastAsia="Times New Roman" w:hAnsi="Times New Roman"/>
                <w:sz w:val="13"/>
                <w:szCs w:val="13"/>
                <w:b w:val="1"/>
                <w:bCs w:val="1"/>
                <w:color w:val="auto"/>
              </w:rPr>
              <w:t>DAVEW</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jc w:val="center"/>
              <w:ind w:left="1451"/>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149"/>
        </w:trPr>
        <w:tc>
          <w:tcPr>
            <w:tcW w:w="5520" w:type="dxa"/>
            <w:vAlign w:val="bottom"/>
            <w:gridSpan w:val="3"/>
          </w:tcPr>
          <w:p>
            <w:pPr>
              <w:jc w:val="center"/>
              <w:ind w:right="1718"/>
              <w:spacing w:after="0"/>
              <w:rPr>
                <w:sz w:val="20"/>
                <w:szCs w:val="20"/>
                <w:color w:val="auto"/>
              </w:rPr>
            </w:pPr>
            <w:r>
              <w:rPr>
                <w:rFonts w:ascii="Times New Roman" w:cs="Times New Roman" w:eastAsia="Times New Roman" w:hAnsi="Times New Roman"/>
                <w:sz w:val="13"/>
                <w:szCs w:val="13"/>
                <w:b w:val="1"/>
                <w:bCs w:val="1"/>
                <w:color w:val="auto"/>
              </w:rPr>
              <w:t>share of Class A common stock, each at an exercise price of $368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60" w:type="dxa"/>
            <w:vAlign w:val="bottom"/>
          </w:tcPr>
          <w:p>
            <w:pPr>
              <w:spacing w:after="0"/>
              <w:rPr>
                <w:sz w:val="12"/>
                <w:szCs w:val="12"/>
                <w:color w:val="auto"/>
              </w:rPr>
            </w:pPr>
          </w:p>
        </w:tc>
      </w:tr>
      <w:tr>
        <w:trPr>
          <w:trHeight w:val="178"/>
        </w:trPr>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60" w:type="dxa"/>
            <w:vAlign w:val="bottom"/>
          </w:tcPr>
          <w:p>
            <w:pPr>
              <w:spacing w:after="0"/>
              <w:rPr>
                <w:sz w:val="15"/>
                <w:szCs w:val="15"/>
                <w:color w:val="auto"/>
              </w:rPr>
            </w:pPr>
          </w:p>
        </w:tc>
      </w:tr>
      <w:tr>
        <w:trPr>
          <w:trHeight w:val="202"/>
        </w:trPr>
        <w:tc>
          <w:tcPr>
            <w:tcW w:w="3680" w:type="dxa"/>
            <w:vAlign w:val="bottom"/>
          </w:tcPr>
          <w:p>
            <w:pPr>
              <w:spacing w:after="0"/>
              <w:rPr>
                <w:sz w:val="17"/>
                <w:szCs w:val="17"/>
                <w:color w:val="auto"/>
              </w:rPr>
            </w:pPr>
          </w:p>
        </w:tc>
        <w:tc>
          <w:tcPr>
            <w:tcW w:w="6820" w:type="dxa"/>
            <w:vAlign w:val="bottom"/>
            <w:gridSpan w:val="6"/>
          </w:tcPr>
          <w:p>
            <w:pPr>
              <w:jc w:val="center"/>
              <w:ind w:right="3091"/>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r>
      <w:tr>
        <w:trPr>
          <w:trHeight w:val="82"/>
        </w:trPr>
        <w:tc>
          <w:tcPr>
            <w:tcW w:w="4700" w:type="dxa"/>
            <w:vAlign w:val="bottom"/>
            <w:gridSpan w:val="2"/>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160" w:type="dxa"/>
            <w:vAlign w:val="bottom"/>
          </w:tcPr>
          <w:p>
            <w:pPr>
              <w:spacing w:after="0"/>
              <w:rPr>
                <w:sz w:val="7"/>
                <w:szCs w:val="7"/>
                <w:color w:val="auto"/>
              </w:rPr>
            </w:pPr>
          </w:p>
        </w:tc>
      </w:tr>
      <w:tr>
        <w:trPr>
          <w:trHeight w:val="158"/>
        </w:trPr>
        <w:tc>
          <w:tcPr>
            <w:tcW w:w="5520" w:type="dxa"/>
            <w:vAlign w:val="bottom"/>
            <w:gridSpan w:val="3"/>
          </w:tcPr>
          <w:p>
            <w:pPr>
              <w:ind w:left="420"/>
              <w:spacing w:after="0"/>
              <w:rPr>
                <w:sz w:val="20"/>
                <w:szCs w:val="20"/>
                <w:color w:val="auto"/>
              </w:rPr>
            </w:pPr>
            <w:r>
              <w:rPr>
                <w:rFonts w:ascii="Times New Roman" w:cs="Times New Roman" w:eastAsia="Times New Roman" w:hAnsi="Times New Roman"/>
                <w:sz w:val="11"/>
                <w:szCs w:val="11"/>
                <w:color w:val="auto"/>
                <w:w w:val="98"/>
              </w:rPr>
              <w:t>Indicate by check mark if the registrant is a well-known seasoned issuer, as defined in Rule 405 of the Securities Act.</w:t>
            </w:r>
          </w:p>
        </w:tc>
        <w:tc>
          <w:tcPr>
            <w:tcW w:w="480" w:type="dxa"/>
            <w:vAlign w:val="bottom"/>
          </w:tcPr>
          <w:p>
            <w:pPr>
              <w:ind w:left="8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w:t>
            </w:r>
          </w:p>
        </w:tc>
        <w:tc>
          <w:tcPr>
            <w:tcW w:w="4240" w:type="dxa"/>
            <w:vAlign w:val="bottom"/>
            <w:gridSpan w:val="2"/>
          </w:tcPr>
          <w:p>
            <w:pPr>
              <w:ind w:left="40"/>
              <w:spacing w:after="0" w:line="148" w:lineRule="exact"/>
              <w:rPr>
                <w:sz w:val="20"/>
                <w:szCs w:val="20"/>
                <w:color w:val="auto"/>
              </w:rPr>
            </w:pPr>
            <w:r>
              <w:rPr>
                <w:rFonts w:ascii="Arial Unicode MS" w:cs="Arial Unicode MS" w:eastAsia="Arial Unicode MS" w:hAnsi="Arial Unicode MS"/>
                <w:sz w:val="11"/>
                <w:szCs w:val="11"/>
                <w:color w:val="auto"/>
              </w:rPr>
              <w:t>☒</w:t>
            </w:r>
          </w:p>
        </w:tc>
      </w:tr>
      <w:tr>
        <w:trPr>
          <w:trHeight w:val="180"/>
        </w:trPr>
        <w:tc>
          <w:tcPr>
            <w:tcW w:w="5520" w:type="dxa"/>
            <w:vAlign w:val="bottom"/>
            <w:gridSpan w:val="3"/>
          </w:tcPr>
          <w:p>
            <w:pPr>
              <w:ind w:left="420"/>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Section 15 of the Act.</w:t>
            </w:r>
          </w:p>
        </w:tc>
        <w:tc>
          <w:tcPr>
            <w:tcW w:w="480" w:type="dxa"/>
            <w:vAlign w:val="bottom"/>
          </w:tcPr>
          <w:p>
            <w:pPr>
              <w:ind w:left="40"/>
              <w:spacing w:after="0" w:line="148" w:lineRule="exact"/>
              <w:rPr>
                <w:sz w:val="20"/>
                <w:szCs w:val="20"/>
                <w:color w:val="auto"/>
              </w:rPr>
            </w:pPr>
            <w:r>
              <w:rPr>
                <w:rFonts w:ascii="Times New Roman" w:cs="Times New Roman" w:eastAsia="Times New Roman" w:hAnsi="Times New Roman"/>
                <w:sz w:val="11"/>
                <w:szCs w:val="11"/>
                <w:color w:val="auto"/>
              </w:rPr>
              <w:t xml:space="preserve">YES </w:t>
            </w:r>
            <w:r>
              <w:rPr>
                <w:rFonts w:ascii="Arial Unicode MS" w:cs="Arial Unicode MS" w:eastAsia="Arial Unicode MS" w:hAnsi="Arial Unicode MS"/>
                <w:sz w:val="11"/>
                <w:szCs w:val="11"/>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w:t>
            </w:r>
          </w:p>
        </w:tc>
        <w:tc>
          <w:tcPr>
            <w:tcW w:w="4240" w:type="dxa"/>
            <w:vAlign w:val="bottom"/>
            <w:gridSpan w:val="2"/>
          </w:tcPr>
          <w:p>
            <w:pPr>
              <w:spacing w:after="0" w:line="148" w:lineRule="exact"/>
              <w:rPr>
                <w:sz w:val="20"/>
                <w:szCs w:val="20"/>
                <w:color w:val="auto"/>
              </w:rPr>
            </w:pPr>
            <w:r>
              <w:rPr>
                <w:rFonts w:ascii="Arial Unicode MS" w:cs="Arial Unicode MS" w:eastAsia="Arial Unicode MS" w:hAnsi="Arial Unicode MS"/>
                <w:sz w:val="11"/>
                <w:szCs w:val="11"/>
                <w:color w:val="auto"/>
              </w:rPr>
              <w:t>☒</w:t>
            </w:r>
          </w:p>
        </w:tc>
      </w:tr>
    </w:tbl>
    <w:p>
      <w:pPr>
        <w:ind w:right="80" w:firstLine="509"/>
        <w:spacing w:after="0" w:line="13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6" w:lineRule="exact"/>
        <w:rPr>
          <w:sz w:val="24"/>
          <w:szCs w:val="24"/>
          <w:color w:val="auto"/>
        </w:rPr>
      </w:pPr>
    </w:p>
    <w:p>
      <w:pPr>
        <w:ind w:right="80" w:firstLine="509"/>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 xml:space="preserve"> NO </w:t>
      </w:r>
      <w:r>
        <w:rPr>
          <w:rFonts w:ascii="Arial Unicode MS" w:cs="Arial Unicode MS" w:eastAsia="Arial Unicode MS" w:hAnsi="Arial Unicode MS"/>
          <w:sz w:val="11"/>
          <w:szCs w:val="11"/>
          <w:color w:val="auto"/>
        </w:rPr>
        <w:t>☐</w:t>
      </w:r>
    </w:p>
    <w:p>
      <w:pPr>
        <w:spacing w:after="0" w:line="6" w:lineRule="exact"/>
        <w:rPr>
          <w:sz w:val="24"/>
          <w:szCs w:val="24"/>
          <w:color w:val="auto"/>
        </w:rPr>
      </w:pPr>
    </w:p>
    <w:p>
      <w:pPr>
        <w:ind w:right="160" w:firstLine="509"/>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920" w:type="dxa"/>
            <w:vAlign w:val="bottom"/>
          </w:tcPr>
          <w:p>
            <w:pPr>
              <w:ind w:left="3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Accelerated filer</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920" w:type="dxa"/>
            <w:vAlign w:val="bottom"/>
          </w:tcPr>
          <w:p>
            <w:pPr>
              <w:ind w:left="34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r>
        <w:trPr>
          <w:trHeight w:val="256"/>
        </w:trPr>
        <w:tc>
          <w:tcPr>
            <w:tcW w:w="1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5200" w:type="dxa"/>
            <w:vAlign w:val="bottom"/>
          </w:tcPr>
          <w:p>
            <w:pPr>
              <w:ind w:left="3500"/>
              <w:spacing w:after="0"/>
              <w:rPr>
                <w:sz w:val="20"/>
                <w:szCs w:val="20"/>
                <w:color w:val="auto"/>
              </w:rPr>
            </w:pPr>
            <w:r>
              <w:rPr>
                <w:rFonts w:ascii="Times New Roman" w:cs="Times New Roman" w:eastAsia="Times New Roman" w:hAnsi="Times New Roman"/>
                <w:sz w:val="11"/>
                <w:szCs w:val="11"/>
                <w:color w:val="auto"/>
              </w:rPr>
              <w:t>Emerging growth company</w:t>
            </w:r>
          </w:p>
        </w:tc>
        <w:tc>
          <w:tcPr>
            <w:tcW w:w="620" w:type="dxa"/>
            <w:vAlign w:val="bottom"/>
          </w:tcPr>
          <w:p>
            <w:pPr>
              <w:ind w:left="540"/>
              <w:spacing w:after="0" w:line="148" w:lineRule="exact"/>
              <w:rPr>
                <w:sz w:val="20"/>
                <w:szCs w:val="20"/>
                <w:color w:val="auto"/>
              </w:rPr>
            </w:pPr>
            <w:r>
              <w:rPr>
                <w:rFonts w:ascii="Arial Unicode MS" w:cs="Arial Unicode MS" w:eastAsia="Arial Unicode MS" w:hAnsi="Arial Unicode MS"/>
                <w:sz w:val="11"/>
                <w:szCs w:val="11"/>
                <w:color w:val="auto"/>
                <w:w w:val="73"/>
              </w:rPr>
              <w:t>☒</w:t>
            </w:r>
          </w:p>
        </w:tc>
      </w:tr>
    </w:tbl>
    <w:p>
      <w:pPr>
        <w:spacing w:after="0" w:line="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15"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1"/>
          <w:szCs w:val="11"/>
          <w:color w:val="auto"/>
        </w:rPr>
        <w:t xml:space="preserve">Act. </w:t>
      </w:r>
      <w:r>
        <w:rPr>
          <w:rFonts w:ascii="Arial Unicode MS" w:cs="Arial Unicode MS" w:eastAsia="Arial Unicode MS" w:hAnsi="Arial Unicode MS"/>
          <w:sz w:val="11"/>
          <w:szCs w:val="11"/>
          <w:color w:val="auto"/>
        </w:rPr>
        <w:t>☐</w:t>
      </w:r>
    </w:p>
    <w:p>
      <w:pPr>
        <w:spacing w:after="0" w:line="7" w:lineRule="exact"/>
        <w:rPr>
          <w:sz w:val="24"/>
          <w:szCs w:val="24"/>
          <w:color w:val="auto"/>
        </w:rPr>
      </w:pPr>
    </w:p>
    <w:p>
      <w:pPr>
        <w:ind w:right="340" w:firstLine="509"/>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ind w:left="520"/>
        <w:spacing w:after="0" w:line="148"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1"/>
          <w:szCs w:val="11"/>
          <w:color w:val="auto"/>
        </w:rPr>
        <w:t>☐</w:t>
      </w:r>
    </w:p>
    <w:p>
      <w:pPr>
        <w:spacing w:after="0" w:line="15" w:lineRule="exact"/>
        <w:rPr>
          <w:sz w:val="24"/>
          <w:szCs w:val="24"/>
          <w:color w:val="auto"/>
        </w:rPr>
      </w:pPr>
    </w:p>
    <w:p>
      <w:pPr>
        <w:ind w:right="20" w:firstLine="536"/>
        <w:spacing w:after="0" w:line="135" w:lineRule="exact"/>
        <w:rPr>
          <w:sz w:val="20"/>
          <w:szCs w:val="20"/>
          <w:color w:val="auto"/>
        </w:rPr>
      </w:pPr>
      <w:r>
        <w:rPr>
          <w:rFonts w:ascii="Times New Roman" w:cs="Times New Roman" w:eastAsia="Times New Roman" w:hAnsi="Times New Roman"/>
          <w:sz w:val="11"/>
          <w:szCs w:val="11"/>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1"/>
          <w:szCs w:val="11"/>
          <w:color w:val="auto"/>
        </w:rPr>
        <w:t>ﬃ</w:t>
      </w:r>
      <w:r>
        <w:rPr>
          <w:rFonts w:ascii="Times New Roman" w:cs="Times New Roman" w:eastAsia="Times New Roman" w:hAnsi="Times New Roman"/>
          <w:sz w:val="11"/>
          <w:szCs w:val="11"/>
          <w:color w:val="auto"/>
        </w:rPr>
        <w:t xml:space="preserve">cers during the relevant recovery period pursuant to §240.10D-1(b). </w:t>
      </w:r>
      <w:r>
        <w:rPr>
          <w:rFonts w:ascii="Arial Unicode MS" w:cs="Arial Unicode MS" w:eastAsia="Arial Unicode MS" w:hAnsi="Arial Unicode MS"/>
          <w:sz w:val="11"/>
          <w:szCs w:val="11"/>
          <w:color w:val="auto"/>
        </w:rPr>
        <w:t>☐</w:t>
      </w:r>
    </w:p>
    <w:p>
      <w:pPr>
        <w:spacing w:after="0" w:line="1" w:lineRule="exact"/>
        <w:rPr>
          <w:sz w:val="24"/>
          <w:szCs w:val="24"/>
          <w:color w:val="auto"/>
        </w:rPr>
      </w:pPr>
    </w:p>
    <w:p>
      <w:pPr>
        <w:ind w:left="520"/>
        <w:spacing w:after="0" w:line="148" w:lineRule="exact"/>
        <w:tabs>
          <w:tab w:leader="none" w:pos="5060" w:val="left"/>
          <w:tab w:leader="none" w:pos="552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Arial Unicode MS" w:cs="Arial Unicode MS" w:eastAsia="Arial Unicode MS" w:hAnsi="Arial Unicode MS"/>
          <w:sz w:val="11"/>
          <w:szCs w:val="11"/>
          <w:color w:val="auto"/>
        </w:rPr>
        <w:t>☐</w:t>
      </w:r>
      <w:r>
        <w:rPr>
          <w:rFonts w:ascii="Times New Roman" w:cs="Times New Roman" w:eastAsia="Times New Roman" w:hAnsi="Times New Roman"/>
          <w:sz w:val="11"/>
          <w:szCs w:val="11"/>
          <w:color w:val="auto"/>
        </w:rPr>
        <w:tab/>
        <w:t xml:space="preserve">NO </w:t>
      </w:r>
      <w:r>
        <w:rPr>
          <w:rFonts w:ascii="Arial Unicode MS" w:cs="Arial Unicode MS" w:eastAsia="Arial Unicode MS" w:hAnsi="Arial Unicode MS"/>
          <w:sz w:val="11"/>
          <w:szCs w:val="11"/>
          <w:color w:val="auto"/>
        </w:rPr>
        <w:t>☒</w:t>
      </w:r>
    </w:p>
    <w:p>
      <w:pPr>
        <w:spacing w:after="0" w:line="20" w:lineRule="exact"/>
        <w:rPr>
          <w:sz w:val="24"/>
          <w:szCs w:val="24"/>
          <w:color w:val="auto"/>
        </w:rPr>
      </w:pPr>
    </w:p>
    <w:p>
      <w:pPr>
        <w:ind w:right="120" w:firstLine="509"/>
        <w:spacing w:after="0" w:line="239" w:lineRule="auto"/>
        <w:rPr>
          <w:sz w:val="20"/>
          <w:szCs w:val="20"/>
          <w:color w:val="auto"/>
        </w:rPr>
      </w:pPr>
      <w:r>
        <w:rPr>
          <w:rFonts w:ascii="Times New Roman" w:cs="Times New Roman" w:eastAsia="Times New Roman" w:hAnsi="Times New Roman"/>
          <w:sz w:val="11"/>
          <w:szCs w:val="11"/>
          <w:color w:val="auto"/>
        </w:rPr>
        <w:t>As of June 30, 2023, the last business day of the registrant’s most recently completed second fiscal quarter, the aggregate market value of voting ordinary shares held by non-affiliates of the registrant was approximately $53.1 million, determined using the per share closing price of $5.33 on The Nasdaq Global Market on June 30, 2023, as adjusted for the 32-for-1 reverse stock split of Dave Inc.’s common stock effected on January 5, 2023. Ordinary shares held by each director and executive officer (and their respective affiliates) and each person who owns 10 percent or more of the outstanding ordinary shares or who is otherwise believed by the registrant to be in a control position have been excluded. This determination of affiliate status is not necessarily a conclusive determination for other purposes.</w:t>
      </w:r>
    </w:p>
    <w:p>
      <w:pPr>
        <w:spacing w:after="0" w:line="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color w:val="auto"/>
        </w:rPr>
        <w:t>As of February 26, 2024, there were 10,724,868 shares of Class A common stock, $0.0001 par value and 1,514,082 shares of Class V common stock, $0.0001 par value, issued and outstanding.</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 w:lineRule="exact"/>
        <w:rPr>
          <w:sz w:val="24"/>
          <w:szCs w:val="24"/>
          <w:color w:val="auto"/>
        </w:rPr>
      </w:pPr>
    </w:p>
    <w:p>
      <w:pPr>
        <w:ind w:right="420"/>
        <w:spacing w:after="0" w:line="236" w:lineRule="auto"/>
        <w:rPr>
          <w:sz w:val="20"/>
          <w:szCs w:val="20"/>
          <w:color w:val="auto"/>
        </w:rPr>
      </w:pPr>
      <w:r>
        <w:rPr>
          <w:rFonts w:ascii="Times New Roman" w:cs="Times New Roman" w:eastAsia="Times New Roman" w:hAnsi="Times New Roman"/>
          <w:sz w:val="11"/>
          <w:szCs w:val="11"/>
          <w:color w:val="auto"/>
        </w:rPr>
        <w:t>Part III incorporates by reference certain information from the registrant’s definitive proxy statement (the “Proxy Statement”) relating to its Annual Meeting of Stockholders to be held in 2024. The Proxy Statement will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8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6"/>
              </w:rPr>
              <w:t>DAVE INC.</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0" w:type="dxa"/>
            <w:vAlign w:val="bottom"/>
            <w:gridSpan w:val="12"/>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00" w:type="dxa"/>
            <w:vAlign w:val="bottom"/>
            <w:gridSpan w:val="14"/>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40" w:type="dxa"/>
            <w:vAlign w:val="bottom"/>
            <w:gridSpan w:val="10"/>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16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160" w:type="dxa"/>
            <w:vAlign w:val="bottom"/>
            <w:tcBorders>
              <w:top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rPr>
              <w:t>Basis of Presentation</w:t>
            </w:r>
          </w:p>
        </w:tc>
        <w:tc>
          <w:tcPr>
            <w:tcW w:w="6000" w:type="dxa"/>
            <w:vAlign w:val="bottom"/>
            <w:gridSpan w:val="12"/>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9"/>
        </w:trPr>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9"/>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Business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0"/>
              </w:rPr>
              <w:t>ITEM 1A.</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1"/>
              </w:rPr>
              <w:t>ITEM 1B.</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1"/>
              </w:rPr>
              <w:t>ITEM 1C.</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Cybersecurity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Properties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9"/>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[Reserved]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7.</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0"/>
              </w:rPr>
              <w:t>ITEM 7A.</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8.</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ITEM 9.</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0" w:type="dxa"/>
            <w:vAlign w:val="bottom"/>
          </w:tcPr>
          <w:p>
            <w:pPr>
              <w:spacing w:after="0"/>
              <w:rPr>
                <w:sz w:val="1"/>
                <w:szCs w:val="1"/>
                <w:color w:val="auto"/>
              </w:rPr>
            </w:pPr>
          </w:p>
        </w:tc>
      </w:tr>
      <w:tr>
        <w:trPr>
          <w:trHeight w:val="20"/>
        </w:trPr>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0"/>
              </w:rPr>
              <w:t>ITEM 9A.</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1"/>
              </w:rPr>
              <w:t>ITEM 9B.</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1"/>
              </w:rPr>
              <w:t>ITEM 9C.</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60" w:type="dxa"/>
            <w:vAlign w:val="bottom"/>
            <w:tcBorders>
              <w:top w:val="single" w:sz="8" w:color="0000FF"/>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820" w:type="dxa"/>
            <w:vAlign w:val="bottom"/>
            <w:gridSpan w:val="6"/>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10.</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11.</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12.</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13.</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14.</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9"/>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15.</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54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ITEM 16.</w:t>
            </w:r>
          </w:p>
        </w:tc>
        <w:tc>
          <w:tcPr>
            <w:tcW w:w="9420" w:type="dxa"/>
            <w:vAlign w:val="bottom"/>
            <w:gridSpan w:val="25"/>
          </w:tcPr>
          <w:p>
            <w:pPr>
              <w:ind w:left="720"/>
              <w:spacing w:after="0"/>
              <w:rPr>
                <w:sz w:val="20"/>
                <w:szCs w:val="20"/>
                <w:color w:val="auto"/>
              </w:rPr>
            </w:pPr>
            <w:r>
              <w:rPr>
                <w:rFonts w:ascii="Times New Roman" w:cs="Times New Roman" w:eastAsia="Times New Roman" w:hAnsi="Times New Roman"/>
                <w:sz w:val="18"/>
                <w:szCs w:val="18"/>
                <w:color w:val="0000FF"/>
              </w:rPr>
              <w:t>Form 10-K Summary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0"/>
        </w:trPr>
        <w:tc>
          <w:tcPr>
            <w:tcW w:w="74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9"/>
              </w:rPr>
              <w:t>Signatures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1661"/>
        </w:trPr>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“report” or this “Annual Report on Form 10-K”)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this report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spacing w:after="0" w:line="8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developments in its industry and the larger financial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risks associated with providing ExtraCash advances;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retain its current members, acquire new members and sell additional functionality and services to its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the integrity of its confidential information and information systems or comply with applicable privacy and data security requirements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or secure current and future key banking relationships and other third-party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failures that could lead Dave members (“Members”) to use competitors’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Dave Class A Common Stock on The Nasdaq Stock Market; and</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economic factors, including rising interest rates, and business, and/or competitive factors.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including without limitation, the important factors described in Part I. Item 1A “Risk Factors” in this Annual Report on Form 10-K, our actual results or performance may be materially different from those expressed or implied by these forward-looking statements.</w:t>
      </w:r>
    </w:p>
    <w:p>
      <w:pPr>
        <w:spacing w:after="0" w:line="17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5, 2022, we consummated the transactions contemplated by that certain Agreement and Plan of Merger, dated as of June 7, 2021 (the “Merger Agreement”), by and among VPC Impact Acquisition Holdings III, Inc. (“VPCC”), Dave Inc., a Delaware corporation (“Legacy Dave”), Bear Merger Company I Inc., a Delaware corporation and a direct, wholly owned subsidiary of VPCC (“First Merger Sub”), and Bear Merger Company II LLC, a Delaware limited liability company and a direct, wholly owned subsidiary of VPCC (“Second Merger Sub” and together with the First Merger Sub, the “Merger Subs”). Pursuant to the Merger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Merger Agreement, the “Business Combination”), with Second Merger Sub being the surviving company of the Second Merger as a wholly owned subsidiary of VPCC. In connection with the closing of the Business Combination, we changed our name from “VPC Impact Acquisition Holdings III, Inc.” to “Dave Inc.,” and the Surviving Entity operates under the name “Dave Operating LLC.”</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Class A Common Stock is now listed on The Nasdaq Global Market (“Nasdaq”) under the symbol “DAVE,” and warrants to purchase the Class A Common Stock at an exercise price of $368 per share are listed on Nasdaq under the symbol “DAVEW.” Prior to the Business Combination, VPCC neither engaged in any operations nor generated any revenue. Until the Business Combination, based on VPCC’s business activities, VPCC was a “shell company” as defined under the Securities Exchange Act of 1934, as amended (the “Exchange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Annual Report on Form 10-K, unless otherwise noted or the context otherwise requires:</w:t>
      </w:r>
    </w:p>
    <w:p>
      <w:pPr>
        <w:spacing w:after="0" w:line="117" w:lineRule="exact"/>
        <w:rPr>
          <w:sz w:val="20"/>
          <w:szCs w:val="20"/>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the “Company,” “Dave,” “we,” “us,” “our” and similar terms refer to Dave Inc. (f/k/a VPC Impact Acquisition Holdings III, Inc.) and its consolidated subsidiaries;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“VPCC” are to VPC Impact Acquisition Holdings III, Inc. and its consolidated subsidiaries prior to the close of the Business Combination;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“Sponsor” are to VPC Impact Acquisition Holdings Sponsor III, LLC.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 refer to Dave Inc. and its consolidated subsidiaries following the consummation of the Business Combination</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story of David vs. Goliath, the small underdog is able to outsmart and defeat his larger adversary. This is the spirit behind the name “Dave.” We have built an integrated and fully digital financial services platform that provides millions of Americans with seamless access to a variety of intuitive financial products at a fraction of the cost and with much greater transparency and higher speed to value than that of the legacy financial services incumbents, such as traditional banks, credit unions, and independent finance companies. Our mission is to build products that level the financial playing field. Our strategy is focused on delivering a superior banking experience for anyone living paycheck to paycheck.</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on our observation and analysis of Member data, legacy financial institutions charge high fees for consumer banking and other financial services products, which disproportionately burdens tens of millions of Americans who can least afford them. We witness this dynamic playing out with our Members who we believe are on average paying between $300-$400 per year in overdraft fees, maintenance and other fees to their existing bank for basic checking services.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we see a significant opportunity to address the broader short-term credit market. According to a 2023 report by The Financial Health Network (“FHN”), legacy financial institutions charge nearly $40 billion in fees annually. The FHN estimates that financially “coping” and “vulnerable” populations pay over $160 billion a year in fees and interest for access to short-term credit.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prospective Member opportunity is also significant. In the 2023 report, the FHN estimated that approximately 180 million Americans are “financially vulnerable” or “financially coping” based on financial health scores which reflect spending patterns relative to income, the sufficiency of liquid savings, and the manageability of debt obligations; this figure grew 8% or by 14 million Americans in 2021 as fiscal stimulus impacts waned and as inflationary and interest rate pressures persisted. The FHN study implies that over 70% of Americans fall into these low or volatile income and credit-challenged categories, which is up from 66% in 2021. Similarly, the December 2023 Paycheck to Paycheck Report published by PYMNTS found that, in November 2023, 62%, or approximately 160 million, of all U.S. consumers were living paycheck to paycheck, up from 57% merely six months earlier. Given these dynamics, we estimate that our total addressable market consists of between 160 million to 180 million Americans who are in need of financial stability and are either not served or underserved by legacy financial institutions.</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Dave ExtraCash and Dave Banking products are offered through our bank partner, Evolve Bank &amp; Trust ("Evolve"), a member of the Federal Deposit Insurance Corporation ("FDIC"). We also help Members generate extra income for spending or emergencies through our Side Hustle product, where we present Members with supplemental work opportunities, and through our Surveys product, where Members can earn supplemental income by taking surveys. Our budgeting tool helps Members manage their upcoming bills to avoid overspending.</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Market research conducted by Dave found that legacy financial institutions commonly require a more extensive banking relationship and days or even weeks of wait times to access their features and services, which can potentially be more onerous for premium features (e.g., access to higher interest rates requires direct deposit or higher minimum daily balances). Even new challenger banks often take multiple days or even weeks before allowing members to access certain premium features, according to the same research. In contrast, Dave's Members are able to utilize each of Dave’s products instantly, whether or not their primary banking relationship is with us. As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example, our ExtraCash product allows Members to access up to $500 to cover an overdraft at their existing bank or everyday expenses such as rent, gas or groceries. We are able to do this by leveraging our proprietary machine learning engine that analyzes a Member’s prior transaction history at their existing bank. This flexible approach to Member choice and speed to value has been a key driver of our highly efficient customer acquisition costs, Member engagement and growth as well as best-in-class brand favorability. Dave leads its peers in Apple’s app-store ratings, with a 4.8 average rating from over 670,000 reviews.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only begun to address the many inequities in financial services, but we believe our progress to date demonstrates the demand for Dave to improve the financial system for the everyday person. Since inception and through the date of this Annual Report on Form 10-K, over 13 million Members have registered on the Dave app and over 10 million Members have used at least one of our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4, 2023, our Board of Directors approved an amendment to our Company’s certificate of incorporation to complete a 1-for-32 reverse stock split effective January 5, 2023. The primary goal of the reverse stock split was to bring our stock price above the share bid price requirement for continued listing on Nasdaq. Unless otherwise indicated, the effects of the reverse stock split have been reflected in this Annual Report on Form 10-K, including the consolidated financial statements and the footnotes hereto.</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January 4, 2024, we entered into a purchase and sale agreement, pursuant to which we agreed to purchase a convertible promissory note in the original principal amount of $100.0 million previously issued by us to FTX Ventures Ltd. on March 21, 2022 for $71.0 million. This purchase price represented 67 percent of the $105.5 million outstanding balance as of December 31, 2023. The transaction closed on January 29,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Americans have been underserved by existing financial products for decades. We take a unique approach to serving our large addressable market with the following strategy:</w:t>
      </w:r>
    </w:p>
    <w:p>
      <w:pPr>
        <w:spacing w:after="0" w:line="54" w:lineRule="exact"/>
        <w:rPr>
          <w:sz w:val="20"/>
          <w:szCs w:val="20"/>
          <w:color w:val="auto"/>
        </w:rPr>
      </w:pPr>
    </w:p>
    <w:p>
      <w:pPr>
        <w:ind w:left="1280" w:hanging="509"/>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 suite of products that help solve critical Member pain points, driving low acquisition costs.</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frictionless access to a suite of financial products.</w:t>
      </w:r>
    </w:p>
    <w:p>
      <w:pPr>
        <w:spacing w:after="0" w:line="117" w:lineRule="exact"/>
        <w:rPr>
          <w:rFonts w:ascii="Times New Roman" w:cs="Times New Roman" w:eastAsia="Times New Roman" w:hAnsi="Times New Roman"/>
          <w:sz w:val="18"/>
          <w:szCs w:val="18"/>
          <w:color w:val="auto"/>
        </w:rPr>
      </w:pPr>
    </w:p>
    <w:p>
      <w:pPr>
        <w:ind w:left="1280" w:right="340" w:hanging="509"/>
        <w:spacing w:after="0" w:line="28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data and proprietary artificial intelligence-based underwriting technology to offer ExtraCash at affordable prices and with leading expediency.</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community building with our Member base.</w:t>
      </w:r>
    </w:p>
    <w:p>
      <w:pPr>
        <w:spacing w:after="0" w:line="117" w:lineRule="exact"/>
        <w:rPr>
          <w:rFonts w:ascii="Times New Roman" w:cs="Times New Roman" w:eastAsia="Times New Roman" w:hAnsi="Times New Roman"/>
          <w:sz w:val="18"/>
          <w:szCs w:val="18"/>
          <w:color w:val="auto"/>
        </w:rPr>
      </w:pPr>
    </w:p>
    <w:p>
      <w:pPr>
        <w:ind w:left="1280" w:right="180" w:hanging="509"/>
        <w:spacing w:after="0" w:line="282"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a “flywheel” by cross-selling existing Members to new, complementary products at no additional Member acquisition costs, resulting in lower consumer pricing.</w:t>
      </w:r>
    </w:p>
    <w:p>
      <w:pPr>
        <w:spacing w:after="0" w:line="15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Offering products to solve critical Member pain points</w:t>
      </w:r>
      <w:r>
        <w:rPr>
          <w:rFonts w:ascii="Times New Roman" w:cs="Times New Roman" w:eastAsia="Times New Roman" w:hAnsi="Times New Roman"/>
          <w:sz w:val="18"/>
          <w:szCs w:val="18"/>
          <w:color w:val="auto"/>
        </w:rPr>
        <w:t>: One in five Americans are either unbanked (no checking account) or underbanked (access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checking account, but pays significant fees and/or has limited access to credit). Household financial insecurity is even more pervasive. Today, approximately 180 million Americans are either financially vulnerable or financially coping, with nearly 40% unable to afford a one-time $400 emergency expense, according to the Federal Reserve's report on the Economic Well-Being of U.S. Households, and 62% are living paycheck-to-paycheck, according to results from the December 2023 Paycheck to Paycheck Report published by PYMNTS.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Retail banks—large-scale depository institutions, regional banks, credit unions and other traditional financial institutions—are largely set up to serve Americans who are financially stable. For these Americans, existing financial services offerings largely address their needs; they offer mortgages, savings accounts, credit cards, wealth</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and more. In contrast, low-income or low-balance consumers are discouraged or disqualified from traditional financial services offerings as a result of their onerous overdraft fees, minimum account balance fees, minimum credit score requirements and other stringent requirements. Historically, Members have incurred an average of $300-400 per year in overdraft, maintenance and other fees from their legacy banks for basic checking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Dave, we have built an all-in-one mobile platform that offers the following financial products to directly address the financial instability that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Americans face:</w:t>
      </w:r>
    </w:p>
    <w:p>
      <w:pPr>
        <w:spacing w:after="0" w:line="203" w:lineRule="exact"/>
        <w:rPr>
          <w:sz w:val="20"/>
          <w:szCs w:val="20"/>
          <w:color w:val="auto"/>
        </w:rPr>
      </w:pPr>
    </w:p>
    <w:p>
      <w:pPr>
        <w:ind w:left="520"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ExtraCash: </w:t>
      </w:r>
      <w:r>
        <w:rPr>
          <w:rFonts w:ascii="Times New Roman" w:cs="Times New Roman" w:eastAsia="Times New Roman" w:hAnsi="Times New Roman"/>
          <w:sz w:val="18"/>
          <w:szCs w:val="18"/>
          <w:color w:val="auto"/>
        </w:rPr>
        <w:t>Many Americans are often unable to maintain a positive balance between paychecks, driving a reliance on overdraft products, payday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auto title loans and other forms of expensive credit to put food on the table, gas in their car or pay for unexpected emergencies. For example, traditional banks charge up to $35 for access to as little as $5 of overdraft, whereas many others in the financial services sector do not allow for overdraft at all. Dave invented a short-term liquidity alternative called ExtraCash, offered through our partnership with Evolve, which allows Members to receive a cash advance of up to $500 with an option to advance funds to their bank account via the automated clearing house (ACH) network (which typically takes two to five business days) and avoid fees altogether. Members also have the option to advance funds to their bank account via the debit card network (which typically takes minutes or hours) for an instant transfer fee.</w:t>
      </w:r>
    </w:p>
    <w:p>
      <w:pPr>
        <w:spacing w:after="0" w:line="183" w:lineRule="exact"/>
        <w:rPr>
          <w:sz w:val="20"/>
          <w:szCs w:val="20"/>
          <w:color w:val="auto"/>
        </w:rPr>
      </w:pPr>
    </w:p>
    <w:p>
      <w:pPr>
        <w:ind w:left="520"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Dave Banking: </w:t>
      </w:r>
      <w:r>
        <w:rPr>
          <w:rFonts w:ascii="Times New Roman" w:cs="Times New Roman" w:eastAsia="Times New Roman" w:hAnsi="Times New Roman"/>
          <w:sz w:val="18"/>
          <w:szCs w:val="18"/>
          <w:color w:val="auto"/>
        </w:rPr>
        <w:t>Dave offers a full-service digital checking account through our partnership with Evolve. Dave Banking accounts do not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overdraft or minimum balance fees, allow for early paycheck payment, offer a Dave debit card to facilitate everyday spending including cashback reward offers, and provide FDIC insurance on checking account balances up to $250,000. Moreover, Dave Banking Members receive features to support their financial health such as 4.00% annual percentage yield ("APY") deposit rates on both checking and savings account balances, Goals savings accounts and opt-in round-up savings on debit transactions in addition to receiving lower ExtraCash instant transfer fees.</w:t>
      </w:r>
    </w:p>
    <w:p>
      <w:pPr>
        <w:spacing w:after="0" w:line="179" w:lineRule="exact"/>
        <w:rPr>
          <w:sz w:val="20"/>
          <w:szCs w:val="20"/>
          <w:color w:val="auto"/>
        </w:rPr>
      </w:pPr>
    </w:p>
    <w:p>
      <w:pPr>
        <w:ind w:left="520" w:right="3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Budget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Leveraging our data connections to Members' bank accounts and spending activity, Dave offers a personal financial management tool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Members with budgeting, wherever someone banks. With Budget, Dave helps Members to manage their income and expenses between paychecks and avoid liquidity jams that may cause them to overdraft. Dave tracks Members’ income and expenses, and we let them know about estimated upcoming bills and other expenses. Budget will monitor their linked bank account held at a depository institution, including a Dave Banking account, and will let them know when they are in danger of having insufficient funds in their account. This helps Members avoid overdrafts, returned transactions and bank fees.</w:t>
      </w:r>
    </w:p>
    <w:p>
      <w:pPr>
        <w:spacing w:after="0" w:line="182"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Side Hustle and Surveys: </w:t>
      </w:r>
      <w:r>
        <w:rPr>
          <w:rFonts w:ascii="Times New Roman" w:cs="Times New Roman" w:eastAsia="Times New Roman" w:hAnsi="Times New Roman"/>
          <w:sz w:val="18"/>
          <w:szCs w:val="18"/>
          <w:color w:val="auto"/>
        </w:rPr>
        <w:t>Dave seeks to help Members improve their financial health by offering them opportunities to generate supplemental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through two channels: Side Hustle and Surveys. Through Side Hustle, our Members can quickly submit applications to leading employers, including UberEats, Lyft, and Costco that can lead to increased income with flexible employment. Our Surveys product allows for additional earning opportunities, allowing Members to take paid surveys anytime within the Dave mobile application. These channels drive engagement within the Dave ecosystem and deepen our relationship to our Members’ financial wellbeing.</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Creating frictionless access to high-impact products: </w:t>
      </w:r>
      <w:r>
        <w:rPr>
          <w:rFonts w:ascii="Times New Roman" w:cs="Times New Roman" w:eastAsia="Times New Roman" w:hAnsi="Times New Roman"/>
          <w:sz w:val="18"/>
          <w:szCs w:val="18"/>
          <w:color w:val="auto"/>
        </w:rPr>
        <w:t>In order to access the financial tools many retail banks offer, consumers are often first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a checking account with that bank. Banks may also require a direct deposit relationship to discourage switching banks. Most financial technology companies in the consumer banking space have largely retained this model, requiring a primary banking relationship in order to access their financial health tools.</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At Dave, we believe this approach is exclusionary and discourages participation in the banking system for tens of millions of Americans who need it most. As part of our philosophy of solving critical financial pain points for consumers, we deliberately offer each of our products on a standalone basis, meeting Members where they are and allowing them to engage with Dave on their own terms. We believe that high-impact products that are easy to access and easy to use will engender Member loyalty and engagement across multiple products and expand the lifetime value of these Member relationships.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Leveraging data to offer high impact products quickly and at advantageous pricing: </w:t>
      </w:r>
      <w:r>
        <w:rPr>
          <w:rFonts w:ascii="Times New Roman" w:cs="Times New Roman" w:eastAsia="Times New Roman" w:hAnsi="Times New Roman"/>
          <w:sz w:val="18"/>
          <w:szCs w:val="18"/>
          <w:color w:val="auto"/>
        </w:rPr>
        <w:t>We offer our high impact ExtraCash and Budget products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within a matter of minutes of installing the Dave mobile application. When a Member connects their existing bank account to Dave, we analyze several months of historical spending and income data using our proprietary machine-learning-based income-detection algorithms. To date, we have analyzed tens of billions Member transactions. This allows us to offer immediate budgeting insights such as an upcoming utility bill and, if eligible, rapidly approve Members for up to $500 of ExtraCash which can be accessed within minutes. While early wage access and cash advance products have become increasingly common across banking innovators, these products typically depend on multiple direct deposits into a bank account—often requiring multiple weeks and pay cycles. At Dave, a Member can receive much-needed cash in a matter of minutes and, while Members receive a new bank account in conjunction with signing up for Dave, it is an additional benefit to Members and not a requirement to obtain ExtraCash.</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wealth of data, combined with our machine-learning capabilities and underwriting excellence, is a competitive advantage that will increase with Member scale. We expect to continue to develop these technologies and use them for product expansion in the future.</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Focusing on community building with our Members: </w:t>
      </w:r>
      <w:r>
        <w:rPr>
          <w:rFonts w:ascii="Times New Roman" w:cs="Times New Roman" w:eastAsia="Times New Roman" w:hAnsi="Times New Roman"/>
          <w:sz w:val="18"/>
          <w:szCs w:val="18"/>
          <w:color w:val="auto"/>
        </w:rPr>
        <w:t>We take our mission to build products that level the financial playing field seriously. That is why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have developed financial products that address the needs of more than 160 million Americans.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date, we have helped our Members avoid nearly $2.5 billion in overdraft fees from their legacy bank relationships through our ExtraCash product. Through our charity program, we have delivered over 149 million meals through our pledge of over $18 million to Feeding America and other causes. Dave has been named a Best Place to Work by Built In for four consecutive years, most recently being recognized as one of the best remote workplaces in the U.S.</w:t>
      </w:r>
    </w:p>
    <w:p>
      <w:pPr>
        <w:spacing w:after="0" w:line="1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Generating a virtual “flywheel”: </w:t>
      </w:r>
      <w:r>
        <w:rPr>
          <w:rFonts w:ascii="Times New Roman" w:cs="Times New Roman" w:eastAsia="Times New Roman" w:hAnsi="Times New Roman"/>
          <w:sz w:val="18"/>
          <w:szCs w:val="18"/>
          <w:color w:val="auto"/>
        </w:rPr>
        <w:t>Our aim is to create the most trusted, integrated financial services platform that will generate a cycle whereby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experiences will lead to more products adopted per Member and enhanced profitability for each additional product at no additional acquisition cost. We refer to this cycle as our “Dave Flywheel.” Over 13 million Americans have downloaded and registered accounts on the Dave app, and more than six million Americans have connected their existing bank accounts to Dave.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Member acquisition efficiency is a testament to Dave’s product-market fit and trusted brand. Our unique ability to offer an immediate short-term solution to near-term financial instability, without direct deposit or bank account relationship length requirements, has proven highly compelling to a broad range of Members. Further, our digitally-native interface and the community impact of our products create a compelling Member experience that paves the way to offer additional products within our ecosystem.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Platform</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intuitive and Member-friendly app provides a fast, seamless experience across all of our products. We are committed to delivering a delightful Member experience; we continuously listen to our Members’ feedback and seek to implement improvements on a rapid release cycle. As of December 31, 2023, we had received nearly 670,000 ratings on the Apple app store, with a 4.8 average rating.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Dave’s current product platform includes: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“ExtraCash” Advance Product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ExtraCash is our 0% interest cash advance product that gives Members access to much-needed liquidity to avoid overdraft fees or bridge themselves to their next paycheck. No credit check is required and eligibility for ExtraCash is based on the verification of the Member’s checking account and the Member’s identity. Beginning in the summer of 2022, all new Members began receiving a Dave Banking account to which they can receive their ExtraCash advance; alternatively, Members can disburse their advance to a checking account with another financial institution. Once a Member connects his or her bank account to the Dave app, data regarding the Member’s account is gathered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and analyzed. The amount of the advance available to a Member is a function of a proprietary machine-learning-based algorithm that analyzes historical spending, savings and earnings patterns based on data gathered from the Member’s bank account, among other data points. This process is fully automated unless there are any issues flagged via our Member identification processes. Timing of the scheduled repayment date of the ExtraCash advance is determined when the ExtraCash advance is made and is based on the estimated date that the Member will receive his or her next paycheck or other income, which typically ranges from seven to 10 days from when they ask for an ExtraCash advance. A Member is limited to one ExtraCash advance per pay period and may only have one ExtraCash advance outstanding at any given time. The maximum term for an ExtraCash advance is 31 days. Dave develops and manages the entire risk management and decisioning process associated with issuing and servicing ExtraCash advances. Since the payback date is an estimate of the Member’s next paycheck date, we primarily monitor and manage delinquency and loss performance based on repayment experience following the estimated repayment date. Specifically, we assess dollars repaid relative to dollars owed over this period. The table below summarizes delinquency repayment performance over the historical period where the 28-day delinquency rate for a particular month represents the total delinquent principal disbursed in that calendar month (inclusive of the delinquent pledged instant transfer fees and tips) divided by the total receivables created in that particular calendar month.</w:t>
      </w:r>
    </w:p>
    <w:tbl>
      <w:tblPr>
        <w:tblLayout w:type="fixed"/>
        <w:tblInd w:w="2610" w:type="dxa"/>
        <w:tblCellMar>
          <w:top w:w="0" w:type="dxa"/>
          <w:left w:w="0" w:type="dxa"/>
          <w:bottom w:w="0" w:type="dxa"/>
          <w:right w:w="0" w:type="dxa"/>
        </w:tblCellMar>
      </w:tblPr>
      <w:tr>
        <w:trPr>
          <w:trHeight w:val="256"/>
        </w:trPr>
        <w:tc>
          <w:tcPr>
            <w:tcW w:w="1000" w:type="dxa"/>
            <w:vAlign w:val="bottom"/>
            <w:tcBorders>
              <w:top w:val="single" w:sz="8" w:color="auto"/>
              <w:left w:val="single" w:sz="8" w:color="auto"/>
              <w:bottom w:val="single" w:sz="8" w:color="auto"/>
              <w:right w:val="single" w:sz="8" w:color="auto"/>
            </w:tcBorders>
            <w:shd w:val="clear" w:color="auto" w:fill="B6DEE8"/>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5060" w:type="dxa"/>
            <w:vAlign w:val="bottom"/>
            <w:tcBorders>
              <w:top w:val="single" w:sz="8" w:color="auto"/>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28-Day Delinquency Rate</w:t>
            </w:r>
          </w:p>
        </w:tc>
      </w:tr>
      <w:tr>
        <w:trPr>
          <w:trHeight w:val="217"/>
        </w:trPr>
        <w:tc>
          <w:tcPr>
            <w:tcW w:w="10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2020</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4.34%</w:t>
            </w:r>
          </w:p>
        </w:tc>
      </w:tr>
      <w:tr>
        <w:trPr>
          <w:trHeight w:val="235"/>
        </w:trPr>
        <w:tc>
          <w:tcPr>
            <w:tcW w:w="1000" w:type="dxa"/>
            <w:vAlign w:val="bottom"/>
            <w:tcBorders>
              <w:left w:val="single" w:sz="8" w:color="B6DEE8"/>
              <w:bottom w:val="single" w:sz="8" w:color="auto"/>
              <w:right w:val="single" w:sz="8" w:color="auto"/>
            </w:tcBorders>
            <w:shd w:val="clear" w:color="auto" w:fill="B6DEE8"/>
          </w:tcPr>
          <w:p>
            <w:pPr>
              <w:ind w:left="320"/>
              <w:spacing w:after="0"/>
              <w:rPr>
                <w:sz w:val="20"/>
                <w:szCs w:val="20"/>
                <w:color w:val="auto"/>
              </w:rPr>
            </w:pPr>
            <w:r>
              <w:rPr>
                <w:rFonts w:ascii="Times New Roman" w:cs="Times New Roman" w:eastAsia="Times New Roman" w:hAnsi="Times New Roman"/>
                <w:sz w:val="18"/>
                <w:szCs w:val="18"/>
                <w:color w:val="auto"/>
              </w:rPr>
              <w:t>2021</w:t>
            </w:r>
          </w:p>
        </w:tc>
        <w:tc>
          <w:tcPr>
            <w:tcW w:w="5060" w:type="dxa"/>
            <w:vAlign w:val="bottom"/>
            <w:tcBorders>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8"/>
              </w:rPr>
              <w:t>3.93%</w:t>
            </w:r>
          </w:p>
        </w:tc>
      </w:tr>
      <w:tr>
        <w:trPr>
          <w:trHeight w:val="237"/>
        </w:trPr>
        <w:tc>
          <w:tcPr>
            <w:tcW w:w="10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2022</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r>
      <w:tr>
        <w:trPr>
          <w:trHeight w:val="236"/>
        </w:trPr>
        <w:tc>
          <w:tcPr>
            <w:tcW w:w="1000" w:type="dxa"/>
            <w:vAlign w:val="bottom"/>
            <w:tcBorders>
              <w:left w:val="single" w:sz="8" w:color="B6DEE8"/>
              <w:bottom w:val="single" w:sz="8" w:color="auto"/>
              <w:right w:val="single" w:sz="8" w:color="auto"/>
            </w:tcBorders>
            <w:shd w:val="clear" w:color="auto" w:fill="B6DEE8"/>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5060" w:type="dxa"/>
            <w:vAlign w:val="bottom"/>
            <w:tcBorders>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8"/>
              </w:rPr>
              <w:t>2.51%</w:t>
            </w: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no fees associated with the delivery of ExtraCash funds to a checking account (typically delivered within two to five business days) via ACH. Should a Member wish to receive their funds on an expedited basis (guaranteed within eight hours, though often significantly faster), there is an optional instant transfer fee. The instant transfer fee ranges from $3 to $25, depending on the size of the advance taken and whether the ExtraCash advance is disbursed to an external account or the Members’s Dave Banking account. Members are offered lower instant transfer fees if they elect to disburse ExtraCash funds internally to their Dave Banking account. Use of the expedited transfer feature is entirely optional. Further, we give Members the option to leave a tip based on what they think is fair when they use ExtraCash if they feel we have provided value to them.</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the repayment date, we trigger an automated withdrawal from the Member’s account for the ExtraCash advance amount plus the optional instant transfer fee and optional tip if a Member opted for those services. We take a consumer-friendly approach to the withdrawal process by attempting to check Member balances before initiating all ACH withdrawals. In the event there are insufficient funds to cover the repayment amount, we do not attempt the ACH withdrawal and will wait until the Member has a sufficient balance before initiating the transaction in order to minimize the possibility of triggering an overdraft for our Members. Consistent with our reserve methodology, we deem a Member advance that has been outstanding for more than 120 days to be uncollectible and is therefore written off.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Deposit Account: “Dave Banking”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Dave Banking is our FDIC-insured digital demand deposit account with premium features, cashback rewards, and no account minimums or corresponding fees. Our Dave Banking demand deposit accounts are currently issued by Evolve.</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Members can open a Dave Banking account in minutes through the Dave mobile application, add funds to their account and begin spending using a Dave Banking virtual debit card. Dave Banking accounts also include a physical Dave Debit MasterCard that can be used for everyday purchases and spending transactions as well as at any of the nearly 40,000 MoneyPass ATM network locations to make no-fee withdrawals at these in-network ATMs.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Banking accounts can be funded with an ExtraCash advance, direct deposit, an external debit card, an external bank account, or mobile check capture.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fees for a Dave Banking account, making it accessible for people of all financial situations.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Dave Banking account includes what we believe are some of the best features and rewards in banking, including:</w:t>
      </w:r>
    </w:p>
    <w:p>
      <w:pPr>
        <w:spacing w:after="0" w:line="117" w:lineRule="exact"/>
        <w:rPr>
          <w:sz w:val="20"/>
          <w:szCs w:val="20"/>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account minimums;</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MoneyPass ATM network locations to make no-fee withdrawals;</w:t>
      </w:r>
    </w:p>
    <w:p>
      <w:pPr>
        <w:spacing w:after="0" w:line="117" w:lineRule="exact"/>
        <w:rPr>
          <w:rFonts w:ascii="Times New Roman" w:cs="Times New Roman" w:eastAsia="Times New Roman" w:hAnsi="Times New Roman"/>
          <w:sz w:val="18"/>
          <w:szCs w:val="18"/>
          <w:color w:val="auto"/>
        </w:rPr>
      </w:pPr>
    </w:p>
    <w:p>
      <w:pPr>
        <w:ind w:left="1280" w:right="4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Paychecks delivered up to two days earlier than the scheduled payment date with direct deposit into the Dave Banking account, a feature accessible with no additional mandatory fees;</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mobile wallets such as Apple Pay and Google Pay;</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APY accrued on deposits in Members’ Dave Spend Account;</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deposits with in-app barcode at Walgreens and CVS locations nationwide;</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remote check deposit with optional instant fund availability for a fee;</w:t>
      </w:r>
    </w:p>
    <w:p>
      <w:pPr>
        <w:spacing w:after="0" w:line="117" w:lineRule="exact"/>
        <w:rPr>
          <w:rFonts w:ascii="Times New Roman" w:cs="Times New Roman" w:eastAsia="Times New Roman" w:hAnsi="Times New Roman"/>
          <w:sz w:val="18"/>
          <w:szCs w:val="18"/>
          <w:color w:val="auto"/>
        </w:rPr>
      </w:pPr>
    </w:p>
    <w:p>
      <w:pPr>
        <w:ind w:left="1280" w:right="340" w:hanging="509"/>
        <w:spacing w:after="0" w:line="282"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Round-up feature allowing Members to round-up their debit card transaction into a Goals account which helps Members accumulate savings; and</w:t>
      </w:r>
    </w:p>
    <w:p>
      <w:pPr>
        <w:spacing w:after="0" w:line="5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receive discounted ExtraCash instant transfer fees when advances are disbursed to Members' Dave Banking accounts.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Dave Banking offers security controls such as multi-factor authentication, contactless payment, instant card lock and protection against unauthorized purchases if cards are lost or stolen.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Dave Banking demand deposit accounts are currently issued by Evolve. Evolve is also the issuer of all Dave Banking debit cards and sponsors access to debit networks for payment transactions, funding transactions and associated settlement of funds under a sponsorship agreement with Dave. Evolve also provides sponsorship and support for ACH and associated funds settlement. See “Our Business Model” below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Financial Management Tool: “Budget”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believe that understanding and visibility are core to a Member’s financial health. That is why we developed our product offering called Budget, a personal financial management tool that helps Members understand their spending and savings habits and learn better financial management.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automated financial management tool leverages historical bank account data to help Members understand both recurring and commonly occurring charges, helping Members understand potential upcoming pain points. Budget also notifies Members when there is a chance of an overdraft. We charge a $1 monthly subscription for access to the Budget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 Application Portal: “Side Hustle”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Side Hustle is our streamlined job application portal for Dave Members to find supplemental or temporary work. We focus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Income Generation: “Surveys”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Surveys product allows for additional earning opportunities, allowing Members to take paid surveys anytime within the Dave mobile application. This functionality drives engagement within the Dave ecosystem and deepens our relationship to our Members’ financial wellbeing.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a range of financial products and services through a single platform delivered via a mobile application.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 w:name="page12"/>
    <w:bookmarkEnd w:id="1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primarily broken into the following categories:</w:t>
      </w:r>
    </w:p>
    <w:p>
      <w:pPr>
        <w:spacing w:after="0" w:line="113" w:lineRule="exact"/>
        <w:rPr>
          <w:sz w:val="20"/>
          <w:szCs w:val="20"/>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Based Revenue</w:t>
      </w:r>
      <w:r>
        <w:rPr>
          <w:rFonts w:ascii="Times New Roman" w:cs="Times New Roman" w:eastAsia="Times New Roman" w:hAnsi="Times New Roman"/>
          <w:sz w:val="18"/>
          <w:szCs w:val="18"/>
          <w:color w:val="auto"/>
        </w:rPr>
        <w:t>: in 2023, 90% of revenue, approximately $232.2 million in revenue</w:t>
      </w:r>
    </w:p>
    <w:p>
      <w:pPr>
        <w:spacing w:after="0" w:line="121"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ExtraCash (optional instant transfer convenience fees and optional tips)</w:t>
      </w:r>
    </w:p>
    <w:p>
      <w:pPr>
        <w:spacing w:after="0" w:line="117"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 (subscription fee)</w:t>
      </w:r>
    </w:p>
    <w:p>
      <w:pPr>
        <w:spacing w:after="0" w:line="117"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(Side Hustle lead, Surveys)</w:t>
      </w:r>
    </w:p>
    <w:p>
      <w:pPr>
        <w:spacing w:after="0" w:line="113"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Based Revenue</w:t>
      </w:r>
      <w:r>
        <w:rPr>
          <w:rFonts w:ascii="Times New Roman" w:cs="Times New Roman" w:eastAsia="Times New Roman" w:hAnsi="Times New Roman"/>
          <w:sz w:val="18"/>
          <w:szCs w:val="18"/>
          <w:color w:val="auto"/>
        </w:rPr>
        <w:t>: in 2023, 10% of revenue, approximately $26.9 million in revenue</w:t>
      </w:r>
    </w:p>
    <w:p>
      <w:pPr>
        <w:spacing w:after="0" w:line="121" w:lineRule="exact"/>
        <w:rPr>
          <w:rFonts w:ascii="Times New Roman" w:cs="Times New Roman" w:eastAsia="Times New Roman" w:hAnsi="Times New Roman"/>
          <w:sz w:val="18"/>
          <w:szCs w:val="18"/>
          <w:color w:val="auto"/>
        </w:rPr>
      </w:pPr>
    </w:p>
    <w:p>
      <w:pPr>
        <w:ind w:left="1800" w:hanging="519"/>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Banking (interchange fees, network incentives, deposit referral fees and out-of-network ATM fees)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ExtraCash advances are originated through Evolve. Subsequent to the formation of Dave OD Funding I, LLC (“Dave OD Funding”), a subsidiary of Dave which is consolidated in Dave’s financial statements, ExtraCash advances have been funded through a combination of balance sheet cash and funding available under Dave OD Funding’s debt facility with Victory Park Management, LLC, an affiliate of VPCC. ExtraCash advances are purchased by Dave Operating LLC ("Dave Operating"), sold to Dave OD Funding, and serviced by Dave Operating. Cash is transferred back from Dave OD Funding to Dave Operating through the acquisition of newly originated advance receivables and by distributions following the repayment of advances by Members.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Dave Banking demand deposit accounts and associated debit cards are currently issued by Evolve. We are party to a Bank Services Agreement with Evolve, with a current term set to automatically renew annually unless either party provides written notice of non-renewal, which may be provided without cause to the other party at least 180 days prior to the end of any such term. In addition, upon the occurrence of certain early termination events, either we or Evolve may terminate the agreement immediately upon written notice to the other party. The Bank Services Agreement does not prohibit Evolve from working with our competitors or from offering competing services, nor does it prevent us from working with other banks to provide similar services. Our partnership with Evolve allows us to offer ExtraCash as well as other deposit accounts and debit cards while complying with various federal, state, and other laws. Evolve also sponsors access to debit networks and ACH for payment transactions, funding transactions and associated settlement of funds.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our arrangements with Evolve, we have also entered into a multi-year service agreement with Galileo Financial Technologies, LLC (f/k/a Galileo Financial Technologies, Inc.) (“Galileo”), a payment processing platform, in which Galileo has agreed to process all transactions for our Dave ExtraCash and Banking accounts and debit cards, and to handle corresponding payments and adjustments. Galileo also maintains cardholder information, implements certain fraud control processes and procedures, and provides related services in connection with the ExtraCash and Dave Banking accounts and debit cards. We pay the greater of actual fees or the minimum monthly fee for these services. In January 2023, we executed an amended agreement with Galileo that significantly reduced the fees that we pay to Galileo for these services. In conjunction with the amended agreement, the term of the agreement was amended such that the agreement expires on the fifth anniversary of the effective date of the amended agreement. Following the amended term of the agreement, the agreement renews for successive one-year periods unless either party provides written notice of non-renewal, which may be provided without cause, to the other party at least four months prior to the end of any such renewal term. The occurrence of certain events would provide each party with an early termination right under the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we are in the early stages of realizing the full value of our existing platform. We seek to capitalize on the structural advantages inherent in being a digitally native, customer-centric, and built-to-scale platform as we continue capturing share of the growing market opportunity. Our multi-pronged growth strategy is designed to continue building upon the momentum we have generated to date to create even greater value for consumers:</w:t>
      </w:r>
    </w:p>
    <w:p>
      <w:pPr>
        <w:spacing w:after="0" w:line="68" w:lineRule="exact"/>
        <w:rPr>
          <w:sz w:val="20"/>
          <w:szCs w:val="20"/>
          <w:color w:val="auto"/>
        </w:rPr>
      </w:pPr>
    </w:p>
    <w:p>
      <w:pPr>
        <w:ind w:left="1280" w:hanging="509"/>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penetrating our large addressable market;</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cross-sell into Dave Banking;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left="1280" w:hanging="509"/>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new products and features to cross-sell to Members; and</w:t>
      </w:r>
    </w:p>
    <w:p>
      <w:pPr>
        <w:spacing w:after="0" w:line="117" w:lineRule="exact"/>
        <w:rPr>
          <w:rFonts w:ascii="Times New Roman" w:cs="Times New Roman" w:eastAsia="Times New Roman" w:hAnsi="Times New Roman"/>
          <w:sz w:val="18"/>
          <w:szCs w:val="18"/>
          <w:color w:val="auto"/>
        </w:rPr>
      </w:pPr>
    </w:p>
    <w:p>
      <w:pPr>
        <w:ind w:left="1280" w:hanging="509"/>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additional strategic partnerships and acquisitions.</w:t>
      </w:r>
    </w:p>
    <w:p>
      <w:pPr>
        <w:spacing w:after="0" w:line="200" w:lineRule="exact"/>
        <w:rPr>
          <w:sz w:val="20"/>
          <w:szCs w:val="20"/>
          <w:color w:val="auto"/>
        </w:rPr>
      </w:pPr>
    </w:p>
    <w:p>
      <w:pPr>
        <w:spacing w:after="0" w:line="2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Continue penetrating our large addressable market: </w:t>
      </w:r>
      <w:r>
        <w:rPr>
          <w:rFonts w:ascii="Times New Roman" w:cs="Times New Roman" w:eastAsia="Times New Roman" w:hAnsi="Times New Roman"/>
          <w:sz w:val="18"/>
          <w:szCs w:val="18"/>
          <w:color w:val="auto"/>
        </w:rPr>
        <w:t>More than 160 million Americans are in need of more financial stability. Approximately one in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Americans are “unbanked” or “underbanked”—without access to a checking account, or with access to a checking account but burdened excessively with interest and fees. Approximately 10% of households who incur overdraft fees do so over 10 times per year, and approximately half of all banked financially vulnerable households overdrafted at least once per year. Framed differently, nearly 40% of Americans are unable to afford a one-time $400 emergency and more than 62% of U.S. consumers are living paycheck-to-paycheck. Therefore, while we have achieved significant user scale, we believe there remains significant runway for growth in our core product markets.</w:t>
      </w:r>
    </w:p>
    <w:p>
      <w:pPr>
        <w:spacing w:after="0" w:line="1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Accelerate cross-sell into Dave Banking: </w:t>
      </w:r>
      <w:r>
        <w:rPr>
          <w:rFonts w:ascii="Times New Roman" w:cs="Times New Roman" w:eastAsia="Times New Roman" w:hAnsi="Times New Roman"/>
          <w:sz w:val="18"/>
          <w:szCs w:val="18"/>
          <w:color w:val="auto"/>
        </w:rPr>
        <w:t>We are focused on continuing to expand the relationships we have with our Members into Dave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who engage in recurring funding and spending on our platform. Currently, all new Members started to receive a Dave Banking account to which they can receive an ExtraCash advance and with which they can satisfy their major funding and spending needs. Our goal is to expand the synergies between our ExtraCash product and the Dave Banking solution, build long-term, high-value direct deposit relationships with our Members and, ultimately, become the primary banking service for our Members.</w:t>
      </w:r>
    </w:p>
    <w:p>
      <w:pPr>
        <w:spacing w:after="0" w:line="179" w:lineRule="exact"/>
        <w:rPr>
          <w:sz w:val="20"/>
          <w:szCs w:val="20"/>
          <w:color w:val="auto"/>
        </w:rPr>
      </w:pPr>
    </w:p>
    <w:p>
      <w:pPr>
        <w:ind w:right="4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Deliver and market new products and features: </w:t>
      </w:r>
      <w:r>
        <w:rPr>
          <w:rFonts w:ascii="Times New Roman" w:cs="Times New Roman" w:eastAsia="Times New Roman" w:hAnsi="Times New Roman"/>
          <w:sz w:val="18"/>
          <w:szCs w:val="18"/>
          <w:color w:val="auto"/>
        </w:rPr>
        <w:t>Our product development teams, inclusive of Product Management, Engineering, Design and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Science, are constantly innovating. We are continually optimizing our current products, while also developing new features and solutions. We build products for our Members that we believe are not only impactful to their daily financial lives, but also intuitive and easy to use. At the same time, we design our products to drive value for our business and be technically scalable.</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Leveraging both quantitative and qualitative Member data, we seek to solve Member financial challenges and drive greater engagement. We begin by listening to our Members and then flowing through our phases of product development—research and development, prototyping and design, Member validation and Member testing, development and launch—and then ongoing learning and iterating.</w:t>
      </w:r>
    </w:p>
    <w:p>
      <w:pPr>
        <w:spacing w:after="0" w:line="172" w:lineRule="exact"/>
        <w:rPr>
          <w:sz w:val="20"/>
          <w:szCs w:val="20"/>
          <w:color w:val="auto"/>
        </w:rPr>
      </w:pPr>
    </w:p>
    <w:p>
      <w:pPr>
        <w:jc w:val="both"/>
        <w:ind w:right="5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Evaluate Additional Strategic Partnerships and Acquisitions: </w:t>
      </w:r>
      <w:r>
        <w:rPr>
          <w:rFonts w:ascii="Times New Roman" w:cs="Times New Roman" w:eastAsia="Times New Roman" w:hAnsi="Times New Roman"/>
          <w:sz w:val="17"/>
          <w:szCs w:val="17"/>
          <w:color w:val="auto"/>
        </w:rPr>
        <w:t>We believe partnerships and/or acquisitions will be an important tool to accelerate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realization of our strategic roadmap going forward. We plan to be intentional in evaluating opportunities to serve larger populations with our leading products, to develop new avenues for engagement with and retention of our current Members and to enter new and synergistic product categories.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service based revenue is typically weakest in the first quarter when the Company aims to reduce its marketing expense in order to optimize returns on our advertising spend. The efficiency of the Company's marketing expense, based on relative levels of customer acquisition costs, is typically softest in the first quarter when tax refunds help support the liquidity needs of our Members. Beyond the first quarter, service based revenue is typically stronger in the second, third, and fourth quarters when the Company aims to increase marketing expense in a disciplined manner given how it can generally achieve attractive returns on that investment at greater scale. From a credit performance perspective, the first quarter is typically the strongest quarter for ExtraCash when tax refunds provide repayment support for our Members. Transaction based revenue is typically strongest in the first quarter as the liquidity support which tax refunds provide causes higher levels of Dave Banking debit card spending and interchange revenue.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Member acquisition relies primarily on paid and organic online advertising and social media. Dave also relies on television (streaming and linear), paid search, organic web traffic and e-mail marketing. Referrals and spend incentives drive incremental acquisition and engagement. Marketing creative content and online ads are produced and edited by a lean, experienced, in-house team, well-versed in tailoring messages for our target segments. Product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efforts are aimed at increasing Member engagement, through-funnel conversion, retention, and reactivation at a very low cost.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Dave's management team believes that its customer acquisition cost is one of the lowest in the industry, which we attribute to both the sophistication of our marketing strategy and channel optimization as well as ExtraCash’s ability to address what our proprietary research reveals as the primary pain point for our Member base: short-term liquidity. We manage and monitor the efficiency of our marketing investment, in part, by comparing it to the number of customers acquired as well as the amount of gross and net revenue which these customers generate for the Company within a given period. The following table outlines Dave’s customer acquisition cost, which is defined as total marketing expense in a given period divided by the number of new Members who join the Dave platform in a given period by connecting an existing bank account to the Dave platform or by opening a Dave Banking account:</w:t>
      </w:r>
    </w:p>
    <w:p>
      <w:pPr>
        <w:spacing w:after="0" w:line="398" w:lineRule="exact"/>
        <w:rPr>
          <w:sz w:val="20"/>
          <w:szCs w:val="20"/>
          <w:color w:val="auto"/>
        </w:rPr>
      </w:pPr>
    </w:p>
    <w:tbl>
      <w:tblPr>
        <w:tblLayout w:type="fixed"/>
        <w:tblInd w:w="2890" w:type="dxa"/>
        <w:tblCellMar>
          <w:top w:w="0" w:type="dxa"/>
          <w:left w:w="0" w:type="dxa"/>
          <w:bottom w:w="0" w:type="dxa"/>
          <w:right w:w="0" w:type="dxa"/>
        </w:tblCellMar>
      </w:tblPr>
      <w:tr>
        <w:trPr>
          <w:trHeight w:val="281"/>
        </w:trPr>
        <w:tc>
          <w:tcPr>
            <w:tcW w:w="920" w:type="dxa"/>
            <w:vAlign w:val="bottom"/>
            <w:tcBorders>
              <w:top w:val="single" w:sz="8" w:color="auto"/>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Customer Acquisition Cost (per customer)</w:t>
            </w:r>
          </w:p>
        </w:tc>
      </w:tr>
      <w:tr>
        <w:trPr>
          <w:trHeight w:val="217"/>
        </w:trPr>
        <w:tc>
          <w:tcPr>
            <w:tcW w:w="920" w:type="dxa"/>
            <w:vAlign w:val="bottom"/>
            <w:tcBorders>
              <w:top w:val="single" w:sz="8" w:color="auto"/>
              <w:left w:val="single" w:sz="8" w:color="B6DEE8"/>
              <w:bottom w:val="single" w:sz="8" w:color="auto"/>
              <w:right w:val="single" w:sz="8" w:color="auto"/>
            </w:tcBorders>
            <w:shd w:val="clear" w:color="auto" w:fill="B6DEE8"/>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4580" w:type="dxa"/>
            <w:vAlign w:val="bottom"/>
            <w:tcBorders>
              <w:top w:val="single" w:sz="8" w:color="B6DEE8"/>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35"/>
        </w:trPr>
        <w:tc>
          <w:tcPr>
            <w:tcW w:w="9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37"/>
        </w:trPr>
        <w:tc>
          <w:tcPr>
            <w:tcW w:w="920" w:type="dxa"/>
            <w:vAlign w:val="bottom"/>
            <w:tcBorders>
              <w:left w:val="single" w:sz="8" w:color="B6DEE8"/>
              <w:bottom w:val="single" w:sz="8" w:color="auto"/>
              <w:right w:val="single" w:sz="8" w:color="auto"/>
            </w:tcBorders>
            <w:shd w:val="clear" w:color="auto" w:fill="B6DEE8"/>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4580" w:type="dxa"/>
            <w:vAlign w:val="bottom"/>
            <w:tcBorders>
              <w:bottom w:val="single" w:sz="8" w:color="auto"/>
              <w:right w:val="single" w:sz="8" w:color="auto"/>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37"/>
        </w:trPr>
        <w:tc>
          <w:tcPr>
            <w:tcW w:w="9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Consumer financial services is a large, fragmented, and competitive market, and we compete in varying degrees with a range of existing providers of consumer-focused banking, lending, commerce and other financial products. Our competitors are generally large, well-capitalized financial services companies. Some of our current and potential competitors have longer operating histories, particularly with respect to financial products similar to what we offer, significantly greater financial, technical, marketing and other resources, and a larger Member base. These competitors include:</w:t>
      </w:r>
    </w:p>
    <w:p>
      <w:pPr>
        <w:spacing w:after="0" w:line="68" w:lineRule="exact"/>
        <w:rPr>
          <w:sz w:val="20"/>
          <w:szCs w:val="20"/>
          <w:color w:val="auto"/>
        </w:rPr>
      </w:pPr>
    </w:p>
    <w:p>
      <w:pPr>
        <w:ind w:left="1280" w:right="40" w:hanging="509"/>
        <w:spacing w:after="0" w:line="268"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Banking Competitors</w:t>
      </w:r>
      <w:r>
        <w:rPr>
          <w:rFonts w:ascii="Times New Roman" w:cs="Times New Roman" w:eastAsia="Times New Roman" w:hAnsi="Times New Roman"/>
          <w:sz w:val="18"/>
          <w:szCs w:val="18"/>
          <w:color w:val="auto"/>
        </w:rPr>
        <w:t>: Traditional banks and credit unions (e.g., Bank of America, Chase, Wells Fargo), new entrants obtaining banking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(e.g., Varo Money), and other non-bank digital providers that white-label regulated products, offering banking-related services (e.g., Chime).</w:t>
      </w:r>
    </w:p>
    <w:p>
      <w:pPr>
        <w:spacing w:after="0" w:line="62" w:lineRule="exact"/>
        <w:rPr>
          <w:rFonts w:ascii="Times New Roman" w:cs="Times New Roman" w:eastAsia="Times New Roman" w:hAnsi="Times New Roman"/>
          <w:sz w:val="18"/>
          <w:szCs w:val="18"/>
          <w:color w:val="auto"/>
        </w:rPr>
      </w:pPr>
    </w:p>
    <w:p>
      <w:pPr>
        <w:ind w:left="1280" w:right="620" w:hanging="509"/>
        <w:spacing w:after="0" w:line="286"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Lending and Earned Income Advance Competitors</w:t>
      </w:r>
      <w:r>
        <w:rPr>
          <w:rFonts w:ascii="Times New Roman" w:cs="Times New Roman" w:eastAsia="Times New Roman" w:hAnsi="Times New Roman"/>
          <w:sz w:val="18"/>
          <w:szCs w:val="18"/>
          <w:color w:val="auto"/>
        </w:rPr>
        <w:t>: Traditional banks and credit unions, specialty finance and other non-bank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offering consumer lending-related or advance products (e.g., Upstart, MoneyLion).</w:t>
      </w:r>
    </w:p>
    <w:p>
      <w:pPr>
        <w:spacing w:after="0" w:line="46" w:lineRule="exact"/>
        <w:rPr>
          <w:rFonts w:ascii="Times New Roman" w:cs="Times New Roman" w:eastAsia="Times New Roman" w:hAnsi="Times New Roman"/>
          <w:sz w:val="18"/>
          <w:szCs w:val="18"/>
          <w:color w:val="auto"/>
        </w:rPr>
      </w:pPr>
    </w:p>
    <w:p>
      <w:pPr>
        <w:ind w:left="1280" w:right="60" w:hanging="509"/>
        <w:spacing w:after="0" w:line="286"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Innovators in Consumer Finance</w:t>
      </w:r>
      <w:r>
        <w:rPr>
          <w:rFonts w:ascii="Times New Roman" w:cs="Times New Roman" w:eastAsia="Times New Roman" w:hAnsi="Times New Roman"/>
          <w:sz w:val="18"/>
          <w:szCs w:val="18"/>
          <w:color w:val="auto"/>
        </w:rPr>
        <w:t>: Consumer-oriented commerce enablement platforms (e.g., Affirm), finance-oriented social networks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(e.g., CashApp, Venmo), and lending platforms (e.g., OpenLending, LendingClub).</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other market participants do not adequately meet the needs of an estimated 160 to 180 million Americans who make up our target market. We believe our ease of access, speed-to-value, data-driven approach and powerful flywheel will allow us to continue to efficiently scale and generate strong returns.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mission is to deliver a ‘center of excellence’ by harnessing the power of artificial intelligence (“AI”), particularly our integration of DaveGPT, to transform the voice of our Members into actionable insights, ensuring their successful interactions with our platform. We are unwaveringly customer-centric and devoted to crafting transformational experiences through our omni-channel support. Our approach is underpinned by Member data and advanced AI capabilities, including DaveGPT, which is fundamental in scaling our operations by automating simple interactions aimed to generate value through enhanced efficiency and precision. This allows us to augment our responses – whether through chatbot, live agent interactions, phone, email, or social media. We believe our seamless tools, supported by AI, provide us with a comprehensive 360-degree view of our Members’ journeys, enabling us to offer precise resolutions to their unique challenges. Our 24/7 knowledge center, informed by AI-driven insights, empowers Members to effectively utilize our tools and services. Moreover, we actively incorporate feedback from Member satisfaction surveys, net promoter score tracking, and app ratings, all analyzed through our advanced AI</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systems, to regularly refine our processes and optimize our products. This AI-centric approach helps ensure that we address a broad spectrum of inquiries with unprecedented ease, customization, and efficiency, reaffirming our commitment to not just meet but exceed our Members’ expectations.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Leadership talent and vision are core priorities at Dave. We have carefully built our team to include experts who will help develop our unique and innovative solutions. Our founding team includes serial entrepreneurs, experienced designers and technology experts. Sourcing from some of the largest and most successful companies in consumer and financial technology, we have hired leaders in People, Product and Marketing. Our Legal and Regulatory functions are led by veterans from high-growth financial services firms. We will continue to focus on building our leadership team as we grow and diversify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Culture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Every day, our lean and agile team works together to level the financial playing field. It is this mission and the opportunity to impact the lives of tens of millions of current and future Members that drives us. But, being mission driven alone is not enough to attract great talent. We have made significant strides towards becoming a great place to work.</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Over the past year, we have fully embedded the OKR (Objectives and Key Results) framework utilized by many high performing technology organizations into our ways of working here at Dave. We conduct Quarterly Business Reviews, which are an opportunity for the most senior leaders of the company to review key performance indicators from the previous quarter, ensure alignment on our plans for the upcoming quarter, and discuss key strategic focus areas for the business. These processes have led to increased accountability, more predictability of business results, more effective cross-functional collaboration, and ultimately ensuring every team member has a clear understanding of Dave’s goals and what they can do to contribute.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invest in great people leadership as we know that great people leaders have a multiplying effect on what a business is able to achieve. This insight has led us to invest very early in defining what it means to be a great leader at Dave. Our leaders aspire to create purpose, foster growth, lead through change, communicate with clarity and consistency and prioritize Dave-wide success. We continue to embed this definition of leadership into all aspects of the employee experience at Dave to ensure that over time, we are building the cadre of high performing leaders that inspire their teams to deliver our mission and business results.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Over the last year, we have continued to see the benefits from our strategic decision to operate as a Virtual First company. We have team members in 30 states and have greatly changed the profile of talent at Dave by removing geographic limitations. Voluntary employee turnover has decreased dramatically and, for 2023, has dipped below the market median rates of our peer set. We are committed to this model and believe that the removal of daily commutes and in-office distractions has increased productivity while not increasing our team size. Finally, we know there is value in in-person collaboration and, with that in mind, we encourage team offsites, bring the company together twice a year and have implemented a co-working stipend to help give team members optionality in where they work.</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Given our mission, we have invested in supporting the financial wellness of our own team by providing market competitive compensation and benefits programs, a 401k match and a benefits offering that allows all Dave employees access to a dedicated personal financial advisor to meet with as frequently as they choose.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Finally, as a fintech company working to reinvent so many aspects of our legacy financial system, we are no strangers to the unknown. We acknowledge that building a company and culture that employees can be proud of and recommend to their closest friends is not always linear. As such, we conduct semi-annual engagement surveys to give team members a confidential outlet to voice feedback. Based on these results, each department commits to OKRs to drive their department engagement and address opportunities getting in the way of team member engagement and retention. We take this process seriously, which shows by a consistent 90%+ participation rate in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every survey, as team members know that their feedback will be reviewed and actioned on.</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2023, we had approximately 285 full time employees across all locations. None of our employees are represented by a labor union or covered by a collective bargaining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operate in a complex regulatory environment consisting of U.S. federal and state laws that is rapidly evolving. These laws cover most aspects of our business and include laws, regulations, rules and guidance relating to, among other things, consumer finance and protection, privacy and data protection, anti-money laundering and know your customer requirements, banking, and payments. For example, with respect to our ExtraCash overdraft advance product offered through Evolve, certain state laws may, if applicable, regulate the charges or fees that can be assessed by us and how we may obtain repayment from our Members. In addition, other federal and state laws, public policy, and general principles of equity, such as laws prohibiting unfair and deceptive acts or practices, may apply to our activities in banking, ExtraCash advances, payments, and other areas. These laws and regulations impact our business both directly and indirectly. Additionally, as a result of our partnership with Evolve, which provides ExtraCash advances via an overdraft account, deposit accounts and debit cards to our Members, we are also subject to bank regulators with supervisory authority over Evolve. Ensuring ongoing compliance with these laws and regulations imposes significant burdens on our business operations. See “</w:t>
      </w:r>
      <w:r>
        <w:rPr>
          <w:rFonts w:ascii="Times New Roman" w:cs="Times New Roman" w:eastAsia="Times New Roman" w:hAnsi="Times New Roman"/>
          <w:sz w:val="18"/>
          <w:szCs w:val="18"/>
          <w:i w:val="1"/>
          <w:iCs w:val="1"/>
          <w:color w:val="auto"/>
        </w:rPr>
        <w:t>Risk Factors—Our business is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extensive regulation and oversight in a variety of areas under federal, state and local laws, and is subject to regulatory investigations and consumer litigation.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we may become subject to additional legal or regulatory requirements we are not subject to today if laws or regulations change in the jurisdictions in which we operate, or if we were to release new products or services. In addition, the regulatory framework for our products and services is evolving and uncertain and specifically the framework that applies to the ExtraCash advance business, as federal and state governments and regulators consider the application of existing laws and potential adoption of new laws. The potential for new laws and regulations, as well as ongoing uncertainty regarding the application of existing laws and regulations to our current products and services, may negatively affect our business. This could include the need to modify the way in which we generate revenue from certain business lines, obtain new licenses, or comply with additional laws and regulations in order to conduct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requirements and regulation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none of our current business lines require us to obtain any state licenses. However, the application of state licensing requirements (including those applicable to bank partnerships involving consumer lending) to our business model is not always clear and state regulators may request or require that we obtain licenses or otherwise comply with additional requirements in the future, which may result in changes to our business practices. In addition, if we are found to have engaged in activities subject to state licensure for which we lack the requisite license, or in activities that are otherwise deemed to be in violation of state lending laws, the relevant state authority may impose fines, impose restrictions on our operations in the relevant state, or seek other remedies for activities conducted in the state.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consumer protection requirements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Here we summarize several of the material federal consumer protection and other laws applicable to our business. Many states have laws and regulations that are similar to the federal laws described, but the degree and nature of such laws and regulations vary from state to state. We must comply with various federal consumer protection regimes, both pursuant to the financial products and services we provide directly and as a service provider to Evolve.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Consumer Financial Protection Bureau (“CFPB”), which oversees compliance with and enforces federal consumer financial protection laws. The CFPB directly and significantly influences the regulation of consumer financial products and services, including the products and services we provide. The CFPB has substantial power to regulate such products and services and the banks and non-bank entities that provide them, as well as their respective third-party service providers. This power includes rule making authority in enumerated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 w:name="page17"/>
    <w:bookmarkEnd w:id="16"/>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areas of federal law such as truth in lending, credit discrimination, electronic fund transfers and truth in savings. Under Title X of the Dodd-Frank Act, the CFPB also has the authority to pursue enforcement actions against companies that offer or provide consumer financial products or services that engage in unfair, deceptive or abusive acts or practices, commonly referred to as “UDAAPs.” The CFPB may also seek a range of other remedies, including restitution, refunds of money, disgorgement of profits or compensation for unjust enrichment, civil money penalties, rescission of contracts, public notification of the violation, and restrictions on the target’s conduct, activities and functions. Moreover, where a company has violated Title X of the Dodd-Frank Act or CFPB regulations under Title X, the Dodd-Frank Act empowers state attorneys general and state regulators to bring civil actions to enforce such laws and regulations.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business activities, either directly or indirectly through our partnership with Evolve, are also subject to applicable requirements under other federal statutes and regulations, including but not limited to:</w:t>
      </w:r>
    </w:p>
    <w:p>
      <w:pPr>
        <w:spacing w:after="0" w:line="50" w:lineRule="exact"/>
        <w:rPr>
          <w:sz w:val="20"/>
          <w:szCs w:val="20"/>
          <w:color w:val="auto"/>
        </w:rPr>
      </w:pPr>
    </w:p>
    <w:p>
      <w:pPr>
        <w:ind w:left="1280" w:right="20" w:hanging="509"/>
        <w:spacing w:after="0" w:line="259"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Federal Trade Commission Act</w:t>
      </w:r>
      <w:r>
        <w:rPr>
          <w:rFonts w:ascii="Times New Roman" w:cs="Times New Roman" w:eastAsia="Times New Roman" w:hAnsi="Times New Roman"/>
          <w:sz w:val="18"/>
          <w:szCs w:val="18"/>
          <w:color w:val="auto"/>
        </w:rPr>
        <w:t>. The Federal Trade Commission Act prohibits unfair and deceptive acts and practices in business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commerce and grants the Federal Trade Commission ("FTC") and bank regulators enforcement authority to prevent and redress violations of this prohibition. Whether a particular act or practice violates these laws or the prohibition against UDAAPs frequently involves a highly subjective and/or fact-specific judgment. The FTC Act also contains the Restore Online Shoppers' Confidence Act (ROSCA) which regulates subscriptions and other recurring on-line transactions.</w:t>
      </w:r>
    </w:p>
    <w:p>
      <w:pPr>
        <w:spacing w:after="0" w:line="71" w:lineRule="exact"/>
        <w:rPr>
          <w:rFonts w:ascii="Times New Roman" w:cs="Times New Roman" w:eastAsia="Times New Roman" w:hAnsi="Times New Roman"/>
          <w:sz w:val="18"/>
          <w:szCs w:val="18"/>
          <w:color w:val="auto"/>
        </w:rPr>
      </w:pPr>
    </w:p>
    <w:p>
      <w:pPr>
        <w:ind w:left="1280" w:right="300" w:hanging="509"/>
        <w:spacing w:after="0" w:line="262"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Truth in Savings Act. </w:t>
      </w:r>
      <w:r>
        <w:rPr>
          <w:rFonts w:ascii="Times New Roman" w:cs="Times New Roman" w:eastAsia="Times New Roman" w:hAnsi="Times New Roman"/>
          <w:sz w:val="18"/>
          <w:szCs w:val="18"/>
          <w:color w:val="auto"/>
        </w:rPr>
        <w:t>The federal Truth in Savings Act (“TISA”) and Regulation DD which implements it require that consumers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various disclosures concerning terms and conditions of deposit accounts. They also impose disclosure requirements and restrictions on advertising regarding deposit accounts. TISA and Regulation DD apply to the demand deposit accounts opened by our Members at Evolve</w:t>
      </w:r>
      <w:r>
        <w:rPr>
          <w:rFonts w:ascii="Times New Roman" w:cs="Times New Roman" w:eastAsia="Times New Roman" w:hAnsi="Times New Roman"/>
          <w:sz w:val="18"/>
          <w:szCs w:val="18"/>
          <w:i w:val="1"/>
          <w:iCs w:val="1"/>
          <w:color w:val="auto"/>
        </w:rPr>
        <w:t>.</w:t>
      </w:r>
    </w:p>
    <w:p>
      <w:pPr>
        <w:spacing w:after="0" w:line="68" w:lineRule="exact"/>
        <w:rPr>
          <w:rFonts w:ascii="Times New Roman" w:cs="Times New Roman" w:eastAsia="Times New Roman" w:hAnsi="Times New Roman"/>
          <w:sz w:val="18"/>
          <w:szCs w:val="18"/>
          <w:color w:val="auto"/>
        </w:rPr>
      </w:pPr>
    </w:p>
    <w:p>
      <w:pPr>
        <w:ind w:left="1280" w:right="120" w:hanging="509"/>
        <w:spacing w:after="0" w:line="254"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Fund Transfer Act and NACHA Rules</w:t>
      </w:r>
      <w:r>
        <w:rPr>
          <w:rFonts w:ascii="Times New Roman" w:cs="Times New Roman" w:eastAsia="Times New Roman" w:hAnsi="Times New Roman"/>
          <w:sz w:val="18"/>
          <w:szCs w:val="18"/>
          <w:color w:val="auto"/>
        </w:rPr>
        <w:t>. The federal Electronic Fund Transfer Act (“EFTA”) and Regulation 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implements it provide guidelines and restrictions on the provision of electronic fund transfer services to consumers, and on making an electronic transfer of funds from consumers’ bank accounts. EFTA also limits consumers’ liability for unauthorized electronic fund transfers and requires banks and other financial services companies to comply with certain transaction error resolution procedures. Electronic fund transfers within the scope of EFTA include ACH transfers and debit card transfers. In addition, transfers performed by ACH are subject to specific authorization, timing and notification rules and guidelines administered by the National Automated Clearinghouse Association (“NACHA”). NACHA operating rules further imposes maximum tolerances on the volume of ACH transfers that may be returned as unauthorized or for other reasons. Exceeding those tolerances may result in limitations being imposed on our ability to initiate ACH transactions. Many transfers of funds in connection with the provision and repayment of our ExtraCash advances are performed by electronic fund transfers, including ACH transfers. We also facilitate the electronic transfer of funds requested by our Members between their deposit accounts with Evolve and their accounts at other financial institutions.</w:t>
      </w:r>
    </w:p>
    <w:p>
      <w:pPr>
        <w:spacing w:after="0" w:line="74" w:lineRule="exact"/>
        <w:rPr>
          <w:rFonts w:ascii="Times New Roman" w:cs="Times New Roman" w:eastAsia="Times New Roman" w:hAnsi="Times New Roman"/>
          <w:sz w:val="18"/>
          <w:szCs w:val="18"/>
          <w:color w:val="auto"/>
        </w:rPr>
      </w:pPr>
    </w:p>
    <w:p>
      <w:pPr>
        <w:ind w:left="1280" w:hanging="509"/>
        <w:spacing w:after="0" w:line="255"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Payday, Vehicle Title, and Certain High-Cost Installment Loans Final Rule</w:t>
      </w:r>
      <w:r>
        <w:rPr>
          <w:rFonts w:ascii="Times New Roman" w:cs="Times New Roman" w:eastAsia="Times New Roman" w:hAnsi="Times New Roman"/>
          <w:sz w:val="18"/>
          <w:szCs w:val="18"/>
          <w:color w:val="auto"/>
        </w:rPr>
        <w:t>. In 2017, the CFPB issued a final rule intended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consumer protections with respect to certain short-term credit products. The rule was later stayed by a federal district court order in an industry challenge to the rule, and the effective date of many provisions of the rule was separately delayed by the CFPB in June 2019. A section pertaining to underwriting was subsequently rescinded in July 2020. The CFPB may engage in rule making in the future to amend the regulation and implement new underwriting and other requirements and restrictions that could negatively impact our business and require us to change our practices should they be deemed to apply to us. However, certain nonrecourse advance products are currently excluded from coverage by the rule provided certain consumer contract requirements are met and the advance provider does not engage in certain activities with respect to such products.</w:t>
      </w:r>
    </w:p>
    <w:p>
      <w:pPr>
        <w:spacing w:after="0" w:line="76" w:lineRule="exact"/>
        <w:rPr>
          <w:rFonts w:ascii="Times New Roman" w:cs="Times New Roman" w:eastAsia="Times New Roman" w:hAnsi="Times New Roman"/>
          <w:sz w:val="18"/>
          <w:szCs w:val="18"/>
          <w:color w:val="auto"/>
        </w:rPr>
      </w:pPr>
    </w:p>
    <w:p>
      <w:pPr>
        <w:ind w:left="1280" w:right="580" w:hanging="509"/>
        <w:spacing w:after="0" w:line="26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Gramm-Leach-Bliley Act. </w:t>
      </w:r>
      <w:r>
        <w:rPr>
          <w:rFonts w:ascii="Times New Roman" w:cs="Times New Roman" w:eastAsia="Times New Roman" w:hAnsi="Times New Roman"/>
          <w:sz w:val="18"/>
          <w:szCs w:val="18"/>
          <w:color w:val="auto"/>
        </w:rPr>
        <w:t>The Gramm-Leach-Bliley Act (“GLBA”) imposes limitations on financial institutions’ disclosure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personal information about a consumer to nonaffiliated third parties. In certain circumstances, GLBA requires financial institutions to limit the use and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6" w:lineRule="exact"/>
        <w:rPr>
          <w:sz w:val="20"/>
          <w:szCs w:val="20"/>
          <w:color w:val="auto"/>
        </w:rPr>
      </w:pPr>
    </w:p>
    <w:p>
      <w:pPr>
        <w:ind w:left="1280" w:right="60"/>
        <w:spacing w:after="0" w:line="266" w:lineRule="auto"/>
        <w:rPr>
          <w:sz w:val="20"/>
          <w:szCs w:val="20"/>
          <w:color w:val="auto"/>
        </w:rPr>
      </w:pPr>
      <w:r>
        <w:rPr>
          <w:rFonts w:ascii="Times New Roman" w:cs="Times New Roman" w:eastAsia="Times New Roman" w:hAnsi="Times New Roman"/>
          <w:sz w:val="18"/>
          <w:szCs w:val="18"/>
          <w:color w:val="auto"/>
        </w:rPr>
        <w:t>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Member information.</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Given our novel business model and products, and the subjective nature of certain laws and regulations such as the prohibition against UDAAPs, we have been and may in the future become subject to regulatory scrutiny or legal challenge with respect to our compliance with these and other regulatory requirements. Additional or different requirements may also apply to our business in the future as the regulatory framework in which we operate is evolving and uncertain. While we have developed policies and procedures designed to assist in compliance with these laws and regulations, we may not have been, and may not always be, in compliance with these and other laws. No assurance is given that our compliance policies and procedures have been or will be effective or adequate as laws change or are applied to us in a new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our bank partnership model</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our partnership with Evolve, we offer our Members FDIC-insured, non-interest-bearing deposit accounts (including the ExtraCash account), interest bearing deposit accounts and debit cards that Members can use to access their account balances. These deposit accounts and debit cards are provided by Evolve. Under the terms of our agreement with Evolve, as well as the agreements between our Members and Evolve, each Member that chooses to open a deposit account has a deposit account at Evolve and a debit card issued by Evolve. With respect to these deposit accounts and debit cards, we act as the program manager and service provider to Evolve to provide customer support and technology features to Members using their Evolve accounts through our platform.</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Many laws and regulations that apply directly to Evolve indirectly impact us (and our products) as Evolve’s service provider. As such, our partnership with Evolve is subject to the supervision and enforcement authority of the Federal Reserve, Evolve’s primary banking regulator, as well as the FDIC.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to the requirements described above, we are subject to and work to comply with other state and federal laws and regulations applicable to consumer financial products and services. These laws and regulations may be enforced by various state banking and consumer protection agencies, state attorneys general, the CFPB, the FTC and private litigants, among others.</w:t>
      </w:r>
    </w:p>
    <w:p>
      <w:pPr>
        <w:spacing w:after="0" w:line="17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Bank Secrecy Act and Anti-Money Laundering. </w:t>
      </w:r>
      <w:r>
        <w:rPr>
          <w:rFonts w:ascii="Times New Roman" w:cs="Times New Roman" w:eastAsia="Times New Roman" w:hAnsi="Times New Roman"/>
          <w:sz w:val="17"/>
          <w:szCs w:val="17"/>
          <w:color w:val="auto"/>
        </w:rPr>
        <w:t>Given our involvement in payments, banking transactions, and our arrangements with Evolve,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compliance obligations related to U.S. anti-money laundering (“AML”) laws and regulations. We have developed and currently operate an AML program designed to prevent our products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Our programs are designed to address these legal and regulatory requirements and to assist in managing risks associated with money laundering and terrorist financing.</w:t>
      </w:r>
    </w:p>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Privacy and Information Security Laws. </w:t>
      </w:r>
      <w:r>
        <w:rPr>
          <w:rFonts w:ascii="Times New Roman" w:cs="Times New Roman" w:eastAsia="Times New Roman" w:hAnsi="Times New Roman"/>
          <w:sz w:val="18"/>
          <w:szCs w:val="18"/>
          <w:color w:val="auto"/>
        </w:rPr>
        <w:t>We collect, store, use, disclose, and otherwise process a wide variety of information and data, including personally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identifiable information (“PII”) that we acquire in connection with our Members’ use of our products and services, for various purposes in our business, including to help ensure the integrity of our services and to provide features and functionality to our Members. This aspect of our business is subject to numerous privacy, cybersecurity, and other laws and regulations in the United States, including the federal GLBA and various state laws such as the California Consumer Privacy Act (“CCPA”). Accordingly, we publish our privacy policies and terms of service, which describe our practices concerning the collection, storage, use, disclosure, transmission, processing, and protection of information.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legal and regulatory framework for privacy and security issues is rapidly evolving, and, although we endeavor to comply with these laws and regulations and our own policies and documentation, we may fail to do so or be alleged to have failed to do so. Any actual or perceived failure to comply with legal and regulatory requirements applicable to us, including those relating to privacy or security, or any failure to protect the information that we collect from our Members from cyberattacks, or any similar actual or perceived failure by our third-party service providers and partners, may result in private litigation, regulatory or governmental investigations, administrative enforcement actions, sanctions, civil and criminal liability, and constraints on our ability to continue to operate, among other things. Please see the section titled “</w:t>
      </w:r>
      <w:r>
        <w:rPr>
          <w:rFonts w:ascii="Times New Roman" w:cs="Times New Roman" w:eastAsia="Times New Roman" w:hAnsi="Times New Roman"/>
          <w:sz w:val="18"/>
          <w:szCs w:val="18"/>
          <w:i w:val="1"/>
          <w:iCs w:val="1"/>
          <w:color w:val="auto"/>
        </w:rPr>
        <w:t>Risk Factors—Risks Related to Regulatory and Legal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Stringent and changing laws and regulations relating to privacy and data protection could result in claims against us, harm our results of operations, financial condition, and future prospects, or otherwise harm our business.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Laws Governing Marketing and Member Communications. </w:t>
      </w:r>
      <w:r>
        <w:rPr>
          <w:rFonts w:ascii="Times New Roman" w:cs="Times New Roman" w:eastAsia="Times New Roman" w:hAnsi="Times New Roman"/>
          <w:sz w:val="18"/>
          <w:szCs w:val="18"/>
          <w:color w:val="auto"/>
        </w:rPr>
        <w:t>In addition, there are federal and state laws and regulations on marketing activities conducted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internet, through email, or by mail or telephone, including the federal Telephone Consumer Protection Act (“TCPA”), the federal Controlling the Assault of Non-Solicited Pornography and Marketing Act (“CAN-SPAM Act”), FTC regulations and guidelines that implement, among other things, the FTC’s Do-Not-Call Registry and other requirements in connection with telemarketing activities, and state telemarketing laws. Our marketing activities may subject us to some or all of these laws and regulations.</w:t>
      </w:r>
    </w:p>
    <w:p>
      <w:pPr>
        <w:spacing w:after="0" w:line="1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New Laws and Regulations. </w:t>
      </w:r>
      <w:r>
        <w:rPr>
          <w:rFonts w:ascii="Times New Roman" w:cs="Times New Roman" w:eastAsia="Times New Roman" w:hAnsi="Times New Roman"/>
          <w:sz w:val="17"/>
          <w:szCs w:val="17"/>
          <w:color w:val="auto"/>
        </w:rPr>
        <w:t>Various federal and state regulatory agencies in the United States continue to examine a wide variety of issues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to us and may impact our business. These issues include consumer protection, cybersecurity, privacy, electronic transfers, state licensing, and the regulation of cash advance services. As we continue to develop and expand, we monitor for additional rules and regulations that may impact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In the future we will be looking closely at the possibility of filing design and utility patents to further enhance the measures of intellectual property protection for the company. However, these laws, agreements, and procedures provide only limited protection. In the United States, we own several registered trademarks and have pending trademark applications in various stages of review. 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including patents,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7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 for a more comprehensive description of risks related to our intellectual property and proprietary rights.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Our SEC filings are also available free of charge on the Investor Relations portion of our website at dave.com as soon as reasonably practicable after they are filed with or furnished to the SEC. Our website and the information contained on or through that site are not incorporated into this report. All website addresses in this report are intended to be inactive textual references only.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 and Directors</w:t>
            </w:r>
          </w:p>
        </w:tc>
        <w:tc>
          <w:tcPr>
            <w:tcW w:w="10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392"/>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Executive Officers</w:t>
            </w: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257"/>
        </w:trPr>
        <w:tc>
          <w:tcPr>
            <w:tcW w:w="3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2"/>
                <w:szCs w:val="22"/>
                <w:color w:val="auto"/>
              </w:rPr>
            </w:pPr>
          </w:p>
        </w:tc>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Jason Wilk</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shd w:val="clear" w:color="auto" w:fill="B6DEE8"/>
          </w:tcPr>
          <w:p>
            <w:pPr>
              <w:spacing w:after="0"/>
              <w:rPr>
                <w:sz w:val="21"/>
                <w:szCs w:val="21"/>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Kyle Beilman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Jason Wilk</w:t>
      </w:r>
      <w:r>
        <w:rPr>
          <w:rFonts w:ascii="Times New Roman" w:cs="Times New Roman" w:eastAsia="Times New Roman" w:hAnsi="Times New Roman"/>
          <w:sz w:val="18"/>
          <w:szCs w:val="18"/>
          <w:color w:val="auto"/>
        </w:rPr>
        <w:t>. Mr. Wilk co-founded Dave Inc. and has served as President and Chief Executive Officer since the closing of the Business Combination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Business Combination as Legacy Dave’s Chief Executive Officer since May 2016. Mr. Wilk has over 15 years of experience building digital companies. Prior to Dave, from October 2009 to July 2016, Mr. Wilk founded and served as Chief Executive Officer of AllScreen, an Inc 5000 top 20 technology platform that enabled large media outlets to syndicate their digital content to over 500 publishers. AllScreen was backed by leading investors Y Combinator and Mark Cuban before being acquired in 2015. Mr. Wilk began his career as the founder and Chief Executive Officer of 1DaySports.com, one of the first flash sale websites, which was acquired in 2008. Mr. Wilk holds a B.B.A. from Loyola Marymount University, College of Business Administration where he studied international business and technology.</w:t>
      </w:r>
    </w:p>
    <w:p>
      <w:pPr>
        <w:spacing w:after="0" w:line="18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b w:val="1"/>
          <w:bCs w:val="1"/>
          <w:color w:val="auto"/>
        </w:rPr>
        <w:t>Kyle Beilman</w:t>
      </w:r>
      <w:r>
        <w:rPr>
          <w:rFonts w:ascii="Times New Roman" w:cs="Times New Roman" w:eastAsia="Times New Roman" w:hAnsi="Times New Roman"/>
          <w:sz w:val="18"/>
          <w:szCs w:val="18"/>
          <w:color w:val="auto"/>
        </w:rPr>
        <w:t>. Mr. Beilman has served as Chief Financial Officer and Secretary since the closing of the Business Combination and prior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served as Legacy Dave’s Chief Financial Officer since January 2021 and between July 2017 to October 2019 and Chief Operating Officer from October 2019 to January 2021. Since January 2021, Mr. Beilman has served as Vice President of Dave OD Funding I, LLC, a wholly owned subsidiary of Dave (“Dave OD”). Prior to joining Legacy Dave, Mr. Beilman worked in corporate strategy at Red Bull from January 2016 to July 2017. Prior to Red Bull, Mr. Beilman worked in investment banking focused on mergers and acquisitions at Centerview Partners from August 2013 to January 2016 and Moelis &amp; Company from May 2012 to August 2013. Mr. Beilman holds a B.S. from the University of Southern California Marshall School of Business.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tcPr>
          <w:p>
            <w:pPr>
              <w:spacing w:after="0"/>
              <w:rPr>
                <w:sz w:val="18"/>
                <w:szCs w:val="18"/>
                <w:color w:val="auto"/>
              </w:rPr>
            </w:pPr>
          </w:p>
        </w:tc>
      </w:tr>
      <w:tr>
        <w:trPr>
          <w:trHeight w:val="257"/>
        </w:trPr>
        <w:tc>
          <w:tcPr>
            <w:tcW w:w="3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2"/>
                <w:szCs w:val="22"/>
                <w:color w:val="auto"/>
              </w:rPr>
            </w:pPr>
          </w:p>
        </w:tc>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Jason Wilk</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shd w:val="clear" w:color="auto" w:fill="B6DEE8"/>
          </w:tcPr>
          <w:p>
            <w:pPr>
              <w:spacing w:after="0"/>
              <w:rPr>
                <w:sz w:val="21"/>
                <w:szCs w:val="21"/>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3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Imran Khan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Founder &amp; Chief Investment Officer, Proem Asset Management</w:t>
            </w:r>
          </w:p>
        </w:tc>
      </w:tr>
      <w:tr>
        <w:trPr>
          <w:trHeight w:val="247"/>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Brendan Carroll</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B6DEE8"/>
          </w:tcPr>
          <w:p>
            <w:pPr>
              <w:spacing w:after="0"/>
              <w:rPr>
                <w:sz w:val="21"/>
                <w:szCs w:val="21"/>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Senior Partner, Victory Park Capital Advisors, LLC</w:t>
            </w:r>
          </w:p>
        </w:tc>
      </w:tr>
      <w:tr>
        <w:trPr>
          <w:trHeight w:val="239"/>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Andrea Mitchell</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Law firm of Mitchell Sandler LLC</w:t>
            </w:r>
          </w:p>
        </w:tc>
      </w:tr>
      <w:tr>
        <w:trPr>
          <w:trHeight w:val="247"/>
        </w:trPr>
        <w:tc>
          <w:tcPr>
            <w:tcW w:w="3940" w:type="dxa"/>
            <w:vAlign w:val="bottom"/>
            <w:gridSpan w:val="2"/>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Michael Pope</w:t>
            </w:r>
          </w:p>
        </w:tc>
        <w:tc>
          <w:tcPr>
            <w:tcW w:w="920" w:type="dxa"/>
            <w:vAlign w:val="bottom"/>
            <w:gridSpan w:val="2"/>
            <w:shd w:val="clear" w:color="auto" w:fill="B6DEE8"/>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B6DEE8"/>
          </w:tcPr>
          <w:p>
            <w:pPr>
              <w:spacing w:after="0"/>
              <w:rPr>
                <w:sz w:val="21"/>
                <w:szCs w:val="21"/>
                <w:color w:val="auto"/>
              </w:rPr>
            </w:pPr>
          </w:p>
        </w:tc>
        <w:tc>
          <w:tcPr>
            <w:tcW w:w="62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Former Chief Financial Officer &amp; Senior Vice President, Shutterfly, Inc.</w:t>
            </w:r>
          </w:p>
        </w:tc>
      </w:tr>
      <w:tr>
        <w:trPr>
          <w:trHeight w:val="23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 Preston</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Chief Executive Officer &amp; Director, Metromile</w:t>
            </w:r>
          </w:p>
        </w:tc>
      </w:tr>
      <w:tr>
        <w:trPr>
          <w:trHeight w:val="238"/>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Yadin Rozov</w:t>
            </w:r>
          </w:p>
        </w:tc>
        <w:tc>
          <w:tcPr>
            <w:tcW w:w="9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Founder &amp; Managing Partner, Terrace Edge Ventures LLC</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or the context otherwise requires, the disclosures in this Item 1A refer to Dave Inc. and its consolidated subsidiaries following the consummation of the Business Combination.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industries in which we operate are highly competitive, which could adversely affect our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 In addition, if the prices we charge for our products and services are unacceptable to our Members, our operating results will be harmed.</w:t>
      </w:r>
    </w:p>
    <w:p>
      <w:pPr>
        <w:spacing w:after="0" w:line="7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artificial intelligence in our operations and product offerings could result in reputational or competitive harm, legal or regulatory liability and adverse impacts on our results of operations.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ExtraCash advances expose us to credit risk of our Members and if our underwriting criteria for making advances is not sufficient to mitigate against this risk, or if the data we use to underwrite is inaccurate or incomplete, our financial condition and operating results could be adversely affected if a substantial number of our Members fail to repay the ExtraCash advance they receive.</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scale our business quickly enough to meet our Members’ growing needs, and if we are not able to grow efficiently, our operating results could be harmed.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acquire new Members and retain our current members or sell additional functionality and services to them, our revenue growth will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has historically incurred losses in the operation of its business. We may never achieve or sustain profitability.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uncertain regulatory environment and may from time to time be subject to litigation or governmental investigations or other inquiries by state, federal and local governmental authorities which could result in fines, penalties, judgments, remediations and other costs which could result in increased expenses and reputational harm.</w:t>
      </w:r>
    </w:p>
    <w:p>
      <w:pPr>
        <w:spacing w:after="0" w:line="6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services industry continues to be targeted by new laws or regulations in many jurisdictions, including the U.S. states in which we operate, that could restrict the products and services we offer, impose additional compliance costs on us, render our current operations unprofitable or even prohibit our current or future operations.</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 and oversight in a variety of areas under federal, state and local laws and regulations, which could cause us to modify our products and operations or cease our ability to offer certain products altogether and may subject us to regulatory investigations and consumer litigation.</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and changing laws and regulations relating to privacy and data protection could result in claims, harm our results of operations, financial condition, and future prospects, or otherwise harm our business.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A data security breach could expose us to liability and protracted and costly litigation, and could adversely affect our reputation and operating revenues.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identified material weaknesses in its internal control over financial reporting in its financial statements for the years ended December 31, 2023 and 2022.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forecasted operating results and projections rely in large part upon assumptions, analyses and internal estimates developed by Dave’s management. If these assumptions, analyses or estimates prove to be incorrect or inaccurate, Dave’s actual operating results may differ materially and adversely from those forecasted or projected.</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and other illegal activity involving our products and services could lead to reputational damage to us, reduce the use of our platform and services and may adversely affect our financial position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management has limited experience in operating a public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accept funds from and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 has guaranteed its subsidiary’s obligations under a debt facility, which contains financial covenants and other restrictions on our actions, which could limit our operational flexibility and otherwise adversely affect our financial condition.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present or any future key banking relationships are terminated and we are not able to secure or successfully migrate client portfolios to a new bank partner or partners, our business would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several third-party service providers for processing our transactions and provide other important services for our business. If any of our agreements with our processing providers are terminated or if we experience any interruption or delay in the services provided by our third-party service providers, delivery of our products and services could be impaired or suspended and our business could suffer.</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including growth in our volume of payments, may not be indicative of future growth, and if we continue to grow rapidly, we may not be able to manage our growth effectively. Our rapid growth also makes it difficult to evaluate our future prospects and may increase the risk that we will not be successful.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highly competitive, which could adversely affect our results of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industries in which we compete are highly competitive and subject to rapid and significant changes. We compete against companies and financial institutions across the retail banking, financial services, consumer technology and financial technology services industries, as well as other nonbank lenders serving credit-challenged consumers, including online marketplace lenders, check cashers, point-of-sale lenders and payday lenders. We may compete with others in the market who may in the future provide offerings similar to ours, particularly companies who may provide money management, lending and other services though a platform similar to our platform. These and other competitors in the banking and financial technology industries are introducing innovative products and services that may compete with ours. We expect that this competition will continue as banking and financial technology industries continue to evolve, particularly if non-traditional non-recourse advance providers and other parties gain greater market share in these industries. If we are unable to differentiate our products and platform from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and successfully compete with those of our competitors, our business, results of operations and financial condition will be materially and adversely affected.</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Many existing and potential competitors are entities substantially larger in size and more established, including with greater resources, highly diversified revenues and significantly more brand awareness than ours. As such, many of our competitors can leverage their size, robust networks, financial wherewithal, brand awareness, pricing power and technological assets to compete with us. To the extent new entrants gain market share, the purchase and use of our products and services would decline. If price competition materially intensifies, we may have to decrease the prices of our products and services, which would likely adversely affect the results of operations.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long-term success depends on our ability to compete effectively against existing and potential competitors that seek to provide banking and financial technology products and services. If we fail to compete effectively against these competitors, our revenues, results of operations, prospects for future growth and overall business will be materially and adversely affected.</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financial services industry is subject to rapid and significant technological changes. We cannot predict the effect of technological changes on our business. We expect that new services and technologies applicable to our industry will continue to emerge, and these new services and technologies may be superior to, or render obsolete, the technologies we currently utilize in our products and services.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 Additionally, we may make future investments in, or enter into strategic partnerships to develop new technologies and services or to implement infrastructure to further our strategic objectives, strengthen our existing businesses and remain competitive. However, our ability to transition to new services and technologies that we develop may be inhibited by a lack of industry-wide standards, changes to the regulatory landscape, resistance by consumers to these changes, or by the intellectual property rights of third parties.</w:t>
      </w:r>
    </w:p>
    <w:p>
      <w:pPr>
        <w:spacing w:after="0" w:line="2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artificial intelligence in our operations and product offerings could result in reputational or competitive harm, legal or regulatory liability and adverse impacts on our results of operations.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incorporated, and expect to continue to incorporate in the future, AI solutions into our operations and product offerings, and the use of AI involves various risks and challenges that could adversely affect our business, financial condition or results of operations. The development and deployment of AI systems involve inherent technical complexities and uncertainties, and our AI systems may encounter unexpected technical difficulties, limitations or errors, including inaccuracies in data processing or flawed algorithms, which could compromise the reliability and effectiveness of our products and services based on AI. In addition, our competitors or other third parties may incorporate AI into their products more quickly or more successfully than us, which could impair our ability to compete effectively.</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use of AI applications, including large language models,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 competitive harm, regulatory scrutiny or legal liability.</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introduction of AI technologies into our products and services may result in new or enhanced governmental or regulatory scrutiny, litigation, confidentiality or security risks, ethical concerns or other complications that could adversely affect our business, reputation or financial results.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 and results of operations.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prices we charge for our products and services are unacceptable to our Members, our operating results will be harmed.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generate revenue by charging Members a fixed monthly rate for membership to our platform as well as additional fees related to optional expedited delivery of advances. Members who obtain an ExtraCash advance through our platform also have the option to tip us. We also generate revenue from our Dave banking product through interchange and out-of-network ATM fees, as well as from our job portal service through referral fees from partner companies. As the market for our platform matures, as new or existing competitors introduce new products or services that compete with ours or if general inflationary pressures continue, we may experience pricing pressure and be unable to retain current Members and attract new Members at prices that are consistent with our pricing model and operating budget. Our pricing strategy for new products and services may prove to be unappealing to our Members, and our competitors could choose to bundle certain products and services to be competitive with ours. If this were to occur, it is possible that we would have to change our pricing strategies or reduce our prices, which could harm our revenue, gross profits, and operating results.</w:t>
      </w:r>
    </w:p>
    <w:p>
      <w:pPr>
        <w:spacing w:after="0" w:line="29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ExtraCash advances expose us to credit risk of our Members and if our underwriting criteria for making advances is not sufficient to mitigate against this risk, or if the data we use to underwrite is inaccurate or incomplete, our financial condition and operating results could be adversely affected if a substantial number of our Members fail to repay the ExtraCash advance they receive.</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ExtraCash advance product exposes us to financial losses if Members do not repay the advance provided. The timing and volume of advance repayments have a significant impact on our financial results and cash flows. If a large number of Members do not repay advances, our financial condition and operating results would be adversely affected.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underwriting standards may not offer adequate protection against the risk of non-payment, especially in periods of economic uncertainty such as existed during the COVID-19 pandemic and more recently with rising interest rates, and inflationary pressures. We rely on consumer's bank account data obtained through a third party in order to develop our underwriting models and in order to underwrite any particular consumer's advance. If this data becomes unavailable or is inaccurate or incomplete, our underwriting may not adequately predict repayment of advances.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ability to accurately forecast performance and determine an appropriate provision and allowance for credit losses, is critical to our business and financial results. The allowance for credit losses is established through a provision for credit losses based on management’s evaluation of the risk inherent in the cash advance portfolio, the composition of the portfolio, specific impaired advances, and current economic conditions. Please see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Operations—Critical Accounting Policies and Estimates</w:t>
      </w:r>
      <w:r>
        <w:rPr>
          <w:rFonts w:ascii="Times New Roman" w:cs="Times New Roman" w:eastAsia="Times New Roman" w:hAnsi="Times New Roman"/>
          <w:sz w:val="18"/>
          <w:szCs w:val="18"/>
          <w:color w:val="auto"/>
        </w:rPr>
        <w:t>”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performance forecasts will be accurate. In periods with changing economic conditions, rising interest rates and increasing inflationary pressures, accurately forecasting repayment of advances is more difficult. Our allowance for credit losses is an estimate, and if actual repayment defaults are materially greater than our allowance for credit losses, or more generally, if our forecasts are not accurate, our financial position, liquidity and results of operations could be materially adversely affected. For example, uncertainty surrounding the continuing economic impact of COVID-19 on our Members has made historical information on credit losses slightly less reliable in the current environment, and there can be no assurances that we have accurately estimated repayment rates.</w:t>
      </w:r>
    </w:p>
    <w:p>
      <w:pPr>
        <w:spacing w:after="0" w:line="29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on a timely basis to meet our Members’ growing needs, and if we are not able to grow efficiently, our operating results could be harmed.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usage of our platform grows and we sign additional strategic partners, we will need to devote additional resources to improving and maintaining our infrastructure and computer network and integrating with third-party applications to maintain the performance of our platform. In addition, we will need to appropriately scale our internal business systems and our services organization, including customer support, risk and compliance operations, and professional services, to serve our growing Member base.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4" w:name="page25"/>
    <w:bookmarkEnd w:id="24"/>
    <w:p>
      <w:pPr>
        <w:spacing w:after="0" w:line="1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Any failure of or delay in these efforts could result in service interruptions, impaired system performance, and reduced Member satisfaction, which could negatively impact our revenue growth. If sustained or repeated, performance issues could reduce the attractiveness of our platform to Members and could result in lost Member opportunities, which could hurt our revenue growth, Member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acquire new Members and retain our current Members or sell additional functionality and services to them, our revenue growth will be adversely affected.</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To increase our revenue, in addition to acquiring new Members, we must continue to retain existing Members and expand their use of our platform by increasing the number of Members and incentivizing them to pay for additional functionality. Our ability to retain our Members and increase their usage could be impaired for a variety of reasons, including Member reaction to changes in the pricing of our products or the other risks described in this Annual Report on Form 10-K. As a result, we may be unable to retain existing Members or increase their usage of our platform, which would have an adverse effect on our business, revenue, gross margins, and other operating results, and accordingly, on the trading price of our common stock.</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ability to sell additional functionality to our existing Members may require more sophisticated and costly sales efforts. Similarly, the rate at which our Members purchase additional products from us depends on several factors, including general economic conditions, such as rising interest rates and inflation, and the pricing of additional product functionality. If our efforts to sell additional functionality to our Members are not successful, our business and growth prospects would suffer.</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Member subscriptions are open-ended arrangements that can be terminated by the Member without penalty at any time. For us to maintain or improve our operating results, it is important that our Members continue to maintain their subscriptions on the same or more favorable terms. We cannot accurately predict renewal or expansion rates given the diversity of our member base in terms of size, industry, and geography. Our renewal and expansion rates may decline or fluctuate as a result of several factors, including Member spending levels, Member satisfaction with our platform, decreases in the number of Members, pricing changes, competitive conditions, the acquisition of our Members by other companies, and general economic conditions. If our Members do not renew their subscriptions, or if they reduce their usage of our platform, our revenue and other operating results will decline and our business will be adversely affected. If our renewal or expansion rates fall significantly below the expectations of the public market, securities analysts, or investors, the trading price of our common stock would likely decline.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face significant challenges as a new entrant in our industry.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Legacy Dave was incorporated in October 2015 and we have a relatively short operating history in the financial services industry, which is continuously evolving. We have limited experience to date in building consumer financial services technology. We cannot provide assurance that we will be able to develop products and services on our platform that will enable us to meet quality, price and engineering standards, as well as comply with any regulatory standards we may be subject to. Our business and prospects should be considered in light of the risks and significant challenges we face as a new entrant in our industry, including, among other things, with respect to our ability to:</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trusted and respected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Member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services and successfully anticipate the usage of such services by our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 our future revenues and appropriately budget our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trends that may emerge and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may be materially and adversely affected.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debit interchange rates could adversely affect our business, financial position and results of operations.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interchange revenues from fees charged to merchants by card networks for processing a debit or credit payment to represent a significant percentage of our total operating revenues as adoption of our Dave banking product increases. The amount of interchange revenues that we earn is highly dependent on the interchange rates that the payment networks set and adjust from time to time.</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enactment of the Dodd-Frank Act required the Federal Reserve Board to implement regulations that have substantially limited interchange fees for many debit card issuers. While the interchange rates that may be earned by us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To the extent we change the pricing of our Dave banking product, we might find it more difficult to acquire new Members, to maintain or grow Dave banking debit card usage and to retain existing Members. As a result, our total operating revenues, operating results, prospects for future growth and overall business could be materially and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or if we are unable to attract and retain executives and employees we need to support our operations and growth, our business may be harmed.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and other key employees who are critical to our overall management, as well as the continued development of our products, strategic partnerships, our culture and our strategic direction. We currently do not have “key person” insurance on any of our employees. The loss of one or more of our senior management team members or other key employees could disrupt or harm our business, and we may not be able to find adequate replacements. We cannot provide assurance that we will be able to retain the services of any members of our senior management or other key employees or that we would be able to timely replace members of our senior management or other key employees should any of them depart.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or if our support is more expensive than anticipated, our business and reputation could suffer.</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Members rely on our customer support services to resolve issues and realize the full benefits provided by our platform. High-quality support is also important for the renewal and expansion of our subscriptions with existing Members. We primarily provide customer support over chat and email. If we do not help our Members quickly resolve issues and provide effective ongoing support, or if our support personnel or methods of providing support are insufficient to meet the needs of our Members, our ability to retain Members, increase adoption by our existing Members and acquire new Members could suffer, and our reputation with existing or potential Members could be harmed. If we are not able to meet the customer support needs of our Members by chat and email during the hours that we currently provide support, we may need to increase our support coverage and provide additional phone-based support, which may reduce our profitability.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29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present or any future key banking relationships are terminated and we are not able to secure or successfully migrate client portfolios to a new bank partner or partners, our business would be adversely affected.</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agreements with Evolve to provide ExtraCash and other deposit accounts, debit card services and other transaction services to us and our Members. These agreements and corresponding regulations governing banks and financial institutions may give Evolve substantial discretion in approving certain aspects of our business practices, including our application and qualification procedures for Members and require us to comply with certain legal requirements. Evolve discretionary actions under these agreements could impose material limitations to, or have a material adverse effect on, our business, financial condition and results of operations. If our relationship with Evolve Bank is terminated, we would need to find another financial institution to provide those services, which could be difficult and expensive. If we are unable to find a replacement financial institution to provide the services we receive from Evolve, we would not be able to offer ExtraCash advances, service our deposit accounts, debit cards and other services, which would have a material adverse effect on our business, financial condition and results of operations. Furthermore, our financial results could be adversely affected if our costs associated with using Evolve materially change or if any penalty or claim for damages is imposed as a result of our breach of our agreements with them.</w:t>
      </w:r>
    </w:p>
    <w:p>
      <w:pPr>
        <w:spacing w:after="0" w:line="29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including growth in our volume of payments, may not be indicative of our future growth, and if we continue to grow rapidly, we may not be able to manage our growth effectively. Our rapid growth also makes it difficult to evaluate our future prospects and may increase the risk that we will not continue to be successful.</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revenues increased from $204.8 million in 2022 to $259.1 million in 2023. Although we have recently experienced significant growth in our revenue and transaction volume, even if our revenue continues to increase, we expect our growth rate will decline in the future as a result of a variety of factors, including the increasing scale of our business. Overall growth of our revenue depends on a number of factors, including our ability to:</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and services effectively to attract new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new products and expand the functionality and scope of the products we offer on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rates at which Members subscribe to and continue to use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Members with high-quality support that meets their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our products to new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risks related to the effects of the COVID-19 pandemic, rising interest rates and inflation on our business and operations.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it may be difficult to achieve and maintain profitability. You should not rely on our revenue from any prior quarterly or annual periods as any indication of our future revenue or revenue or payment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expect to invest substantial financial and other resources on:</w:t>
      </w:r>
    </w:p>
    <w:p>
      <w:pPr>
        <w:spacing w:after="0" w:line="117" w:lineRule="exact"/>
        <w:rPr>
          <w:sz w:val="20"/>
          <w:szCs w:val="20"/>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customer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and/or strategic investments;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8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 risk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or if we encounter difficulties in managing a growing volume of payments, our business, financial position and operating results will be adversely affected, and we may not be able to achieve or maintain profitability over the long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has historically incurred losses in the operation of its business. We may never achieve or sustain profitability.</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incorporation in October 2015, we have been engaged in growth activities related to building our business, which requires substantial capital and other expenditures. We have incurred net losses in previous fiscal years, including fiscal year 2023, and we may incur losses again in the future. We expect our cash needs to increase significantly for the next several years as we:</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marketing, client support, engineering, product development and administrative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client support and service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new and upgraded operational and financial systems, procedures and controls.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these continuing costs and expenses, we need to generate significant revenues to attain and maintain profitability and positive cash flow. To date, our operations have been supported by primarily through cash receipts from services and transaction based revenues, equity financings, borrowings under the Debt Facility, issuances of convertible notes and funds received as a result of the business combination. If we do not continue to increase our revenues, our business, results of operations and financial condition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may not be available on acceptable terms, if at all.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cash receipts from services and transaction based revenues, equity financings, borrowings under the Debt Facility, issuances of convertible notes and funds received as a result of the business combination.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expect to have sufficient capital to fund our planned operations for the next 12 months. We may need to raise additional funds through the issuance of equity, equity related or debt securities, or through obtaining credit from government, financial institutions or other lenders. We cannot be certain that additional funds will be available to us on favorable terms when required, or at all. If we cannot raise additional funds when we need them, our financial condition, results of operations, business and prospects could be materially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in the future.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in the future, which may adversely affect our stock price. Fluctuations in our quarterly or annual results of operations might result from a number of factors, many of which are outside of our control, including, but not limited to:</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by our Members of expedited processing of the ExtraCash advance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optional tips our Members send to us, advance payments and subscriptions and use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or service introductions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Member retention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products and services that we provide to our Members;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commencement of new product development and initiatives, the timing of costs of existing product roll-outs and the length of time we must invest in those new products before they generate material operating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sell our products through direct-to-consumer initiatives;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or our competitors’ pricing policies or sales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significant changes in our risk policies and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fraud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commencement and termination of major advertising campaigns, including partnerships and sponsorships;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performance of our products and services, and the associated financial impact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of any major litigation to which we are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acquisition of complementary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operating costs related to the maintenance and expansion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executive leadership team;</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third-party service provider costs and sales and marketing expenses in an increasingly competitive market;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regulatory environment affecting the banking or financial technology service industries.</w:t>
      </w:r>
    </w:p>
    <w:p>
      <w:pPr>
        <w:spacing w:after="0" w:line="3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Criminals are using increasingly sophisticated methods to engage in illegal activities using ExtraCash or deposit account products or Member information. Illegal activities involving products and services like ours often include malicious social engineering schemes, fraudulent payment or refund schemes, fabricated identities, account takeovers, identity theft and other fraudulent schemes. We rely upon third parties for transaction processing services, which subjects us and our Members to risks related to the vulnerabilities of those third parties. A single significant incident of fraud, or increases in the overall level of fraud, involving our products and services, have in the past and could in the future, result in operational losses and reputational damage to us. Such damage could reduce the use and acceptance of our products and services, cause our banking and strategic partners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in the third quarter of 2022, we experienced a fraud event which resulted in Member advance write-offs of approximately $3.0 million. To address the challenges we face with respect to fraudulent activity of the nature outlined above and other fraudulent activities, we have implemented risk control mechanisms that have made it more difficult for all Members, including legitimate Members, to obtain and use our Dave banking product. We believe it is likely that our risk control mechanisms may continue to adversely affect the growth of our Dave banking product for the foreseeable future and, as a result, negatively impact our operating revenues.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losses from Dave banking Member accounts.</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Fraudulent activity involving our Dave banking account may lead to fraudulent or baseless Member disputed transactions, for which we may be liable under banking regulations and payment network rules. Our fraud detection and risk control mechanisms may not prevent all fraudulent or illegal activity, and the regulations and payment network rules may become more onerous, causing additional losses for us. To the extent we incur losses from disputed transactions, our business, results of operations and financial condition could be materially and adversely affected. Additionally, our Members can incur charges in excess of the funds available in their accounts, and we may become liable for these overdrafts. While we decline authorization attempts for amounts that exceed the available balance in a Member’s account, the application of payment network rules and the timing of the settlement of transactions, among other things, can result in overdrawn accounts.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remaining overdraft exposure arises primarily from late-posting. A late-post occurs when a merchant posts a transaction within a payment network-permitted timeframe, but subsequent to our release of the authorization for that transaction, as permitted by payment network rules. Under payment network rules, we may be liable for the transaction amount even if the Member has made additional purchases in the intervening period and funds are no longer available in the Member’s account at the time the transaction is posted.</w:t>
      </w:r>
    </w:p>
    <w:p>
      <w:pPr>
        <w:spacing w:after="0" w:line="2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 funds from, and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business is subject to the risk of financial losses as a result of operational errors, software defects, service disruption, employee misconduct, security breaches, or other similar actions or errors on our platform. Software errors in our platform and operational errors by our employees may also expose us to losses.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Moreover, our trustworthiness and reputation are fundamental to our business. The occurrence of any operational errors, software defects, service disruption, employee misconduct, security breaches, or other similar actions or errors on our platform could result in financial losses to our business and our Members, loss of trust, damage to our reputation, or termination of our agreements with strategic partners, each of which could result in:</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or delayed market acceptance and sales of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resources, including through increased service expenses or financial concessions, and increased insurance costs.</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insurance will cover losses or our coverage will be sufficient to cover our losses. If we suffer significant losses or reputational harm as a result,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that require us to share consumer information for servicing purposes. Information security risks in the financial services industry continue to increase generally, in part because of new technologies, the use of the Internet and telecommunications technologies (including mobile devices) to conduct financial and other business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transactions and the increased sophistication and activities of organized criminals, perpetrators of fraud, hackers, terrorists and 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applications and websites.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These cybersecurity challenges, including threats to our own IT infrastructure or those of third-party providers, may take a variety of forms ranging from stolen bank accounts, business email compromise, user fraud, account takeover, check fraud or cybersecurity attacks, such as ransomware, unauthorized encryption, denial-of-service attacks, social engineering, unauthorized access, spam or other attacks, to “mega breaches” targeted against cloud-based services and other hosted software, which could be initiated by individual or groups of hackers or sophisticated cyber criminals. A cybersecurity incident or breach could result in disclosure of confidential information and intellectual property, or cause service interruptions and compromised data. We may be unable to anticipate or prevent techniques used in the future to obtain unauthorized access or to sabotage systems because they change frequently and often are not detected until after an incident has occurred. Our information technology and infrastructure has experienced breaches and may be subject or vulnerable in the future to breaches or attacks. If our own confidential business information were improperly disclosed, our business could be materially and adversely affected.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 regulatory investigations, class action litigation and other lawsuits. If sensitive information is lost or improperly disclosed through a data breach or otherwise or threatened to be disclosed, we could experience a loss of confidence by our partners and Members in the security of our systems, products and services and prevent us from obtaining new partners and Members, and we could incur significant costs to remedy problems caused by breaches and implement measures to prevent further breaches, and expose us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others of security breaches involving certain types of data. In addition, our agreements with certain partners and service providers may require us to notify them in the event of a security breach. Such mandatory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May 2020, an unauthorized third party attempted to gain access to Dave Member accounts and was able to access Member profiles and Members’ partial or incomplete bank account information. We did not uncover any evidence that the attacker was able to take any actions with respect to the data, other than gaining read access to it, nor do we believe any unauthorized transactions were made or advances requested on the Dave system. We provided notice to relevant parties as required under applicable law and agreements and took steps to set up alerts to detect abnormal request volumes and introduced rate limiting at the IP address level. In addition, in June 2020, we were notified of an unauthorized third party breach of our Dave database. The third party was able to access to Dave’s system by breaching the system of one of Dave’s third party service providers. The attacker was able to download a large data set, including encrypted social security numbers for some Members; however, there was no evidence that unauthorized transactions were made or advances requested on the Dave system, nor do we believe that the third party gained access to decryption keys or was otherwise able to decrypt encrypted information. The May 2020 and June 2020 incidents are collectively referred to herein as the "2020 Incidents." We took remedial measures, including the engagement of an outside security consultant to monitor for ongoing dark web activity and to conduct a security audit and incident investigation, and notified relevant parties as required under applicable law and agreements. As a result of the 2020 Incidents, we are in the process of settling a purported class action in California for approximately $3.1 million and we settled individual claims outside of California for approximately $4.4 million. </w:t>
      </w:r>
      <w:r>
        <w:rPr>
          <w:rFonts w:ascii="Times New Roman" w:cs="Times New Roman" w:eastAsia="Times New Roman" w:hAnsi="Times New Roman"/>
          <w:sz w:val="18"/>
          <w:szCs w:val="18"/>
          <w:i w:val="1"/>
          <w:iCs w:val="1"/>
          <w:color w:val="auto"/>
        </w:rPr>
        <w:t>See 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As we have increased our Member base and our brand has become more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widely known and recognized, third parties may continue to seek to compromise our security controls or gain unauthorized access to our sensitive corporate information or our Members’ data.</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our banking partner or other strategic partners were to conclude that our systems and security policies and procedures are insufficiently rigorous, they could terminate their relationships with us, and our financial results and business could be adversely affected. Under our terms of service and our contracts with strategic partners, if there is a breach of nonpublic personal information of our Members that we store, we could be liable to the partner for their losses and related expenses.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w:t>
      </w:r>
    </w:p>
    <w:p>
      <w:pPr>
        <w:spacing w:after="0" w:line="1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insurance may be insufficient or may not cover all liabilities incurred by cybersecurity incidents.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guarantee certain obligations of one of our wholly-owned subsidiaries, which guaranty contains financial covenants and other restrictions on our actions, which could limit our operational flexibility and otherwise adversely affect our financial condition.</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One of our wholly-owned subsidiaries, Dave OD Funding has a senior secured debt facility with Victory Park Capital Advisors, LLC and its affiliates (the “Debt Facility”). We have guaranteed certain of Dave OD Funding’s obligations under the Debt Facility. The Debt Facility contains financial covenants and other restrictions on our actions, which could limit our operational flexibility and otherwise adversely affect our financial condition.</w:t>
      </w:r>
    </w:p>
    <w:p>
      <w:pPr>
        <w:spacing w:after="0" w:line="280"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several third-party service providers for processing our transactions and provide other important services for our business. If any of our agreements with our processing providers are terminated or if we experience any interruption or delay in the services provided by our third-party service providers, delivery of our products and services could be impaired or suspended and our business could suffer.</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involves processing of large numbers of transactions and management of the data necessary to do so. Our success depends upon the efficient and error-free handling of the money that is collected, remitted or deposited in connection with the provision of our products and services. We rely on the ability of our vendors and third-parties to process and facilitate these transactions, including ACH processing (as we are not a bank), and debit card payment processing, in an efficient, uninterrupted and error-free manner. We also rely on third-party service providers to perform various functions relating to our business, including software development, marketing, operational functions, fraud detection, cloud infrastructure services, information technology, data analysis, and, because we are not a bank and cannot belong or directly access the ACH payment network, ACH processing, and debit card payment processing.</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oversee these service providers to ensure they provide services in accordance with our agreements and regulatory requirements, we do not have control over the operations of any of the third-party service providers that we utilize. In the event that a third-party service provider fails to perform such functions for any reason, including negligence, willful misconduct or fraud, fire, natural disaster, power loss, telecommunication failures, software and hardware defects, terrorist attacks and similar events, our ability to process payments and perform other operational functions for which we currently rely on such third-party service providers will suffer and our business, cash flows and future prospects may be negatively impacted.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both internally developed and third-party systems, including cloud computing and storage systems, for our services and certain aspects of transaction processing. Any damage to, or failure of, third party computer network systems or data centers generally, or those of our vendors (including as a result of disruptions at our third-party data center hosting facilities and cloud providers), or an improper action by our employees, agents or third-party vendors, could result in interruptions in our services, causing Members and other partners to become dissatisfied with our products and services or subject us to potential financial losses. Sustained or repeated system failures could reduce the attractiveness of our products and services, and result in Member attrition, thereby reducing operating revenue and harming our results of operations. Further, negative publicity arising from these types of disruptions could be damaging to our reputation and may adversely impact use of our products and services, including our platform, and adversely affect our ability to attract new Members and business partners.</w:t>
      </w:r>
    </w:p>
    <w:p>
      <w:pPr>
        <w:spacing w:after="0" w:line="29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and rights. We rely on a combination of copyrights, trademarks, trade secret laws, and contractual provisions to establish and protect our proprietary rights. However, the steps we take to protect our intellectual property may be inadequate. Any of our trademarks or other intellectual property rights may be challenged or circumvented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 assurance can be given that the contractual agreements we enter into to establish and protect our proprietary rights will be effective in controlling access to and distribution of our products and proprietary information. Further, these agreements do not prevent our competitors or partners from independently developing technologies that are substantially equivalent or superior to our platform.</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from third parties, especially when updates or new products or services are released.</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our Members use our platform and could result in outages or degraded quality of service on our platform that could adversely impact our business, as well as cause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Members, retain existing Members, or expand their use of our products and services, which would adversely affect our business, results of operations, financial condition, and future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management has limited experience in operating a public company.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Many of our senior management team have limited experience in managing a publicly-traded company. Their limited experience with the increasingly complex laws pertaining to public companies could be a significant disadvantage and an increasing amount of their time may be devoted to these activities, which will result in less time being devoted to the management and growth of the company’s operations. We may not have adequate personnel with the appropriate level of knowledge, experience and training in accounting policies, compliance practices or internal controls required of public companies. For example, lack of a sufficient number of accounting and finance professionals contributed to material weaknesses in our internal control over financial reporting as described in Item 9A of this Annual Report on Form 10-K. The development and implementation of the standards and controls and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hiring of experienced personnel necessary to achieve the level of accounting standards required of a public company may require expenditures greater than expected, and a delay could impact our ability to accurately and timely report our operating results, timely file required reports with the SEC and comply with Section 404 of the Sarbanes-Oxley Act of 2002 (the “Sarbanes-Oxley Act”). We have expanded our employee base to support our operations as a public company and it is possible that additional employees may need to be hired, which will increase our operating costs in future periods.</w:t>
      </w:r>
    </w:p>
    <w:p>
      <w:pPr>
        <w:spacing w:after="0" w:line="28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Dave identified material weaknesses in its internal control over financial reporting in its financial statements for the years ended December 31, 2023 and 2022.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audits of our consolidated financial statements for the years ended December 31, 2023 and 2022, material weaknesses were identified in our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2023, material weaknesses were identified in our internal control over financial reporting. These material weaknesses, as well as our remediation plans, are described in Item 9A of this Annual Report on Form 10-K.</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we believe these efforts will be sufficient to remediate the material weaknesses, we cannot provide assurance that we will be able to complete our evaluation, testing or any required remediation in a timely fashion, or at all or that the measures we have taken to date and may take in the future will prevent or avoid potential future material weaknesses.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or identify additional material weakness in the future, our ability to record, process and report financial information accurately, and to prepare financial statements within the time periods required by the SEC, could be adversely affected which, in turn, may adversely affect our reputation and business and the market price of the Company’s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strive to deliver simple, transparent, and fair financial products, which may conflict with the short-term interests of our stockholders.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core principle, and the foundation on which we have built our company, is to deliver simple, transparent, and fair financial products. Therefore, we have made in the past, and may make in the future, decisions that we believe will benefit our Members and therefore provide long-term benefits for our business, even if our decision negatively impacts our short-term results of operations. For example, the advances facilitated through our platform have no mandatory fees. Our decisions may negatively impact our short-term financial results or not provide the long-term benefits that we expect, in which case the success of our business and results of operations could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about us or our industry could adversely affect our business, results of operations, financial condition, and future prospects.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Negative publicity about us or our industry, even if inaccurate, could adversely affect our reputation and the confidence in, and use of our platform, potentially harming our reputation and causing disruptions to our platform. Such negative publicity could involve: the transparency, fairness, Member experience, quality, and reliability of our platform or consumer fintech platforms in general, the effectiveness of our risk models, our ability to effectively manage and resolve complaints, our privacy and security practices, litigation, regulatory activity, misconduct by our employees, funding sources, bank partners and structure of our bank partner products, service providers, or others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industry, the experience of consumers with our platform or services. Any such reputational harm could further affect the behavior of consumers, including their willingness to obtain advances, deposit accounts, and other products and services facilitated through our platform. As a result, our business, results of operations, financial condition, and future prospects would be materially and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may be harmed.</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subject us to litigation or other actions.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use open source software in our products. From time to time, there have been claims challenging the ownership of open source software against companies that incorporate it into their products. As a result, we could be subject to lawsuits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under certain open source licenses, we could be required to release the source code of our proprietary software products.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catastrophic events, pandemics and man-made problems such as power disruptions, political instability, civil unrest, terrorist activity or war may disrupt our business.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Natural disasters, pandemics, other catastrophic events or man-made disasters may cause damage or disruption to our operations, international commerce and the global economy, and thus could harm our business. We have a large employee presence in Los Angeles, California, and our data centers are located in the Midwest. The west coast of the United States contains active earthquake zones and the greater Los Angeles area has experienced major fire danger in the past five years and may experience major fires in the future. In the event of a major earthquake, hurricane or catastrophic event such as fire, power loss, telecommunications failure, political instability, civil unrest, war, or terrorist attack, we may be unable to continue our operations and may experience system interruptions, reputational harm, delays in our application development, lengthy interruptions in the availability of our products and services, breaches of data security, and loss of critical data, all of which could harm our business, operating results, and financial condition.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insurance we maintain may not cover or may be insufficient to cover our losses resulting from disasters, or other business interruptions, and any incidents may result in loss of, or increased costs of, such insurance.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under federal, state and local laws, and is subject to regulatory investigations and consumer litigation.</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which could materially and adversely affect our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8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business. Moreover, any competitors subject to different, or in some cases less restrictive, legislative or regulatory regimes may have or obtain a competitive advantage over us.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which oversees compliance with federal consumer financial protection laws. In addition, our partnership with Evolve is subject to the supervisory authority of the Federal Reserve, which is Evolve’s primary federal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example, since January 2023, we have been cooperating with the FTC staff in response to a Civil Investigative Demand (“CID”) seeking information in connection with the sale, offering, advertising, marketing or other promotion of cash advance products and online financial services. Although we believe that our practices at all times have been in compliance with applicable law, the defense or resolution of this matter could involve significant monetary costs or penalties and have a significant impact on our financial results and operations.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addition, we are also subject to consumer litigation, including putative consumer class actions which allege that we violate federal and/or state laws regulating the financial services industry. For example, in July 2022, a purported class action </w:t>
      </w:r>
      <w:r>
        <w:rPr>
          <w:rFonts w:ascii="Times New Roman" w:cs="Times New Roman" w:eastAsia="Times New Roman" w:hAnsi="Times New Roman"/>
          <w:sz w:val="18"/>
          <w:szCs w:val="18"/>
          <w:i w:val="1"/>
          <w:iCs w:val="1"/>
          <w:color w:val="auto"/>
        </w:rPr>
        <w:t>Lopez v. Dave, Inc.</w:t>
      </w:r>
      <w:r>
        <w:rPr>
          <w:rFonts w:ascii="Times New Roman" w:cs="Times New Roman" w:eastAsia="Times New Roman" w:hAnsi="Times New Roman"/>
          <w:sz w:val="18"/>
          <w:szCs w:val="18"/>
          <w:color w:val="auto"/>
        </w:rPr>
        <w:t xml:space="preserve"> was filed in the U.S. District Court for the Northern District of California alleging violations of California consumer protection laws and state and federal lending laws, among other things. The complaint seeks injunctive relief, damages, restitution, nonrestitutionary disgorgement, pre- and post-judgment interest and reasonable attorneys’ fees and costs. In December 2022, a purported class action </w:t>
      </w:r>
      <w:r>
        <w:rPr>
          <w:rFonts w:ascii="Times New Roman" w:cs="Times New Roman" w:eastAsia="Times New Roman" w:hAnsi="Times New Roman"/>
          <w:sz w:val="18"/>
          <w:szCs w:val="18"/>
          <w:i w:val="1"/>
          <w:iCs w:val="1"/>
          <w:color w:val="auto"/>
        </w:rPr>
        <w:t>Golubiewski and Checchia v. Dave, Inc.</w:t>
      </w:r>
      <w:r>
        <w:rPr>
          <w:rFonts w:ascii="Times New Roman" w:cs="Times New Roman" w:eastAsia="Times New Roman" w:hAnsi="Times New Roman"/>
          <w:sz w:val="18"/>
          <w:szCs w:val="18"/>
          <w:color w:val="auto"/>
        </w:rPr>
        <w:t xml:space="preserve"> was filed in the U.S. District Court for the Middle District of Pennsylvania alleging similar violations under Pennsylvania state and federal laws. We are actively litigating these matters and cannot estimate the likely outcome at this time.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"terms of use" for the Dave App as well as the Evolve agreements related to the ExtraCash and deposit accounts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may be subject to mass arbitrations in which large groups of consumers bring arbitration claims against the Company simultaneously.</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been and may in the future also be subject to investigations and potential enforcement actions that may be brought by state regulatory authorities, state attorneys general or other state enforcement authorities and other governmental agencies. Any such 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9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86"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regulators are interpreting existing laws, regulations and rules in new and different ways as they attempt to apply them to novel products and business models such as ours. "True lender" challenges of bank partnership arrangements for credit products (such as the arrangement for ExtraCash) are being raised at the federal and state levels, and banking as a service arrangements (such as the arrangements for our deposit accounts) are subject to heightened scrutiny. Changes in the laws, regulations and enforcement priorities applicable to our business, or 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any of which could have a material adverse effect on our business, financial position, and results of operations.</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2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become directly subject to banking regulations or be subjected to additional third-party risk management obligations, our business model may need to be substantially altered and we may not be able to continue to operate our business as it is currently operated.</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not currently directly subject to laws and regulations applicable to traditional banks. However, 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 operate our business as it is currently operated. Failure by us, or any of our business partners, to comply with applicable laws and regulations could have a material adverse effect on our business, financial position and results of operations.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registration, notice filing, or other approval by parties that engage in certain activities regarding consumer finance transactions.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 licensing requirements may evolve over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time, including, in particular, recent trends in legislation seeking to impose licensing requirements and regulation of parties engaged in business to consumer advance products such as ExtraCash.</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were found to be in violation of applicable state licensing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advances facilitated through our platform could be rendered void in whole or in part, any of which could have an adverse effect on our business, results of operations, and financial condition. For example, we have received and responded to inquiries from various states, in each case regarding whether the advance products we offer in those states should subject us to state licensing and related requirements. In December 2021, we entered into a Memorandum of Understanding (“MOU”) with the California Department of Financial Protection and Innovation (“CA DFPI”). The MOU requires us to provide the CA DFPI with certain information as requested by the CA DFPI and adhere to certain best practices in connection with our ExtraCash advance product (including certain disclosures related to us not being licensed by the CA DFPI).</w:t>
      </w:r>
    </w:p>
    <w:p>
      <w:pPr>
        <w:spacing w:after="0" w:line="2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Stringent and changing laws and regulations relating to privacy and data protection could result in claims against us, harm our results of operations, financial condition, and future prospects, or otherwise harm our business.</w:t>
      </w:r>
    </w:p>
    <w:p>
      <w:pPr>
        <w:spacing w:after="0" w:line="5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failure, or the failure of any third party with whom we work, to comply with privacy and data protection laws could result in potentially significant regulatory investigations and government actions, litigation, fines, or sanctions, consumer, funding source, or bank partner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or others.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which could have an adverse effect on our business.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Members and partners to lose trust in us, which could have an adverse effect on our reputation and business.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Member base and increase revenue. Future restrictions on the collection, use, sharing, or disclosure of data, or additional requirements for express or implied consent of our Members, partners, or end users for the use and disclosure of such information could require us to incur additional costs or modify our platform, possibly in a material manner, and could limit our ability to develop new functionality.</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rely on obtaining our Member's banking data, with their consent, through a third party, in order to provide ExtraCash, deposit and budgeting products. If such data becomes more difficult or expensive to obtain due to changing laws and regulations, our operating results may be impacted. For example, in October 2023, the CFPB proposed a rule intended to accelerate a shift towards open banking by establishing a comprehensive regulatory framework providing consumers and their authorized third parties with rights to receive access to consumers' personal financial data held by a financial institution. These rules also propose limitations on authorized third parties' (such as Dave's) collection, use and retention of such data. 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products,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against us could be costly and time-consuming to defend.</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Members in connection with commercial disputes, employment claims made by our current or former employees, or claims for reimbursement following misappropriation of Member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Securities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Jason Wilk, Dave’s founder, Chief Executive Officer and President and a member of the Dave Board of Directors. This will limit or preclude your ability to influence corporate matters, including the outcome of important transactions, including a change in control.</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Shares of Dave Class V Common Stock have 10 votes per share, while shares of Dave Class A Common Stock have one vote per share. Jason Wilk, Dave’s co-founder and its Chief Executive Officer and President, holds all of the issued and outstanding shares of Dave Class V Common Stock. Accordingly, as of March 1, 2024, Mr. Wilk holds approximately 60.0% of the voting power of our capital stock on an outstanding basis and will be able to control matters submitted to our stockholders for approval, including the election of directors, amendments to our organizational documents and any merger, consolidation, sale of all or substantially all of Dave’s assets or other major corporate transactions. Mr. Wilk may have interests that differ from other shareholders’ and may vote in a way with which you disagree and which may be adverse to other shareholder interests. This concentrated control may have the effect of delaying, preventing or deterring a change in control of Dave, could deprive its stockholders of an opportunity to receive a premium for their capital stock as part of a sale of Dave and might ultimately affect the market price of shares of Dave Class A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dual class structure may depress the trading price of our Dave Class A Common Stock.</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Dave cannot predict whether its dual class structure will result in a lower or more volatile market price of the Dave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 class structures. As a result, the dual class structure of Dave’s Common Stock may cause stockholder advisory firms to publish negative commentary about Dave’s corporate governance practices or otherwise seek to cause Dave to change its capital structure. Any such exclusion from indices or any actions or publications by stockholder advisory firms critical of Dave’s corporate governance practices or capital structure could adversely affect the value and trading market of the Dave Class A Common Stock.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trading price of the Dave Class A Common Stock and Public Warrants is volatile and could be subject to wide fluctuations in response to various factors, some of which are beyond Dave’s control. These factors include:</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Dave provides to the public;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 or changed recommendations for the industry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collaborations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share price performance of other companies in the industry or related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magnitude of investments in the growth of the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intellectual property or other proprietary rights, including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Dave Class A Common Stock by Dave’s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volumes in the Dave Class A Common Stock;</w:t>
      </w:r>
    </w:p>
    <w:p>
      <w:pPr>
        <w:spacing w:after="0" w:line="13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structure, including future issuances of securities or the incurrence of debt;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rising interest rates.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stock prices of technology companies in particular, have experienced extreme price and volume fluctuations that have often been unrelated or disproportionate to the operating performance of those companies. Broad market and industry factors may seriously affect the market price of Dave Class A Common Stock,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could result in substantial costs and a diversion of management’s attention and resources.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has never paid cash dividends on our capital stock and does not anticipate paying dividends in the foreseeable future.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Dave has never paid cash dividends on our capital stock and currently intends to retain any future earnings to fund the growth of its business. Any determination to pay dividends in the future will be at the discretion of the Board and will depend on Dave’s financial condition, operating results, capital requirements, general business conditions and other factors that the Board may deem relevant. As a result, capital appreciation, if any, of our Dave Class A Common Stock will be the sole source of gain for the foreseeable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and applicable laws could impair a takeover attempt.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and bylaws afford certain rights and powers to the Board that could contribute to the delay or prevention of an acquisition that it deems undesirable. Dave is also subject to Section 203 of the DGCL and other provisions of Delaware law that limit the ability of stockholders in certain situations to effect certain business combinations. Any of the foregoing provisions and terms that have the effect of delaying or deterring a change in control could limit the opportunity for stockholders to receive a premium for their shares of Dave Class A Common Stock, and could also affect the price that some investors are willing to pay for the Dave Class A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 is subject to risks related to taxation in the United States.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Significant judgments based on interpretations of existing tax laws or regulations are required in determining Dave’s provision for income taxes. Dave’s effective income tax rate could be adversely affected by various factors, including, but not limited to, changes in the mix of earnings in tax jurisdictions with different statutory tax rates, changes in the valuation of deferred tax assets and liabilities, changes in existing tax policies, laws, regulations or rates, changes in the level of non-deductible expenses (including share-based compensation), changes in the location of Dave’s operations, changes in Dave’s future levels of research and development spending, mergers and acquisitions or the results of examinations by various tax authorities. Although Dave believes its tax estimates are reasonable, if the IRS or any other taxing authority disagrees with the positions taken on its tax returns, Dave could have additional tax liability, including interest and penalties. If material, payment of such additional amounts upon final adjudication of any disputes could have a material impact on our results of operations and financial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applicable tax laws and regulations or exposure to additional income tax liabilities could affect Dave’s business and future profitability.</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Dave is a U.S. corporation and thus subject to U.S. corporate income tax on its worldwide income. Further, since Dave’s operations and customers are located throughout the United States, Dave will be subject to various U.S. state and local taxes, including local and state sales and use taxes. U.S. federal, state, local and non-U.S. tax laws, policies, statutes, rules, regulations or ordinances could be interpreted, changed, modified or applied adversely to Dave and may have an adverse effect on its business and future profitability.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several tax proposals have been set forth that would, if enacted, make significant changes to U.S. tax laws. Such proposals include an increase in the U.S. income tax rate applicable to corporations (such as Dave) from 21% to 28%. Congress may consider, and could include, some or all of these proposals in connection with tax reform that may be undertaken. It is unclear whether these or similar changes will be enacted and, if enacted, how soon any such changes could take effect. The passage of any legislation as a result of these proposals and other similar changes in U.S. federal income tax laws could adversely affect Dave’s business and future profitability.</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plans to expand Dave’s business operations, including to jurisdictions in which tax laws may not be favorable, its obligations may change or fluctuate, become significantly more complex or become subject to greater risk of examination by taxing authorities, any of which could adversely affect Dave’s after-tax profitability and financial results.</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event that Dave’s business expands domestically or internationally, its effective tax rates may fluctuate widely in the future. Future effective tax rates could be affected by operating losses in jurisdictions where no tax benefit can be recorded under U.S. GAAP, changes in deferred tax assets and liabilities, or changes in tax laws. Factors that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could materially affect Dave’s future effective tax rates include, but are not limited to: (a) changes in tax laws or the regulatory environment, (b) changes in accounting and tax standards or practices, (c) changes in the composition of operating income by tax jurisdiction, and (d) pre-tax operating results of Dave’s business.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Additionally, Dave may be subject to significant income, withholding, and other tax obligations in the United States and may become subject to taxation in numerous additional U.S. state and local and non-U.S. jurisdictions with respect to income, operations and subsidiaries related to those jurisdictions. Dave’s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w:t>
      </w:r>
    </w:p>
    <w:p>
      <w:pPr>
        <w:spacing w:after="0" w:line="3" w:lineRule="exact"/>
        <w:rPr>
          <w:sz w:val="20"/>
          <w:szCs w:val="20"/>
          <w:color w:val="auto"/>
        </w:rPr>
      </w:pPr>
    </w:p>
    <w:p>
      <w:pPr>
        <w:ind w:right="20" w:firstLine="8"/>
        <w:spacing w:after="0" w:line="251"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Dave’s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Dave’s intercompany charges, cross-jurisdictional transfer pricing or other matters and assess additional taxes. If Dave does not prevail in any such disagreements, Dave’s profitability may be affected.</w:t>
      </w:r>
    </w:p>
    <w:p>
      <w:pPr>
        <w:spacing w:after="0" w:line="19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Dave’s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Dave’s ability to utilize its net operating loss and tax credit carryforwards to offset future taxable income may be subject to certain limitations.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is subject to limitations on its ability to use its pre-change net operating loss carryforwards (“NOLs”) to offset future taxable income. The limitations apply if a corporation undergoes an “ownership change,” which is generally defined as a greater than 50 percentage point change (by value) in its equity ownership by certain stockholders over a three-year period. If Dave has experienced an ownership change at any time since its incorporation, Dave may be subject to limitations on its ability to utilize its existing NOLs and other tax attributes to offset taxable income or tax liability. In addition, future changes in Dave’s stock ownership, which may be outside of Dave’s control, may trigger an ownership change. Similar provisions of state tax law may also apply to limit Dave’s use of accumulated state tax attributes. As a result, even if Dave earns net taxable income in the future, its ability to use its pre-change NOL carryforwards and other tax attributes to offset such taxable income or tax liability may be subject to limitations, which could potentially result in increased future income tax liability to Dave.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Public Warrants will be in the money at the time they become exercisable, and they may expire worthless.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$368.00 per share of Dave Class A Common Stock. There is no guarantee that the Public Warrants will be in the money following the time they become exercisable and prior to their expiration, and as such, they may expire worthless.</w:t>
      </w:r>
    </w:p>
    <w:p>
      <w:pPr>
        <w:spacing w:after="0" w:line="2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of Public Warrants with the approval by the holders of at least 50% of the then-outstanding Public Warrants. As a result, the exercise price of the Public Warrants could be increased, the exercise period could be shortened and the number of shares of Dave Class A Common Stock purchasable upon exercise of a Public Warrant could be decreased, all without a holder’s approval.</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Public Warrants were issued in registered form under a warrant agreement between Continental Stock Transfer &amp; Trust Company, as warrant agent, and us. The Warrant Agreement provides that the terms of the Public Warrants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8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or stock (at a ratio different than initially provided), shorten the exercise period or decrease the number of shares of Dave Class A Common Stock purchasable upon exercise of a Public Warrant.</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 holders, thereby making their warrants worthless.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the Dave Class A Common Stock equals or exceeds $576.00 per share (as adjusted for stock splits, stock dividends, reorganizations, recapitalizations and the like) for any 20 trading days within a 30-trading 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 None of the Private Warrants will be redeemable by us for cash so long as they are held by the initial purchasers or their permitted transferees.</w:t>
      </w:r>
    </w:p>
    <w:p>
      <w:pPr>
        <w:spacing w:after="0" w:line="1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we may redeem your warrants after they become exercisable for a number of shares of Dave Class A Common Stock determined based on the redemption date and the fair market value of the Dave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the Dave Class A Common Stock had your warrants remained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issued and will continue to issue a substantial number of additional shares of Dave Class A Common Stock under an employee incentive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such issuances dilute the interest of our stockholders and likely present other risks.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issued and will continue to issue additional shares of Dave Class A Common Stock under an employee incentive plan. The issuance of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Class A Common Stock:</w:t>
      </w:r>
    </w:p>
    <w:p>
      <w:pPr>
        <w:spacing w:after="0" w:line="9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Dave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the Dave Class A Common Stock and/or the Public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Dave Class A Common Stock will be able to comply with the listing standards of Nasdaq.</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5, 2023, Dave effected a 1-for-32 reverse stock split in order to regain compliance with Nasdaq’s minimum bid price requirement. There can be no assurance that Dave will be able to continue to comply with Nasdaq’s minimum bid price requirement or other Nasdaq listing standards. If The Nasdaq Stock Market delists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Dave Class A Common Stock from trading on its exchange for failure to meet the listing standards, our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Dave Class A Common Stock is a “penny stock” which will require brokers trading in the Dave Class A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Dave Class A Common Stock in the public market could occur at any time. This could cause the market price of the Dave Class A Common Stock to drop significantly, even if our business is doing well.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the Dave Class A Common Stock in the public market could occur at any time. These sales, or the perception in the market that the holders of a large number of shares intend to sell shares, could reduce the market price of the Dave Class A Common Stock. As of March 1, 2024, our current officers and directors hold approximately 15% of the outstanding shares of Common Stock, including the 1,514,082 shares of Dave Class V Common Stock convertible into shares of Dave Class A Common Stock, which represents approximately 60.0% of the voting power of the outstanding shares of Common Stock.</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Investor Rights Agreement, certain holders are entitled to, among other things, certain registration rights, including the demand of up to three underwritten offerings and customary piggyback registration rights. Further, pursuant to the Subscription Agreements, we are also required to register additional shares of Dave Class A Common Stock. To satisfy these obligations, we previously registered up to 10,356,391 shares (on a post-split adjusted basis) of Dave Class A Common Stock, which also covers shares issuable upon exercise of the Public Warrants. The sale of these shares is likely to have an adverse effect on the trading price of the Dave Class A Common Stock.</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5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If the benefits of the Business Combination do not meet the expectations of investors or securities analysts, the market price of our securities prior to the Closing may decline. The market values of our securities at the time of the Business Combination may vary significantly from their prices on the date the Merger Agreement was executed, the date of this Annual Report on Form 10-K or the date on which our stockholders voted on the Business Combination.</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fluctuations in the price of Dave securities could contribute to the loss of all or part of Dave shareholders’ investment. If an active market for our securities develops and continues, the trading price of Dave securities could be volatile and subject to wide fluctuations in response to various factors, some of which are beyond our control. Any of the factors listed below could have a material adverse effect on investments in our securities and our securities may trade at prices significantly below the price paid for such investments. In such circumstances, the trading price of our securities may not recover and may experience a further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the trading price of Dave securities include:</w:t>
      </w:r>
    </w:p>
    <w:p>
      <w:pPr>
        <w:spacing w:after="0" w:line="117" w:lineRule="exact"/>
        <w:rPr>
          <w:sz w:val="20"/>
          <w:szCs w:val="20"/>
          <w:color w:val="auto"/>
        </w:rPr>
      </w:pPr>
    </w:p>
    <w:p>
      <w:pPr>
        <w:ind w:left="1020" w:right="2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Dave;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Dave’s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Dave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Dave;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ability to market new and enhanced products and technologies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Dave’s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Dave’s ability to meet compliance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Dave;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Dave’s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Dave Class A Common Stock available for public sale;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Dave Class A Common Stock by Dave’s directors, executive officers or significant stockholders or the perception that such sales could occur;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The Nasdaq Stock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Dave could depress our stock price regardless of our business, prospects, financial conditions or results of operations. A decline in the market price of Dave’s securities also could adversely affect its ability to issue additional securities and its ability to obtain additional financing in the future.</w:t>
      </w:r>
    </w:p>
    <w:p>
      <w:pPr>
        <w:spacing w:after="0" w:line="2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Dave, its business or its market, or if they change their recommendations regarding the Dave Class A Common Stock adversely, the price and trading volume of the Dave Class A Common Stock could decline.</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the Dave Class A Common Stock will be influenced by the research and reports that industry or securities analysts may publish about Dave, its business, its market or its competitors. If any of the analysts who may cover Dave change their recommendation regarding the Dave Class A Common Stock adversely, or provide more favorable relative recommendations about its competitors, the price of the Dave Class A Common Stock would likely decline. If any analyst who may cover Dave were to cease their coverage or fail to regularly publish reports on Dave, we could lose visibility in the financial markets, which could cause the stock price or trading volume of Dave securities to decline.</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including (a) the exemption from the auditor attestation requirements with respect to internal control over financial reporting under Section 404 of the Sarbanes-Oxley Act, (b) the exemptions from say-on-pay, say-on-frequency and say-on-golden parachute voting requirements and (c) reduced disclosure obligations regarding executive compensation in our periodic reports and proxy statements. As a result, our stockholders may not have access to certain information they deem important. We will</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line="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remain an emerging growth company until the earliest of (a) the last day of the fiscal year (i) following March 4, 2025, the fifth anniversary of our IPO, (ii) in which we have total annual gross revenue of at least $1.07 billion (as adjusted for inflation pursuant to SEC rules from time to time) or (iii) in which we are deemed to be a large accelerated filer, which means the market value of the shares of Dave Class A Common Stock that are held by non-affiliates exceeds $700 million as of the last business day of our prior second fiscal quarter, and (b) the date on which we have issued more than $1.0 billion in non-convertible debt during the prior three year period.</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the Dave Class A Common Stock less attractive because we will rely on these exemptions. If some investors find the Dave Class A Common Stock less attractive as a result, there may be a less active trading market for the Dave Class A Common Stock and our share price may be more volatile.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takes a risk-based approach to cybersecurity and has implemented cybersecurity policies throughout its operations that are designed to address cybersecurity threats and incidents.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cybersecurity program and policies articulate the expectations and requirements with respect to acceptable use, risk management, data privacy, education and awareness, security incident management and reporting, identity and access management, vendor due diligence, security (with respect to physical assets, products, networks, and systems), security monitoring and vulnerability identification. The cybersecurity program and policies are operated by a dedicated cybersecurity team in conjunction with the Company’s enterprise risk management program.</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cyber risk management program is designed to identify, track, escalate, remediate, and report cybersecurity risks across the Company. These risk areas include internal, product, vendor, supply chain, and external services leveraged across the Company. The Company has a vendor management program that evaluates and oversees cybersecurity risks related to third party vendors providing services to the Company. Any identified risks are assessed, prioritized, and addressed via process, technology, and personnel improvements to help ensure ongoing mitigation and tracking.</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cybersecurity strategy is guided by risk priorities and identified areas for improvement, which are informed by regulatory requirements and industry standards, such as the Federal Trade Commission’s Safeguards Rule and the National Institute for Standards and Technology (NIST) Cybersecurity Framework, and evolving business needs. This strategy is shared with the executive leadership at least annually. The Company maintains an incident response plan, coupled with a continuous monitoring program. This plan and program include incident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alerting, comprehensive incident criticality assessments, and escalation processes to support teams, senior leadership, and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team manages all facets of the security monitoring and incident program,</w:t>
      </w:r>
    </w:p>
    <w:p>
      <w:pPr>
        <w:spacing w:after="0" w:line="2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coordinating with Company engineers and other staff, along with third parties as needed, across our operating companies. All company employees are provided cybersecurity awareness training, which includes topics on the Company’s policies and procedures for reporting potential incidents. The Company’s cybersecurity team evaluates emerging risks, regulations, and compliance matters and updates the policies and procedures accordingly on an ongoing basis.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date, other than the 2020 Incidents, the Company has not experienced a cybersecurity threat or incident that has materially affected or that we believe is reasonably likely to materially affect the Company including its business strategy, results of operations or financial condition. Refer to the risk factor captioned “Cyberattacks and other security breaches or disruptions suffered by us or third parties upon which we rely could have a materially adverse effect on our business, harm our reputation and expose us to public scrutiny and liability.” in Part I, Item 1A. “Risk Factors” for additional description of cybersecurity risks and potential related impacts on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Board oversees the Company’s risk management process, including cybersecurity risks, directly and through its committees. Pursuant to the Audit Committee Charter, the Audit Committee of the Board provides compliance oversight to the Company’s risk assessment and risk management policies, including for cybersecurity, and the steps management has taken to monitor and mitigate cybersecurity exposures and risks.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Director of Security and Information Technology (DSIT), in coordination with the Company’s Vice President of Technology, is responsible for leading the assessment and management of cybersecurity risks. The current DSIT has over 18 years of experience in information security. The DSIT reports to the Board and management on cybersecurity risk assessment, policies, incident prevention, detection, mitigation, and remediation of cybersecurity incidents on a quarterly basis or as needed.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operate out of our headquarters in Los Angeles, California. We maintain two sublease agreements for approximately 9,000 square feet located in Los Angeles, California. The subleases for the Los Angeles spaces are scheduled to expire in October 2028 and December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See Note 12, ”Commitments and Contingencies,” to our consolidated financial statements included in this report for information regarding legal proceedings in which we are involved.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 Market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shares of Dave Class A Common Stock and Public Warrants have traded on Nasdaq under the symbols “DAVE” and “DAVEW,” respectively, since January 6,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2023, there were 95 holders of record of Dave Class A common stock, one holder of record of our Class V common stock and two holders of record of the public warrants. The number of record holders is based upon the actual number of holders registered on our books at such date and does not include holders of shares in street name or persons, partnerships, associations, corporations or other entities identified in security position listings maintained by depository trust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Dave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Dave Class A Common Stock in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March 21, 2022, the Company issued a convertible note in the principal amount of $100.0 million. The terms of the convertible note are described in Note 9 Convertible Note Payable in the notes to our consolidated financial statements for the year ended December 31, 2023 contained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29, 2024, the Company repurchased the $105.5 million outstanding balance of the convertible note as of December 31, 2023 for $71.0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21 in the accompanying consolidated financial statements of Dave for additional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 On January 5, 2023, the Board of Directors approved an amendment to the Company’s certificate of incorporation to complete a 1-for-32 reverse stock split effective January 5, 2023. The effects of the reverse stock split have been reflected in the consolidated financial statements and the footnotes.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8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we see a significant opportunity to address the broader short-term credit market. According to a 2023 report by FHN, legacy financial institutions charge approximately $40 billion in fees annually. The FHN estimates that financially “coping” and “vulnerable” populations pay over $160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high APY savings rates, our Side Hustle product, where we present Members with supplemental work opportunities, and through our Surveys product, where Members can earn supplemental income by taking surveys. Our budgeting tool helps Members manage their upcoming bills to avoid overspending.</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only begun to address the many inequities in financial services, but our progress to date demonstrates the demand for Dave to improve the financial system for the everyday person. Since inception and through the date of this report, over 13 million Members have registered on the Dave app and over 10 million Members have used at least one of our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9" w:name="page50"/>
    <w:bookmarkEnd w:id="4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Growth and Activity</w:t>
      </w:r>
    </w:p>
    <w:p>
      <w:pPr>
        <w:spacing w:after="0" w:line="11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Expansion</w:t>
      </w:r>
    </w:p>
    <w:p>
      <w:pPr>
        <w:spacing w:after="0" w:line="11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consolidated financial statements of Dave included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and revenue share from our surveys partner.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 net of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 fees and are recognized at the point in time the transactions occur, as the performance obligations are satisfied and the variable consideration is not constrained.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five categories: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22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provision for credit losses primarily consists of an allowance for expected credit losses at a level estimated to be adequate to absorb credit losses inherent in the outstanding advances receivable,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consolidated statement of operations. We consider advances aged more than 120 days or which become uncollectible based on information available to us as impaired. All impaired advances are deemed uncollectible and subsequently written off and are a direct reduction to the allowance for credit losses. Subsequent recoveries, if any, of Member advances written-off are recorded as a reduction to Member advances, resulting in a reduction to the allowance for credit losses and a corresponding reduction to the provision for credit losses in the consolidated statements of operations when collected.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operating expenses consist primarily of technology and infrastructure (third-party Software as a Service “SaaS”), commitments to charity, transaction based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insurance. Costs associated with technology and infrastructure (third-party SaaS), depreciation and amortization of property and equipment and intangible assets, legal fees, rent, office related expenses, public relations costs, professional services fees, travel and entertainment, and insurance vary based upon our investment in infrastructure, business development, risk management and internal controls and are generally not correlated with our operating revenues or other transaction metrics.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other strategic financing and transactional expenses, earnout liabilities fair value adjustments, derivative asset fair value adjustments, and changes in fair value of warrant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the federal and state corporate income taxes accrued on income resulting from the sale of our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2023/2022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60" w:type="dxa"/>
            <w:vAlign w:val="bottom"/>
            <w:shd w:val="clear" w:color="auto" w:fill="B6DEE8"/>
          </w:tcPr>
          <w:p>
            <w:pPr>
              <w:spacing w:after="0"/>
              <w:rPr>
                <w:sz w:val="20"/>
                <w:szCs w:val="20"/>
                <w:color w:val="auto"/>
              </w:rPr>
            </w:pPr>
          </w:p>
        </w:tc>
        <w:tc>
          <w:tcPr>
            <w:tcW w:w="96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380" w:type="dxa"/>
            <w:vAlign w:val="bottom"/>
            <w:shd w:val="clear" w:color="auto" w:fill="B6DEE8"/>
          </w:tcPr>
          <w:p>
            <w:pPr>
              <w:spacing w:after="0"/>
              <w:rPr>
                <w:sz w:val="20"/>
                <w:szCs w:val="20"/>
                <w:color w:val="auto"/>
              </w:rPr>
            </w:pPr>
          </w:p>
        </w:tc>
        <w:tc>
          <w:tcPr>
            <w:tcW w:w="820" w:type="dxa"/>
            <w:vAlign w:val="bottom"/>
            <w:shd w:val="clear" w:color="auto" w:fill="B6DEE8"/>
          </w:tcPr>
          <w:p>
            <w:pPr>
              <w:spacing w:after="0"/>
              <w:rPr>
                <w:sz w:val="20"/>
                <w:szCs w:val="20"/>
                <w:color w:val="auto"/>
              </w:rPr>
            </w:pPr>
          </w:p>
        </w:tc>
        <w:tc>
          <w:tcPr>
            <w:tcW w:w="26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1040" w:type="dxa"/>
            <w:vAlign w:val="bottom"/>
            <w:shd w:val="clear" w:color="auto" w:fill="B6DEE8"/>
          </w:tcPr>
          <w:p>
            <w:pPr>
              <w:spacing w:after="0"/>
              <w:rPr>
                <w:sz w:val="20"/>
                <w:szCs w:val="20"/>
                <w:color w:val="auto"/>
              </w:rPr>
            </w:pPr>
          </w:p>
        </w:tc>
        <w:tc>
          <w:tcPr>
            <w:tcW w:w="200" w:type="dxa"/>
            <w:vAlign w:val="bottom"/>
            <w:shd w:val="clear" w:color="auto" w:fill="B6DEE8"/>
          </w:tcPr>
          <w:p>
            <w:pPr>
              <w:spacing w:after="0"/>
              <w:rPr>
                <w:sz w:val="20"/>
                <w:szCs w:val="20"/>
                <w:color w:val="auto"/>
              </w:rPr>
            </w:pPr>
          </w:p>
        </w:tc>
        <w:tc>
          <w:tcPr>
            <w:tcW w:w="220" w:type="dxa"/>
            <w:vAlign w:val="bottom"/>
            <w:shd w:val="clear" w:color="auto" w:fill="B6DEE8"/>
          </w:tcPr>
          <w:p>
            <w:pPr>
              <w:spacing w:after="0"/>
              <w:rPr>
                <w:sz w:val="20"/>
                <w:szCs w:val="20"/>
                <w:color w:val="auto"/>
              </w:rPr>
            </w:pPr>
          </w:p>
        </w:tc>
        <w:tc>
          <w:tcPr>
            <w:tcW w:w="102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8"/>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(5,006 )</w:t>
            </w: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204,838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54,255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Processing fees, net of processor costs associated with advance disbursements, for the year ended December 31, 2023 were $152.5 million, an increase of $45.8 million, or 43%, from $106.7 million for the year ended December 31, 2022. The increase was primarily attributable to increases in transacting Members, increases in total advance volume from approximately $2,709 million to approximately $3,629 million year over year and average advance amounts that increased from $134 to $152 as of the years ended December 31, 2022 and 2023, respectively. Processing fees tend to increase as advance volume increases, but may not always trend ratably, as historically, prior to the implementation of percentage-based fees in late 2023, processing fees varied depending on the total amount of the advance. The percentage of Members that chose to pay a processing fee to expedite an advance remained relatively flat for the years ended December 31, 2023 and 2022. The average processing fees Members paid to expedite these advances increased modestly for the year ended December 31, 2023 as compared to the year ended December 31, 2022.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Tips for the year ended December 31, 2023 were $56.9 million, a decrease of $5.0 million, or 8%, from $62.0 million for the year ended December 31, 2022. The decrease was primarily attributable to lower tip engagement from Members despite increases in transacting Members, increases in total advance volume from approximately $2,709 million to approximately $3,629 million year over year and average advance amounts that increased from $134 to $152 as of the years ended December 31, 2022 and 2023, respectively. Tip amounts may not always trend ratably as tips often vary depending on the total amount of the advance and number of Members who leave a tip. The average tip Members chose to leave increased while the percentage of Members that chose to leave a tip decreased for the year ended December 31, 2023 as compared to the year ended December 31, 2022.</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Subscriptions for the year ended December 31, 2023 were $21.5 million, an increase of $2.3 million, or 12%, from $19.1 million for the year ended December 31, 2022. The increase was primarily attributable to an increase in paying Members on our platform.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Other revenue for the year ended December 31, 2023 were $1.3 million, an increase of $0.2 million, or 20%, compared to the year ended December 31, 2022. The increase was primarily attributable to increases in revenue related to the launch of our Survey product and the Reward product for Members, offset by a decrease in average revenue per lead related to amounts received from our Side Hustle advertising partners.</w:t>
      </w:r>
    </w:p>
    <w:p>
      <w:pPr>
        <w:spacing w:after="0" w:line="28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Transaction based revenue, net</w:t>
      </w:r>
      <w:r>
        <w:rPr>
          <w:rFonts w:ascii="Times New Roman" w:cs="Times New Roman" w:eastAsia="Times New Roman" w:hAnsi="Times New Roman"/>
          <w:sz w:val="18"/>
          <w:szCs w:val="18"/>
          <w:color w:val="auto"/>
        </w:rPr>
        <w:t>—Transaction based revenue, net for the year ended December 31, 2023 was $26.9 million, an increase of $10.9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68%, from $16.0 million, for the year ended December 31, 2022. The increase was primarily attributable to the growth in Members engaging with our Checking Product and corresponding growth in the number of card spend transactions initiated by Members.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2"/>
        </w:trPr>
        <w:tc>
          <w:tcPr>
            <w:tcW w:w="4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2023/2022</w:t>
            </w:r>
          </w:p>
        </w:tc>
        <w:tc>
          <w:tcPr>
            <w:tcW w:w="160" w:type="dxa"/>
            <w:vAlign w:val="bottom"/>
          </w:tcPr>
          <w:p>
            <w:pPr>
              <w:spacing w:after="0"/>
              <w:rPr>
                <w:sz w:val="20"/>
                <w:szCs w:val="20"/>
                <w:color w:val="auto"/>
              </w:rPr>
            </w:pPr>
          </w:p>
        </w:tc>
      </w:tr>
      <w:tr>
        <w:trPr>
          <w:trHeight w:val="23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(7,880 )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(3,020 )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(20,646 )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(8,522 )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70,679</w:t>
            </w:r>
          </w:p>
        </w:tc>
        <w:tc>
          <w:tcPr>
            <w:tcW w:w="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68,551</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339,233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(37,940 )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$58.4 million for the year ended December 31, 2023, compared to $66.3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2022. The decrease of $7.9 million, or 12%, was primarily attributable to an increase of $8.8 million related to Member advances aged over 120 days and those that have become uncollectible based on information available to us, partially offset by a decrease in provision expense of $16.7 million related to Member advances aged 120 days and under.</w:t>
      </w:r>
    </w:p>
    <w:p>
      <w:pPr>
        <w:spacing w:after="0" w:line="1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increase in provision expense of $8.8 million related to Member advances aged over 120 days and those which have become uncollectible based on information available to us, period over period, was attributed to increases in transacting members, average advance amounts from $134 to $152 and total advance volume from $2,709 million to $3,629 million for the years ended December 31, 2022 and 2023, respectively. All impaired advances deemed uncollectible are subsequently written-off and are a direct reduction to the allowance for credit losses.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decrease in provision expense of $16.7 million related to Member advances aged 120 days and under was primarily attributed to improved collections performance and lower advances outstanding, despite a 27% increase in advance volume during the last four months for the year ended December 31, 2023 compared to the last four months of the year ended December 31, 2022. This resulted in a decrease to the allowance for credit losses and corresponding lower provision for credit losses expense during the year ended December 31, 2023 as compared to December 31, 2022. We anticipate volatility in Member advances outstanding each period as they are directly correlated with the timing and volume of Member advance activity during the last 120 days prior to the end of the period.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Throughout the year ended December 31, 2023, loss and collections experience of Member advances continued to improve, due primarily to underwriting modifications related to advance eligibility requirements, advance stability, new Member conversion and risk detection. Historical loss and collections rates utilized in the calculation of the provision for credit losses increased slightly when compared to historical rates utilized in 2022 due to improved collections performance from the underwriting modifications made in reaction to the COVID-19 pandemic. Any changes to our historical loss and collections experience directly affect the historical loss rates utilized in the calculation of the allowance for uncollectible advances. The changes in the allowance for credit losses, period over period, has a direct impact on the provision for credit losses.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Member advances and a roll-forward of the allowance for credit losses, refer to the tables in Note 5 Member Advances, Net in the accompanying consolidated financial statements of Dave included in this report.</w:t>
      </w:r>
    </w:p>
    <w:p>
      <w:pPr>
        <w:spacing w:after="0" w:line="16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$28.9 million for the year ended December 31, 2023, compared to $31.9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2022. The decrease of $3.0 million, or 9.5%, was primarily driven by technology enhancements made to our ExtraCash payments structure along with discounts and cost savings due to price reductions from our processors.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Advertising and marketing</w:t>
      </w:r>
      <w:r>
        <w:rPr>
          <w:rFonts w:ascii="Times New Roman" w:cs="Times New Roman" w:eastAsia="Times New Roman" w:hAnsi="Times New Roman"/>
          <w:sz w:val="18"/>
          <w:szCs w:val="18"/>
          <w:color w:val="auto"/>
        </w:rPr>
        <w:t>—Advertising and marketing expenses totaled $48.4 million for the year ended December 31, 2023, compared to $69.0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2022. The decrease of $20.6 million, or 29.9%, was primarily attributable to a more targeted, conversion-focused spend approach on our advertising campaigns, production and promotions across various social media platforms and television. Additionally, channel and creative optimization, long-tail marketing investments made during the second quarter of 2023 and ongoing improvements to our measurement and reporting infrastructure allowed us to invest more intelligently across our marketing mix.</w:t>
      </w:r>
    </w:p>
    <w:p>
      <w:pPr>
        <w:spacing w:after="0" w:line="183"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$94.9 million for the year ended December 31, 2023, compared to $103.4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2022. The decrease of $8.5 million, or 8.2%, was primarily attributable to the following:</w:t>
      </w:r>
    </w:p>
    <w:p>
      <w:pPr>
        <w:spacing w:after="0" w:line="52" w:lineRule="exact"/>
        <w:rPr>
          <w:sz w:val="20"/>
          <w:szCs w:val="20"/>
          <w:color w:val="auto"/>
        </w:rPr>
      </w:pPr>
    </w:p>
    <w:p>
      <w:pPr>
        <w:jc w:val="both"/>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stock-based compensation of $14.0 million, primarily due to larger amounts of restricted stock units granted during the year ended December 31, 2022 compared to the year ended December 31, 2023 and stock options granted in prior years' that have fully vested;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contractor and consulting fees of $2.8 million due to the average increase in employee headcount and corresponding reduction in external support for IT security, finance, marketing, design and customer service resources; and</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$8.2 million, primarily due to average headcount and salary increases, bonuses and severance payments;</w:t>
      </w:r>
    </w:p>
    <w:p>
      <w:pPr>
        <w:spacing w:after="0" w:line="16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$70.7 million for the year ended December 31, 2023, compared to $68.6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The increase of $2.1 million, or 3.1%, was primarily attributable to the following:</w:t>
      </w:r>
    </w:p>
    <w:p>
      <w:pPr>
        <w:spacing w:after="0" w:line="52" w:lineRule="exact"/>
        <w:rPr>
          <w:sz w:val="20"/>
          <w:szCs w:val="20"/>
          <w:color w:val="auto"/>
        </w:rPr>
      </w:pPr>
    </w:p>
    <w:p>
      <w:pPr>
        <w:ind w:left="1020" w:right="5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fees of $4.0 million primarily due to ongoing litigation, settlement, compliance, employment and general corporate related matters;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expenses related to our Checking Product of $2.7 million, primarily attributable to processing fees, card fees and fraud related costs associated with the growth in Members and the number of transactions processed;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charitable contribution expenses of $2.0 million, primarily due to increased amounts pledged to charitable meal donations related to Members’ tips;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technology and infrastructure expenses of $0.8 million, primarily due to increased costs to support the growth of our business and development of new products and features;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insurance related costs of $3.5 million, primarily related to reductions in director and officer premiums;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rent expense of $1.8 million due to a reduction in leased office space;</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depreciation and amortization of $1.2 million, primarily due to accelerated amortization related to the change in useful life of a certain intangible asset during the year ended December 31, 2022, offset by increased amortization of internally developed software due to increased internally developed capitalized costs, and depreciation related to leasehold improvements and equipment purchases;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administrative expenses of $0.8 million, primarily due to reductions in investor relations fees, accounting related fees, in-person company meetings, bank service charges, sales tax, licenses and fees, travel and entertainment and other administrative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2023/2022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(2,342 )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(6,282 )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strategic financing and transactional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(4,591 )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(4,290 )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(22 )</w:t>
            </w:r>
          </w:p>
        </w:tc>
        <w:tc>
          <w:tcPr>
            <w:tcW w:w="3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(9,629 )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asset on loans to</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(5,572 )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260" w:type="dxa"/>
            <w:vAlign w:val="bottom"/>
          </w:tcPr>
          <w:p>
            <w:pPr>
              <w:spacing w:after="0"/>
              <w:rPr>
                <w:sz w:val="19"/>
                <w:szCs w:val="19"/>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(260 )</w:t>
            </w:r>
          </w:p>
        </w:tc>
        <w:tc>
          <w:tcPr>
            <w:tcW w:w="380" w:type="dxa"/>
            <w:vAlign w:val="bottom"/>
          </w:tcPr>
          <w:p>
            <w:pPr>
              <w:spacing w:after="0"/>
              <w:rPr>
                <w:sz w:val="19"/>
                <w:szCs w:val="19"/>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(14,192 )</w:t>
            </w:r>
          </w:p>
        </w:tc>
        <w:tc>
          <w:tcPr>
            <w:tcW w:w="16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(5,422 )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-1688465</wp:posOffset>
            </wp:positionV>
            <wp:extent cx="641223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-1379220</wp:posOffset>
            </wp:positionV>
            <wp:extent cx="641223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-1070610</wp:posOffset>
            </wp:positionV>
            <wp:extent cx="641223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-762000</wp:posOffset>
            </wp:positionV>
            <wp:extent cx="641223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4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$5.3 million for the year ended December 31, 2023, compared to $3.0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increase of $2.3 million, or 79.3%, was primarily attributable to interest earned from yields from investments and higher interest rates during the year ended December 31, 2023 as compared to the year ended December 31, 2022.</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$11.8 million for the year ended December 31, 2023, compared to $9.2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increase of $2.6 million, or 28%, was primarily attributable to interest related to a higher average outstanding balance during 2023 from the delayed draw senior secured loan facility (the “Debt Facility”) which Dave OD Funding I, LLC (“Dave OD”) entered into during January 2021, and which was subsequently amended in November 2021 to include a $20 million line of credit (the “Credit Facility”), along with interest related to the Note with FTX Ventures and higher interest rates on borrowings under the Debt Facility and Credit Facility.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Legal settlement and litigation expenses</w:t>
      </w:r>
      <w:r>
        <w:rPr>
          <w:rFonts w:ascii="Times New Roman" w:cs="Times New Roman" w:eastAsia="Times New Roman" w:hAnsi="Times New Roman"/>
          <w:sz w:val="18"/>
          <w:szCs w:val="18"/>
          <w:color w:val="auto"/>
        </w:rPr>
        <w:t>—Legal settlement and litigation expenses totaled $0 for the year ended December 31, 2023, compared to $6.3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year ended December 31, 2022. See Note 13 Commitments and Contingencies in the accompanying consolidated financial statements of Dave included in this report for more information regarding pending legal actions. The decrease of $6.3 million, or 100%, was primarily attributable to the settlement of an employee-related legal matter during the year ended December 31, 2022.</w:t>
      </w:r>
    </w:p>
    <w:p>
      <w:pPr>
        <w:spacing w:after="0" w:line="18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Other strategic financing and transactional expenses</w:t>
      </w:r>
      <w:r>
        <w:rPr>
          <w:rFonts w:ascii="Times New Roman" w:cs="Times New Roman" w:eastAsia="Times New Roman" w:hAnsi="Times New Roman"/>
          <w:sz w:val="18"/>
          <w:szCs w:val="18"/>
          <w:color w:val="auto"/>
        </w:rPr>
        <w:t>—Other strategic financing and transactional expenses totaled $0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$4.6 million for the year ended December 31, 2022. The</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9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decrease of $4.6 million was related to one-time strategic opportunities in addition to one-time post-closing expenses associated with the Business Combination that occurred in 2022.</w:t>
      </w:r>
    </w:p>
    <w:p>
      <w:pPr>
        <w:spacing w:after="0" w:line="1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Gain on extinguishment of liability</w:t>
      </w:r>
      <w:r>
        <w:rPr>
          <w:rFonts w:ascii="Times New Roman" w:cs="Times New Roman" w:eastAsia="Times New Roman" w:hAnsi="Times New Roman"/>
          <w:sz w:val="18"/>
          <w:szCs w:val="18"/>
          <w:color w:val="auto"/>
        </w:rPr>
        <w:t>—Gain on extinguishment of liability totaled $0 for the year ended December 31, 2023, compared to $4.3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The decrease of $4.3 million, or 100%, was primarily attributable to the extinguishment of a $7.5 million liability related to transaction costs associated with the Business Combination that were settled during 2022 in exchange for shares of our Class A common stock. The $7.5 million in transaction costs were also included as part of additional paid in capital within our consolidated balance sheets as the transaction costs were originally capitalized in conjunction with the Business Combination.</w:t>
      </w:r>
    </w:p>
    <w:p>
      <w:pPr>
        <w:spacing w:after="0" w:line="18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totaled a benefit of $0.02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totaled a benefit of $9.6 million for the year ended December 31, 2022. The decrease of $9.6 million, or 99.8%, was primarily attributable to fair value adjustments associated with certain earnout shares liability due to decreases in our underlying Class A Common Stock price.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Changes in fair value of derivative asset on loans to stockholders</w:t>
      </w:r>
      <w:r>
        <w:rPr>
          <w:rFonts w:ascii="Times New Roman" w:cs="Times New Roman" w:eastAsia="Times New Roman" w:hAnsi="Times New Roman"/>
          <w:sz w:val="18"/>
          <w:szCs w:val="18"/>
          <w:color w:val="auto"/>
        </w:rPr>
        <w:t>—Changes in fair value of derivative asset on loans to stockholders totaled $0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compared $5.6 million for the year ended December 31, 2022. The decrease of $5.6 million, or 100%, was primarily attributable to fair value adjustments associated with options issued in connection with loans to stockholders resulting from a decrease in the underlying fair value of our Class A Common Stock as of the settlement date of the derivative asset in early 2022. For further details, please refer to Note 2 in the accompanying consolidated financial statements of Dave included in this report.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fair value of warrant liability totaled a benefit of $0.3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compared to total a benefit of $14.2 million for the year ended December 31, 2022. The decrease in benefit of $13.9 million, or 98.2%, was primarily attributable to fair value adjustments associated with certain public and private warrant liabilities due to decreases in our underlying Class A Common Stock price over the last 12 months.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60"/>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3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8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2023/2022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2023/2022</w:t>
            </w:r>
          </w:p>
        </w:tc>
        <w:tc>
          <w:tcPr>
            <w:tcW w:w="1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0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(67 )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1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2023 increased by $0.2 million, or 279%, compared to the year ended December 31, 2022. This increase was primarily due to an increase in state taxes, including gross margin state taxes, because a favorable ruling by the Texas Supreme Court regarding the determination of state sourced service income had a more significant impact on the year ended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2022 and 2021</w:t>
      </w:r>
    </w:p>
    <w:p>
      <w:pPr>
        <w:spacing w:after="0" w:line="121" w:lineRule="exact"/>
        <w:rPr>
          <w:sz w:val="20"/>
          <w:szCs w:val="20"/>
          <w:color w:val="auto"/>
        </w:rPr>
      </w:pPr>
    </w:p>
    <w:p>
      <w:pPr>
        <w:jc w:val="both"/>
        <w:ind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discussion regarding our results of operations for the year ended December 31, 2022 compared to the results for the year ended December 31, 2021 can be found under “Management’s Discussion and Analysis of Financial Condition and Results of Operations of Dave – Results of Operations” in our Form 10-K filed with the SEC on </w:t>
      </w:r>
      <w:hyperlink r:id="rId81">
        <w:r>
          <w:rPr>
            <w:rFonts w:ascii="Times New Roman" w:cs="Times New Roman" w:eastAsia="Times New Roman" w:hAnsi="Times New Roman"/>
            <w:sz w:val="18"/>
            <w:szCs w:val="18"/>
            <w:u w:val="single" w:color="auto"/>
            <w:color w:val="0000FF"/>
          </w:rPr>
          <w:t>March 13, 2023</w:t>
        </w:r>
      </w:hyperlink>
      <w:r>
        <w:rPr>
          <w:rFonts w:ascii="Times New Roman" w:cs="Times New Roman" w:eastAsia="Times New Roman" w:hAnsi="Times New Roman"/>
          <w:sz w:val="18"/>
          <w:szCs w:val="18"/>
          <w:color w:val="auto"/>
        </w:rPr>
        <w:t>, which is available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-38735</wp:posOffset>
            </wp:positionV>
            <wp:extent cx="726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The non-GAAP financial measure is not, and should not be viewed as, a substitute for GAAP reporting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“Adjusted EBITDA” is defined as net loss adjusted for interest expense, net, provision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loss to Adjusted EBITDA for the years ended December 31, 2023 and 2022:</w:t>
      </w:r>
    </w:p>
    <w:p>
      <w:pPr>
        <w:spacing w:after="0" w:line="200" w:lineRule="exact"/>
        <w:rPr>
          <w:sz w:val="20"/>
          <w:szCs w:val="20"/>
          <w:color w:val="auto"/>
        </w:rPr>
      </w:pP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61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(48,517 )</w:t>
            </w:r>
          </w:p>
        </w:tc>
        <w:tc>
          <w:tcPr>
            <w:tcW w:w="620" w:type="dxa"/>
            <w:vAlign w:val="bottom"/>
            <w:shd w:val="clear" w:color="auto" w:fill="B6DEE8"/>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(128,906 )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0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B6DEE8"/>
          </w:tcPr>
          <w:p>
            <w:pPr>
              <w:spacing w:after="0"/>
              <w:rPr>
                <w:sz w:val="21"/>
                <w:szCs w:val="21"/>
                <w:color w:val="auto"/>
              </w:rPr>
            </w:pPr>
          </w:p>
        </w:tc>
        <w:tc>
          <w:tcPr>
            <w:tcW w:w="62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340" w:type="dxa"/>
            <w:vAlign w:val="bottom"/>
            <w:shd w:val="clear" w:color="auto" w:fill="B6DEE8"/>
          </w:tcPr>
          <w:p>
            <w:pPr>
              <w:spacing w:after="0"/>
              <w:rPr>
                <w:sz w:val="21"/>
                <w:szCs w:val="21"/>
                <w:color w:val="auto"/>
              </w:rPr>
            </w:pPr>
          </w:p>
        </w:tc>
        <w:tc>
          <w:tcPr>
            <w:tcW w:w="6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strategic financing and transactional expenses</w:t>
            </w:r>
          </w:p>
        </w:tc>
        <w:tc>
          <w:tcPr>
            <w:tcW w:w="110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DEE8"/>
          </w:tcPr>
          <w:p>
            <w:pPr>
              <w:spacing w:after="0"/>
              <w:rPr>
                <w:sz w:val="21"/>
                <w:szCs w:val="21"/>
                <w:color w:val="auto"/>
              </w:rPr>
            </w:pPr>
          </w:p>
        </w:tc>
        <w:tc>
          <w:tcPr>
            <w:tcW w:w="6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(4,290 )</w:t>
            </w: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00" w:type="dxa"/>
            <w:vAlign w:val="bottom"/>
            <w:shd w:val="clear" w:color="auto" w:fill="B6DEE8"/>
          </w:tcPr>
          <w:p>
            <w:pPr>
              <w:spacing w:after="0"/>
              <w:rPr>
                <w:sz w:val="21"/>
                <w:szCs w:val="21"/>
                <w:color w:val="auto"/>
              </w:rPr>
            </w:pPr>
          </w:p>
        </w:tc>
        <w:tc>
          <w:tcPr>
            <w:tcW w:w="100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(22 )</w:t>
            </w:r>
          </w:p>
        </w:tc>
        <w:tc>
          <w:tcPr>
            <w:tcW w:w="62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(9,629 )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asset on loans to stockholders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00" w:type="dxa"/>
            <w:vAlign w:val="bottom"/>
            <w:shd w:val="clear" w:color="auto" w:fill="B6DEE8"/>
          </w:tcPr>
          <w:p>
            <w:pPr>
              <w:spacing w:after="0"/>
              <w:rPr>
                <w:sz w:val="21"/>
                <w:szCs w:val="21"/>
                <w:color w:val="auto"/>
              </w:rPr>
            </w:pPr>
          </w:p>
        </w:tc>
        <w:tc>
          <w:tcPr>
            <w:tcW w:w="100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(260 )</w:t>
            </w:r>
          </w:p>
        </w:tc>
        <w:tc>
          <w:tcPr>
            <w:tcW w:w="62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(14,192 )</w:t>
            </w:r>
          </w:p>
        </w:tc>
      </w:tr>
      <w:tr>
        <w:trPr>
          <w:trHeight w:val="20"/>
        </w:trPr>
        <w:tc>
          <w:tcPr>
            <w:tcW w:w="6180" w:type="dxa"/>
            <w:vAlign w:val="bottom"/>
            <w:shd w:val="clear" w:color="auto" w:fill="B6DE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B6DEE8"/>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(10,076 )</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(87,095 )</w:t>
            </w:r>
          </w:p>
        </w:tc>
      </w:tr>
      <w:tr>
        <w:trPr>
          <w:trHeight w:val="20"/>
        </w:trPr>
        <w:tc>
          <w:tcPr>
            <w:tcW w:w="6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-187960</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past, we have financed our operations primarily from cash receipts from service and transaction based revenues, equity financings, borrowings under the Debt Facility, issuances of convertible notes and funds received as a result of the business combination. As of December 31, 2023 and 2022, our cash and cash equivalents, marketable securities and investments balance was $155.9 million and $192.0 million, respectively.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an early-stage company, the expenses we have incurred since inception are consistent with our strategy and approach to capital allocation. We expect to incur net losses in accordance with our operating plan as we continue to expand and improve upon our financial platform.</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7" w:name="page58"/>
    <w:bookmarkEnd w:id="57"/>
    <w:p>
      <w:pPr>
        <w:ind w:right="40"/>
        <w:spacing w:after="0" w:line="266" w:lineRule="auto"/>
        <w:rPr>
          <w:sz w:val="20"/>
          <w:szCs w:val="20"/>
          <w:color w:val="auto"/>
        </w:rPr>
      </w:pPr>
      <w:r>
        <w:rPr>
          <w:rFonts w:ascii="Times New Roman" w:cs="Times New Roman" w:eastAsia="Times New Roman" w:hAnsi="Times New Roman"/>
          <w:sz w:val="18"/>
          <w:szCs w:val="18"/>
          <w:color w:val="auto"/>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2 to 5 years as of December 31, 2023, and we had a total lease liability of $0.8 million. See Note 13, Leases in the notes to our consolidated financial statements for additional information regarding our lease liabilities as of December 31, 2023.</w:t>
      </w:r>
    </w:p>
    <w:p>
      <w:pPr>
        <w:spacing w:after="0" w:line="20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In the near term, we expect to continue to generate ExtraCash originations relying primarily on our balance sheet cash and Debt Facility, as needed. Interest payments on term loan borrowings under the Debt Facility are required to be made on a monthly basis. At December 31, 2023, $75.0 million of term loans under the Debt Facility were outstanding. See Note 11, Debt and Credit Facility in the notes to our consolidated financial statements in this report.</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we also had certain contractual payment obligations for interest owed under the $100.0 million Note we issued and sold pursuant to the Note Purchase Agreement entered into with FTX Ventures. Interest payments relating to the Note were required to be made or added to the outstanding principal on a semi-annual basis. At December 31, 2023, a total of $5.5 million of interest was added to the outstanding principal. On January 29, 2024, we repurchased the $105.5 million outstanding balance of the Note as of December 31, 2023 for $71.0 million. For more information on the Note Purchase Agreement with FTX Ventures, see Note 9, Convertible Note Payable and Note 21, Subsequent Events.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use cash to acquire businesses and technologies. The nature of these potential transactions, however, makes it difficult to predict the amount and timing of such cash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00" w:lineRule="exact"/>
        <w:rPr>
          <w:sz w:val="20"/>
          <w:szCs w:val="20"/>
          <w:color w:val="auto"/>
        </w:rPr>
      </w:pP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52"/>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1"/>
                <w:szCs w:val="21"/>
                <w:color w:val="auto"/>
              </w:rPr>
            </w:pPr>
          </w:p>
        </w:tc>
        <w:tc>
          <w:tcPr>
            <w:tcW w:w="35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7"/>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3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7"/>
        </w:trPr>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shd w:val="clear" w:color="auto" w:fill="B6DEE8"/>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380" w:type="dxa"/>
            <w:vAlign w:val="bottom"/>
            <w:shd w:val="clear" w:color="auto" w:fill="B6DEE8"/>
          </w:tcPr>
          <w:p>
            <w:pPr>
              <w:spacing w:after="0"/>
              <w:rPr>
                <w:sz w:val="20"/>
                <w:szCs w:val="20"/>
                <w:color w:val="auto"/>
              </w:rPr>
            </w:pPr>
          </w:p>
        </w:tc>
        <w:tc>
          <w:tcPr>
            <w:tcW w:w="38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(44,883 )</w:t>
            </w:r>
          </w:p>
        </w:tc>
      </w:tr>
      <w:tr>
        <w:trPr>
          <w:trHeight w:val="23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(14,375 )</w:t>
            </w:r>
          </w:p>
        </w:tc>
        <w:tc>
          <w:tcPr>
            <w:tcW w:w="3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(285,579 )</w:t>
            </w:r>
          </w:p>
        </w:tc>
      </w:tr>
      <w:tr>
        <w:trPr>
          <w:trHeight w:val="247"/>
        </w:trPr>
        <w:tc>
          <w:tcPr>
            <w:tcW w:w="61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shd w:val="clear" w:color="auto" w:fill="B6DEE8"/>
          </w:tcPr>
          <w:p>
            <w:pPr>
              <w:spacing w:after="0"/>
              <w:rPr>
                <w:sz w:val="21"/>
                <w:szCs w:val="21"/>
                <w:color w:val="auto"/>
              </w:rPr>
            </w:pPr>
          </w:p>
        </w:tc>
        <w:tc>
          <w:tcPr>
            <w:tcW w:w="1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bottom w:val="single" w:sz="8" w:color="B6DEE8"/>
            </w:tcBorders>
            <w:shd w:val="clear" w:color="auto" w:fill="B6DEE8"/>
          </w:tcPr>
          <w:p>
            <w:pPr>
              <w:spacing w:after="0"/>
              <w:rPr>
                <w:sz w:val="21"/>
                <w:szCs w:val="21"/>
                <w:color w:val="auto"/>
              </w:rPr>
            </w:pPr>
          </w:p>
        </w:tc>
        <w:tc>
          <w:tcPr>
            <w:tcW w:w="380" w:type="dxa"/>
            <w:vAlign w:val="bottom"/>
            <w:tcBorders>
              <w:bottom w:val="single" w:sz="8" w:color="auto"/>
            </w:tcBorders>
            <w:shd w:val="clear" w:color="auto" w:fill="B6DEE8"/>
          </w:tcPr>
          <w:p>
            <w:pPr>
              <w:spacing w:after="0"/>
              <w:rPr>
                <w:sz w:val="21"/>
                <w:szCs w:val="21"/>
                <w:color w:val="auto"/>
              </w:rPr>
            </w:pPr>
          </w:p>
        </w:tc>
        <w:tc>
          <w:tcPr>
            <w:tcW w:w="1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321,767</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19,401</w:t>
            </w:r>
          </w:p>
        </w:tc>
        <w:tc>
          <w:tcPr>
            <w:tcW w:w="3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(8,695 )</w:t>
            </w:r>
          </w:p>
        </w:tc>
      </w:tr>
      <w:tr>
        <w:trPr>
          <w:trHeight w:val="20"/>
        </w:trPr>
        <w:tc>
          <w:tcPr>
            <w:tcW w:w="6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recorded a net loss of $48.5 million for the year ended December 31, 2023, and a net loss of $128.9 million for the year ended December 31, 2022. We reported cash flows provided by operating activities of $33.8 million for the year ended December 31, 2023 and cash flows used in operating activities of $44.9 million for the year ended December 31, 2022.</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cash provided by operating activities increased compared to the year ended December 31, 2022 due to decreases in the provision for credit losses, processing costs, marketing and compensation and benefits across the business. Excluding non-cash impacts, changes in cash flows from operations included an increase in receivables related to revenue from Member advances of $4.1 million, a decrease in accounts payable of $5.9 million, a decrease in legal settlement accrual of $5.6 million, and a decrease in other current liabilities of $1 million. These changes were offset primarily by a decrease in prepaid income taxes of 0.7 million, a decrease in prepaid expenses and other current assets of $2.9 million, an increase in accrued expenses of $1.7 million.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included a net loss of $128.9 million, adjusted for non-cash items of $7.1 million for depreciation and amortization, $66.3 million for provision for credit losses, $5.6 million for a decrease in derivative asset fair value, and $40.6 million for stock-based compensation expense, partially offset by $9.6 million for a decrease in earnout liabilities fair value, and 14.2 million for a decrease in warrant liabilities fair value. Excluding non-cash impacts, changes in cash flows from operations included an increase in receivables related to revenue from Member advances of $6.8 million, a decrease in other current liabilities of $0.3 million, an increase in prepaid expenses and other current assets of $6.8 million, and a decrease in accrued expenses of $1.7 million. These changes were offset primarily by an increase in legal settlement accrual of $5.7 million, a decrease in prepaid income taxes of $0.6 million, and an increase in accounts payable of $0.3 million.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net cash used in investing activities was $14.4 million. This amount included payments for internally developed software costs of $7.9 million, the purchase of property and equipment of $0.7 million, net disbursements and collections of Member advances of $63.0 million, the purchase of investments of $120.0 million, and the purchase of marketable securities of $34.4 million, offset by the sale of marketable securities of $33.7 million and the sale and maturity of investments of $177.9 million.</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net cash used in investing activities was $285.6 million. This amount included payments for internally developed software costs of $8.6 million, the purchase of property and equipment of $0.7 million, net disbursements and collections of Member advances of $114.3 million, the purchase of investments of $202.1 million, and the purchase of marketable securities of $317.7 million, offset by the sale of marketable securities of $325.6 million and the sale and maturity of investments of $32.2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$0.02 million, which primarily consisted of payments of $0.01 million for fractional shares that resulted from our reserve stock spilt and $0.03 million in proceeds from the issuance of common stock for stock option exercises.</w:t>
      </w:r>
    </w:p>
    <w:p>
      <w:pPr>
        <w:spacing w:after="0" w:line="176"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2022, net cash provided by financing activities was $321.8 million, which consisted of $195.0 million in proceeds from PIPE financing in connection with the Business Combination, $29.7 million in proceeds from the Business Combination, net of redemptions, $0.6 million in proceeds from stock option exercises, $100 million in proceeds from borrowings related to the Note Purchase Agreement with FTX Ventures,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$40.0 million related to debt facility borrowings, partially offset by $23.0 million for the payment of issuance costs related to the Business Combination, $20.0 million related to the repayment of the credit facility borrowings, and $0.5 million related to the repurchase of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79" w:lineRule="exact"/>
        <w:rPr>
          <w:sz w:val="20"/>
          <w:szCs w:val="20"/>
          <w:color w:val="auto"/>
        </w:rPr>
      </w:pPr>
    </w:p>
    <w:p>
      <w:pPr>
        <w:ind w:left="740" w:hanging="223"/>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consolidated financial statements for the years ended December 31, 2023 and 2022 included in this Annual Report on Form 10-K.</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Member advances from contracts with Members as of the balance sheet dates are recorded at their original advance amounts reduced by an allowance for expected credit losses. We pool our Member advances,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Member advances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advance. Adjustments to the allowance each period for changes in the estimate of lifetime expected credit losses are recognized in operating expenses—provision for credit losses in the consolidated statements of operations.</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When we determine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ind w:right="60"/>
        <w:spacing w:after="0" w:line="266" w:lineRule="auto"/>
        <w:rPr>
          <w:sz w:val="20"/>
          <w:szCs w:val="20"/>
          <w:color w:val="auto"/>
        </w:rPr>
      </w:pPr>
      <w:r>
        <w:rPr>
          <w:rFonts w:ascii="Times New Roman" w:cs="Times New Roman" w:eastAsia="Times New Roman" w:hAnsi="Times New Roman"/>
          <w:sz w:val="18"/>
          <w:szCs w:val="18"/>
          <w:color w:val="auto"/>
        </w:rPr>
        <w:t>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$1.3 million and $0.9 million of uncertain tax positions as of December 31, 2023 and 2022, respectively, related to state income taxes and federal and state R&amp;D tax credits.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We recorded a valuation allowance against our deferred tax assets, net of certain deferred tax liabilities, at December 31, 2023 and December 31, 2022. Based upon management’s assessment of all available evidence, we have concluded that it is more-likely-than-not that the deferred tax assets, net of certain deferred tax liabilities, will not be realized.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consolidated financial statements included in this report for the recent accounting pronouncements adopted and the recent accounting pronouncements not yet adopted for the years ended December 31, 2023 and 2022.</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(1) the last day of the fiscal year (a) following March 4, 2026, (b) in which we have total annual gross revenue of at least $1.235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1" w:name="page62"/>
    <w:bookmarkEnd w:id="6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consolidated financial statements included in this report for a discussion of the impact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62" w:name="page63"/>
    <w:bookmarkEnd w:id="6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Firm ID: 34)</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160" w:type="dxa"/>
            <w:vAlign w:val="bottom"/>
            <w:tcBorders>
              <w:left w:val="single" w:sz="8" w:color="0000FF"/>
            </w:tcBorders>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66"/>
        </w:trPr>
        <w:tc>
          <w:tcPr>
            <w:tcW w:w="472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4400" w:type="dxa"/>
            <w:vAlign w:val="bottom"/>
            <w:gridSpan w:val="6"/>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48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and 2022</w:t>
            </w:r>
          </w:p>
        </w:tc>
        <w:tc>
          <w:tcPr>
            <w:tcW w:w="20" w:type="dxa"/>
            <w:vAlign w:val="bottom"/>
            <w:tcBorders>
              <w:bottom w:val="single" w:sz="8" w:color="0000EE"/>
            </w:tcBorders>
          </w:tcPr>
          <w:p>
            <w:pPr>
              <w:spacing w:after="0"/>
              <w:rPr>
                <w:sz w:val="19"/>
                <w:szCs w:val="19"/>
                <w:color w:val="auto"/>
              </w:rPr>
            </w:pPr>
          </w:p>
        </w:tc>
        <w:tc>
          <w:tcPr>
            <w:tcW w:w="2620" w:type="dxa"/>
            <w:vAlign w:val="bottom"/>
            <w:gridSpan w:val="3"/>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2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2023 and 2022</w:t>
            </w:r>
          </w:p>
        </w:tc>
        <w:tc>
          <w:tcPr>
            <w:tcW w:w="20" w:type="dxa"/>
            <w:vAlign w:val="bottom"/>
            <w:tcBorders>
              <w:bottom w:val="single" w:sz="8" w:color="0000EE"/>
            </w:tcBorders>
          </w:tcPr>
          <w:p>
            <w:pPr>
              <w:spacing w:after="0"/>
              <w:rPr>
                <w:sz w:val="19"/>
                <w:szCs w:val="19"/>
                <w:color w:val="auto"/>
              </w:rPr>
            </w:pPr>
          </w:p>
        </w:tc>
        <w:tc>
          <w:tcPr>
            <w:tcW w:w="19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72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2023 and 2022</w:t>
            </w:r>
          </w:p>
        </w:tc>
        <w:tc>
          <w:tcPr>
            <w:tcW w:w="19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9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w:t>
            </w:r>
            <w:r>
              <w:rPr>
                <w:rFonts w:ascii="Times New Roman" w:cs="Times New Roman" w:eastAsia="Times New Roman" w:hAnsi="Times New Roman"/>
                <w:sz w:val="18"/>
                <w:szCs w:val="18"/>
                <w:color w:val="000000"/>
              </w:rPr>
              <w:t>2</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66"/>
        </w:trPr>
        <w:tc>
          <w:tcPr>
            <w:tcW w:w="644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80" w:type="dxa"/>
            <w:vAlign w:val="bottom"/>
            <w:gridSpan w:val="5"/>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1141"/>
        </w:trPr>
        <w:tc>
          <w:tcPr>
            <w:tcW w:w="3160" w:type="dxa"/>
            <w:vAlign w:val="bottom"/>
            <w:tcBorders>
              <w:top w:val="single" w:sz="8" w:color="0000FF"/>
            </w:tcBorders>
          </w:tcPr>
          <w:p>
            <w:pPr>
              <w:spacing w:after="0"/>
              <w:rPr>
                <w:sz w:val="24"/>
                <w:szCs w:val="24"/>
                <w:color w:val="auto"/>
              </w:rPr>
            </w:pPr>
          </w:p>
        </w:tc>
        <w:tc>
          <w:tcPr>
            <w:tcW w:w="32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Dave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Dave Inc. and subsidiaries (the "Company") as of December 31, 2023 and 2022, the related consolidated statements of operations,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B7DEE8"/>
          </w:tcPr>
          <w:p>
            <w:pPr>
              <w:spacing w:after="0"/>
              <w:rPr>
                <w:sz w:val="14"/>
                <w:szCs w:val="14"/>
                <w:color w:val="auto"/>
              </w:rPr>
            </w:pPr>
          </w:p>
        </w:tc>
        <w:tc>
          <w:tcPr>
            <w:tcW w:w="1100" w:type="dxa"/>
            <w:vAlign w:val="bottom"/>
            <w:shd w:val="clear" w:color="auto" w:fill="B7DEE8"/>
          </w:tcPr>
          <w:p>
            <w:pPr>
              <w:spacing w:after="0"/>
              <w:rPr>
                <w:sz w:val="14"/>
                <w:szCs w:val="14"/>
                <w:color w:val="auto"/>
              </w:rPr>
            </w:pPr>
          </w:p>
        </w:tc>
        <w:tc>
          <w:tcPr>
            <w:tcW w:w="360" w:type="dxa"/>
            <w:vAlign w:val="bottom"/>
            <w:shd w:val="clear" w:color="auto" w:fill="B7DEE8"/>
          </w:tcPr>
          <w:p>
            <w:pPr>
              <w:spacing w:after="0"/>
              <w:rPr>
                <w:sz w:val="14"/>
                <w:szCs w:val="14"/>
                <w:color w:val="auto"/>
              </w:rPr>
            </w:pPr>
          </w:p>
        </w:tc>
        <w:tc>
          <w:tcPr>
            <w:tcW w:w="240" w:type="dxa"/>
            <w:vAlign w:val="bottom"/>
            <w:shd w:val="clear" w:color="auto" w:fill="B7DEE8"/>
          </w:tcPr>
          <w:p>
            <w:pPr>
              <w:spacing w:after="0"/>
              <w:rPr>
                <w:sz w:val="14"/>
                <w:szCs w:val="14"/>
                <w:color w:val="auto"/>
              </w:rPr>
            </w:pPr>
          </w:p>
        </w:tc>
        <w:tc>
          <w:tcPr>
            <w:tcW w:w="1440" w:type="dxa"/>
            <w:vAlign w:val="bottom"/>
            <w:shd w:val="clear" w:color="auto" w:fill="B7DEE8"/>
          </w:tcPr>
          <w:p>
            <w:pPr>
              <w:spacing w:after="0"/>
              <w:rPr>
                <w:sz w:val="14"/>
                <w:szCs w:val="14"/>
                <w:color w:val="auto"/>
              </w:rPr>
            </w:pP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41,759</w:t>
            </w:r>
          </w:p>
        </w:tc>
        <w:tc>
          <w:tcPr>
            <w:tcW w:w="600" w:type="dxa"/>
            <w:vAlign w:val="bottom"/>
            <w:gridSpan w:val="2"/>
            <w:shd w:val="clear" w:color="auto" w:fill="B7DEE8"/>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22,889</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860" w:type="dxa"/>
            <w:vAlign w:val="bottom"/>
            <w:shd w:val="clear" w:color="auto" w:fill="B7DEE8"/>
          </w:tcPr>
          <w:p>
            <w:pPr>
              <w:ind w:left="120"/>
              <w:spacing w:after="0" w:line="139" w:lineRule="exact"/>
              <w:rPr>
                <w:sz w:val="20"/>
                <w:szCs w:val="20"/>
                <w:color w:val="auto"/>
              </w:rPr>
            </w:pPr>
            <w:r>
              <w:rPr>
                <w:rFonts w:ascii="Times New Roman" w:cs="Times New Roman" w:eastAsia="Times New Roman" w:hAnsi="Times New Roman"/>
                <w:sz w:val="14"/>
                <w:szCs w:val="14"/>
                <w:color w:val="auto"/>
              </w:rPr>
              <w:t>Member advances, net of allowance for credit losses of $20,310 and $24,501 as of December 31, 2023 and December 31, 2022,</w:t>
            </w:r>
          </w:p>
        </w:tc>
        <w:tc>
          <w:tcPr>
            <w:tcW w:w="140" w:type="dxa"/>
            <w:vAlign w:val="bottom"/>
            <w:shd w:val="clear" w:color="auto" w:fill="B7DEE8"/>
          </w:tcPr>
          <w:p>
            <w:pPr>
              <w:spacing w:after="0"/>
              <w:rPr>
                <w:sz w:val="12"/>
                <w:szCs w:val="12"/>
                <w:color w:val="auto"/>
              </w:rPr>
            </w:pPr>
          </w:p>
        </w:tc>
        <w:tc>
          <w:tcPr>
            <w:tcW w:w="11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112,846</w:t>
            </w:r>
          </w:p>
        </w:tc>
        <w:tc>
          <w:tcPr>
            <w:tcW w:w="360" w:type="dxa"/>
            <w:vAlign w:val="bottom"/>
            <w:shd w:val="clear" w:color="auto" w:fill="B7DEE8"/>
          </w:tcPr>
          <w:p>
            <w:pPr>
              <w:spacing w:after="0"/>
              <w:rPr>
                <w:sz w:val="12"/>
                <w:szCs w:val="12"/>
                <w:color w:val="auto"/>
              </w:rPr>
            </w:pPr>
          </w:p>
        </w:tc>
        <w:tc>
          <w:tcPr>
            <w:tcW w:w="240" w:type="dxa"/>
            <w:vAlign w:val="bottom"/>
            <w:shd w:val="clear" w:color="auto" w:fill="B7DEE8"/>
          </w:tcPr>
          <w:p>
            <w:pPr>
              <w:spacing w:after="0"/>
              <w:rPr>
                <w:sz w:val="12"/>
                <w:szCs w:val="12"/>
                <w:color w:val="auto"/>
              </w:rPr>
            </w:pPr>
          </w:p>
        </w:tc>
        <w:tc>
          <w:tcPr>
            <w:tcW w:w="14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104,183</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B7DEE8"/>
          </w:tcPr>
          <w:p>
            <w:pPr>
              <w:spacing w:after="0"/>
              <w:rPr>
                <w:sz w:val="16"/>
                <w:szCs w:val="16"/>
                <w:color w:val="auto"/>
              </w:rPr>
            </w:pPr>
          </w:p>
        </w:tc>
        <w:tc>
          <w:tcPr>
            <w:tcW w:w="1100" w:type="dxa"/>
            <w:vAlign w:val="bottom"/>
            <w:vMerge w:val="continue"/>
            <w:shd w:val="clear" w:color="auto" w:fill="B7DEE8"/>
          </w:tcPr>
          <w:p>
            <w:pPr>
              <w:spacing w:after="0"/>
              <w:rPr>
                <w:sz w:val="16"/>
                <w:szCs w:val="16"/>
                <w:color w:val="auto"/>
              </w:rPr>
            </w:pPr>
          </w:p>
        </w:tc>
        <w:tc>
          <w:tcPr>
            <w:tcW w:w="360" w:type="dxa"/>
            <w:vAlign w:val="bottom"/>
            <w:shd w:val="clear" w:color="auto" w:fill="B7DEE8"/>
          </w:tcPr>
          <w:p>
            <w:pPr>
              <w:spacing w:after="0"/>
              <w:rPr>
                <w:sz w:val="16"/>
                <w:szCs w:val="16"/>
                <w:color w:val="auto"/>
              </w:rPr>
            </w:pPr>
          </w:p>
        </w:tc>
        <w:tc>
          <w:tcPr>
            <w:tcW w:w="240" w:type="dxa"/>
            <w:vAlign w:val="bottom"/>
            <w:shd w:val="clear" w:color="auto" w:fill="B7DEE8"/>
          </w:tcPr>
          <w:p>
            <w:pPr>
              <w:spacing w:after="0"/>
              <w:rPr>
                <w:sz w:val="16"/>
                <w:szCs w:val="16"/>
                <w:color w:val="auto"/>
              </w:rPr>
            </w:pPr>
          </w:p>
        </w:tc>
        <w:tc>
          <w:tcPr>
            <w:tcW w:w="1440" w:type="dxa"/>
            <w:vAlign w:val="bottom"/>
            <w:vMerge w:val="continue"/>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113,226</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Prepaid income taxes</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7,955</w:t>
            </w: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6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40" w:type="dxa"/>
            <w:vAlign w:val="bottom"/>
            <w:shd w:val="clear" w:color="auto" w:fill="B7DEE8"/>
          </w:tcPr>
          <w:p>
            <w:pPr>
              <w:spacing w:after="0"/>
              <w:rPr>
                <w:sz w:val="14"/>
                <w:szCs w:val="14"/>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276,886</w:t>
            </w:r>
          </w:p>
        </w:tc>
        <w:tc>
          <w:tcPr>
            <w:tcW w:w="360" w:type="dxa"/>
            <w:vAlign w:val="bottom"/>
            <w:shd w:val="clear" w:color="auto" w:fill="B7DEE8"/>
          </w:tcPr>
          <w:p>
            <w:pPr>
              <w:spacing w:after="0"/>
              <w:rPr>
                <w:sz w:val="14"/>
                <w:szCs w:val="14"/>
                <w:color w:val="auto"/>
              </w:rPr>
            </w:pPr>
          </w:p>
        </w:tc>
        <w:tc>
          <w:tcPr>
            <w:tcW w:w="240" w:type="dxa"/>
            <w:vAlign w:val="bottom"/>
            <w:shd w:val="clear" w:color="auto" w:fill="B7DEE8"/>
          </w:tcPr>
          <w:p>
            <w:pPr>
              <w:spacing w:after="0"/>
              <w:rPr>
                <w:sz w:val="14"/>
                <w:szCs w:val="14"/>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308,568</w:t>
            </w:r>
          </w:p>
        </w:tc>
        <w:tc>
          <w:tcPr>
            <w:tcW w:w="100" w:type="dxa"/>
            <w:vAlign w:val="bottom"/>
            <w:shd w:val="clear" w:color="auto" w:fill="B7DEE8"/>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Lease right-of-use assets (related-party of $773 and $735 as of December 31, 2023 and December 31, 2022, respectively)</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3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Debt facility commitment fee, long-term</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3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40" w:type="dxa"/>
            <w:vAlign w:val="bottom"/>
            <w:tcBorders>
              <w:bottom w:val="single" w:sz="8" w:color="auto"/>
            </w:tcBorders>
            <w:shd w:val="clear" w:color="auto" w:fill="B7DEE8"/>
          </w:tcPr>
          <w:p>
            <w:pPr>
              <w:spacing w:after="0"/>
              <w:rPr>
                <w:sz w:val="15"/>
                <w:szCs w:val="15"/>
                <w:color w:val="auto"/>
              </w:rPr>
            </w:pPr>
          </w:p>
        </w:tc>
        <w:tc>
          <w:tcPr>
            <w:tcW w:w="1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3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bottom w:val="single" w:sz="8" w:color="auto"/>
            </w:tcBorders>
            <w:shd w:val="clear" w:color="auto" w:fill="B7DEE8"/>
          </w:tcPr>
          <w:p>
            <w:pPr>
              <w:spacing w:after="0"/>
              <w:rPr>
                <w:sz w:val="15"/>
                <w:szCs w:val="15"/>
                <w:color w:val="auto"/>
              </w:rPr>
            </w:pPr>
          </w:p>
        </w:tc>
        <w:tc>
          <w:tcPr>
            <w:tcW w:w="14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294,023</w:t>
            </w:r>
          </w:p>
        </w:tc>
        <w:tc>
          <w:tcPr>
            <w:tcW w:w="6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321,492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shd w:val="clear" w:color="auto" w:fill="B7DEE8"/>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shd w:val="clear" w:color="auto" w:fill="B7DEE8"/>
          </w:tcPr>
          <w:p>
            <w:pPr>
              <w:spacing w:after="0"/>
              <w:rPr>
                <w:sz w:val="13"/>
                <w:szCs w:val="13"/>
                <w:color w:val="auto"/>
              </w:rPr>
            </w:pPr>
          </w:p>
        </w:tc>
        <w:tc>
          <w:tcPr>
            <w:tcW w:w="1100" w:type="dxa"/>
            <w:vAlign w:val="bottom"/>
            <w:shd w:val="clear" w:color="auto" w:fill="B7DEE8"/>
          </w:tcPr>
          <w:p>
            <w:pPr>
              <w:spacing w:after="0"/>
              <w:rPr>
                <w:sz w:val="13"/>
                <w:szCs w:val="13"/>
                <w:color w:val="auto"/>
              </w:rPr>
            </w:pPr>
          </w:p>
        </w:tc>
        <w:tc>
          <w:tcPr>
            <w:tcW w:w="360" w:type="dxa"/>
            <w:vAlign w:val="bottom"/>
            <w:shd w:val="clear" w:color="auto" w:fill="B7DEE8"/>
          </w:tcPr>
          <w:p>
            <w:pPr>
              <w:spacing w:after="0"/>
              <w:rPr>
                <w:sz w:val="13"/>
                <w:szCs w:val="13"/>
                <w:color w:val="auto"/>
              </w:rPr>
            </w:pPr>
          </w:p>
        </w:tc>
        <w:tc>
          <w:tcPr>
            <w:tcW w:w="240" w:type="dxa"/>
            <w:vAlign w:val="bottom"/>
            <w:shd w:val="clear" w:color="auto" w:fill="B7DEE8"/>
          </w:tcPr>
          <w:p>
            <w:pPr>
              <w:spacing w:after="0"/>
              <w:rPr>
                <w:sz w:val="13"/>
                <w:szCs w:val="13"/>
                <w:color w:val="auto"/>
              </w:rPr>
            </w:pPr>
          </w:p>
        </w:tc>
        <w:tc>
          <w:tcPr>
            <w:tcW w:w="144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5,485</w:t>
            </w:r>
          </w:p>
        </w:tc>
        <w:tc>
          <w:tcPr>
            <w:tcW w:w="600" w:type="dxa"/>
            <w:vAlign w:val="bottom"/>
            <w:gridSpan w:val="2"/>
            <w:shd w:val="clear" w:color="auto" w:fill="B7DEE8"/>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11,418</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12,626</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Lease liabilities, short-term (related-party of $298 and $273 as of December 31, 2023 and December 31, 2022, respectively)</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3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Legal settlement accrual</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Borders>
              <w:bottom w:val="single" w:sz="8" w:color="auto"/>
            </w:tcBorders>
            <w:shd w:val="clear" w:color="auto" w:fill="B7DEE8"/>
          </w:tcPr>
          <w:p>
            <w:pPr>
              <w:spacing w:after="0"/>
              <w:rPr>
                <w:sz w:val="15"/>
                <w:szCs w:val="15"/>
                <w:color w:val="auto"/>
              </w:rPr>
            </w:pPr>
          </w:p>
        </w:tc>
        <w:tc>
          <w:tcPr>
            <w:tcW w:w="1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3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bottom w:val="single" w:sz="8" w:color="auto"/>
            </w:tcBorders>
            <w:shd w:val="clear" w:color="auto" w:fill="B7DEE8"/>
          </w:tcPr>
          <w:p>
            <w:pPr>
              <w:spacing w:after="0"/>
              <w:rPr>
                <w:sz w:val="15"/>
                <w:szCs w:val="15"/>
                <w:color w:val="auto"/>
              </w:rPr>
            </w:pPr>
          </w:p>
        </w:tc>
        <w:tc>
          <w:tcPr>
            <w:tcW w:w="14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4,311</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25,604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Lease liabilities, long-term (related-party of $543 and $550 as of December 31, 2023 and December 31, 2022, respectively)</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3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facility, long-term</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Convertible debt, long-term</w:t>
            </w:r>
          </w:p>
        </w:tc>
        <w:tc>
          <w:tcPr>
            <w:tcW w:w="140" w:type="dxa"/>
            <w:vAlign w:val="bottom"/>
            <w:shd w:val="clear" w:color="auto" w:fill="B7DEE8"/>
          </w:tcPr>
          <w:p>
            <w:pPr>
              <w:spacing w:after="0"/>
              <w:rPr>
                <w:sz w:val="15"/>
                <w:szCs w:val="15"/>
                <w:color w:val="auto"/>
              </w:rPr>
            </w:pPr>
          </w:p>
        </w:tc>
        <w:tc>
          <w:tcPr>
            <w:tcW w:w="1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105,451</w:t>
            </w:r>
          </w:p>
        </w:tc>
        <w:tc>
          <w:tcPr>
            <w:tcW w:w="360" w:type="dxa"/>
            <w:vAlign w:val="bottom"/>
            <w:shd w:val="clear" w:color="auto" w:fill="B7DEE8"/>
          </w:tcPr>
          <w:p>
            <w:pPr>
              <w:spacing w:after="0"/>
              <w:rPr>
                <w:sz w:val="15"/>
                <w:szCs w:val="15"/>
                <w:color w:val="auto"/>
              </w:rPr>
            </w:pPr>
          </w:p>
        </w:tc>
        <w:tc>
          <w:tcPr>
            <w:tcW w:w="240" w:type="dxa"/>
            <w:vAlign w:val="bottom"/>
            <w:shd w:val="clear" w:color="auto" w:fill="B7DEE8"/>
          </w:tcPr>
          <w:p>
            <w:pPr>
              <w:spacing w:after="0"/>
              <w:rPr>
                <w:sz w:val="15"/>
                <w:szCs w:val="15"/>
                <w:color w:val="auto"/>
              </w:rPr>
            </w:pPr>
          </w:p>
        </w:tc>
        <w:tc>
          <w:tcPr>
            <w:tcW w:w="14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102,325</w:t>
            </w:r>
          </w:p>
        </w:tc>
        <w:tc>
          <w:tcPr>
            <w:tcW w:w="10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Warrant and earnout liabilities</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6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40" w:type="dxa"/>
            <w:vAlign w:val="bottom"/>
            <w:tcBorders>
              <w:bottom w:val="single" w:sz="8" w:color="auto"/>
            </w:tcBorders>
            <w:shd w:val="clear" w:color="auto" w:fill="B7DEE8"/>
          </w:tcPr>
          <w:p>
            <w:pPr>
              <w:spacing w:after="0"/>
              <w:rPr>
                <w:sz w:val="15"/>
                <w:szCs w:val="15"/>
                <w:color w:val="auto"/>
              </w:rPr>
            </w:pPr>
          </w:p>
        </w:tc>
        <w:tc>
          <w:tcPr>
            <w:tcW w:w="11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60" w:type="dxa"/>
            <w:vAlign w:val="bottom"/>
            <w:tcBorders>
              <w:bottom w:val="single" w:sz="8" w:color="B7DEE8"/>
            </w:tcBorders>
            <w:shd w:val="clear" w:color="auto" w:fill="B7DEE8"/>
          </w:tcPr>
          <w:p>
            <w:pPr>
              <w:spacing w:after="0"/>
              <w:rPr>
                <w:sz w:val="15"/>
                <w:szCs w:val="15"/>
                <w:color w:val="auto"/>
              </w:rPr>
            </w:pPr>
          </w:p>
        </w:tc>
        <w:tc>
          <w:tcPr>
            <w:tcW w:w="240" w:type="dxa"/>
            <w:vAlign w:val="bottom"/>
            <w:tcBorders>
              <w:bottom w:val="single" w:sz="8" w:color="auto"/>
            </w:tcBorders>
            <w:shd w:val="clear" w:color="auto" w:fill="B7DEE8"/>
          </w:tcPr>
          <w:p>
            <w:pPr>
              <w:spacing w:after="0"/>
              <w:rPr>
                <w:sz w:val="15"/>
                <w:szCs w:val="15"/>
                <w:color w:val="auto"/>
              </w:rPr>
            </w:pPr>
          </w:p>
        </w:tc>
        <w:tc>
          <w:tcPr>
            <w:tcW w:w="14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6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206,960</w:t>
            </w:r>
          </w:p>
        </w:tc>
        <w:tc>
          <w:tcPr>
            <w:tcW w:w="60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214,932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shd w:val="clear" w:color="auto" w:fill="B7DEE8"/>
          </w:tcPr>
          <w:p>
            <w:pPr>
              <w:ind w:left="120"/>
              <w:spacing w:after="0" w:line="156"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140" w:type="dxa"/>
            <w:vAlign w:val="bottom"/>
            <w:shd w:val="clear" w:color="auto" w:fill="B7DEE8"/>
          </w:tcPr>
          <w:p>
            <w:pPr>
              <w:spacing w:after="0"/>
              <w:rPr>
                <w:sz w:val="13"/>
                <w:szCs w:val="13"/>
                <w:color w:val="auto"/>
              </w:rPr>
            </w:pPr>
          </w:p>
        </w:tc>
        <w:tc>
          <w:tcPr>
            <w:tcW w:w="1100" w:type="dxa"/>
            <w:vAlign w:val="bottom"/>
            <w:shd w:val="clear" w:color="auto" w:fill="B7DEE8"/>
          </w:tcPr>
          <w:p>
            <w:pPr>
              <w:spacing w:after="0"/>
              <w:rPr>
                <w:sz w:val="13"/>
                <w:szCs w:val="13"/>
                <w:color w:val="auto"/>
              </w:rPr>
            </w:pPr>
          </w:p>
        </w:tc>
        <w:tc>
          <w:tcPr>
            <w:tcW w:w="360" w:type="dxa"/>
            <w:vAlign w:val="bottom"/>
            <w:shd w:val="clear" w:color="auto" w:fill="B7DEE8"/>
          </w:tcPr>
          <w:p>
            <w:pPr>
              <w:spacing w:after="0"/>
              <w:rPr>
                <w:sz w:val="13"/>
                <w:szCs w:val="13"/>
                <w:color w:val="auto"/>
              </w:rPr>
            </w:pPr>
          </w:p>
        </w:tc>
        <w:tc>
          <w:tcPr>
            <w:tcW w:w="240" w:type="dxa"/>
            <w:vAlign w:val="bottom"/>
            <w:shd w:val="clear" w:color="auto" w:fill="B7DEE8"/>
          </w:tcPr>
          <w:p>
            <w:pPr>
              <w:spacing w:after="0"/>
              <w:rPr>
                <w:sz w:val="13"/>
                <w:szCs w:val="13"/>
                <w:color w:val="auto"/>
              </w:rPr>
            </w:pPr>
          </w:p>
        </w:tc>
        <w:tc>
          <w:tcPr>
            <w:tcW w:w="144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-1859915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-256540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ind w:left="120"/>
        <w:spacing w:after="0"/>
        <w:rPr>
          <w:sz w:val="20"/>
          <w:szCs w:val="20"/>
          <w:color w:val="auto"/>
        </w:rPr>
      </w:pPr>
      <w:r>
        <w:rPr>
          <w:rFonts w:ascii="Times New Roman" w:cs="Times New Roman" w:eastAsia="Times New Roman" w:hAnsi="Times New Roman"/>
          <w:sz w:val="14"/>
          <w:szCs w:val="14"/>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205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20" w:right="240"/>
        <w:spacing w:after="0" w:line="241" w:lineRule="auto"/>
        <w:rPr>
          <w:sz w:val="20"/>
          <w:szCs w:val="20"/>
          <w:color w:val="auto"/>
        </w:rPr>
      </w:pPr>
      <w:r>
        <w:rPr>
          <w:rFonts w:ascii="Times New Roman" w:cs="Times New Roman" w:eastAsia="Times New Roman" w:hAnsi="Times New Roman"/>
          <w:sz w:val="14"/>
          <w:szCs w:val="14"/>
          <w:color w:val="auto"/>
        </w:rPr>
        <w:t>Preferred stock, par value per share $0.0001, 10,000,000 shares authorized; 0 shares issued and outstanding at December 31, 2023 and December 31, 2022</w:t>
      </w:r>
    </w:p>
    <w:p>
      <w:pPr>
        <w:spacing w:after="0" w:line="1" w:lineRule="exact"/>
        <w:rPr>
          <w:sz w:val="20"/>
          <w:szCs w:val="20"/>
          <w:color w:val="auto"/>
        </w:rPr>
      </w:pPr>
    </w:p>
    <w:p>
      <w:pPr>
        <w:ind w:left="120" w:right="120"/>
        <w:spacing w:after="0" w:line="234" w:lineRule="auto"/>
        <w:rPr>
          <w:sz w:val="20"/>
          <w:szCs w:val="20"/>
          <w:color w:val="auto"/>
        </w:rPr>
      </w:pPr>
      <w:r>
        <w:rPr>
          <w:rFonts w:ascii="Times New Roman" w:cs="Times New Roman" w:eastAsia="Times New Roman" w:hAnsi="Times New Roman"/>
          <w:sz w:val="14"/>
          <w:szCs w:val="14"/>
          <w:color w:val="auto"/>
        </w:rPr>
        <w:t>Class A common stock, par value per share $0.0001, 500,000,000 shares authorized; 10,683,736 and 10,334,220 shares issued at December 31, 2023 and December 31, 2022, respectively; 10,634,173 and 10,284,657 shares outstanding at December 31, 2023 and December 31,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20" w:right="360"/>
        <w:spacing w:after="0" w:line="241" w:lineRule="auto"/>
        <w:rPr>
          <w:sz w:val="20"/>
          <w:szCs w:val="20"/>
          <w:color w:val="auto"/>
        </w:rPr>
      </w:pPr>
      <w:r>
        <w:rPr>
          <w:rFonts w:ascii="Times New Roman" w:cs="Times New Roman" w:eastAsia="Times New Roman" w:hAnsi="Times New Roman"/>
          <w:sz w:val="14"/>
          <w:szCs w:val="14"/>
          <w:color w:val="auto"/>
        </w:rPr>
        <w:t>Class V common stock, par value per share $0.0001, 100,000,000 shares authorized; 1,514,082 shares issued and outstanding at December 31, 2023 and December 31, 2022, respectively;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Accumulated other comprehensive gain (loss)</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53"/>
        </w:trPr>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1</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r>
      <w:tr>
        <w:trPr>
          <w:trHeight w:val="311"/>
        </w:trPr>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296,733</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270,037</w:t>
            </w:r>
          </w:p>
        </w:tc>
      </w:tr>
      <w:tr>
        <w:trPr>
          <w:trHeight w:val="175"/>
        </w:trPr>
        <w:tc>
          <w:tcPr>
            <w:tcW w:w="13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649</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(1,675 )</w:t>
            </w:r>
          </w:p>
        </w:tc>
      </w:tr>
      <w:tr>
        <w:trPr>
          <w:trHeight w:val="185"/>
        </w:trPr>
        <w:tc>
          <w:tcPr>
            <w:tcW w:w="13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w w:val="99"/>
              </w:rPr>
              <w:t>(210,320 )</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(161,803 )</w:t>
            </w:r>
          </w:p>
        </w:tc>
      </w:tr>
    </w:tbl>
    <w:p>
      <w:pPr>
        <w:spacing w:after="0" w:line="1" w:lineRule="exact"/>
        <w:rPr>
          <w:sz w:val="20"/>
          <w:szCs w:val="20"/>
          <w:color w:val="auto"/>
        </w:rPr>
      </w:pPr>
    </w:p>
    <w:p>
      <w:pPr>
        <w:sectPr>
          <w:pgSz w:w="11900" w:h="16838" w:orient="portrait"/>
          <w:cols w:equalWidth="0" w:num="2">
            <w:col w:w="7840" w:space="720"/>
            <w:col w:w="268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860" w:type="dxa"/>
            <w:vAlign w:val="bottom"/>
            <w:tcBorders>
              <w:bottom w:val="single" w:sz="8" w:color="B7DEE8"/>
            </w:tcBorders>
            <w:shd w:val="clear" w:color="auto" w:fill="B7DEE8"/>
          </w:tcPr>
          <w:p>
            <w:pPr>
              <w:ind w:left="30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420" w:type="dxa"/>
            <w:vAlign w:val="bottom"/>
            <w:tcBorders>
              <w:top w:val="single" w:sz="8" w:color="auto"/>
              <w:bottom w:val="single" w:sz="8" w:color="auto"/>
            </w:tcBorders>
            <w:shd w:val="clear" w:color="auto" w:fill="B7DEE8"/>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87,063</w:t>
            </w:r>
          </w:p>
        </w:tc>
        <w:tc>
          <w:tcPr>
            <w:tcW w:w="360" w:type="dxa"/>
            <w:vAlign w:val="bottom"/>
            <w:tcBorders>
              <w:bottom w:val="single" w:sz="8" w:color="B7DEE8"/>
            </w:tcBorders>
            <w:shd w:val="clear" w:color="auto" w:fill="B7DEE8"/>
          </w:tcPr>
          <w:p>
            <w:pPr>
              <w:spacing w:after="0"/>
              <w:rPr>
                <w:sz w:val="18"/>
                <w:szCs w:val="18"/>
                <w:color w:val="auto"/>
              </w:rPr>
            </w:pPr>
          </w:p>
        </w:tc>
        <w:tc>
          <w:tcPr>
            <w:tcW w:w="640" w:type="dxa"/>
            <w:vAlign w:val="bottom"/>
            <w:tcBorders>
              <w:top w:val="single" w:sz="8" w:color="auto"/>
              <w:bottom w:val="single" w:sz="8" w:color="auto"/>
            </w:tcBorders>
            <w:shd w:val="clear" w:color="auto" w:fill="B7DEE8"/>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106,560</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156"/>
        </w:trPr>
        <w:tc>
          <w:tcPr>
            <w:tcW w:w="786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420" w:type="dxa"/>
            <w:vAlign w:val="bottom"/>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294,023</w:t>
            </w:r>
          </w:p>
        </w:tc>
        <w:tc>
          <w:tcPr>
            <w:tcW w:w="1000" w:type="dxa"/>
            <w:vAlign w:val="bottom"/>
            <w:gridSpan w:val="2"/>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321,492</w:t>
            </w:r>
          </w:p>
        </w:tc>
        <w:tc>
          <w:tcPr>
            <w:tcW w:w="100" w:type="dxa"/>
            <w:vAlign w:val="bottom"/>
          </w:tcPr>
          <w:p>
            <w:pPr>
              <w:spacing w:after="0"/>
              <w:rPr>
                <w:sz w:val="13"/>
                <w:szCs w:val="13"/>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-162560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-145415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65" w:name="page66"/>
    <w:bookmarkEnd w:id="65"/>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consolidated balance sheets above. The assets in the table below may only be used to settle obligations of consolidated VIEs and are in excess of those obligations. All intercompany accounts have been eliminated.</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58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8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B6DEE8"/>
          </w:tcPr>
          <w:p>
            <w:pPr>
              <w:spacing w:after="0"/>
              <w:rPr>
                <w:sz w:val="21"/>
                <w:szCs w:val="21"/>
                <w:color w:val="auto"/>
              </w:rPr>
            </w:pPr>
          </w:p>
        </w:tc>
        <w:tc>
          <w:tcPr>
            <w:tcW w:w="1820" w:type="dxa"/>
            <w:vAlign w:val="bottom"/>
            <w:shd w:val="clear" w:color="auto" w:fill="B6DEE8"/>
          </w:tcPr>
          <w:p>
            <w:pPr>
              <w:spacing w:after="0"/>
              <w:rPr>
                <w:sz w:val="21"/>
                <w:szCs w:val="21"/>
                <w:color w:val="auto"/>
              </w:rPr>
            </w:pPr>
          </w:p>
        </w:tc>
        <w:tc>
          <w:tcPr>
            <w:tcW w:w="2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176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Pr>
          <w:p>
            <w:pPr>
              <w:spacing w:after="0"/>
              <w:rPr>
                <w:sz w:val="20"/>
                <w:szCs w:val="20"/>
                <w:color w:val="auto"/>
              </w:rPr>
            </w:pPr>
          </w:p>
        </w:tc>
      </w:tr>
      <w:tr>
        <w:trPr>
          <w:trHeight w:val="247"/>
        </w:trPr>
        <w:tc>
          <w:tcPr>
            <w:tcW w:w="582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B6DEE8"/>
          </w:tcPr>
          <w:p>
            <w:pPr>
              <w:spacing w:after="0"/>
              <w:rPr>
                <w:sz w:val="21"/>
                <w:szCs w:val="21"/>
                <w:color w:val="auto"/>
              </w:rPr>
            </w:pPr>
          </w:p>
        </w:tc>
        <w:tc>
          <w:tcPr>
            <w:tcW w:w="1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2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Member advances, net of allowance for credit losses</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71,545</w:t>
            </w:r>
          </w:p>
        </w:tc>
        <w:tc>
          <w:tcPr>
            <w:tcW w:w="100" w:type="dxa"/>
            <w:vAlign w:val="bottom"/>
          </w:tcPr>
          <w:p>
            <w:pPr>
              <w:spacing w:after="0"/>
              <w:rPr>
                <w:sz w:val="20"/>
                <w:szCs w:val="20"/>
                <w:color w:val="auto"/>
              </w:rPr>
            </w:pPr>
          </w:p>
        </w:tc>
      </w:tr>
      <w:tr>
        <w:trPr>
          <w:trHeight w:val="247"/>
        </w:trPr>
        <w:tc>
          <w:tcPr>
            <w:tcW w:w="582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180" w:type="dxa"/>
            <w:vAlign w:val="bottom"/>
            <w:shd w:val="clear" w:color="auto" w:fill="B6DEE8"/>
          </w:tcPr>
          <w:p>
            <w:pPr>
              <w:spacing w:after="0"/>
              <w:rPr>
                <w:sz w:val="21"/>
                <w:szCs w:val="21"/>
                <w:color w:val="auto"/>
              </w:rPr>
            </w:pPr>
          </w:p>
        </w:tc>
        <w:tc>
          <w:tcPr>
            <w:tcW w:w="1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B6DEE8"/>
          </w:tcPr>
          <w:p>
            <w:pPr>
              <w:spacing w:after="0"/>
              <w:rPr>
                <w:sz w:val="21"/>
                <w:szCs w:val="21"/>
                <w:color w:val="auto"/>
              </w:rPr>
            </w:pPr>
          </w:p>
        </w:tc>
      </w:tr>
      <w:tr>
        <w:trPr>
          <w:trHeight w:val="243"/>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r>
      <w:tr>
        <w:trPr>
          <w:trHeight w:val="277"/>
        </w:trPr>
        <w:tc>
          <w:tcPr>
            <w:tcW w:w="5820" w:type="dxa"/>
            <w:vAlign w:val="bottom"/>
            <w:shd w:val="clear" w:color="auto" w:fill="B6DEE8"/>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155,217</w:t>
            </w:r>
          </w:p>
        </w:tc>
        <w:tc>
          <w:tcPr>
            <w:tcW w:w="4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83,712</w:t>
            </w:r>
          </w:p>
        </w:tc>
        <w:tc>
          <w:tcPr>
            <w:tcW w:w="100" w:type="dxa"/>
            <w:vAlign w:val="bottom"/>
            <w:shd w:val="clear" w:color="auto" w:fill="B6DEE8"/>
          </w:tcPr>
          <w:p>
            <w:pPr>
              <w:spacing w:after="0"/>
              <w:rPr>
                <w:sz w:val="24"/>
                <w:szCs w:val="24"/>
                <w:color w:val="auto"/>
              </w:rPr>
            </w:pPr>
          </w:p>
        </w:tc>
      </w:tr>
      <w:tr>
        <w:trPr>
          <w:trHeight w:val="221"/>
        </w:trPr>
        <w:tc>
          <w:tcPr>
            <w:tcW w:w="582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60" w:type="dxa"/>
            <w:vAlign w:val="bottom"/>
            <w:tcBorders>
              <w:top w:val="single" w:sz="8" w:color="B6DEE8"/>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Borders>
              <w:top w:val="single" w:sz="8" w:color="B6DEE8"/>
            </w:tcBorders>
          </w:tcPr>
          <w:p>
            <w:pPr>
              <w:spacing w:after="0"/>
              <w:rPr>
                <w:sz w:val="19"/>
                <w:szCs w:val="19"/>
                <w:color w:val="auto"/>
              </w:rPr>
            </w:pPr>
          </w:p>
        </w:tc>
      </w:tr>
      <w:tr>
        <w:trPr>
          <w:trHeight w:val="245"/>
        </w:trPr>
        <w:tc>
          <w:tcPr>
            <w:tcW w:w="582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B6DEE8"/>
          </w:tcPr>
          <w:p>
            <w:pPr>
              <w:spacing w:after="0"/>
              <w:rPr>
                <w:sz w:val="21"/>
                <w:szCs w:val="21"/>
                <w:color w:val="auto"/>
              </w:rPr>
            </w:pPr>
          </w:p>
        </w:tc>
        <w:tc>
          <w:tcPr>
            <w:tcW w:w="1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1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B6DEE8"/>
          </w:tcPr>
          <w:p>
            <w:pPr>
              <w:spacing w:after="0"/>
              <w:rPr>
                <w:sz w:val="21"/>
                <w:szCs w:val="21"/>
                <w:color w:val="auto"/>
              </w:rPr>
            </w:pPr>
          </w:p>
        </w:tc>
      </w:tr>
      <w:tr>
        <w:trPr>
          <w:trHeight w:val="243"/>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facility</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B6DEE8"/>
            </w:tcBorders>
            <w:shd w:val="clear" w:color="auto" w:fill="B6DEE8"/>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75,661</w:t>
            </w:r>
          </w:p>
        </w:tc>
        <w:tc>
          <w:tcPr>
            <w:tcW w:w="260" w:type="dxa"/>
            <w:vAlign w:val="bottom"/>
            <w:tcBorders>
              <w:bottom w:val="single" w:sz="8" w:color="B6DEE8"/>
            </w:tcBorders>
            <w:shd w:val="clear" w:color="auto" w:fill="B6DEE8"/>
          </w:tcPr>
          <w:p>
            <w:pPr>
              <w:spacing w:after="0"/>
              <w:rPr>
                <w:sz w:val="24"/>
                <w:szCs w:val="24"/>
                <w:color w:val="auto"/>
              </w:rPr>
            </w:pPr>
          </w:p>
        </w:tc>
        <w:tc>
          <w:tcPr>
            <w:tcW w:w="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75,531</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-676910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-659130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-676910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3" w:right="759" w:bottom="1440" w:gutter="0" w:footer="0" w:header="0"/>
        </w:sectPr>
      </w:pPr>
    </w:p>
    <w:bookmarkStart w:id="66" w:name="page67"/>
    <w:bookmarkEnd w:id="6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50"/>
        </w:trPr>
        <w:tc>
          <w:tcPr>
            <w:tcW w:w="6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188,860</w:t>
            </w:r>
          </w:p>
        </w:tc>
        <w:tc>
          <w:tcPr>
            <w:tcW w:w="100" w:type="dxa"/>
            <w:vAlign w:val="bottom"/>
          </w:tcPr>
          <w:p>
            <w:pPr>
              <w:spacing w:after="0"/>
              <w:rPr>
                <w:sz w:val="20"/>
                <w:szCs w:val="20"/>
                <w:color w:val="auto"/>
              </w:rPr>
            </w:pPr>
          </w:p>
        </w:tc>
      </w:tr>
      <w:tr>
        <w:trPr>
          <w:trHeight w:val="247"/>
        </w:trPr>
        <w:tc>
          <w:tcPr>
            <w:tcW w:w="656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60" w:type="dxa"/>
            <w:vAlign w:val="bottom"/>
            <w:tcBorders>
              <w:bottom w:val="single" w:sz="8" w:color="auto"/>
            </w:tcBorders>
            <w:shd w:val="clear" w:color="auto" w:fill="B7DEE8"/>
          </w:tcPr>
          <w:p>
            <w:pPr>
              <w:spacing w:after="0"/>
              <w:rPr>
                <w:sz w:val="21"/>
                <w:szCs w:val="21"/>
                <w:color w:val="auto"/>
              </w:rPr>
            </w:pPr>
          </w:p>
        </w:tc>
        <w:tc>
          <w:tcPr>
            <w:tcW w:w="14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26,852</w:t>
            </w:r>
          </w:p>
        </w:tc>
        <w:tc>
          <w:tcPr>
            <w:tcW w:w="100" w:type="dxa"/>
            <w:vAlign w:val="bottom"/>
            <w:tcBorders>
              <w:bottom w:val="single" w:sz="8" w:color="B7DEE8"/>
            </w:tcBorders>
            <w:shd w:val="clear" w:color="auto" w:fill="B7DEE8"/>
          </w:tcPr>
          <w:p>
            <w:pPr>
              <w:spacing w:after="0"/>
              <w:rPr>
                <w:sz w:val="21"/>
                <w:szCs w:val="21"/>
                <w:color w:val="auto"/>
              </w:rPr>
            </w:pPr>
          </w:p>
        </w:tc>
        <w:tc>
          <w:tcPr>
            <w:tcW w:w="140" w:type="dxa"/>
            <w:vAlign w:val="bottom"/>
            <w:tcBorders>
              <w:bottom w:val="single" w:sz="8" w:color="auto"/>
            </w:tcBorders>
            <w:shd w:val="clear" w:color="auto" w:fill="B7DEE8"/>
          </w:tcPr>
          <w:p>
            <w:pPr>
              <w:spacing w:after="0"/>
              <w:rPr>
                <w:sz w:val="21"/>
                <w:szCs w:val="21"/>
                <w:color w:val="auto"/>
              </w:rPr>
            </w:pPr>
          </w:p>
        </w:tc>
        <w:tc>
          <w:tcPr>
            <w:tcW w:w="340" w:type="dxa"/>
            <w:vAlign w:val="bottom"/>
            <w:tcBorders>
              <w:bottom w:val="single" w:sz="8" w:color="auto"/>
            </w:tcBorders>
            <w:shd w:val="clear" w:color="auto" w:fill="B7DEE8"/>
          </w:tcPr>
          <w:p>
            <w:pPr>
              <w:spacing w:after="0"/>
              <w:rPr>
                <w:sz w:val="21"/>
                <w:szCs w:val="21"/>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tcBorders>
              <w:bottom w:val="single" w:sz="8" w:color="B7DEE8"/>
            </w:tcBorders>
            <w:shd w:val="clear" w:color="auto" w:fill="B7DEE8"/>
          </w:tcPr>
          <w:p>
            <w:pPr>
              <w:spacing w:after="0"/>
              <w:rPr>
                <w:sz w:val="21"/>
                <w:szCs w:val="21"/>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204,838</w:t>
            </w:r>
          </w:p>
        </w:tc>
        <w:tc>
          <w:tcPr>
            <w:tcW w:w="100" w:type="dxa"/>
            <w:vAlign w:val="bottom"/>
          </w:tcPr>
          <w:p>
            <w:pPr>
              <w:spacing w:after="0"/>
              <w:rPr>
                <w:sz w:val="20"/>
                <w:szCs w:val="20"/>
                <w:color w:val="auto"/>
              </w:rPr>
            </w:pPr>
          </w:p>
        </w:tc>
      </w:tr>
      <w:tr>
        <w:trPr>
          <w:trHeight w:val="237"/>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B7DEE8"/>
          </w:tcPr>
          <w:p>
            <w:pPr>
              <w:spacing w:after="0"/>
              <w:rPr>
                <w:sz w:val="20"/>
                <w:szCs w:val="20"/>
                <w:color w:val="auto"/>
              </w:rPr>
            </w:pPr>
          </w:p>
        </w:tc>
        <w:tc>
          <w:tcPr>
            <w:tcW w:w="146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340" w:type="dxa"/>
            <w:vAlign w:val="bottom"/>
            <w:shd w:val="clear" w:color="auto" w:fill="B7DEE8"/>
          </w:tcPr>
          <w:p>
            <w:pPr>
              <w:spacing w:after="0"/>
              <w:rPr>
                <w:sz w:val="20"/>
                <w:szCs w:val="20"/>
                <w:color w:val="auto"/>
              </w:rPr>
            </w:pPr>
          </w:p>
        </w:tc>
        <w:tc>
          <w:tcPr>
            <w:tcW w:w="114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103,432</w:t>
            </w:r>
          </w:p>
        </w:tc>
        <w:tc>
          <w:tcPr>
            <w:tcW w:w="100" w:type="dxa"/>
            <w:vAlign w:val="bottom"/>
            <w:shd w:val="clear" w:color="auto" w:fill="B7DEE8"/>
          </w:tcPr>
          <w:p>
            <w:pPr>
              <w:spacing w:after="0"/>
              <w:rPr>
                <w:sz w:val="21"/>
                <w:szCs w:val="21"/>
                <w:color w:val="auto"/>
              </w:rPr>
            </w:pPr>
          </w:p>
        </w:tc>
      </w:tr>
      <w:tr>
        <w:trPr>
          <w:trHeight w:val="243"/>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70,679</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68,551</w:t>
            </w:r>
          </w:p>
        </w:tc>
        <w:tc>
          <w:tcPr>
            <w:tcW w:w="100" w:type="dxa"/>
            <w:vAlign w:val="bottom"/>
          </w:tcPr>
          <w:p>
            <w:pPr>
              <w:spacing w:after="0"/>
              <w:rPr>
                <w:sz w:val="21"/>
                <w:szCs w:val="21"/>
                <w:color w:val="auto"/>
              </w:rPr>
            </w:pPr>
          </w:p>
        </w:tc>
      </w:tr>
      <w:tr>
        <w:trPr>
          <w:trHeight w:val="236"/>
        </w:trPr>
        <w:tc>
          <w:tcPr>
            <w:tcW w:w="65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B7DEE8"/>
          </w:tcPr>
          <w:p>
            <w:pPr>
              <w:spacing w:after="0"/>
              <w:rPr>
                <w:sz w:val="20"/>
                <w:szCs w:val="20"/>
                <w:color w:val="auto"/>
              </w:rPr>
            </w:pPr>
          </w:p>
        </w:tc>
        <w:tc>
          <w:tcPr>
            <w:tcW w:w="14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301,293</w:t>
            </w:r>
          </w:p>
        </w:tc>
        <w:tc>
          <w:tcPr>
            <w:tcW w:w="100" w:type="dxa"/>
            <w:vAlign w:val="bottom"/>
            <w:tcBorders>
              <w:bottom w:val="single" w:sz="8" w:color="B7DEE8"/>
            </w:tcBorders>
            <w:shd w:val="clear" w:color="auto" w:fill="B7DEE8"/>
          </w:tcPr>
          <w:p>
            <w:pPr>
              <w:spacing w:after="0"/>
              <w:rPr>
                <w:sz w:val="20"/>
                <w:szCs w:val="20"/>
                <w:color w:val="auto"/>
              </w:rPr>
            </w:pPr>
          </w:p>
        </w:tc>
        <w:tc>
          <w:tcPr>
            <w:tcW w:w="140" w:type="dxa"/>
            <w:vAlign w:val="bottom"/>
            <w:tcBorders>
              <w:bottom w:val="single" w:sz="8" w:color="auto"/>
            </w:tcBorders>
            <w:shd w:val="clear" w:color="auto" w:fill="B7DEE8"/>
          </w:tcPr>
          <w:p>
            <w:pPr>
              <w:spacing w:after="0"/>
              <w:rPr>
                <w:sz w:val="20"/>
                <w:szCs w:val="20"/>
                <w:color w:val="auto"/>
              </w:rPr>
            </w:pPr>
          </w:p>
        </w:tc>
        <w:tc>
          <w:tcPr>
            <w:tcW w:w="340" w:type="dxa"/>
            <w:vAlign w:val="bottom"/>
            <w:tcBorders>
              <w:bottom w:val="single" w:sz="8" w:color="auto"/>
            </w:tcBorders>
            <w:shd w:val="clear" w:color="auto" w:fill="B7DEE8"/>
          </w:tcPr>
          <w:p>
            <w:pPr>
              <w:spacing w:after="0"/>
              <w:rPr>
                <w:sz w:val="20"/>
                <w:szCs w:val="20"/>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339,233</w:t>
            </w:r>
          </w:p>
        </w:tc>
        <w:tc>
          <w:tcPr>
            <w:tcW w:w="100" w:type="dxa"/>
            <w:vAlign w:val="bottom"/>
            <w:tcBorders>
              <w:bottom w:val="single" w:sz="8" w:color="B7DEE8"/>
            </w:tcBorders>
            <w:shd w:val="clear" w:color="auto" w:fill="B7DEE8"/>
          </w:tcPr>
          <w:p>
            <w:pPr>
              <w:spacing w:after="0"/>
              <w:rPr>
                <w:sz w:val="20"/>
                <w:szCs w:val="20"/>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B7DEE8"/>
          </w:tcPr>
          <w:p>
            <w:pPr>
              <w:spacing w:after="0"/>
              <w:rPr>
                <w:sz w:val="21"/>
                <w:szCs w:val="21"/>
                <w:color w:val="auto"/>
              </w:rPr>
            </w:pPr>
          </w:p>
        </w:tc>
        <w:tc>
          <w:tcPr>
            <w:tcW w:w="15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(5,295 )</w:t>
            </w: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2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(2,953 )</w:t>
            </w: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Legal settlement and litigation expenses</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strategic financing and transactional expenses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2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(4,290 )</w:t>
            </w: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2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(9,629 )</w:t>
            </w:r>
          </w:p>
        </w:tc>
      </w:tr>
      <w:tr>
        <w:trPr>
          <w:trHeight w:val="247"/>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Changes in fair value of derivative asset on loans to stockholders</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2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(14,192 )</w:t>
            </w:r>
          </w:p>
        </w:tc>
      </w:tr>
      <w:tr>
        <w:trPr>
          <w:trHeight w:val="20"/>
        </w:trPr>
        <w:tc>
          <w:tcPr>
            <w:tcW w:w="6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260" w:type="dxa"/>
            <w:vAlign w:val="bottom"/>
            <w:shd w:val="clear" w:color="auto" w:fill="B7DEE8"/>
          </w:tcPr>
          <w:p>
            <w:pPr>
              <w:spacing w:after="0"/>
              <w:rPr>
                <w:sz w:val="20"/>
                <w:szCs w:val="20"/>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6,197</w:t>
            </w:r>
          </w:p>
        </w:tc>
        <w:tc>
          <w:tcPr>
            <w:tcW w:w="10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340" w:type="dxa"/>
            <w:vAlign w:val="bottom"/>
            <w:shd w:val="clear" w:color="auto" w:fill="B7DEE8"/>
          </w:tcPr>
          <w:p>
            <w:pPr>
              <w:spacing w:after="0"/>
              <w:rPr>
                <w:sz w:val="20"/>
                <w:szCs w:val="20"/>
                <w:color w:val="auto"/>
              </w:rPr>
            </w:pPr>
          </w:p>
        </w:tc>
        <w:tc>
          <w:tcPr>
            <w:tcW w:w="12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(5,422 )</w:t>
            </w:r>
          </w:p>
        </w:tc>
      </w:tr>
      <w:tr>
        <w:trPr>
          <w:trHeight w:val="20"/>
        </w:trPr>
        <w:tc>
          <w:tcPr>
            <w:tcW w:w="6560" w:type="dxa"/>
            <w:vAlign w:val="bottom"/>
            <w:shd w:val="clear" w:color="auto" w:fill="B7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provision for (benefit from) income taxes</w:t>
            </w:r>
          </w:p>
        </w:tc>
        <w:tc>
          <w:tcPr>
            <w:tcW w:w="26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(48,397 )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(128,973 )</w:t>
            </w:r>
          </w:p>
        </w:tc>
      </w:tr>
      <w:tr>
        <w:trPr>
          <w:trHeight w:val="245"/>
        </w:trPr>
        <w:tc>
          <w:tcPr>
            <w:tcW w:w="65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2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(67 )</w:t>
            </w:r>
          </w:p>
        </w:tc>
      </w:tr>
      <w:tr>
        <w:trPr>
          <w:trHeight w:val="20"/>
        </w:trPr>
        <w:tc>
          <w:tcPr>
            <w:tcW w:w="6560" w:type="dxa"/>
            <w:vAlign w:val="bottom"/>
            <w:shd w:val="clear" w:color="auto" w:fill="B7DE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r>
      <w:tr>
        <w:trPr>
          <w:trHeight w:val="236"/>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(48,517 )</w:t>
            </w: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(128,906 )</w:t>
            </w:r>
          </w:p>
        </w:tc>
      </w:tr>
      <w:tr>
        <w:trPr>
          <w:trHeight w:val="20"/>
        </w:trPr>
        <w:tc>
          <w:tcPr>
            <w:tcW w:w="6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560" w:type="dxa"/>
            <w:vAlign w:val="bottom"/>
            <w:shd w:val="clear" w:color="auto" w:fill="B7DEE8"/>
          </w:tcPr>
          <w:p>
            <w:pPr>
              <w:spacing w:after="0"/>
              <w:rPr>
                <w:sz w:val="19"/>
                <w:szCs w:val="19"/>
                <w:color w:val="auto"/>
              </w:rPr>
            </w:pPr>
          </w:p>
        </w:tc>
        <w:tc>
          <w:tcPr>
            <w:tcW w:w="260" w:type="dxa"/>
            <w:vAlign w:val="bottom"/>
            <w:shd w:val="clear" w:color="auto" w:fill="B7DEE8"/>
          </w:tcPr>
          <w:p>
            <w:pPr>
              <w:spacing w:after="0"/>
              <w:rPr>
                <w:sz w:val="19"/>
                <w:szCs w:val="19"/>
                <w:color w:val="auto"/>
              </w:rPr>
            </w:pPr>
          </w:p>
        </w:tc>
        <w:tc>
          <w:tcPr>
            <w:tcW w:w="1460" w:type="dxa"/>
            <w:vAlign w:val="bottom"/>
            <w:shd w:val="clear" w:color="auto" w:fill="B7DEE8"/>
          </w:tcPr>
          <w:p>
            <w:pPr>
              <w:spacing w:after="0"/>
              <w:rPr>
                <w:sz w:val="19"/>
                <w:szCs w:val="19"/>
                <w:color w:val="auto"/>
              </w:rPr>
            </w:pPr>
          </w:p>
        </w:tc>
        <w:tc>
          <w:tcPr>
            <w:tcW w:w="100" w:type="dxa"/>
            <w:vAlign w:val="bottom"/>
            <w:shd w:val="clear" w:color="auto" w:fill="B7DEE8"/>
          </w:tcPr>
          <w:p>
            <w:pPr>
              <w:spacing w:after="0"/>
              <w:rPr>
                <w:sz w:val="19"/>
                <w:szCs w:val="19"/>
                <w:color w:val="auto"/>
              </w:rPr>
            </w:pPr>
          </w:p>
        </w:tc>
        <w:tc>
          <w:tcPr>
            <w:tcW w:w="140" w:type="dxa"/>
            <w:vAlign w:val="bottom"/>
            <w:shd w:val="clear" w:color="auto" w:fill="B7DEE8"/>
          </w:tcPr>
          <w:p>
            <w:pPr>
              <w:spacing w:after="0"/>
              <w:rPr>
                <w:sz w:val="19"/>
                <w:szCs w:val="19"/>
                <w:color w:val="auto"/>
              </w:rPr>
            </w:pPr>
          </w:p>
        </w:tc>
        <w:tc>
          <w:tcPr>
            <w:tcW w:w="340" w:type="dxa"/>
            <w:vAlign w:val="bottom"/>
            <w:shd w:val="clear" w:color="auto" w:fill="B7DEE8"/>
          </w:tcPr>
          <w:p>
            <w:pPr>
              <w:spacing w:after="0"/>
              <w:rPr>
                <w:sz w:val="19"/>
                <w:szCs w:val="19"/>
                <w:color w:val="auto"/>
              </w:rPr>
            </w:pPr>
          </w:p>
        </w:tc>
        <w:tc>
          <w:tcPr>
            <w:tcW w:w="1140" w:type="dxa"/>
            <w:vAlign w:val="bottom"/>
            <w:shd w:val="clear" w:color="auto" w:fill="B7DEE8"/>
          </w:tcPr>
          <w:p>
            <w:pPr>
              <w:spacing w:after="0"/>
              <w:rPr>
                <w:sz w:val="19"/>
                <w:szCs w:val="19"/>
                <w:color w:val="auto"/>
              </w:rPr>
            </w:pPr>
          </w:p>
        </w:tc>
        <w:tc>
          <w:tcPr>
            <w:tcW w:w="100" w:type="dxa"/>
            <w:vAlign w:val="bottom"/>
            <w:shd w:val="clear" w:color="auto" w:fill="B7DEE8"/>
          </w:tcPr>
          <w:p>
            <w:pPr>
              <w:spacing w:after="0"/>
              <w:rPr>
                <w:sz w:val="19"/>
                <w:szCs w:val="19"/>
                <w:color w:val="auto"/>
              </w:rPr>
            </w:pPr>
          </w:p>
        </w:tc>
      </w:tr>
      <w:tr>
        <w:trPr>
          <w:trHeight w:val="241"/>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(4.07 )</w:t>
            </w: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(11.12 )</w:t>
            </w:r>
          </w:p>
        </w:tc>
      </w:tr>
      <w:tr>
        <w:trPr>
          <w:trHeight w:val="23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(4.07 )</w:t>
            </w:r>
          </w:p>
        </w:tc>
        <w:tc>
          <w:tcPr>
            <w:tcW w:w="14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(11.12 )</w:t>
            </w:r>
          </w:p>
        </w:tc>
      </w:tr>
      <w:tr>
        <w:trPr>
          <w:trHeight w:val="247"/>
        </w:trPr>
        <w:tc>
          <w:tcPr>
            <w:tcW w:w="65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used to compute net loss per share</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11,934,699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11,587,901</w:t>
            </w:r>
          </w:p>
        </w:tc>
        <w:tc>
          <w:tcPr>
            <w:tcW w:w="100" w:type="dxa"/>
            <w:vAlign w:val="bottom"/>
          </w:tcPr>
          <w:p>
            <w:pPr>
              <w:spacing w:after="0"/>
              <w:rPr>
                <w:sz w:val="20"/>
                <w:szCs w:val="20"/>
                <w:color w:val="auto"/>
              </w:rPr>
            </w:pPr>
          </w:p>
        </w:tc>
      </w:tr>
      <w:tr>
        <w:trPr>
          <w:trHeight w:val="247"/>
        </w:trPr>
        <w:tc>
          <w:tcPr>
            <w:tcW w:w="65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B7DEE8"/>
          </w:tcPr>
          <w:p>
            <w:pPr>
              <w:spacing w:after="0"/>
              <w:rPr>
                <w:sz w:val="21"/>
                <w:szCs w:val="21"/>
                <w:color w:val="auto"/>
              </w:rPr>
            </w:pPr>
          </w:p>
        </w:tc>
        <w:tc>
          <w:tcPr>
            <w:tcW w:w="14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11,934,699</w:t>
            </w:r>
          </w:p>
        </w:tc>
        <w:tc>
          <w:tcPr>
            <w:tcW w:w="10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340" w:type="dxa"/>
            <w:vAlign w:val="bottom"/>
            <w:shd w:val="clear" w:color="auto" w:fill="B7DEE8"/>
          </w:tcPr>
          <w:p>
            <w:pPr>
              <w:spacing w:after="0"/>
              <w:rPr>
                <w:sz w:val="21"/>
                <w:szCs w:val="21"/>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11,587,901</w:t>
            </w:r>
          </w:p>
        </w:tc>
        <w:tc>
          <w:tcPr>
            <w:tcW w:w="100" w:type="dxa"/>
            <w:vAlign w:val="bottom"/>
            <w:shd w:val="clear" w:color="auto" w:fill="B7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-4405630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-4405630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-3145790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-3145790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-1585595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-1585595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-1268095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-1268095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13" w:right="89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41"/>
        </w:trPr>
        <w:tc>
          <w:tcPr>
            <w:tcW w:w="6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6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(48,517 )</w:t>
            </w:r>
          </w:p>
        </w:tc>
        <w:tc>
          <w:tcPr>
            <w:tcW w:w="520" w:type="dxa"/>
            <w:vAlign w:val="bottom"/>
            <w:shd w:val="clear" w:color="auto" w:fill="B6DEE8"/>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(128,906 )</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2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80" w:type="dxa"/>
            <w:vAlign w:val="bottom"/>
            <w:shd w:val="clear" w:color="auto" w:fill="B6DEE8"/>
          </w:tcPr>
          <w:p>
            <w:pPr>
              <w:spacing w:after="0"/>
              <w:rPr>
                <w:sz w:val="21"/>
                <w:szCs w:val="21"/>
                <w:color w:val="auto"/>
              </w:rPr>
            </w:pPr>
          </w:p>
        </w:tc>
        <w:tc>
          <w:tcPr>
            <w:tcW w:w="1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40" w:type="dxa"/>
            <w:vAlign w:val="bottom"/>
            <w:shd w:val="clear" w:color="auto" w:fill="B6DEE8"/>
          </w:tcPr>
          <w:p>
            <w:pPr>
              <w:spacing w:after="0"/>
              <w:rPr>
                <w:sz w:val="21"/>
                <w:szCs w:val="21"/>
                <w:color w:val="auto"/>
              </w:rPr>
            </w:pPr>
          </w:p>
        </w:tc>
        <w:tc>
          <w:tcPr>
            <w:tcW w:w="520" w:type="dxa"/>
            <w:vAlign w:val="bottom"/>
            <w:shd w:val="clear" w:color="auto" w:fill="B6DEE8"/>
          </w:tcPr>
          <w:p>
            <w:pPr>
              <w:spacing w:after="0"/>
              <w:rPr>
                <w:sz w:val="21"/>
                <w:szCs w:val="21"/>
                <w:color w:val="auto"/>
              </w:rPr>
            </w:pPr>
          </w:p>
        </w:tc>
        <w:tc>
          <w:tcPr>
            <w:tcW w:w="11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(1,675 )</w:t>
            </w:r>
          </w:p>
        </w:tc>
      </w:tr>
      <w:tr>
        <w:trPr>
          <w:trHeight w:val="20"/>
        </w:trPr>
        <w:tc>
          <w:tcPr>
            <w:tcW w:w="6120" w:type="dxa"/>
            <w:vAlign w:val="bottom"/>
            <w:shd w:val="clear" w:color="auto" w:fill="B6DE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40" w:type="dxa"/>
            <w:vAlign w:val="bottom"/>
            <w:shd w:val="clear" w:color="auto" w:fill="B6DEE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(46,193 )</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(130,581 )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-159385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420" w:right="89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2022</w:t>
      </w:r>
    </w:p>
    <w:p>
      <w:pPr>
        <w:spacing w:after="0" w:line="9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Issuance of Class A common stock pursuant to the PIPE financing</w:t>
      </w:r>
    </w:p>
    <w:p>
      <w:pPr>
        <w:spacing w:after="0" w:line="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Issuance of Class A common stock pursuant to the Merger Agreement</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Exercise of Series B-1 preferred stock warrants, net of settlement</w:t>
      </w:r>
    </w:p>
    <w:p>
      <w:pPr>
        <w:spacing w:after="0" w:line="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Conversion of 2019 convertible notes and accrued interest to Class A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Repurchase of Class A common stock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 of warrant for Class A common stock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 loans interest</w:t>
      </w:r>
    </w:p>
    <w:p>
      <w:pPr>
        <w:spacing w:after="0" w:line="15" w:lineRule="exact"/>
        <w:rPr>
          <w:sz w:val="20"/>
          <w:szCs w:val="20"/>
          <w:color w:val="auto"/>
        </w:rPr>
      </w:pPr>
    </w:p>
    <w:p>
      <w:pPr>
        <w:ind w:right="440"/>
        <w:spacing w:after="0" w:line="241" w:lineRule="auto"/>
        <w:rPr>
          <w:sz w:val="20"/>
          <w:szCs w:val="20"/>
          <w:color w:val="auto"/>
        </w:rPr>
      </w:pPr>
      <w:r>
        <w:rPr>
          <w:rFonts w:ascii="Times New Roman" w:cs="Times New Roman" w:eastAsia="Times New Roman" w:hAnsi="Times New Roman"/>
          <w:sz w:val="14"/>
          <w:szCs w:val="14"/>
          <w:color w:val="auto"/>
        </w:rPr>
        <w:t>Exercise of derivative asset and paydown of stockholder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Extinguishment of liability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p>
      <w:pPr>
        <w:spacing w:after="0" w:line="9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for fractional shares on reverse stock split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Loans to</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840" w:type="dxa"/>
            <w:vAlign w:val="bottom"/>
            <w:gridSpan w:val="3"/>
            <w:vMerge w:val="continue"/>
          </w:tcPr>
          <w:p>
            <w:pPr>
              <w:spacing w:after="0"/>
              <w:rPr>
                <w:sz w:val="12"/>
                <w:szCs w:val="12"/>
                <w:color w:val="auto"/>
              </w:rPr>
            </w:pPr>
          </w:p>
        </w:tc>
        <w:tc>
          <w:tcPr>
            <w:tcW w:w="92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3"/>
                <w:szCs w:val="13"/>
                <w:color w:val="auto"/>
              </w:rPr>
            </w:pPr>
          </w:p>
        </w:tc>
        <w:tc>
          <w:tcPr>
            <w:tcW w:w="64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ers</w:t>
            </w:r>
          </w:p>
        </w:tc>
        <w:tc>
          <w:tcPr>
            <w:tcW w:w="100" w:type="dxa"/>
            <w:vAlign w:val="bottom"/>
          </w:tcPr>
          <w:p>
            <w:pPr>
              <w:spacing w:after="0"/>
              <w:rPr>
                <w:sz w:val="13"/>
                <w:szCs w:val="13"/>
                <w:color w:val="auto"/>
              </w:rPr>
            </w:pPr>
          </w:p>
        </w:tc>
        <w:tc>
          <w:tcPr>
            <w:tcW w:w="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880" w:type="dxa"/>
            <w:vAlign w:val="bottom"/>
            <w:gridSpan w:val="3"/>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ive income</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ed deficit</w:t>
            </w:r>
          </w:p>
        </w:tc>
        <w:tc>
          <w:tcPr>
            <w:tcW w:w="160" w:type="dxa"/>
            <w:vAlign w:val="bottom"/>
          </w:tcPr>
          <w:p>
            <w:pPr>
              <w:spacing w:after="0"/>
              <w:rPr>
                <w:sz w:val="13"/>
                <w:szCs w:val="13"/>
                <w:color w:val="auto"/>
              </w:rPr>
            </w:pPr>
          </w:p>
        </w:tc>
        <w:tc>
          <w:tcPr>
            <w:tcW w:w="76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9,283,01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86,830</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(15,192 ) $</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(32,897 ) $</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(29,852 )</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(29,852 )</w:t>
            </w:r>
          </w:p>
        </w:tc>
        <w:tc>
          <w:tcPr>
            <w:tcW w:w="0" w:type="dxa"/>
            <w:vAlign w:val="bottom"/>
          </w:tcPr>
          <w:p>
            <w:pPr>
              <w:spacing w:after="0"/>
              <w:rPr>
                <w:sz w:val="1"/>
                <w:szCs w:val="1"/>
                <w:color w:val="auto"/>
              </w:rPr>
            </w:pPr>
          </w:p>
        </w:tc>
      </w:tr>
      <w:tr>
        <w:trPr>
          <w:trHeight w:val="32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(6,203 )</w:t>
            </w: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(1,588 )</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(1,583 )</w:t>
            </w: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(12 )</w:t>
            </w:r>
          </w:p>
        </w:tc>
        <w:tc>
          <w:tcPr>
            <w:tcW w:w="0" w:type="dxa"/>
            <w:vAlign w:val="bottom"/>
          </w:tcPr>
          <w:p>
            <w:pPr>
              <w:spacing w:after="0"/>
              <w:rPr>
                <w:sz w:val="1"/>
                <w:szCs w:val="1"/>
                <w:color w:val="auto"/>
              </w:rPr>
            </w:pPr>
          </w:p>
        </w:tc>
      </w:tr>
      <w:tr>
        <w:trPr>
          <w:trHeight w:val="243"/>
        </w:trPr>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(187,945 )</w:t>
            </w: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(44,885 )</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(29,681 )</w:t>
            </w:r>
          </w:p>
        </w:tc>
        <w:tc>
          <w:tcPr>
            <w:tcW w:w="0" w:type="dxa"/>
            <w:vAlign w:val="bottom"/>
          </w:tcPr>
          <w:p>
            <w:pPr>
              <w:spacing w:after="0"/>
              <w:rPr>
                <w:sz w:val="1"/>
                <w:szCs w:val="1"/>
                <w:color w:val="auto"/>
              </w:rPr>
            </w:pPr>
          </w:p>
        </w:tc>
      </w:tr>
      <w:tr>
        <w:trPr>
          <w:trHeight w:val="242"/>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(1,675 )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(1,675 )</w:t>
            </w:r>
          </w:p>
        </w:tc>
        <w:tc>
          <w:tcPr>
            <w:tcW w:w="0" w:type="dxa"/>
            <w:vAlign w:val="bottom"/>
          </w:tcPr>
          <w:p>
            <w:pPr>
              <w:spacing w:after="0"/>
              <w:rPr>
                <w:sz w:val="1"/>
                <w:szCs w:val="1"/>
                <w:color w:val="auto"/>
              </w:rPr>
            </w:pPr>
          </w:p>
        </w:tc>
      </w:tr>
      <w:tr>
        <w:trPr>
          <w:trHeight w:val="187"/>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(128,906 )</w:t>
            </w: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(128,906 )</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10,284,6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270,037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(1,675 )</w:t>
            </w:r>
          </w:p>
        </w:tc>
        <w:tc>
          <w:tcPr>
            <w:tcW w:w="80" w:type="dxa"/>
            <w:vAlign w:val="bottom"/>
          </w:tcPr>
          <w:p>
            <w:pPr>
              <w:spacing w:after="0"/>
              <w:rPr>
                <w:sz w:val="11"/>
                <w:szCs w:val="11"/>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(161,803 )</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106,560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57</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(12 )</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(12 )</w:t>
            </w: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26,674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(48,517 )</w:t>
            </w:r>
          </w:p>
        </w:tc>
        <w:tc>
          <w:tcPr>
            <w:tcW w:w="16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(48,517 )</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10,634,1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296,733</w:t>
            </w:r>
          </w:p>
        </w:tc>
        <w:tc>
          <w:tcPr>
            <w:tcW w:w="1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(210,320 ) $</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73</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-3325495</wp:posOffset>
            </wp:positionV>
            <wp:extent cx="7132320"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-2914015</wp:posOffset>
            </wp:positionV>
            <wp:extent cx="7132320"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-2502535</wp:posOffset>
            </wp:positionV>
            <wp:extent cx="7132320"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-2091055</wp:posOffset>
            </wp:positionV>
            <wp:extent cx="713232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-1868170</wp:posOffset>
            </wp:positionV>
            <wp:extent cx="7132320" cy="111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-1550670</wp:posOffset>
            </wp:positionV>
            <wp:extent cx="7132320" cy="1111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-1327785</wp:posOffset>
            </wp:positionV>
            <wp:extent cx="7132320" cy="1111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-1096645</wp:posOffset>
            </wp:positionV>
            <wp:extent cx="7132320"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-685165</wp:posOffset>
            </wp:positionV>
            <wp:extent cx="7132320" cy="111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-462280</wp:posOffset>
            </wp:positionV>
            <wp:extent cx="7132320"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-230505</wp:posOffset>
            </wp:positionV>
            <wp:extent cx="7132320" cy="2311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40"/>
            <w:col w:w="8160"/>
          </w:cols>
          <w:pgMar w:left="340" w:top="1413" w:right="379" w:bottom="1440" w:gutter="0" w:footer="0" w:header="0"/>
        </w:sect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13" w:right="37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15875</wp:posOffset>
            </wp:positionV>
            <wp:extent cx="1915795"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915795" cy="196850"/>
                    </a:xfrm>
                    <a:prstGeom prst="rect">
                      <a:avLst/>
                    </a:prstGeom>
                    <a:noFill/>
                  </pic:spPr>
                </pic:pic>
              </a:graphicData>
            </a:graphic>
          </wp:anchor>
        </w:drawing>
      </w:r>
    </w:p>
    <w:p>
      <w:pPr>
        <w:spacing w:after="0" w:line="30" w:lineRule="exact"/>
        <w:rPr>
          <w:sz w:val="20"/>
          <w:szCs w:val="20"/>
          <w:color w:val="auto"/>
        </w:rPr>
      </w:pPr>
    </w:p>
    <w:p>
      <w:pPr>
        <w:ind w:left="872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-125095</wp:posOffset>
            </wp:positionV>
            <wp:extent cx="696087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8240" w:val="left"/>
          <w:tab w:leader="none" w:pos="8960" w:val="left"/>
          <w:tab w:leader="none" w:pos="9860" w:val="left"/>
          <w:tab w:leader="none" w:pos="10460" w:val="left"/>
        </w:tabs>
        <w:rPr>
          <w:sz w:val="20"/>
          <w:szCs w:val="20"/>
          <w:color w:val="auto"/>
        </w:rPr>
      </w:pPr>
      <w:r>
        <w:rPr>
          <w:rFonts w:ascii="Times New Roman" w:cs="Times New Roman" w:eastAsia="Times New Roman" w:hAnsi="Times New Roman"/>
          <w:sz w:val="18"/>
          <w:szCs w:val="18"/>
          <w:color w:val="auto"/>
        </w:rPr>
        <w:t>Net 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(48,517 )</w:t>
        <w:tab/>
        <w:t>$</w:t>
      </w:r>
      <w:r>
        <w:rPr>
          <w:sz w:val="20"/>
          <w:szCs w:val="20"/>
          <w:color w:val="auto"/>
        </w:rPr>
        <w:tab/>
      </w:r>
      <w:r>
        <w:rPr>
          <w:rFonts w:ascii="Times New Roman" w:cs="Times New Roman" w:eastAsia="Times New Roman" w:hAnsi="Times New Roman"/>
          <w:sz w:val="17"/>
          <w:szCs w:val="17"/>
          <w:color w:val="auto"/>
        </w:rPr>
        <w:t>(128,906 )</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-125095</wp:posOffset>
            </wp:positionV>
            <wp:extent cx="696087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Pr>
          <w:p>
            <w:pPr>
              <w:spacing w:after="0"/>
              <w:rPr>
                <w:sz w:val="20"/>
                <w:szCs w:val="20"/>
                <w:color w:val="auto"/>
              </w:rPr>
            </w:pPr>
          </w:p>
        </w:tc>
      </w:tr>
      <w:tr>
        <w:trPr>
          <w:trHeight w:val="250"/>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320" w:type="dxa"/>
            <w:vAlign w:val="bottom"/>
            <w:shd w:val="clear" w:color="auto" w:fill="B7DEE8"/>
          </w:tcPr>
          <w:p>
            <w:pPr>
              <w:spacing w:after="0"/>
              <w:rPr>
                <w:sz w:val="21"/>
                <w:szCs w:val="21"/>
                <w:color w:val="auto"/>
              </w:rPr>
            </w:pPr>
          </w:p>
        </w:tc>
        <w:tc>
          <w:tcPr>
            <w:tcW w:w="12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100" w:type="dxa"/>
            <w:vAlign w:val="bottom"/>
            <w:shd w:val="clear" w:color="auto" w:fill="B7DEE8"/>
          </w:tcPr>
          <w:p>
            <w:pPr>
              <w:spacing w:after="0"/>
              <w:rPr>
                <w:sz w:val="21"/>
                <w:szCs w:val="21"/>
                <w:color w:val="auto"/>
              </w:rPr>
            </w:pP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 of derivative asset on loans to stockholders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4520" w:type="dxa"/>
            <w:vAlign w:val="bottom"/>
            <w:gridSpan w:val="3"/>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(22 )</w:t>
            </w: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(9,629 )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(260 )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(14,192 )</w:t>
            </w: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21"/>
                <w:szCs w:val="21"/>
                <w:color w:val="auto"/>
              </w:rPr>
            </w:pP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(4,290 )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10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Non-cash interest</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320" w:type="dxa"/>
            <w:vAlign w:val="bottom"/>
            <w:shd w:val="clear" w:color="auto" w:fill="B7DEE8"/>
          </w:tcPr>
          <w:p>
            <w:pPr>
              <w:spacing w:after="0"/>
              <w:rPr>
                <w:sz w:val="21"/>
                <w:szCs w:val="21"/>
                <w:color w:val="auto"/>
              </w:rPr>
            </w:pPr>
          </w:p>
        </w:tc>
        <w:tc>
          <w:tcPr>
            <w:tcW w:w="12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B7DEE8"/>
          </w:tcPr>
          <w:p>
            <w:pPr>
              <w:spacing w:after="0"/>
              <w:rPr>
                <w:sz w:val="21"/>
                <w:szCs w:val="21"/>
                <w:color w:val="auto"/>
              </w:rPr>
            </w:pP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Changes in fair value of marketable securities and investments</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B7DEE8"/>
          </w:tcPr>
          <w:p>
            <w:pPr>
              <w:spacing w:after="0"/>
              <w:rPr>
                <w:sz w:val="21"/>
                <w:szCs w:val="21"/>
                <w:color w:val="auto"/>
              </w:rPr>
            </w:pP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(578 )</w:t>
            </w:r>
          </w:p>
        </w:tc>
      </w:tr>
      <w:tr>
        <w:trPr>
          <w:trHeight w:val="241"/>
        </w:trPr>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Member advances, service based revenue</w:t>
            </w:r>
          </w:p>
        </w:tc>
        <w:tc>
          <w:tcPr>
            <w:tcW w:w="4520" w:type="dxa"/>
            <w:vAlign w:val="bottom"/>
            <w:gridSpan w:val="3"/>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(4,082 )</w:t>
            </w: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(6,842 )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320" w:type="dxa"/>
            <w:vAlign w:val="bottom"/>
            <w:shd w:val="clear" w:color="auto" w:fill="B7DEE8"/>
          </w:tcPr>
          <w:p>
            <w:pPr>
              <w:spacing w:after="0"/>
              <w:rPr>
                <w:sz w:val="21"/>
                <w:szCs w:val="21"/>
                <w:color w:val="auto"/>
              </w:rPr>
            </w:pP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(6,805 )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(5,935 )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320" w:type="dxa"/>
            <w:vAlign w:val="bottom"/>
            <w:shd w:val="clear" w:color="auto" w:fill="B7DEE8"/>
          </w:tcPr>
          <w:p>
            <w:pPr>
              <w:spacing w:after="0"/>
              <w:rPr>
                <w:sz w:val="21"/>
                <w:szCs w:val="21"/>
                <w:color w:val="auto"/>
              </w:rPr>
            </w:pP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(1,684 )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settlement accrual</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(6,120 )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10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20" w:type="dxa"/>
            <w:vAlign w:val="bottom"/>
            <w:gridSpan w:val="3"/>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(446 )</w:t>
            </w: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(263 )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900" w:type="dxa"/>
            <w:vAlign w:val="bottom"/>
            <w:shd w:val="clear" w:color="auto" w:fill="B7DEE8"/>
          </w:tcPr>
          <w:p>
            <w:pPr>
              <w:spacing w:after="0"/>
              <w:rPr>
                <w:sz w:val="21"/>
                <w:szCs w:val="21"/>
                <w:color w:val="auto"/>
              </w:rPr>
            </w:pPr>
          </w:p>
        </w:tc>
        <w:tc>
          <w:tcPr>
            <w:tcW w:w="162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(266 )</w:t>
            </w: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280" w:type="dxa"/>
            <w:vAlign w:val="bottom"/>
          </w:tcPr>
          <w:p>
            <w:pPr>
              <w:spacing w:after="0" w:line="20" w:lineRule="exact"/>
              <w:rPr>
                <w:sz w:val="1"/>
                <w:szCs w:val="1"/>
                <w:color w:val="auto"/>
              </w:rPr>
            </w:pPr>
          </w:p>
        </w:tc>
        <w:tc>
          <w:tcPr>
            <w:tcW w:w="5060" w:type="dxa"/>
            <w:vAlign w:val="bottom"/>
            <w:shd w:val="clear" w:color="auto" w:fill="B7DEE8"/>
          </w:tcPr>
          <w:p>
            <w:pPr>
              <w:spacing w:after="0" w:line="20" w:lineRule="exact"/>
              <w:rPr>
                <w:sz w:val="1"/>
                <w:szCs w:val="1"/>
                <w:color w:val="auto"/>
              </w:rPr>
            </w:pPr>
          </w:p>
        </w:tc>
        <w:tc>
          <w:tcPr>
            <w:tcW w:w="2900" w:type="dxa"/>
            <w:vAlign w:val="bottom"/>
            <w:shd w:val="clear" w:color="auto" w:fill="B7DEE8"/>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shd w:val="clear" w:color="auto" w:fill="B7DEE8"/>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r>
      <w:tr>
        <w:trPr>
          <w:trHeight w:val="238"/>
        </w:trPr>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29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33,754</w:t>
            </w:r>
          </w:p>
        </w:tc>
        <w:tc>
          <w:tcPr>
            <w:tcW w:w="3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(44,883 )</w:t>
            </w:r>
          </w:p>
        </w:tc>
      </w:tr>
      <w:tr>
        <w:trPr>
          <w:trHeight w:val="239"/>
        </w:trPr>
        <w:tc>
          <w:tcPr>
            <w:tcW w:w="280" w:type="dxa"/>
            <w:vAlign w:val="bottom"/>
          </w:tcPr>
          <w:p>
            <w:pPr>
              <w:spacing w:after="0"/>
              <w:rPr>
                <w:sz w:val="20"/>
                <w:szCs w:val="20"/>
                <w:color w:val="auto"/>
              </w:rPr>
            </w:pPr>
          </w:p>
        </w:tc>
        <w:tc>
          <w:tcPr>
            <w:tcW w:w="5060" w:type="dxa"/>
            <w:vAlign w:val="bottom"/>
            <w:shd w:val="clear" w:color="auto" w:fill="B7DEE8"/>
          </w:tcPr>
          <w:p>
            <w:pPr>
              <w:spacing w:after="0"/>
              <w:rPr>
                <w:sz w:val="20"/>
                <w:szCs w:val="20"/>
                <w:color w:val="auto"/>
              </w:rPr>
            </w:pPr>
          </w:p>
        </w:tc>
        <w:tc>
          <w:tcPr>
            <w:tcW w:w="2900" w:type="dxa"/>
            <w:vAlign w:val="bottom"/>
            <w:shd w:val="clear" w:color="auto" w:fill="B7DEE8"/>
          </w:tcPr>
          <w:p>
            <w:pPr>
              <w:spacing w:after="0"/>
              <w:rPr>
                <w:sz w:val="20"/>
                <w:szCs w:val="20"/>
                <w:color w:val="auto"/>
              </w:rPr>
            </w:pPr>
          </w:p>
        </w:tc>
        <w:tc>
          <w:tcPr>
            <w:tcW w:w="1300" w:type="dxa"/>
            <w:vAlign w:val="bottom"/>
            <w:tcBorders>
              <w:top w:val="single" w:sz="8" w:color="auto"/>
            </w:tcBorders>
            <w:shd w:val="clear" w:color="auto" w:fill="B7DEE8"/>
          </w:tcPr>
          <w:p>
            <w:pPr>
              <w:spacing w:after="0"/>
              <w:rPr>
                <w:sz w:val="20"/>
                <w:szCs w:val="20"/>
                <w:color w:val="auto"/>
              </w:rPr>
            </w:pPr>
          </w:p>
        </w:tc>
        <w:tc>
          <w:tcPr>
            <w:tcW w:w="320" w:type="dxa"/>
            <w:vAlign w:val="bottom"/>
            <w:shd w:val="clear" w:color="auto" w:fill="B7DEE8"/>
          </w:tcPr>
          <w:p>
            <w:pPr>
              <w:spacing w:after="0"/>
              <w:rPr>
                <w:sz w:val="20"/>
                <w:szCs w:val="20"/>
                <w:color w:val="auto"/>
              </w:rPr>
            </w:pPr>
          </w:p>
        </w:tc>
        <w:tc>
          <w:tcPr>
            <w:tcW w:w="1280" w:type="dxa"/>
            <w:vAlign w:val="bottom"/>
            <w:tcBorders>
              <w:top w:val="single" w:sz="8" w:color="auto"/>
            </w:tcBorders>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241"/>
        </w:trPr>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Payments for internally developed software costs</w:t>
            </w:r>
          </w:p>
        </w:tc>
        <w:tc>
          <w:tcPr>
            <w:tcW w:w="4520" w:type="dxa"/>
            <w:vAlign w:val="bottom"/>
            <w:gridSpan w:val="3"/>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(7,895 )</w:t>
            </w: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(8,584 )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(688 )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(728 )</w:t>
            </w: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Net disbursements and collections of Member advances</w:t>
            </w:r>
          </w:p>
        </w:tc>
        <w:tc>
          <w:tcPr>
            <w:tcW w:w="4520" w:type="dxa"/>
            <w:vAlign w:val="bottom"/>
            <w:gridSpan w:val="3"/>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(62,967 )</w:t>
            </w:r>
          </w:p>
        </w:tc>
        <w:tc>
          <w:tcPr>
            <w:tcW w:w="13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(114,323 )</w:t>
            </w: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(120,016 )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(202,091 )</w:t>
            </w:r>
          </w:p>
        </w:tc>
      </w:tr>
      <w:tr>
        <w:trPr>
          <w:trHeight w:val="247"/>
        </w:trPr>
        <w:tc>
          <w:tcPr>
            <w:tcW w:w="280" w:type="dxa"/>
            <w:vAlign w:val="bottom"/>
          </w:tcPr>
          <w:p>
            <w:pPr>
              <w:spacing w:after="0"/>
              <w:rPr>
                <w:sz w:val="21"/>
                <w:szCs w:val="21"/>
                <w:color w:val="auto"/>
              </w:rPr>
            </w:pPr>
          </w:p>
        </w:tc>
        <w:tc>
          <w:tcPr>
            <w:tcW w:w="50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Sale and maturity of investments</w:t>
            </w:r>
          </w:p>
        </w:tc>
        <w:tc>
          <w:tcPr>
            <w:tcW w:w="42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177,863</w:t>
            </w:r>
          </w:p>
        </w:tc>
        <w:tc>
          <w:tcPr>
            <w:tcW w:w="320" w:type="dxa"/>
            <w:vAlign w:val="bottom"/>
            <w:shd w:val="clear" w:color="auto" w:fill="B7DEE8"/>
          </w:tcPr>
          <w:p>
            <w:pPr>
              <w:spacing w:after="0"/>
              <w:rPr>
                <w:sz w:val="21"/>
                <w:szCs w:val="21"/>
                <w:color w:val="auto"/>
              </w:rPr>
            </w:pPr>
          </w:p>
        </w:tc>
        <w:tc>
          <w:tcPr>
            <w:tcW w:w="12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32,228</w:t>
            </w:r>
          </w:p>
        </w:tc>
        <w:tc>
          <w:tcPr>
            <w:tcW w:w="100" w:type="dxa"/>
            <w:vAlign w:val="bottom"/>
            <w:shd w:val="clear" w:color="auto" w:fill="B7DEE8"/>
          </w:tcPr>
          <w:p>
            <w:pPr>
              <w:spacing w:after="0"/>
              <w:rPr>
                <w:sz w:val="21"/>
                <w:szCs w:val="21"/>
                <w:color w:val="auto"/>
              </w:rPr>
            </w:pPr>
          </w:p>
        </w:tc>
      </w:tr>
      <w:tr>
        <w:trPr>
          <w:trHeight w:val="239"/>
        </w:trPr>
        <w:tc>
          <w:tcPr>
            <w:tcW w:w="28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(34,399 )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(317,675 )</w:t>
            </w:r>
          </w:p>
        </w:tc>
      </w:tr>
      <w:tr>
        <w:trPr>
          <w:trHeight w:val="243"/>
        </w:trPr>
        <w:tc>
          <w:tcPr>
            <w:tcW w:w="280" w:type="dxa"/>
            <w:vAlign w:val="bottom"/>
          </w:tcPr>
          <w:p>
            <w:pPr>
              <w:spacing w:after="0"/>
              <w:rPr>
                <w:sz w:val="21"/>
                <w:szCs w:val="21"/>
                <w:color w:val="auto"/>
              </w:rPr>
            </w:pPr>
          </w:p>
        </w:tc>
        <w:tc>
          <w:tcPr>
            <w:tcW w:w="5060" w:type="dxa"/>
            <w:vAlign w:val="bottom"/>
            <w:tcBorders>
              <w:bottom w:val="single" w:sz="8" w:color="B7DEE8"/>
            </w:tcBorders>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2900" w:type="dxa"/>
            <w:vAlign w:val="bottom"/>
            <w:tcBorders>
              <w:bottom w:val="single" w:sz="8" w:color="B7DEE8"/>
            </w:tcBorders>
            <w:shd w:val="clear" w:color="auto" w:fill="B7DEE8"/>
          </w:tcPr>
          <w:p>
            <w:pPr>
              <w:spacing w:after="0"/>
              <w:rPr>
                <w:sz w:val="21"/>
                <w:szCs w:val="21"/>
                <w:color w:val="auto"/>
              </w:rPr>
            </w:pPr>
          </w:p>
        </w:tc>
        <w:tc>
          <w:tcPr>
            <w:tcW w:w="13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320" w:type="dxa"/>
            <w:vAlign w:val="bottom"/>
            <w:tcBorders>
              <w:bottom w:val="single" w:sz="8" w:color="B7DEE8"/>
            </w:tcBorders>
            <w:shd w:val="clear" w:color="auto" w:fill="B7DEE8"/>
          </w:tcPr>
          <w:p>
            <w:pPr>
              <w:spacing w:after="0"/>
              <w:rPr>
                <w:sz w:val="21"/>
                <w:szCs w:val="21"/>
                <w:color w:val="auto"/>
              </w:rPr>
            </w:pPr>
          </w:p>
        </w:tc>
        <w:tc>
          <w:tcPr>
            <w:tcW w:w="12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325,594</w:t>
            </w:r>
          </w:p>
        </w:tc>
        <w:tc>
          <w:tcPr>
            <w:tcW w:w="100" w:type="dxa"/>
            <w:vAlign w:val="bottom"/>
            <w:tcBorders>
              <w:bottom w:val="single" w:sz="8" w:color="B7DEE8"/>
            </w:tcBorders>
            <w:shd w:val="clear" w:color="auto" w:fill="B7DEE8"/>
          </w:tcPr>
          <w:p>
            <w:pPr>
              <w:spacing w:after="0"/>
              <w:rPr>
                <w:sz w:val="21"/>
                <w:szCs w:val="21"/>
                <w:color w:val="auto"/>
              </w:rPr>
            </w:pPr>
          </w:p>
        </w:tc>
      </w:tr>
      <w:tr>
        <w:trPr>
          <w:trHeight w:val="239"/>
        </w:trPr>
        <w:tc>
          <w:tcPr>
            <w:tcW w:w="28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(14,375 )</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(285,579 )</w:t>
            </w:r>
          </w:p>
        </w:tc>
      </w:tr>
      <w:tr>
        <w:trPr>
          <w:trHeight w:val="239"/>
        </w:trPr>
        <w:tc>
          <w:tcPr>
            <w:tcW w:w="280" w:type="dxa"/>
            <w:vAlign w:val="bottom"/>
          </w:tcPr>
          <w:p>
            <w:pPr>
              <w:spacing w:after="0"/>
              <w:rPr>
                <w:sz w:val="20"/>
                <w:szCs w:val="20"/>
                <w:color w:val="auto"/>
              </w:rPr>
            </w:pPr>
          </w:p>
        </w:tc>
        <w:tc>
          <w:tcPr>
            <w:tcW w:w="5060" w:type="dxa"/>
            <w:vAlign w:val="bottom"/>
            <w:shd w:val="clear" w:color="auto" w:fill="B7DEE8"/>
          </w:tcPr>
          <w:p>
            <w:pPr>
              <w:spacing w:after="0"/>
              <w:rPr>
                <w:sz w:val="20"/>
                <w:szCs w:val="20"/>
                <w:color w:val="auto"/>
              </w:rPr>
            </w:pPr>
          </w:p>
        </w:tc>
        <w:tc>
          <w:tcPr>
            <w:tcW w:w="2900" w:type="dxa"/>
            <w:vAlign w:val="bottom"/>
            <w:shd w:val="clear" w:color="auto" w:fill="B7DEE8"/>
          </w:tcPr>
          <w:p>
            <w:pPr>
              <w:spacing w:after="0"/>
              <w:rPr>
                <w:sz w:val="20"/>
                <w:szCs w:val="20"/>
                <w:color w:val="auto"/>
              </w:rPr>
            </w:pPr>
          </w:p>
        </w:tc>
        <w:tc>
          <w:tcPr>
            <w:tcW w:w="1300" w:type="dxa"/>
            <w:vAlign w:val="bottom"/>
            <w:tcBorders>
              <w:top w:val="single" w:sz="8" w:color="auto"/>
            </w:tcBorders>
            <w:shd w:val="clear" w:color="auto" w:fill="B7DEE8"/>
          </w:tcPr>
          <w:p>
            <w:pPr>
              <w:spacing w:after="0"/>
              <w:rPr>
                <w:sz w:val="20"/>
                <w:szCs w:val="20"/>
                <w:color w:val="auto"/>
              </w:rPr>
            </w:pPr>
          </w:p>
        </w:tc>
        <w:tc>
          <w:tcPr>
            <w:tcW w:w="320" w:type="dxa"/>
            <w:vAlign w:val="bottom"/>
            <w:shd w:val="clear" w:color="auto" w:fill="B7DEE8"/>
          </w:tcPr>
          <w:p>
            <w:pPr>
              <w:spacing w:after="0"/>
              <w:rPr>
                <w:sz w:val="20"/>
                <w:szCs w:val="20"/>
                <w:color w:val="auto"/>
              </w:rPr>
            </w:pPr>
          </w:p>
        </w:tc>
        <w:tc>
          <w:tcPr>
            <w:tcW w:w="1280" w:type="dxa"/>
            <w:vAlign w:val="bottom"/>
            <w:tcBorders>
              <w:top w:val="single" w:sz="8" w:color="auto"/>
            </w:tcBorders>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648"/>
        </w:trPr>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9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-2794000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-1233805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4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9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Proceeds from PIPE offering</w:t>
            </w:r>
          </w:p>
        </w:tc>
        <w:tc>
          <w:tcPr>
            <w:tcW w:w="4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21"/>
                <w:szCs w:val="21"/>
                <w:color w:val="auto"/>
              </w:rPr>
            </w:pPr>
          </w:p>
        </w:tc>
        <w:tc>
          <w:tcPr>
            <w:tcW w:w="40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00" w:type="dxa"/>
            <w:vAlign w:val="bottom"/>
            <w:shd w:val="clear" w:color="auto" w:fill="B7DEE8"/>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escrow account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100" w:type="dxa"/>
            <w:vAlign w:val="bottom"/>
          </w:tcPr>
          <w:p>
            <w:pPr>
              <w:spacing w:after="0"/>
              <w:rPr>
                <w:sz w:val="20"/>
                <w:szCs w:val="20"/>
                <w:color w:val="auto"/>
              </w:rPr>
            </w:pPr>
          </w:p>
        </w:tc>
      </w:tr>
      <w:tr>
        <w:trPr>
          <w:trHeight w:val="247"/>
        </w:trPr>
        <w:tc>
          <w:tcPr>
            <w:tcW w:w="79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4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21"/>
                <w:szCs w:val="21"/>
                <w:color w:val="auto"/>
              </w:rPr>
            </w:pPr>
          </w:p>
        </w:tc>
        <w:tc>
          <w:tcPr>
            <w:tcW w:w="400" w:type="dxa"/>
            <w:vAlign w:val="bottom"/>
            <w:shd w:val="clear" w:color="auto" w:fill="B7DEE8"/>
          </w:tcPr>
          <w:p>
            <w:pPr>
              <w:spacing w:after="0"/>
              <w:rPr>
                <w:sz w:val="21"/>
                <w:szCs w:val="21"/>
                <w:color w:val="auto"/>
              </w:rPr>
            </w:pPr>
          </w:p>
        </w:tc>
        <w:tc>
          <w:tcPr>
            <w:tcW w:w="9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(23,005 )</w:t>
            </w: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for fractional shares on reverse stock split</w:t>
            </w:r>
          </w:p>
        </w:tc>
        <w:tc>
          <w:tcPr>
            <w:tcW w:w="4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(12 )</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9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exercises</w:t>
            </w:r>
          </w:p>
        </w:tc>
        <w:tc>
          <w:tcPr>
            <w:tcW w:w="4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B7DEE8"/>
          </w:tcPr>
          <w:p>
            <w:pPr>
              <w:spacing w:after="0"/>
              <w:rPr>
                <w:sz w:val="21"/>
                <w:szCs w:val="21"/>
                <w:color w:val="auto"/>
              </w:rPr>
            </w:pPr>
          </w:p>
        </w:tc>
        <w:tc>
          <w:tcPr>
            <w:tcW w:w="40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B7DEE8"/>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(536 )</w:t>
            </w:r>
          </w:p>
        </w:tc>
      </w:tr>
      <w:tr>
        <w:trPr>
          <w:trHeight w:val="247"/>
        </w:trPr>
        <w:tc>
          <w:tcPr>
            <w:tcW w:w="79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Proceeds from borrowings on convertible debt</w:t>
            </w:r>
          </w:p>
        </w:tc>
        <w:tc>
          <w:tcPr>
            <w:tcW w:w="4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21"/>
                <w:szCs w:val="21"/>
                <w:color w:val="auto"/>
              </w:rPr>
            </w:pPr>
          </w:p>
        </w:tc>
        <w:tc>
          <w:tcPr>
            <w:tcW w:w="40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B7DEE8"/>
          </w:tcPr>
          <w:p>
            <w:pPr>
              <w:spacing w:after="0"/>
              <w:rPr>
                <w:sz w:val="21"/>
                <w:szCs w:val="21"/>
                <w:color w:val="auto"/>
              </w:rPr>
            </w:pPr>
          </w:p>
        </w:tc>
      </w:tr>
      <w:tr>
        <w:trPr>
          <w:trHeight w:val="239"/>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borrowings on debt and credit facilities</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r>
      <w:tr>
        <w:trPr>
          <w:trHeight w:val="243"/>
        </w:trPr>
        <w:tc>
          <w:tcPr>
            <w:tcW w:w="7960" w:type="dxa"/>
            <w:vAlign w:val="bottom"/>
            <w:shd w:val="clear" w:color="auto" w:fill="B7DEE8"/>
          </w:tcPr>
          <w:p>
            <w:pPr>
              <w:ind w:left="200"/>
              <w:spacing w:after="0"/>
              <w:rPr>
                <w:sz w:val="20"/>
                <w:szCs w:val="20"/>
                <w:color w:val="auto"/>
              </w:rPr>
            </w:pPr>
            <w:r>
              <w:rPr>
                <w:rFonts w:ascii="Times New Roman" w:cs="Times New Roman" w:eastAsia="Times New Roman" w:hAnsi="Times New Roman"/>
                <w:sz w:val="18"/>
                <w:szCs w:val="18"/>
                <w:color w:val="auto"/>
              </w:rPr>
              <w:t>Repayment of borrowings on credit facility</w:t>
            </w:r>
          </w:p>
        </w:tc>
        <w:tc>
          <w:tcPr>
            <w:tcW w:w="4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7DEE8"/>
          </w:tcPr>
          <w:p>
            <w:pPr>
              <w:spacing w:after="0"/>
              <w:rPr>
                <w:sz w:val="21"/>
                <w:szCs w:val="21"/>
                <w:color w:val="auto"/>
              </w:rPr>
            </w:pPr>
          </w:p>
        </w:tc>
        <w:tc>
          <w:tcPr>
            <w:tcW w:w="400" w:type="dxa"/>
            <w:vAlign w:val="bottom"/>
            <w:shd w:val="clear" w:color="auto" w:fill="B7DEE8"/>
          </w:tcPr>
          <w:p>
            <w:pPr>
              <w:spacing w:after="0"/>
              <w:rPr>
                <w:sz w:val="21"/>
                <w:szCs w:val="21"/>
                <w:color w:val="auto"/>
              </w:rPr>
            </w:pPr>
          </w:p>
        </w:tc>
        <w:tc>
          <w:tcPr>
            <w:tcW w:w="9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(20,000 )</w:t>
            </w:r>
          </w:p>
        </w:tc>
      </w:tr>
      <w:tr>
        <w:trPr>
          <w:trHeight w:val="239"/>
        </w:trPr>
        <w:tc>
          <w:tcPr>
            <w:tcW w:w="7960" w:type="dxa"/>
            <w:vAlign w:val="bottom"/>
            <w:tcBorders>
              <w:top w:val="single" w:sz="8" w:color="B7DEE8"/>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tcBorders>
              <w:top w:val="single" w:sz="8" w:color="B7DEE8"/>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321,767</w:t>
            </w:r>
          </w:p>
        </w:tc>
        <w:tc>
          <w:tcPr>
            <w:tcW w:w="100" w:type="dxa"/>
            <w:vAlign w:val="bottom"/>
            <w:tcBorders>
              <w:top w:val="single" w:sz="8" w:color="B7DEE8"/>
            </w:tcBorders>
          </w:tcPr>
          <w:p>
            <w:pPr>
              <w:spacing w:after="0"/>
              <w:rPr>
                <w:sz w:val="20"/>
                <w:szCs w:val="20"/>
                <w:color w:val="auto"/>
              </w:rPr>
            </w:pPr>
          </w:p>
        </w:tc>
      </w:tr>
      <w:tr>
        <w:trPr>
          <w:trHeight w:val="239"/>
        </w:trPr>
        <w:tc>
          <w:tcPr>
            <w:tcW w:w="7960" w:type="dxa"/>
            <w:vAlign w:val="bottom"/>
            <w:shd w:val="clear" w:color="auto" w:fill="B7DEE8"/>
          </w:tcPr>
          <w:p>
            <w:pPr>
              <w:spacing w:after="0"/>
              <w:rPr>
                <w:sz w:val="20"/>
                <w:szCs w:val="20"/>
                <w:color w:val="auto"/>
              </w:rPr>
            </w:pPr>
          </w:p>
        </w:tc>
        <w:tc>
          <w:tcPr>
            <w:tcW w:w="440" w:type="dxa"/>
            <w:vAlign w:val="bottom"/>
            <w:shd w:val="clear" w:color="auto" w:fill="B7DEE8"/>
          </w:tcPr>
          <w:p>
            <w:pPr>
              <w:spacing w:after="0"/>
              <w:rPr>
                <w:sz w:val="20"/>
                <w:szCs w:val="20"/>
                <w:color w:val="auto"/>
              </w:rPr>
            </w:pPr>
          </w:p>
        </w:tc>
        <w:tc>
          <w:tcPr>
            <w:tcW w:w="860" w:type="dxa"/>
            <w:vAlign w:val="bottom"/>
            <w:shd w:val="clear" w:color="auto" w:fill="B7DEE8"/>
          </w:tcPr>
          <w:p>
            <w:pPr>
              <w:spacing w:after="0"/>
              <w:rPr>
                <w:sz w:val="20"/>
                <w:szCs w:val="20"/>
                <w:color w:val="auto"/>
              </w:rPr>
            </w:pPr>
          </w:p>
        </w:tc>
        <w:tc>
          <w:tcPr>
            <w:tcW w:w="320" w:type="dxa"/>
            <w:vAlign w:val="bottom"/>
            <w:shd w:val="clear" w:color="auto" w:fill="B7DEE8"/>
          </w:tcPr>
          <w:p>
            <w:pPr>
              <w:spacing w:after="0"/>
              <w:rPr>
                <w:sz w:val="20"/>
                <w:szCs w:val="20"/>
                <w:color w:val="auto"/>
              </w:rPr>
            </w:pPr>
          </w:p>
        </w:tc>
        <w:tc>
          <w:tcPr>
            <w:tcW w:w="400" w:type="dxa"/>
            <w:vAlign w:val="bottom"/>
            <w:shd w:val="clear" w:color="auto" w:fill="B7DEE8"/>
          </w:tcPr>
          <w:p>
            <w:pPr>
              <w:spacing w:after="0"/>
              <w:rPr>
                <w:sz w:val="20"/>
                <w:szCs w:val="20"/>
                <w:color w:val="auto"/>
              </w:rPr>
            </w:pPr>
          </w:p>
        </w:tc>
        <w:tc>
          <w:tcPr>
            <w:tcW w:w="980" w:type="dxa"/>
            <w:vAlign w:val="bottom"/>
            <w:gridSpan w:val="2"/>
            <w:shd w:val="clear" w:color="auto" w:fill="B7DEE8"/>
          </w:tcPr>
          <w:p>
            <w:pPr>
              <w:spacing w:after="0"/>
              <w:rPr>
                <w:sz w:val="20"/>
                <w:szCs w:val="20"/>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(8,695 )</w:t>
            </w:r>
          </w:p>
        </w:tc>
      </w:tr>
      <w:tr>
        <w:trPr>
          <w:trHeight w:val="243"/>
        </w:trPr>
        <w:tc>
          <w:tcPr>
            <w:tcW w:w="796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the period</w:t>
            </w:r>
          </w:p>
        </w:tc>
        <w:tc>
          <w:tcPr>
            <w:tcW w:w="440" w:type="dxa"/>
            <w:vAlign w:val="bottom"/>
            <w:tcBorders>
              <w:bottom w:val="single" w:sz="8" w:color="auto"/>
            </w:tcBorders>
            <w:shd w:val="clear" w:color="auto" w:fill="B7DEE8"/>
          </w:tcPr>
          <w:p>
            <w:pPr>
              <w:spacing w:after="0"/>
              <w:rPr>
                <w:sz w:val="21"/>
                <w:szCs w:val="21"/>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320" w:type="dxa"/>
            <w:vAlign w:val="bottom"/>
            <w:tcBorders>
              <w:bottom w:val="single" w:sz="8" w:color="B7DEE8"/>
            </w:tcBorders>
            <w:shd w:val="clear" w:color="auto" w:fill="B7DEE8"/>
          </w:tcPr>
          <w:p>
            <w:pPr>
              <w:spacing w:after="0"/>
              <w:rPr>
                <w:sz w:val="21"/>
                <w:szCs w:val="21"/>
                <w:color w:val="auto"/>
              </w:rPr>
            </w:pPr>
          </w:p>
        </w:tc>
        <w:tc>
          <w:tcPr>
            <w:tcW w:w="400" w:type="dxa"/>
            <w:vAlign w:val="bottom"/>
            <w:tcBorders>
              <w:bottom w:val="single" w:sz="8" w:color="auto"/>
            </w:tcBorders>
            <w:shd w:val="clear" w:color="auto" w:fill="B7DEE8"/>
          </w:tcPr>
          <w:p>
            <w:pPr>
              <w:spacing w:after="0"/>
              <w:rPr>
                <w:sz w:val="21"/>
                <w:szCs w:val="21"/>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32,372</w:t>
            </w:r>
          </w:p>
        </w:tc>
        <w:tc>
          <w:tcPr>
            <w:tcW w:w="100" w:type="dxa"/>
            <w:vAlign w:val="bottom"/>
            <w:tcBorders>
              <w:bottom w:val="single" w:sz="8" w:color="B7DEE8"/>
            </w:tcBorders>
            <w:shd w:val="clear" w:color="auto" w:fill="B7DEE8"/>
          </w:tcPr>
          <w:p>
            <w:pPr>
              <w:spacing w:after="0"/>
              <w:rPr>
                <w:sz w:val="21"/>
                <w:szCs w:val="21"/>
                <w:color w:val="auto"/>
              </w:rPr>
            </w:pPr>
          </w:p>
        </w:tc>
      </w:tr>
      <w:tr>
        <w:trPr>
          <w:trHeight w:val="241"/>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period</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43,078</w:t>
            </w:r>
          </w:p>
        </w:tc>
        <w:tc>
          <w:tcPr>
            <w:tcW w:w="32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23,677</w:t>
            </w:r>
          </w:p>
        </w:tc>
        <w:tc>
          <w:tcPr>
            <w:tcW w:w="100" w:type="dxa"/>
            <w:vAlign w:val="bottom"/>
          </w:tcPr>
          <w:p>
            <w:pPr>
              <w:spacing w:after="0"/>
              <w:rPr>
                <w:sz w:val="20"/>
                <w:szCs w:val="20"/>
                <w:color w:val="auto"/>
              </w:rPr>
            </w:pPr>
          </w:p>
        </w:tc>
      </w:tr>
      <w:tr>
        <w:trPr>
          <w:trHeight w:val="20"/>
        </w:trPr>
        <w:tc>
          <w:tcPr>
            <w:tcW w:w="7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60" w:type="dxa"/>
            <w:vAlign w:val="bottom"/>
            <w:shd w:val="clear" w:color="auto" w:fill="B7DEE8"/>
          </w:tcPr>
          <w:p>
            <w:pPr>
              <w:spacing w:after="0"/>
              <w:rPr>
                <w:sz w:val="19"/>
                <w:szCs w:val="19"/>
                <w:color w:val="auto"/>
              </w:rPr>
            </w:pPr>
          </w:p>
        </w:tc>
        <w:tc>
          <w:tcPr>
            <w:tcW w:w="440" w:type="dxa"/>
            <w:vAlign w:val="bottom"/>
            <w:shd w:val="clear" w:color="auto" w:fill="B7DEE8"/>
          </w:tcPr>
          <w:p>
            <w:pPr>
              <w:spacing w:after="0"/>
              <w:rPr>
                <w:sz w:val="19"/>
                <w:szCs w:val="19"/>
                <w:color w:val="auto"/>
              </w:rPr>
            </w:pPr>
          </w:p>
        </w:tc>
        <w:tc>
          <w:tcPr>
            <w:tcW w:w="860" w:type="dxa"/>
            <w:vAlign w:val="bottom"/>
            <w:shd w:val="clear" w:color="auto" w:fill="B7DEE8"/>
          </w:tcPr>
          <w:p>
            <w:pPr>
              <w:spacing w:after="0"/>
              <w:rPr>
                <w:sz w:val="19"/>
                <w:szCs w:val="19"/>
                <w:color w:val="auto"/>
              </w:rPr>
            </w:pPr>
          </w:p>
        </w:tc>
        <w:tc>
          <w:tcPr>
            <w:tcW w:w="320" w:type="dxa"/>
            <w:vAlign w:val="bottom"/>
            <w:shd w:val="clear" w:color="auto" w:fill="B7DEE8"/>
          </w:tcPr>
          <w:p>
            <w:pPr>
              <w:spacing w:after="0"/>
              <w:rPr>
                <w:sz w:val="19"/>
                <w:szCs w:val="19"/>
                <w:color w:val="auto"/>
              </w:rPr>
            </w:pPr>
          </w:p>
        </w:tc>
        <w:tc>
          <w:tcPr>
            <w:tcW w:w="400" w:type="dxa"/>
            <w:vAlign w:val="bottom"/>
            <w:shd w:val="clear" w:color="auto" w:fill="B7DEE8"/>
          </w:tcPr>
          <w:p>
            <w:pPr>
              <w:spacing w:after="0"/>
              <w:rPr>
                <w:sz w:val="19"/>
                <w:szCs w:val="19"/>
                <w:color w:val="auto"/>
              </w:rPr>
            </w:pPr>
          </w:p>
        </w:tc>
        <w:tc>
          <w:tcPr>
            <w:tcW w:w="880" w:type="dxa"/>
            <w:vAlign w:val="bottom"/>
            <w:shd w:val="clear" w:color="auto" w:fill="B7DEE8"/>
          </w:tcPr>
          <w:p>
            <w:pPr>
              <w:spacing w:after="0"/>
              <w:rPr>
                <w:sz w:val="19"/>
                <w:szCs w:val="19"/>
                <w:color w:val="auto"/>
              </w:rPr>
            </w:pPr>
          </w:p>
        </w:tc>
        <w:tc>
          <w:tcPr>
            <w:tcW w:w="100" w:type="dxa"/>
            <w:vAlign w:val="bottom"/>
            <w:shd w:val="clear" w:color="auto" w:fill="B7DEE8"/>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-976630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6891020</wp:posOffset>
            </wp:positionH>
            <wp:positionV relativeFrom="paragraph">
              <wp:posOffset>-976630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-342265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6891020</wp:posOffset>
            </wp:positionH>
            <wp:positionV relativeFrom="paragraph">
              <wp:posOffset>-342265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0960"/>
          </w:cols>
          <w:pgMar w:left="600" w:top="142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Property and equipment purchases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96087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lease right of use assets recognized</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lease liabilities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96087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6" w:lineRule="exact"/>
        <w:rPr>
          <w:sz w:val="20"/>
          <w:szCs w:val="20"/>
          <w:color w:val="auto"/>
        </w:rPr>
      </w:pPr>
    </w:p>
    <w:p>
      <w:pPr>
        <w:ind w:left="100" w:right="440"/>
        <w:spacing w:after="0" w:line="266" w:lineRule="auto"/>
        <w:rPr>
          <w:sz w:val="20"/>
          <w:szCs w:val="20"/>
          <w:color w:val="auto"/>
        </w:rPr>
      </w:pPr>
      <w:r>
        <w:rPr>
          <w:rFonts w:ascii="Times New Roman" w:cs="Times New Roman" w:eastAsia="Times New Roman" w:hAnsi="Times New Roman"/>
          <w:sz w:val="18"/>
          <w:szCs w:val="18"/>
          <w:color w:val="auto"/>
        </w:rPr>
        <w:t>Conversion of convertible preferred stock to Class A common stock in connection with the reverse recapitalization</w:t>
      </w:r>
    </w:p>
    <w:p>
      <w:pPr>
        <w:ind w:left="100"/>
        <w:spacing w:after="0"/>
        <w:rPr>
          <w:sz w:val="20"/>
          <w:szCs w:val="20"/>
          <w:color w:val="auto"/>
        </w:rPr>
      </w:pPr>
      <w:r>
        <w:rPr>
          <w:rFonts w:ascii="Times New Roman" w:cs="Times New Roman" w:eastAsia="Times New Roman" w:hAnsi="Times New Roman"/>
          <w:sz w:val="18"/>
          <w:szCs w:val="18"/>
          <w:color w:val="auto"/>
        </w:rPr>
        <w:t>Recapitalization transaction costs liability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96087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6" w:lineRule="exact"/>
        <w:rPr>
          <w:sz w:val="20"/>
          <w:szCs w:val="20"/>
          <w:color w:val="auto"/>
        </w:rPr>
      </w:pPr>
    </w:p>
    <w:p>
      <w:pPr>
        <w:ind w:left="100" w:right="220"/>
        <w:spacing w:after="0" w:line="266" w:lineRule="auto"/>
        <w:rPr>
          <w:sz w:val="20"/>
          <w:szCs w:val="20"/>
          <w:color w:val="auto"/>
        </w:rPr>
      </w:pPr>
      <w:r>
        <w:rPr>
          <w:rFonts w:ascii="Times New Roman" w:cs="Times New Roman" w:eastAsia="Times New Roman" w:hAnsi="Times New Roman"/>
          <w:sz w:val="18"/>
          <w:szCs w:val="18"/>
          <w:color w:val="auto"/>
        </w:rPr>
        <w:t>Conversion of convertible notes and accrued interest to Class A common stock in connection with the reverse recapitalization</w:t>
      </w:r>
    </w:p>
    <w:p>
      <w:pPr>
        <w:ind w:left="100" w:right="300"/>
        <w:spacing w:after="0" w:line="313" w:lineRule="auto"/>
        <w:rPr>
          <w:sz w:val="20"/>
          <w:szCs w:val="20"/>
          <w:color w:val="auto"/>
        </w:rPr>
      </w:pPr>
      <w:r>
        <w:rPr>
          <w:rFonts w:ascii="Times New Roman" w:cs="Times New Roman" w:eastAsia="Times New Roman" w:hAnsi="Times New Roman"/>
          <w:sz w:val="18"/>
          <w:szCs w:val="18"/>
          <w:color w:val="auto"/>
        </w:rPr>
        <w:t>Conversion of B-1 warrants to Class A common stock in connection with the reverse recapitalization Discharge of PIPE promissory note in connection with the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-339090</wp:posOffset>
            </wp:positionV>
            <wp:extent cx="696087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9608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-30480</wp:posOffset>
            </wp:positionV>
            <wp:extent cx="696087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(received) paid for:</w:t>
      </w:r>
    </w:p>
    <w:p>
      <w:pPr>
        <w:spacing w:after="0" w:line="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96087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696087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259"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and restricted cash reported within the consolidated balance sheets with the same as shown in the consolidated statement of cash flows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696087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696087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960870" cy="1797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end of the period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r>
      <w:tr>
        <w:trPr>
          <w:trHeight w:val="243"/>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351"/>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72,173</w:t>
            </w:r>
          </w:p>
        </w:tc>
        <w:tc>
          <w:tcPr>
            <w:tcW w:w="60" w:type="dxa"/>
            <w:vAlign w:val="bottom"/>
          </w:tcPr>
          <w:p>
            <w:pPr>
              <w:spacing w:after="0"/>
              <w:rPr>
                <w:sz w:val="24"/>
                <w:szCs w:val="24"/>
                <w:color w:val="auto"/>
              </w:rPr>
            </w:pPr>
          </w:p>
        </w:tc>
      </w:tr>
      <w:tr>
        <w:trPr>
          <w:trHeight w:val="351"/>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60" w:type="dxa"/>
            <w:vAlign w:val="bottom"/>
          </w:tcPr>
          <w:p>
            <w:pPr>
              <w:spacing w:after="0"/>
              <w:rPr>
                <w:sz w:val="24"/>
                <w:szCs w:val="24"/>
                <w:color w:val="auto"/>
              </w:rPr>
            </w:pPr>
          </w:p>
        </w:tc>
      </w:tr>
      <w:tr>
        <w:trPr>
          <w:trHeight w:val="351"/>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24"/>
                <w:szCs w:val="24"/>
                <w:color w:val="auto"/>
              </w:rPr>
            </w:pPr>
          </w:p>
        </w:tc>
      </w:tr>
      <w:tr>
        <w:trPr>
          <w:trHeight w:val="351"/>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60" w:type="dxa"/>
            <w:vAlign w:val="bottom"/>
          </w:tcPr>
          <w:p>
            <w:pPr>
              <w:spacing w:after="0"/>
              <w:rPr>
                <w:sz w:val="24"/>
                <w:szCs w:val="24"/>
                <w:color w:val="auto"/>
              </w:rPr>
            </w:pPr>
          </w:p>
        </w:tc>
      </w:tr>
      <w:tr>
        <w:trPr>
          <w:trHeight w:val="243"/>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21"/>
                <w:szCs w:val="21"/>
                <w:color w:val="auto"/>
              </w:rPr>
            </w:pPr>
          </w:p>
        </w:tc>
      </w:tr>
      <w:tr>
        <w:trPr>
          <w:trHeight w:val="729"/>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(622 )</w:t>
            </w:r>
          </w:p>
        </w:tc>
      </w:tr>
      <w:tr>
        <w:trPr>
          <w:trHeight w:val="243"/>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3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60" w:type="dxa"/>
            <w:vAlign w:val="bottom"/>
          </w:tcPr>
          <w:p>
            <w:pPr>
              <w:spacing w:after="0"/>
              <w:rPr>
                <w:sz w:val="21"/>
                <w:szCs w:val="21"/>
                <w:color w:val="auto"/>
              </w:rPr>
            </w:pPr>
          </w:p>
        </w:tc>
      </w:tr>
      <w:tr>
        <w:trPr>
          <w:trHeight w:val="945"/>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41,759</w:t>
            </w:r>
          </w:p>
        </w:tc>
        <w:tc>
          <w:tcPr>
            <w:tcW w:w="3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60" w:type="dxa"/>
            <w:vAlign w:val="bottom"/>
          </w:tcPr>
          <w:p>
            <w:pPr>
              <w:spacing w:after="0"/>
              <w:rPr>
                <w:sz w:val="24"/>
                <w:szCs w:val="24"/>
                <w:color w:val="auto"/>
              </w:rPr>
            </w:pPr>
          </w:p>
        </w:tc>
      </w:tr>
      <w:tr>
        <w:trPr>
          <w:trHeight w:val="250"/>
        </w:trPr>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60" w:type="dxa"/>
            <w:vAlign w:val="bottom"/>
          </w:tcPr>
          <w:p>
            <w:pPr>
              <w:spacing w:after="0"/>
              <w:rPr>
                <w:sz w:val="21"/>
                <w:szCs w:val="21"/>
                <w:color w:val="auto"/>
              </w:rPr>
            </w:pPr>
          </w:p>
        </w:tc>
      </w:tr>
      <w:tr>
        <w:trPr>
          <w:trHeight w:val="241"/>
        </w:trPr>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43,078</w:t>
            </w:r>
          </w:p>
        </w:tc>
        <w:tc>
          <w:tcPr>
            <w:tcW w:w="32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23,677</w:t>
            </w:r>
          </w:p>
        </w:tc>
        <w:tc>
          <w:tcPr>
            <w:tcW w:w="60" w:type="dxa"/>
            <w:vAlign w:val="bottom"/>
          </w:tcPr>
          <w:p>
            <w:pPr>
              <w:spacing w:after="0"/>
              <w:rPr>
                <w:sz w:val="20"/>
                <w:szCs w:val="20"/>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60" w:space="300"/>
            <w:col w:w="3000"/>
          </w:cols>
          <w:pgMar w:left="600" w:top="1427" w:right="339" w:bottom="1440" w:gutter="0" w:footer="0" w:header="0"/>
          <w:type w:val="continuous"/>
        </w:sectPr>
      </w:pPr>
    </w:p>
    <w:p>
      <w:pPr>
        <w:spacing w:after="0" w:line="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427" w:right="339" w:bottom="1440" w:gutter="0" w:footer="0" w:header="0"/>
          <w:type w:val="continuous"/>
        </w:sectPr>
      </w:pPr>
    </w:p>
    <w:bookmarkStart w:id="71" w:name="page72"/>
    <w:bookmarkEnd w:id="7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businesses. On January 5, 2022, the Company consummated the transactions contemplated by that certain Agreement and Plan of Merger, dated as of June 7, 2021 among VPCC, Dave Inc., a Delaware corporation (“Legacy Dave”), and other entities. In connection with the closing of the transactions, the Company changed its name from “VPC Impact Acquisition Holdings III, Inc.” to “Dave Inc.”</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high APY savings rates as well as Dave’s Side Hustle product and Surveys, where Dave presents Members with supplemental work and income opportunities,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$35 for access to as little as $5 of overdraft, and many others in the financial services sector do not allow for overdraft at all. Dave invented a short-term liquidity alternative called ExtraCash, which allows Members to advance funds to their account and avoid a fee altogether. Members may receive an advance of up to $500 and may only have one advance outstanding at any given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Banking:</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Dave offers a full-service digital checking account through its partnership with Evolve Bank and Trust (“Evolve”). The Dave Spending Account does not have overdraft or minimum balance fees.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Dave's automated financial management tool leverages historical bank account data to help Members understand both recurring and commonly occurring charges. Budget also notifies Members when there is a chance of an overdraft.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Side Hustle:</w:t>
      </w:r>
    </w:p>
    <w:p>
      <w:pPr>
        <w:spacing w:after="0" w:line="11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Dave seeks to help Members improve their financial health by presenting new job opportunities to them. Through Dave’s partnership with leading employers, Members can quickly submit applications and improve their income with flexible employment.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Surveys:</w:t>
      </w:r>
    </w:p>
    <w:p>
      <w:pPr>
        <w:spacing w:after="0" w:line="11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Dave's Surveys product allows for additional income earning opportunities, allowing Members to take paid surveys anytime within the Dave mobile application. This functionality drives engagement within the Dave ecosystem and deepens the Company’s relationship to its Members’ financial wellbeing.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January 5, 2022 (the “Closing Date”), the Company consummated the previously announced transaction (pursuant to that certain Agreement and Plan of Merger, dated June 7, 2021 (the “Business Combination Agreement”), by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among Legacy Dave, VPCC, Bear Merger Company I Inc., a Delaware corporation and a direct, wholly owned Subsidiaries of VPCC (“First Merger Sub”), and Bear Merger Company II LLC, a Delaware limited liability company and a direct wholly owned Subsidiaries of VPCC (“Second Merger Sub”).</w:t>
      </w:r>
    </w:p>
    <w:p>
      <w:pPr>
        <w:spacing w:after="0" w:line="16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Following the Mergers, “VPC Impact Acquisition Holdings III, Inc.” was renamed “Dave Inc.” and the Surviving Entity was renamed “Dave Operating LLC”.</w:t>
      </w:r>
    </w:p>
    <w:p>
      <w:pPr>
        <w:spacing w:after="0" w:line="18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January 5, 2022, the holders of (a) Legacy Dave capital stock and (b) Legacy Dave’s options to purchase Legacy Dave capital stock pursuant to Legacy Dave’s stock plan (the “Legacy Dave Options”), received aggregate merger consideration, consisting of 10,226,738 shares of Class A common stock of the Company, par value $0.0001 per share (the “Class A Common Stock”) and 1,514,082 shares of Class V common stock of the Company, par value $0.0001 per share (the “Class V Common Stock”, and together with the Class A Common Stock, the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(“U.S. GAAP”).</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4, 2023, the Board approved an amendment to the Company’s certificate of incorporation to complete a 1-for-32 reverse stock split effective January 5, 2023. At a special meeting held on December 16, 2022, stockholders approved the reverse stock split. The primary goal of the reverse stock split is to bring the Company’s stock price above the share bid price requirement for continued listing on Nasdaq. The effects of the reverse stock split have been reflected in the consolidated financial statements and the footnotes.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 variable interest entity (“VIE”). All intercompany transactions and balances have been eliminated upon consolidation.</w:t>
      </w:r>
    </w:p>
    <w:p>
      <w:pPr>
        <w:spacing w:after="0" w:line="1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consolidated balance sheets. The assets of Dave OD are restricted and may only be used to settle obligations of Dave 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requires the Company to make estimates and assumptions that affect the reported amounts of assets and liabilities and the disclosure of contingent assets and liabilities as of the date of the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detail of operating revenues (in thousands):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37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48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40" w:type="dxa"/>
            <w:vAlign w:val="bottom"/>
          </w:tcPr>
          <w:p>
            <w:pPr>
              <w:spacing w:after="0"/>
              <w:rPr>
                <w:sz w:val="21"/>
                <w:szCs w:val="21"/>
                <w:color w:val="auto"/>
              </w:rPr>
            </w:pPr>
          </w:p>
        </w:tc>
        <w:tc>
          <w:tcPr>
            <w:tcW w:w="1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48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1420" w:type="dxa"/>
            <w:vAlign w:val="bottom"/>
            <w:shd w:val="clear" w:color="auto" w:fill="B6DEE8"/>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1620" w:type="dxa"/>
            <w:vAlign w:val="bottom"/>
            <w:gridSpan w:val="2"/>
            <w:shd w:val="clear" w:color="auto" w:fill="B6DEE8"/>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106,664</w:t>
            </w:r>
          </w:p>
        </w:tc>
        <w:tc>
          <w:tcPr>
            <w:tcW w:w="100" w:type="dxa"/>
            <w:vAlign w:val="bottom"/>
            <w:shd w:val="clear" w:color="auto" w:fill="B6DEE8"/>
          </w:tcPr>
          <w:p>
            <w:pPr>
              <w:spacing w:after="0"/>
              <w:rPr>
                <w:sz w:val="21"/>
                <w:szCs w:val="21"/>
                <w:color w:val="auto"/>
              </w:rPr>
            </w:pPr>
          </w:p>
        </w:tc>
      </w:tr>
      <w:tr>
        <w:trPr>
          <w:trHeight w:val="23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1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61,951</w:t>
            </w:r>
          </w:p>
        </w:tc>
        <w:tc>
          <w:tcPr>
            <w:tcW w:w="100" w:type="dxa"/>
            <w:vAlign w:val="bottom"/>
          </w:tcPr>
          <w:p>
            <w:pPr>
              <w:spacing w:after="0"/>
              <w:rPr>
                <w:sz w:val="20"/>
                <w:szCs w:val="20"/>
                <w:color w:val="auto"/>
              </w:rPr>
            </w:pPr>
          </w:p>
        </w:tc>
      </w:tr>
      <w:tr>
        <w:trPr>
          <w:trHeight w:val="247"/>
        </w:trPr>
        <w:tc>
          <w:tcPr>
            <w:tcW w:w="548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420" w:type="dxa"/>
            <w:vAlign w:val="bottom"/>
            <w:shd w:val="clear" w:color="auto" w:fill="B6DEE8"/>
          </w:tcPr>
          <w:p>
            <w:pPr>
              <w:spacing w:after="0"/>
              <w:rPr>
                <w:sz w:val="21"/>
                <w:szCs w:val="21"/>
                <w:color w:val="auto"/>
              </w:rPr>
            </w:pP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220" w:type="dxa"/>
            <w:vAlign w:val="bottom"/>
            <w:shd w:val="clear" w:color="auto" w:fill="B6DEE8"/>
          </w:tcPr>
          <w:p>
            <w:pPr>
              <w:spacing w:after="0"/>
              <w:rPr>
                <w:sz w:val="21"/>
                <w:szCs w:val="21"/>
                <w:color w:val="auto"/>
              </w:rPr>
            </w:pPr>
          </w:p>
        </w:tc>
        <w:tc>
          <w:tcPr>
            <w:tcW w:w="1400" w:type="dxa"/>
            <w:vAlign w:val="bottom"/>
            <w:shd w:val="clear" w:color="auto" w:fill="B6DEE8"/>
          </w:tcPr>
          <w:p>
            <w:pPr>
              <w:spacing w:after="0"/>
              <w:rPr>
                <w:sz w:val="21"/>
                <w:szCs w:val="21"/>
                <w:color w:val="auto"/>
              </w:rPr>
            </w:pP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19,146</w:t>
            </w:r>
          </w:p>
        </w:tc>
        <w:tc>
          <w:tcPr>
            <w:tcW w:w="100" w:type="dxa"/>
            <w:vAlign w:val="bottom"/>
            <w:shd w:val="clear" w:color="auto" w:fill="B6DEE8"/>
          </w:tcPr>
          <w:p>
            <w:pPr>
              <w:spacing w:after="0"/>
              <w:rPr>
                <w:sz w:val="21"/>
                <w:szCs w:val="21"/>
                <w:color w:val="auto"/>
              </w:rPr>
            </w:pPr>
          </w:p>
        </w:tc>
      </w:tr>
      <w:tr>
        <w:trPr>
          <w:trHeight w:val="23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0"/>
                <w:szCs w:val="20"/>
                <w:color w:val="auto"/>
              </w:rPr>
            </w:pPr>
          </w:p>
        </w:tc>
      </w:tr>
      <w:tr>
        <w:trPr>
          <w:trHeight w:val="247"/>
        </w:trPr>
        <w:tc>
          <w:tcPr>
            <w:tcW w:w="5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420" w:type="dxa"/>
            <w:vAlign w:val="bottom"/>
            <w:shd w:val="clear" w:color="auto" w:fill="B6DEE8"/>
          </w:tcPr>
          <w:p>
            <w:pPr>
              <w:spacing w:after="0"/>
              <w:rPr>
                <w:sz w:val="21"/>
                <w:szCs w:val="21"/>
                <w:color w:val="auto"/>
              </w:rPr>
            </w:pPr>
          </w:p>
        </w:tc>
        <w:tc>
          <w:tcPr>
            <w:tcW w:w="7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400" w:type="dxa"/>
            <w:vAlign w:val="bottom"/>
            <w:shd w:val="clear" w:color="auto" w:fill="B6DEE8"/>
          </w:tcPr>
          <w:p>
            <w:pPr>
              <w:spacing w:after="0"/>
              <w:rPr>
                <w:sz w:val="21"/>
                <w:szCs w:val="21"/>
                <w:color w:val="auto"/>
              </w:rPr>
            </w:pPr>
          </w:p>
        </w:tc>
        <w:tc>
          <w:tcPr>
            <w:tcW w:w="7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Interchange revenue, net</w:t>
            </w:r>
          </w:p>
        </w:tc>
        <w:tc>
          <w:tcPr>
            <w:tcW w:w="1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20"/>
                <w:szCs w:val="20"/>
                <w:color w:val="auto"/>
              </w:rPr>
            </w:pPr>
          </w:p>
        </w:tc>
      </w:tr>
      <w:tr>
        <w:trPr>
          <w:trHeight w:val="247"/>
        </w:trPr>
        <w:tc>
          <w:tcPr>
            <w:tcW w:w="54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ATM revenue, net</w:t>
            </w:r>
          </w:p>
        </w:tc>
        <w:tc>
          <w:tcPr>
            <w:tcW w:w="1420" w:type="dxa"/>
            <w:vAlign w:val="bottom"/>
            <w:shd w:val="clear" w:color="auto" w:fill="B6DEE8"/>
          </w:tcPr>
          <w:p>
            <w:pPr>
              <w:spacing w:after="0"/>
              <w:rPr>
                <w:sz w:val="21"/>
                <w:szCs w:val="21"/>
                <w:color w:val="auto"/>
              </w:rPr>
            </w:pP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20" w:type="dxa"/>
            <w:vAlign w:val="bottom"/>
            <w:shd w:val="clear" w:color="auto" w:fill="B6DEE8"/>
          </w:tcPr>
          <w:p>
            <w:pPr>
              <w:spacing w:after="0"/>
              <w:rPr>
                <w:sz w:val="21"/>
                <w:szCs w:val="21"/>
                <w:color w:val="auto"/>
              </w:rPr>
            </w:pPr>
          </w:p>
        </w:tc>
        <w:tc>
          <w:tcPr>
            <w:tcW w:w="1400" w:type="dxa"/>
            <w:vAlign w:val="bottom"/>
            <w:shd w:val="clear" w:color="auto" w:fill="B6DEE8"/>
          </w:tcPr>
          <w:p>
            <w:pPr>
              <w:spacing w:after="0"/>
              <w:rPr>
                <w:sz w:val="21"/>
                <w:szCs w:val="21"/>
                <w:color w:val="auto"/>
              </w:rPr>
            </w:pPr>
          </w:p>
        </w:tc>
        <w:tc>
          <w:tcPr>
            <w:tcW w:w="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B6DEE8"/>
          </w:tcPr>
          <w:p>
            <w:pPr>
              <w:spacing w:after="0"/>
              <w:rPr>
                <w:sz w:val="21"/>
                <w:szCs w:val="21"/>
                <w:color w:val="auto"/>
              </w:rPr>
            </w:pPr>
          </w:p>
        </w:tc>
      </w:tr>
      <w:tr>
        <w:trPr>
          <w:trHeight w:val="243"/>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22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1"/>
                <w:szCs w:val="21"/>
                <w:color w:val="auto"/>
              </w:rPr>
            </w:pPr>
          </w:p>
        </w:tc>
      </w:tr>
      <w:tr>
        <w:trPr>
          <w:trHeight w:val="277"/>
        </w:trPr>
        <w:tc>
          <w:tcPr>
            <w:tcW w:w="54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1420" w:type="dxa"/>
            <w:vAlign w:val="bottom"/>
            <w:tcBorders>
              <w:bottom w:val="single" w:sz="8" w:color="auto"/>
            </w:tcBorders>
            <w:shd w:val="clear" w:color="auto" w:fill="B6DEE8"/>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259,093</w:t>
            </w:r>
          </w:p>
        </w:tc>
        <w:tc>
          <w:tcPr>
            <w:tcW w:w="220" w:type="dxa"/>
            <w:vAlign w:val="bottom"/>
            <w:tcBorders>
              <w:bottom w:val="single" w:sz="8" w:color="B6DEE8"/>
            </w:tcBorders>
            <w:shd w:val="clear" w:color="auto" w:fill="B6DEE8"/>
          </w:tcPr>
          <w:p>
            <w:pPr>
              <w:spacing w:after="0"/>
              <w:rPr>
                <w:sz w:val="24"/>
                <w:szCs w:val="24"/>
                <w:color w:val="auto"/>
              </w:rPr>
            </w:pPr>
          </w:p>
        </w:tc>
        <w:tc>
          <w:tcPr>
            <w:tcW w:w="1400" w:type="dxa"/>
            <w:vAlign w:val="bottom"/>
            <w:tcBorders>
              <w:bottom w:val="single" w:sz="8" w:color="auto"/>
            </w:tcBorders>
            <w:shd w:val="clear" w:color="auto" w:fill="B6DEE8"/>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204,838</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tips, optional processing fees, and subscriptions charged to Members, net of processor costs associated with advance disbursements. Member advances are treated as financial receivables under ASC 310 Receivables (“ASC 310”) and processing fees, net and tips are also accounted for in accordance with ASC 310.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Processing fees apply when a Member requests an expedited cash advance. At the Member’s election, the Company expedites the funding of advance funds within eight hours of the advance approval, as opposed to the customary two or three business days. Processing fees are nonrefundable loan origination fees and are recognized as revenues over the average expected contractual term of its advances.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years ended December 31, 2023 and 2022, were $3.3 million and $5.5 million,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Tips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encourages, but does not contractually require its Members who receive a cash advance to leave a discretionary tip. The Company treats tips as an adjustment of yield to the advances and are recognized over the average expected contractual term of its advances.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subscriptions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w:t>
      </w:r>
    </w:p>
    <w:p>
      <w:pPr>
        <w:spacing w:after="0" w:line="18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Subscription fees of $1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 and revenue share from its survey partners.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the Member’s usage of out-of-network reduced by related ATM transaction costs during the years ended December 31, 2023 and 2022, were $2.6 million and $2.9 million, respectively. ATM-related fees recognized as a reduction of transaction based revenue during the years ended December 31, 2023 and 2022, were $1.8 million and $0.7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Processor costs consist of amounts paid to third party processors for the recovery of advances, tips, processing fees, and subscriptions. These expenses also include fees paid for services to connect Member’s bank accounts to the Company’s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5" w:name="page76"/>
    <w:bookmarkEnd w:id="75"/>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application. Except for processing and service fees associated with advance disbursements, which are recorded net against revenue, all other processing and service fees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money market mutual fund. The fair value of marketable securities is determined by quoted prices in active markets and changes in fair value are recorded in other (income) expense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consolidated statements of comprehensive loss. Any related amounts recorded in accumulated other comprehensive income are reclassified to earnings (on a pretax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 Advances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Member advances include ExtraCash advances, fees, and tips, net of certain direct origination costs and allowance for credit losses. Management’s intent is to hold advances until the earlier of repayment or payoff date. Members’ cash advances are treated as financial receivables under ASC 310.</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Advances to Members are not interest-bearing. The Company recognizes these advances at the advanced amount and does not use discounting techniques to determine present value of advances due to their short-term nature.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modifications to advances and does not charge late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Member advances from contracts with Members as of the balance sheet dates are recorded at their original advance amounts, inclusive of outstanding processing fees and tips, and reduced by an allowance for expected credit losses. The Company pools its Member advances,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Member advances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remained most indicative of its lifetime expected losses. The Company immediately recognizes an allowance for expected credit losses upon the origination of the advance. Adjustments to the allowance each period for changes in the estimate of lifetime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credit losses are recognized in operating expenses—provision for credit losses in the consolidated statements of operations.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the Company determines that a Member advance is not collectible, or after 120 days from origination has passed, the uncollectible amount is written-off as a reduction to both the allowance and the gross asset balance. Based on the average advance outstanding Member advance term of approximately 11 days, advances outstanding 12 or more days from origination may be considered past due.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consolidated balance sheets as intangible assets, net. Other costs are expensed as incurred and included within other operating expenses in the consolidated statements of operations. Capitalized costs for the years ended December 31, 2023 and 2022, were $7.6 million and $8.6 million, respectively. Additionally, $7.7 million related to the Company's legacy advance application software asset has been fully amortized and written off as of June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20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jc w:val="both"/>
        <w:ind w:left="580" w:right="46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Inputs reflect management’s best estimate of what market participants would use in pricing the asset or liability at the measurement date.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restricted cash, Member advances, and accounts receivable. The Company’s cash and cash equivalents and restricted cash in excess of the Federal Deposit Insurance Corporation insured limits were approximately $40.9 million and $20.7 million at December 31, 2023 and 2022,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Member individually exceeded 10% or more of the Company’s Member advances balances as of December 31, 2023 and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t>and leasehold improvements are limited by the expected lease term. Covenants imposed by the leases include letters of credit required to be obtained by the lessee.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consolidated statements of operations. The Company recognizes forfeitures as they occur.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13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Restricted stock awards (“RSAs”) are valued on the grant date. The fair value of the RSAs is equal to the estimated fair value of the Company’s Common Stock on the grant date. This compensation cost is recognized over the requisite service period as a component of stock-based compensation expense, presented within compensation and benefits in the consolidated statements of operations. The Company recognizes forfeitures as they occur.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for the years ended December 31, 2023 and 2022, were $48.4 million and $69.0 million, respectively, and is presented within advertising and marketing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9" w:name="page80"/>
    <w:bookmarkEnd w:id="79"/>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$1.3 million and $0.9 million of uncertain tax positions as of December 31, 2023 and 2022, respectively, related to state income taxes. and federal and state R&amp;D tax credits.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statement of operations. The Company recognized $0.005 million and $0.005 million of interest expense and penalties as a component of income tax expense during the year ended December 31, 2023 and 2022, respectively. There were $0.016 million and $0.012 million of accrued interest expense and penalties as of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reportable segment.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Stockholders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and Class V Common Stock) issued and outstanding as of December 31, 2023.</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17, Related-Party Transactions for further details on the Company’s Loans to Stockholders).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Diluted net loss per share attributable to holders of common stock adjusts the basic net loss per share attributable to stockholders and the weighted- average number of shares outstanding for the potentially dilutive impact of stock options, warrants, and restricted stock using the treasury stock method and convertible preferred stock using the as-if-converted method.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holders of common stock (in thousands, except share data):</w:t>
      </w:r>
    </w:p>
    <w:p>
      <w:pPr>
        <w:spacing w:after="0" w:line="38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38"/>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87"/>
        </w:trPr>
        <w:tc>
          <w:tcPr>
            <w:tcW w:w="652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8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2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shd w:val="clear" w:color="auto" w:fill="B6DEE8"/>
          </w:tcPr>
          <w:p>
            <w:pPr>
              <w:jc w:val="right"/>
              <w:ind w:right="340"/>
              <w:spacing w:after="0"/>
              <w:rPr>
                <w:sz w:val="20"/>
                <w:szCs w:val="20"/>
                <w:color w:val="auto"/>
              </w:rPr>
            </w:pPr>
            <w:r>
              <w:rPr>
                <w:rFonts w:ascii="Times New Roman" w:cs="Times New Roman" w:eastAsia="Times New Roman" w:hAnsi="Times New Roman"/>
                <w:sz w:val="18"/>
                <w:szCs w:val="18"/>
                <w:color w:val="auto"/>
              </w:rPr>
              <w:t>(48,517 ) $</w:t>
            </w:r>
          </w:p>
        </w:tc>
        <w:tc>
          <w:tcPr>
            <w:tcW w:w="12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(128,906 )</w:t>
            </w:r>
          </w:p>
        </w:tc>
      </w:tr>
      <w:tr>
        <w:trPr>
          <w:trHeight w:val="239"/>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 attributed to common stockholders—basic</w:t>
            </w:r>
          </w:p>
        </w:tc>
        <w:tc>
          <w:tcPr>
            <w:tcW w:w="28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(48,517 )</w:t>
            </w:r>
          </w:p>
        </w:tc>
        <w:tc>
          <w:tcPr>
            <w:tcW w:w="44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(128,906 )</w:t>
            </w:r>
          </w:p>
        </w:tc>
      </w:tr>
      <w:tr>
        <w:trPr>
          <w:trHeight w:val="247"/>
        </w:trPr>
        <w:tc>
          <w:tcPr>
            <w:tcW w:w="6520" w:type="dxa"/>
            <w:vAlign w:val="bottom"/>
            <w:tcBorders>
              <w:bottom w:val="single" w:sz="8" w:color="B6DEE8"/>
            </w:tcBorders>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Add: undistributed earnings reallocated to common stock</w:t>
            </w:r>
          </w:p>
        </w:tc>
        <w:tc>
          <w:tcPr>
            <w:tcW w:w="280" w:type="dxa"/>
            <w:vAlign w:val="bottom"/>
            <w:tcBorders>
              <w:bottom w:val="single" w:sz="8" w:color="auto"/>
            </w:tcBorders>
            <w:shd w:val="clear" w:color="auto" w:fill="B6DEE8"/>
          </w:tcPr>
          <w:p>
            <w:pPr>
              <w:spacing w:after="0"/>
              <w:rPr>
                <w:sz w:val="21"/>
                <w:szCs w:val="21"/>
                <w:color w:val="auto"/>
              </w:rPr>
            </w:pPr>
          </w:p>
        </w:tc>
        <w:tc>
          <w:tcPr>
            <w:tcW w:w="15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spacing w:after="0"/>
              <w:rPr>
                <w:sz w:val="21"/>
                <w:szCs w:val="21"/>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2"/>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 attributed to common stockholders—diluted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(48,517 )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(128,906 )</w:t>
            </w:r>
          </w:p>
        </w:tc>
      </w:tr>
      <w:tr>
        <w:trPr>
          <w:trHeight w:val="247"/>
        </w:trPr>
        <w:tc>
          <w:tcPr>
            <w:tcW w:w="86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516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152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16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189"/>
        </w:trPr>
        <w:tc>
          <w:tcPr>
            <w:tcW w:w="65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8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2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280" w:type="dxa"/>
            <w:vAlign w:val="bottom"/>
            <w:shd w:val="clear" w:color="auto" w:fill="B6DEE8"/>
          </w:tcPr>
          <w:p>
            <w:pPr>
              <w:spacing w:after="0"/>
              <w:rPr>
                <w:sz w:val="21"/>
                <w:szCs w:val="21"/>
                <w:color w:val="auto"/>
              </w:rPr>
            </w:pP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11,934,699</w:t>
            </w:r>
          </w:p>
        </w:tc>
        <w:tc>
          <w:tcPr>
            <w:tcW w:w="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11,587,901</w:t>
            </w:r>
          </w:p>
        </w:tc>
        <w:tc>
          <w:tcPr>
            <w:tcW w:w="100" w:type="dxa"/>
            <w:vAlign w:val="bottom"/>
            <w:shd w:val="clear" w:color="auto" w:fill="B6DEE8"/>
          </w:tcPr>
          <w:p>
            <w:pPr>
              <w:spacing w:after="0"/>
              <w:rPr>
                <w:sz w:val="21"/>
                <w:szCs w:val="21"/>
                <w:color w:val="auto"/>
              </w:rPr>
            </w:pPr>
          </w:p>
        </w:tc>
      </w:tr>
      <w:tr>
        <w:trPr>
          <w:trHeight w:val="243"/>
        </w:trPr>
        <w:tc>
          <w:tcPr>
            <w:tcW w:w="6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Dilutive effect of equity incentive awards</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7"/>
        </w:trPr>
        <w:tc>
          <w:tcPr>
            <w:tcW w:w="652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280" w:type="dxa"/>
            <w:vAlign w:val="bottom"/>
            <w:shd w:val="clear" w:color="auto" w:fill="B6DEE8"/>
          </w:tcPr>
          <w:p>
            <w:pPr>
              <w:spacing w:after="0"/>
              <w:rPr>
                <w:sz w:val="20"/>
                <w:szCs w:val="20"/>
                <w:color w:val="auto"/>
              </w:rPr>
            </w:pPr>
          </w:p>
        </w:tc>
        <w:tc>
          <w:tcPr>
            <w:tcW w:w="1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11,934,699</w:t>
            </w:r>
          </w:p>
        </w:tc>
        <w:tc>
          <w:tcPr>
            <w:tcW w:w="80" w:type="dxa"/>
            <w:vAlign w:val="bottom"/>
            <w:shd w:val="clear" w:color="auto" w:fill="B6DEE8"/>
          </w:tcPr>
          <w:p>
            <w:pPr>
              <w:spacing w:after="0"/>
              <w:rPr>
                <w:sz w:val="20"/>
                <w:szCs w:val="20"/>
                <w:color w:val="auto"/>
              </w:rPr>
            </w:pPr>
          </w:p>
        </w:tc>
        <w:tc>
          <w:tcPr>
            <w:tcW w:w="440" w:type="dxa"/>
            <w:vAlign w:val="bottom"/>
            <w:shd w:val="clear" w:color="auto" w:fill="B6DEE8"/>
          </w:tcPr>
          <w:p>
            <w:pPr>
              <w:spacing w:after="0"/>
              <w:rPr>
                <w:sz w:val="20"/>
                <w:szCs w:val="20"/>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11,587,901</w:t>
            </w:r>
          </w:p>
        </w:tc>
        <w:tc>
          <w:tcPr>
            <w:tcW w:w="100" w:type="dxa"/>
            <w:vAlign w:val="bottom"/>
            <w:shd w:val="clear" w:color="auto" w:fill="B6DEE8"/>
          </w:tcPr>
          <w:p>
            <w:pPr>
              <w:spacing w:after="0"/>
              <w:rPr>
                <w:sz w:val="20"/>
                <w:szCs w:val="20"/>
                <w:color w:val="auto"/>
              </w:rPr>
            </w:pPr>
          </w:p>
        </w:tc>
      </w:tr>
      <w:tr>
        <w:trPr>
          <w:trHeight w:val="243"/>
        </w:trPr>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520" w:type="dxa"/>
            <w:vAlign w:val="bottom"/>
            <w:gridSpan w:val="4"/>
            <w:shd w:val="clear" w:color="auto" w:fill="B6DEE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280" w:type="dxa"/>
            <w:vAlign w:val="bottom"/>
            <w:shd w:val="clear" w:color="auto" w:fill="B6DEE8"/>
          </w:tcPr>
          <w:p>
            <w:pPr>
              <w:spacing w:after="0"/>
              <w:rPr>
                <w:sz w:val="19"/>
                <w:szCs w:val="19"/>
                <w:color w:val="auto"/>
              </w:rPr>
            </w:pPr>
          </w:p>
        </w:tc>
        <w:tc>
          <w:tcPr>
            <w:tcW w:w="1520" w:type="dxa"/>
            <w:vAlign w:val="bottom"/>
            <w:shd w:val="clear" w:color="auto" w:fill="B6DEE8"/>
          </w:tcPr>
          <w:p>
            <w:pPr>
              <w:spacing w:after="0"/>
              <w:rPr>
                <w:sz w:val="19"/>
                <w:szCs w:val="19"/>
                <w:color w:val="auto"/>
              </w:rPr>
            </w:pPr>
          </w:p>
        </w:tc>
        <w:tc>
          <w:tcPr>
            <w:tcW w:w="80" w:type="dxa"/>
            <w:vAlign w:val="bottom"/>
            <w:shd w:val="clear" w:color="auto" w:fill="B6DEE8"/>
          </w:tcPr>
          <w:p>
            <w:pPr>
              <w:spacing w:after="0"/>
              <w:rPr>
                <w:sz w:val="19"/>
                <w:szCs w:val="19"/>
                <w:color w:val="auto"/>
              </w:rPr>
            </w:pPr>
          </w:p>
        </w:tc>
        <w:tc>
          <w:tcPr>
            <w:tcW w:w="440" w:type="dxa"/>
            <w:vAlign w:val="bottom"/>
            <w:shd w:val="clear" w:color="auto" w:fill="B6DEE8"/>
          </w:tcPr>
          <w:p>
            <w:pPr>
              <w:spacing w:after="0"/>
              <w:rPr>
                <w:sz w:val="19"/>
                <w:szCs w:val="19"/>
                <w:color w:val="auto"/>
              </w:rPr>
            </w:pPr>
          </w:p>
        </w:tc>
        <w:tc>
          <w:tcPr>
            <w:tcW w:w="116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13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160" w:type="dxa"/>
            <w:vAlign w:val="bottom"/>
            <w:tcBorders>
              <w:top w:val="single" w:sz="8" w:color="B6DEE8"/>
            </w:tcBorders>
          </w:tcPr>
          <w:p>
            <w:pPr>
              <w:spacing w:after="0"/>
              <w:rPr>
                <w:sz w:val="20"/>
                <w:szCs w:val="20"/>
                <w:color w:val="auto"/>
              </w:rPr>
            </w:pPr>
          </w:p>
        </w:tc>
        <w:tc>
          <w:tcPr>
            <w:tcW w:w="280" w:type="dxa"/>
            <w:vAlign w:val="bottom"/>
            <w:tcBorders>
              <w:top w:val="single" w:sz="8" w:color="B6DEE8"/>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B6DEE8"/>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(4.07 ) $</w:t>
            </w:r>
          </w:p>
        </w:tc>
        <w:tc>
          <w:tcPr>
            <w:tcW w:w="1260" w:type="dxa"/>
            <w:vAlign w:val="bottom"/>
            <w:tcBorders>
              <w:top w:val="single" w:sz="8" w:color="B6DEE8"/>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(11.12 )</w:t>
            </w:r>
          </w:p>
        </w:tc>
      </w:tr>
      <w:tr>
        <w:trPr>
          <w:trHeight w:val="247"/>
        </w:trPr>
        <w:tc>
          <w:tcPr>
            <w:tcW w:w="6520" w:type="dxa"/>
            <w:vAlign w:val="bottom"/>
            <w:gridSpan w:val="4"/>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shd w:val="clear" w:color="auto" w:fill="B6DEE8"/>
          </w:tcPr>
          <w:p>
            <w:pPr>
              <w:jc w:val="right"/>
              <w:ind w:right="340"/>
              <w:spacing w:after="0"/>
              <w:rPr>
                <w:sz w:val="20"/>
                <w:szCs w:val="20"/>
                <w:color w:val="auto"/>
              </w:rPr>
            </w:pPr>
            <w:r>
              <w:rPr>
                <w:rFonts w:ascii="Times New Roman" w:cs="Times New Roman" w:eastAsia="Times New Roman" w:hAnsi="Times New Roman"/>
                <w:sz w:val="18"/>
                <w:szCs w:val="18"/>
                <w:color w:val="auto"/>
              </w:rPr>
              <w:t>(4.07 ) $</w:t>
            </w:r>
          </w:p>
        </w:tc>
        <w:tc>
          <w:tcPr>
            <w:tcW w:w="12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(11.12 )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-1559560</wp:posOffset>
            </wp:positionV>
            <wp:extent cx="596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loss per share for the periods presented because including them would have been antidilutive: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36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41"/>
        </w:trPr>
        <w:tc>
          <w:tcPr>
            <w:tcW w:w="6480" w:type="dxa"/>
            <w:vAlign w:val="bottom"/>
          </w:tcPr>
          <w:p>
            <w:pPr>
              <w:spacing w:after="0"/>
              <w:rPr>
                <w:sz w:val="20"/>
                <w:szCs w:val="20"/>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6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Equity incentive awards</w:t>
            </w:r>
          </w:p>
        </w:tc>
        <w:tc>
          <w:tcPr>
            <w:tcW w:w="1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2,493,468</w:t>
            </w:r>
          </w:p>
        </w:tc>
        <w:tc>
          <w:tcPr>
            <w:tcW w:w="17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1,412,726</w:t>
            </w:r>
          </w:p>
        </w:tc>
        <w:tc>
          <w:tcPr>
            <w:tcW w:w="100" w:type="dxa"/>
            <w:vAlign w:val="bottom"/>
            <w:shd w:val="clear" w:color="auto" w:fill="B6DEE8"/>
          </w:tcPr>
          <w:p>
            <w:pPr>
              <w:spacing w:after="0"/>
              <w:rPr>
                <w:sz w:val="20"/>
                <w:szCs w:val="20"/>
                <w:color w:val="auto"/>
              </w:rPr>
            </w:pP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8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21"/>
                <w:szCs w:val="21"/>
                <w:color w:val="auto"/>
              </w:rPr>
            </w:pPr>
          </w:p>
        </w:tc>
      </w:tr>
      <w:tr>
        <w:trPr>
          <w:trHeight w:val="277"/>
        </w:trPr>
        <w:tc>
          <w:tcPr>
            <w:tcW w:w="64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2,805,968</w:t>
            </w:r>
          </w:p>
        </w:tc>
        <w:tc>
          <w:tcPr>
            <w:tcW w:w="80" w:type="dxa"/>
            <w:vAlign w:val="bottom"/>
            <w:tcBorders>
              <w:bottom w:val="single" w:sz="8" w:color="B6DEE8"/>
            </w:tcBorders>
            <w:shd w:val="clear" w:color="auto" w:fill="B6DEE8"/>
          </w:tcPr>
          <w:p>
            <w:pPr>
              <w:spacing w:after="0"/>
              <w:rPr>
                <w:sz w:val="24"/>
                <w:szCs w:val="24"/>
                <w:color w:val="auto"/>
              </w:rPr>
            </w:pPr>
          </w:p>
        </w:tc>
        <w:tc>
          <w:tcPr>
            <w:tcW w:w="16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1,725,226</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 Improvements to Reportable Segment Disclosures. The amendments require disclosure of incremental segment information on an annual and interim basis. The amendments also require companies with a single reportable segment to provide all disclosures required by this amendment and all existing segment disclosures in Accounting Standards Codification 280, Segment Reporting. The amendments are effective for fiscal years beginning after December 15, 2023, and interim periods beginning after December 15, 2024. The Company expects the adoption of the standard to result in additional segment footnote disclosures.</w:t>
      </w:r>
    </w:p>
    <w:p>
      <w:pPr>
        <w:spacing w:after="0" w:line="18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Accounting Standards Update No. 2023-09, Income Taxes - Improvements to Income Tax Disclosures. The amendments require enhanced disclosures in connection with an entity's effective tax rate reconciliation, income taxes paid disaggregated by jurisdiction, and clarification on uncertain tax positions and related financial statement impacts. The amendments are effective for annual periods beginning after December 15, 2024. The Company does not expect the adoption of the amendments to have a significant impact on its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on Financial Instruments (“ASU 2016-13”)</w:t>
      </w:r>
      <w:r>
        <w:rPr>
          <w:rFonts w:ascii="Times New Roman" w:cs="Times New Roman" w:eastAsia="Times New Roman" w:hAnsi="Times New Roman"/>
          <w:sz w:val="18"/>
          <w:szCs w:val="18"/>
          <w:color w:val="auto"/>
        </w:rPr>
        <w:t>. ASU 2016-13 introduced a new credit loss methodology,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Expected Credit Losses (“CECL”) methodology, which requires earlier recognition of credit losses, while also providing additional transparency about credit risk. The CECL methodology utilizes a lifetime “expected credit loss” measurement objective for the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ind w:right="140"/>
        <w:spacing w:after="0" w:line="261" w:lineRule="auto"/>
        <w:rPr>
          <w:sz w:val="20"/>
          <w:szCs w:val="20"/>
          <w:color w:val="auto"/>
        </w:rPr>
      </w:pPr>
      <w:r>
        <w:rPr>
          <w:rFonts w:ascii="Times New Roman" w:cs="Times New Roman" w:eastAsia="Times New Roman" w:hAnsi="Times New Roman"/>
          <w:sz w:val="18"/>
          <w:szCs w:val="18"/>
          <w:color w:val="auto"/>
        </w:rPr>
        <w:t>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The Company adopted this ASU on January 1, 2023 and determined that ASU 2016-13 had no material impact on the Company’s consolidated financial statements and related disclosures.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which provides optional guidance for accounting for contracts, hedging relationships, and other transactions affected by reference rate reform,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criteria are met. In December 2022, the FASB issued ASU No. 2022-06, Reference Rate Reform (Topic 848), Deferral of the Sunset Date of Topic</w:t>
      </w:r>
    </w:p>
    <w:p>
      <w:pPr>
        <w:spacing w:after="0" w:line="1" w:lineRule="exact"/>
        <w:rPr>
          <w:sz w:val="20"/>
          <w:szCs w:val="20"/>
          <w:color w:val="auto"/>
        </w:rPr>
      </w:pPr>
    </w:p>
    <w:p>
      <w:pPr>
        <w:ind w:firstLine="8"/>
        <w:spacing w:after="0" w:line="253" w:lineRule="auto"/>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consolidated financial statements, and related disclosures, and has determined that the adoption did not have a significant impact on its consolidated financial statements and related disclosures.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360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34"/>
        </w:trPr>
        <w:tc>
          <w:tcPr>
            <w:tcW w:w="28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9"/>
        </w:trPr>
        <w:tc>
          <w:tcPr>
            <w:tcW w:w="28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960" w:type="dxa"/>
            <w:vAlign w:val="bottom"/>
            <w:tcBorders>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B6DEE8"/>
          </w:tcPr>
          <w:p>
            <w:pPr>
              <w:spacing w:after="0"/>
              <w:rPr>
                <w:sz w:val="20"/>
                <w:szCs w:val="20"/>
                <w:color w:val="auto"/>
              </w:rPr>
            </w:pPr>
          </w:p>
        </w:tc>
        <w:tc>
          <w:tcPr>
            <w:tcW w:w="180" w:type="dxa"/>
            <w:vAlign w:val="bottom"/>
            <w:tcBorders>
              <w:bottom w:val="single" w:sz="8" w:color="auto"/>
            </w:tcBorders>
            <w:shd w:val="clear" w:color="auto" w:fill="B6DEE8"/>
          </w:tcPr>
          <w:p>
            <w:pPr>
              <w:spacing w:after="0"/>
              <w:rPr>
                <w:sz w:val="20"/>
                <w:szCs w:val="20"/>
                <w:color w:val="auto"/>
              </w:rPr>
            </w:pPr>
          </w:p>
        </w:tc>
        <w:tc>
          <w:tcPr>
            <w:tcW w:w="4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B6DEE8"/>
            </w:tcBorders>
            <w:shd w:val="clear" w:color="auto" w:fill="B6DEE8"/>
          </w:tcPr>
          <w:p>
            <w:pPr>
              <w:spacing w:after="0"/>
              <w:rPr>
                <w:sz w:val="20"/>
                <w:szCs w:val="20"/>
                <w:color w:val="auto"/>
              </w:rPr>
            </w:pPr>
          </w:p>
        </w:tc>
        <w:tc>
          <w:tcPr>
            <w:tcW w:w="860" w:type="dxa"/>
            <w:vAlign w:val="bottom"/>
            <w:tcBorders>
              <w:bottom w:val="single" w:sz="8" w:color="auto"/>
            </w:tcBorders>
            <w:shd w:val="clear" w:color="auto" w:fill="B6DEE8"/>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B6DEE8"/>
            </w:tcBorders>
            <w:shd w:val="clear" w:color="auto" w:fill="B6DEE8"/>
          </w:tcPr>
          <w:p>
            <w:pPr>
              <w:spacing w:after="0"/>
              <w:rPr>
                <w:sz w:val="20"/>
                <w:szCs w:val="20"/>
                <w:color w:val="auto"/>
              </w:rPr>
            </w:pPr>
          </w:p>
        </w:tc>
      </w:t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9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285</w:t>
            </w:r>
          </w:p>
        </w:tc>
        <w:tc>
          <w:tcPr>
            <w:tcW w:w="100" w:type="dxa"/>
            <w:vAlign w:val="bottom"/>
          </w:tcPr>
          <w:p>
            <w:pPr>
              <w:spacing w:after="0"/>
              <w:rPr>
                <w:sz w:val="20"/>
                <w:szCs w:val="20"/>
                <w:color w:val="auto"/>
              </w:rPr>
            </w:pP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At December 31, 2023 and 2022, the Company’s marketable securities consisted of investments in a publicly traded money market mutual fund. The underlying money market instruments were primarily comprised of certificates of deposit and financial company asset backed commercial paper. At December 31, 2023 and 2022, the investment portfolio had a weighted-average maturity of 40 days and 48 days, respectively. The gain recognized in connection with the investment in marketable securities for the year ended December 31, 2023, was approximately $0.4 million and recorded as a component of interest income in the consolidated statements of operations. The gain recognized in connection with the investment in marketable securities for the year ended December 31, 2022, was $0.4 million and was recorded as a component of interest income in the consolidated statements of operations.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2" w:name="page83"/>
    <w:bookmarkEnd w:id="8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2023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5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25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69,087</w:t>
            </w:r>
          </w:p>
        </w:tc>
        <w:tc>
          <w:tcPr>
            <w:tcW w:w="400" w:type="dxa"/>
            <w:vAlign w:val="bottom"/>
            <w:gridSpan w:val="3"/>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80" w:type="dxa"/>
            <w:vAlign w:val="bottom"/>
            <w:gridSpan w:val="3"/>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shd w:val="clear" w:color="auto" w:fill="B6DEE8"/>
          </w:tcPr>
          <w:p>
            <w:pPr>
              <w:spacing w:after="0"/>
              <w:rPr>
                <w:sz w:val="21"/>
                <w:szCs w:val="21"/>
                <w:color w:val="auto"/>
              </w:rPr>
            </w:pPr>
          </w:p>
        </w:tc>
        <w:tc>
          <w:tcPr>
            <w:tcW w:w="24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100" w:type="dxa"/>
            <w:vAlign w:val="bottom"/>
            <w:shd w:val="clear" w:color="auto" w:fill="B6DEE8"/>
          </w:tcPr>
          <w:p>
            <w:pPr>
              <w:spacing w:after="0"/>
              <w:rPr>
                <w:sz w:val="21"/>
                <w:szCs w:val="21"/>
                <w:color w:val="auto"/>
              </w:rPr>
            </w:pPr>
          </w:p>
        </w:tc>
      </w:tr>
      <w:tr>
        <w:trPr>
          <w:trHeight w:val="239"/>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r>
      <w:tr>
        <w:trPr>
          <w:trHeight w:val="243"/>
        </w:trPr>
        <w:tc>
          <w:tcPr>
            <w:tcW w:w="25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400" w:type="dxa"/>
            <w:vAlign w:val="bottom"/>
            <w:shd w:val="clear" w:color="auto" w:fill="B6DEE8"/>
          </w:tcPr>
          <w:p>
            <w:pPr>
              <w:spacing w:after="0"/>
              <w:rPr>
                <w:sz w:val="21"/>
                <w:szCs w:val="21"/>
                <w:color w:val="auto"/>
              </w:rPr>
            </w:pP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7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1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43,502</w:t>
            </w:r>
          </w:p>
        </w:tc>
        <w:tc>
          <w:tcPr>
            <w:tcW w:w="100" w:type="dxa"/>
            <w:vAlign w:val="bottom"/>
            <w:shd w:val="clear" w:color="auto" w:fill="B6DEE8"/>
          </w:tcPr>
          <w:p>
            <w:pPr>
              <w:spacing w:after="0"/>
              <w:rPr>
                <w:sz w:val="21"/>
                <w:szCs w:val="21"/>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112,577</w:t>
            </w:r>
          </w:p>
        </w:tc>
        <w:tc>
          <w:tcPr>
            <w:tcW w:w="1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(359 )</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113,226</w:t>
            </w:r>
          </w:p>
        </w:tc>
        <w:tc>
          <w:tcPr>
            <w:tcW w:w="100" w:type="dxa"/>
            <w:vAlign w:val="bottom"/>
          </w:tcPr>
          <w:p>
            <w:pPr>
              <w:spacing w:after="0"/>
              <w:rPr>
                <w:sz w:val="20"/>
                <w:szCs w:val="20"/>
                <w:color w:val="auto"/>
              </w:rPr>
            </w:pP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2022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3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Borders>
              <w:top w:val="single" w:sz="8" w:color="auto"/>
            </w:tcBorders>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151,245</w:t>
            </w:r>
          </w:p>
        </w:tc>
        <w:tc>
          <w:tcPr>
            <w:tcW w:w="12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00" w:type="dxa"/>
            <w:vAlign w:val="bottom"/>
            <w:tcBorders>
              <w:top w:val="single" w:sz="8" w:color="auto"/>
            </w:tcBorders>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280" w:type="dxa"/>
            <w:vAlign w:val="bottom"/>
            <w:tcBorders>
              <w:top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B6DEE8"/>
          </w:tcPr>
          <w:p>
            <w:pPr>
              <w:spacing w:after="0"/>
              <w:rPr>
                <w:sz w:val="21"/>
                <w:szCs w:val="21"/>
                <w:color w:val="auto"/>
              </w:rPr>
            </w:pPr>
          </w:p>
        </w:tc>
        <w:tc>
          <w:tcPr>
            <w:tcW w:w="220" w:type="dxa"/>
            <w:vAlign w:val="bottom"/>
            <w:tcBorders>
              <w:top w:val="single" w:sz="8" w:color="auto"/>
            </w:tcBorders>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149,576</w:t>
            </w:r>
          </w:p>
        </w:tc>
        <w:tc>
          <w:tcPr>
            <w:tcW w:w="100" w:type="dxa"/>
            <w:vAlign w:val="bottom"/>
            <w:shd w:val="clear" w:color="auto" w:fill="B6DEE8"/>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00" w:type="dxa"/>
            <w:vAlign w:val="bottom"/>
          </w:tcPr>
          <w:p>
            <w:pPr>
              <w:spacing w:after="0"/>
              <w:rPr>
                <w:sz w:val="20"/>
                <w:szCs w:val="20"/>
                <w:color w:val="auto"/>
              </w:rPr>
            </w:pPr>
          </w:p>
        </w:tc>
      </w:tr>
      <w:tr>
        <w:trPr>
          <w:trHeight w:val="243"/>
        </w:trPr>
        <w:tc>
          <w:tcPr>
            <w:tcW w:w="32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Borders>
              <w:bottom w:val="single" w:sz="8" w:color="auto"/>
            </w:tcBorders>
            <w:shd w:val="clear" w:color="auto" w:fill="B6DEE8"/>
          </w:tcPr>
          <w:p>
            <w:pPr>
              <w:spacing w:after="0"/>
              <w:rPr>
                <w:sz w:val="21"/>
                <w:szCs w:val="21"/>
                <w:color w:val="auto"/>
              </w:rPr>
            </w:pPr>
          </w:p>
        </w:tc>
        <w:tc>
          <w:tcPr>
            <w:tcW w:w="1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300" w:type="dxa"/>
            <w:vAlign w:val="bottom"/>
            <w:tcBorders>
              <w:bottom w:val="single" w:sz="8" w:color="auto"/>
            </w:tcBorders>
            <w:shd w:val="clear" w:color="auto" w:fill="B6DEE8"/>
          </w:tcPr>
          <w:p>
            <w:pPr>
              <w:spacing w:after="0"/>
              <w:rPr>
                <w:sz w:val="21"/>
                <w:szCs w:val="21"/>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280" w:type="dxa"/>
            <w:vAlign w:val="bottom"/>
            <w:tcBorders>
              <w:bottom w:val="single" w:sz="8" w:color="auto"/>
            </w:tcBorders>
            <w:shd w:val="clear" w:color="auto" w:fill="B6DEE8"/>
          </w:tcPr>
          <w:p>
            <w:pPr>
              <w:spacing w:after="0"/>
              <w:rPr>
                <w:sz w:val="21"/>
                <w:szCs w:val="21"/>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220" w:type="dxa"/>
            <w:vAlign w:val="bottom"/>
            <w:tcBorders>
              <w:bottom w:val="single" w:sz="8" w:color="auto"/>
            </w:tcBorders>
            <w:shd w:val="clear" w:color="auto" w:fill="B6DEE8"/>
          </w:tcPr>
          <w:p>
            <w:pPr>
              <w:spacing w:after="0"/>
              <w:rPr>
                <w:sz w:val="21"/>
                <w:szCs w:val="21"/>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170,464</w:t>
            </w:r>
          </w:p>
        </w:tc>
        <w:tc>
          <w:tcPr>
            <w:tcW w:w="5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5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(1,815 )</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168,789</w:t>
            </w:r>
          </w:p>
        </w:tc>
        <w:tc>
          <w:tcPr>
            <w:tcW w:w="100" w:type="dxa"/>
            <w:vAlign w:val="bottom"/>
          </w:tcPr>
          <w:p>
            <w:pPr>
              <w:spacing w:after="0"/>
              <w:rPr>
                <w:sz w:val="20"/>
                <w:szCs w:val="20"/>
                <w:color w:val="auto"/>
              </w:rPr>
            </w:pPr>
          </w:p>
        </w:tc>
      </w:tr>
      <w:tr>
        <w:trPr>
          <w:trHeight w:val="20"/>
        </w:trPr>
        <w:tc>
          <w:tcPr>
            <w:tcW w:w="3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-187960</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-187960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gross unrealized losses and fair values of available-for-sale investment securities that were in unrealized loss positions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21"/>
                <w:szCs w:val="21"/>
                <w:color w:val="auto"/>
              </w:rPr>
            </w:pPr>
          </w:p>
        </w:tc>
        <w:tc>
          <w:tcPr>
            <w:tcW w:w="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3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900" w:type="dxa"/>
            <w:vAlign w:val="bottom"/>
            <w:gridSpan w:val="2"/>
            <w:shd w:val="clear" w:color="auto" w:fill="B6DEE8"/>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w w:val="96"/>
              </w:rPr>
              <w:t>(295 )</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440" w:type="dxa"/>
            <w:vAlign w:val="bottom"/>
            <w:gridSpan w:val="2"/>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2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21"/>
                <w:szCs w:val="21"/>
                <w:color w:val="auto"/>
              </w:rPr>
            </w:pPr>
          </w:p>
        </w:tc>
        <w:tc>
          <w:tcPr>
            <w:tcW w:w="820" w:type="dxa"/>
            <w:vAlign w:val="bottom"/>
            <w:shd w:val="clear" w:color="auto" w:fill="B6DEE8"/>
          </w:tcPr>
          <w:p>
            <w:pPr>
              <w:spacing w:after="0"/>
              <w:rPr>
                <w:sz w:val="21"/>
                <w:szCs w:val="21"/>
                <w:color w:val="auto"/>
              </w:rPr>
            </w:pPr>
          </w:p>
        </w:tc>
        <w:tc>
          <w:tcPr>
            <w:tcW w:w="3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9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2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13,084</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15,263</w:t>
            </w:r>
          </w:p>
        </w:tc>
        <w:tc>
          <w:tcPr>
            <w:tcW w:w="9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(296 )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28,348</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(359 )</w:t>
            </w:r>
          </w:p>
        </w:tc>
      </w:tr>
      <w:tr>
        <w:trPr>
          <w:trHeight w:val="20"/>
        </w:trPr>
        <w:tc>
          <w:tcPr>
            <w:tcW w:w="2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21"/>
                <w:szCs w:val="21"/>
                <w:color w:val="auto"/>
              </w:rPr>
            </w:pPr>
          </w:p>
        </w:tc>
        <w:tc>
          <w:tcPr>
            <w:tcW w:w="8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3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129,573</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(1,769 )</w:t>
            </w: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B6DEE8"/>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129,573</w:t>
            </w:r>
          </w:p>
        </w:tc>
        <w:tc>
          <w:tcPr>
            <w:tcW w:w="440" w:type="dxa"/>
            <w:vAlign w:val="bottom"/>
            <w:gridSpan w:val="2"/>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(1,769 )</w:t>
            </w: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r>
      <w:tr>
        <w:trPr>
          <w:trHeight w:val="243"/>
        </w:trPr>
        <w:tc>
          <w:tcPr>
            <w:tcW w:w="24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Borders>
              <w:bottom w:val="single" w:sz="8" w:color="auto"/>
            </w:tcBorders>
            <w:shd w:val="clear" w:color="auto" w:fill="B6DEE8"/>
          </w:tcPr>
          <w:p>
            <w:pPr>
              <w:spacing w:after="0"/>
              <w:rPr>
                <w:sz w:val="21"/>
                <w:szCs w:val="21"/>
                <w:color w:val="auto"/>
              </w:rPr>
            </w:pPr>
          </w:p>
        </w:tc>
        <w:tc>
          <w:tcPr>
            <w:tcW w:w="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220" w:type="dxa"/>
            <w:vAlign w:val="bottom"/>
            <w:tcBorders>
              <w:bottom w:val="single" w:sz="8" w:color="auto"/>
            </w:tcBorders>
            <w:shd w:val="clear" w:color="auto" w:fill="B6DEE8"/>
          </w:tcPr>
          <w:p>
            <w:pPr>
              <w:spacing w:after="0"/>
              <w:rPr>
                <w:sz w:val="21"/>
                <w:szCs w:val="21"/>
                <w:color w:val="auto"/>
              </w:rPr>
            </w:pPr>
          </w:p>
        </w:tc>
        <w:tc>
          <w:tcPr>
            <w:tcW w:w="1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9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B6DEE8"/>
            </w:tcBorders>
            <w:shd w:val="clear" w:color="auto" w:fill="B6DEE8"/>
          </w:tcPr>
          <w:p>
            <w:pPr>
              <w:spacing w:after="0"/>
              <w:rPr>
                <w:sz w:val="21"/>
                <w:szCs w:val="21"/>
                <w:color w:val="auto"/>
              </w:rPr>
            </w:pPr>
          </w:p>
        </w:tc>
        <w:tc>
          <w:tcPr>
            <w:tcW w:w="820" w:type="dxa"/>
            <w:vAlign w:val="bottom"/>
            <w:tcBorders>
              <w:bottom w:val="single" w:sz="8" w:color="auto"/>
            </w:tcBorders>
            <w:shd w:val="clear" w:color="auto" w:fill="B6DEE8"/>
          </w:tcPr>
          <w:p>
            <w:pPr>
              <w:spacing w:after="0"/>
              <w:rPr>
                <w:sz w:val="21"/>
                <w:szCs w:val="21"/>
                <w:color w:val="auto"/>
              </w:rPr>
            </w:pPr>
          </w:p>
        </w:tc>
        <w:tc>
          <w:tcPr>
            <w:tcW w:w="3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340" w:type="dxa"/>
            <w:vAlign w:val="bottom"/>
            <w:tcBorders>
              <w:bottom w:val="single" w:sz="8" w:color="auto"/>
            </w:tcBorders>
            <w:shd w:val="clear" w:color="auto" w:fill="B6DEE8"/>
          </w:tcPr>
          <w:p>
            <w:pPr>
              <w:spacing w:after="0"/>
              <w:rPr>
                <w:sz w:val="21"/>
                <w:szCs w:val="21"/>
                <w:color w:val="auto"/>
              </w:rPr>
            </w:pPr>
          </w:p>
        </w:tc>
        <w:tc>
          <w:tcPr>
            <w:tcW w:w="8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(1,815 )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140,573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(1,815 )</w:t>
            </w:r>
          </w:p>
        </w:tc>
      </w:tr>
      <w:tr>
        <w:trPr>
          <w:trHeight w:val="20"/>
        </w:trPr>
        <w:tc>
          <w:tcPr>
            <w:tcW w:w="2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-1610995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-1610995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-1610995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-1610995</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-1610995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-187960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-187960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-187960</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gain recorded in connection with investments for the year ended December 31, 2023, was $1.0 million, and was recorded as a component of interest income in the consolidated statements of operations. The loss in connection with the investment in investments for the year ended December 31, 2022 was insignificant and was recorded as a component of interest income in the consolidated statements of operations. Accrued interest of $0.8 million and $1.4 million is included in investments within the consolidated balance sheets for the period ended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3" w:name="page84"/>
    <w:bookmarkEnd w:id="83"/>
    <w:p>
      <w:pPr>
        <w:spacing w:after="0" w:line="258" w:lineRule="auto"/>
        <w:rPr>
          <w:sz w:val="20"/>
          <w:szCs w:val="20"/>
          <w:color w:val="auto"/>
        </w:rPr>
      </w:pPr>
      <w:r>
        <w:rPr>
          <w:rFonts w:ascii="Times New Roman" w:cs="Times New Roman" w:eastAsia="Times New Roman" w:hAnsi="Times New Roman"/>
          <w:sz w:val="18"/>
          <w:szCs w:val="18"/>
          <w:color w:val="auto"/>
        </w:rPr>
        <w:t>Unrealized losses on the available-for-sale investment securities as of December 31, 2023 and December 31, 2022 are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year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contractual maturities of available-for-sale investment securities were as follows (in thousands):</w:t>
      </w:r>
    </w:p>
    <w:p>
      <w:pPr>
        <w:sectPr>
          <w:pgSz w:w="11900" w:h="16838" w:orient="portrait"/>
          <w:cols w:equalWidth="0" w:num="1">
            <w:col w:w="11080"/>
          </w:cols>
          <w:pgMar w:left="320" w:top="1417" w:right="499" w:bottom="1440" w:gutter="0" w:footer="0" w:header="0"/>
        </w:sect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Amortized Cost</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85,697</w:t>
            </w:r>
          </w:p>
        </w:tc>
      </w:tr>
      <w:tr>
        <w:trPr>
          <w:trHeight w:val="24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r>
      <w:tr>
        <w:trPr>
          <w:trHeight w:val="241"/>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112,577</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27507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27507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27507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2750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4230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86,338</w:t>
      </w:r>
    </w:p>
    <w:p>
      <w:pPr>
        <w:spacing w:after="0" w:line="48"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26,888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33020</wp:posOffset>
            </wp:positionV>
            <wp:extent cx="156019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113,226</w:t>
      </w:r>
    </w:p>
    <w:p>
      <w:pPr>
        <w:spacing w:after="0" w:line="296" w:lineRule="exact"/>
        <w:rPr>
          <w:sz w:val="20"/>
          <w:szCs w:val="20"/>
          <w:color w:val="auto"/>
        </w:rPr>
      </w:pPr>
    </w:p>
    <w:p>
      <w:pPr>
        <w:sectPr>
          <w:pgSz w:w="11900" w:h="16838" w:orient="portrait"/>
          <w:cols w:equalWidth="0" w:num="2">
            <w:col w:w="7800" w:space="340"/>
            <w:col w:w="2940"/>
          </w:cols>
          <w:pgMar w:left="320" w:top="141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Member Advances, Net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advances, net, represent outstanding advances, tips, and processing fees, net of direct origination costs, less an allowance for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Member advances, net as of December 31, 2023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Gross Member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Member</w:t>
            </w:r>
          </w:p>
        </w:tc>
      </w:tr>
      <w:tr>
        <w:trPr>
          <w:trHeight w:val="211"/>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Advances, 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1-10</w:t>
            </w:r>
          </w:p>
        </w:tc>
        <w:tc>
          <w:tcPr>
            <w:tcW w:w="3320" w:type="dxa"/>
            <w:vAlign w:val="bottom"/>
            <w:shd w:val="clear" w:color="auto" w:fill="B6DEE8"/>
          </w:tcPr>
          <w:p>
            <w:pPr>
              <w:spacing w:after="0"/>
              <w:rPr>
                <w:sz w:val="20"/>
                <w:szCs w:val="20"/>
                <w:color w:val="auto"/>
              </w:rPr>
            </w:pP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98,553</w:t>
            </w:r>
          </w:p>
        </w:tc>
        <w:tc>
          <w:tcPr>
            <w:tcW w:w="600" w:type="dxa"/>
            <w:vAlign w:val="bottom"/>
            <w:gridSpan w:val="3"/>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(2,676 )</w:t>
            </w:r>
          </w:p>
        </w:tc>
        <w:tc>
          <w:tcPr>
            <w:tcW w:w="220" w:type="dxa"/>
            <w:vAlign w:val="bottom"/>
            <w:shd w:val="clear" w:color="auto" w:fill="B6DEE8"/>
          </w:tcPr>
          <w:p>
            <w:pPr>
              <w:spacing w:after="0"/>
              <w:rPr>
                <w:sz w:val="20"/>
                <w:szCs w:val="20"/>
                <w:color w:val="auto"/>
              </w:rPr>
            </w:pP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95,877</w:t>
            </w:r>
          </w:p>
        </w:tc>
        <w:tc>
          <w:tcPr>
            <w:tcW w:w="100" w:type="dxa"/>
            <w:vAlign w:val="bottom"/>
            <w:shd w:val="clear" w:color="auto" w:fill="B6DEE8"/>
          </w:tcPr>
          <w:p>
            <w:pPr>
              <w:spacing w:after="0"/>
              <w:rPr>
                <w:sz w:val="20"/>
                <w:szCs w:val="20"/>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(4,020 )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r>
      <w:tr>
        <w:trPr>
          <w:trHeight w:val="24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33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(4,576 )</w:t>
            </w:r>
          </w:p>
        </w:tc>
        <w:tc>
          <w:tcPr>
            <w:tcW w:w="2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B6DEE8"/>
          </w:tcPr>
          <w:p>
            <w:pPr>
              <w:spacing w:after="0"/>
              <w:rPr>
                <w:sz w:val="21"/>
                <w:szCs w:val="21"/>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(4,470 )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r>
      <w:tr>
        <w:trPr>
          <w:trHeight w:val="243"/>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33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(4,568 )</w:t>
            </w:r>
          </w:p>
        </w:tc>
        <w:tc>
          <w:tcPr>
            <w:tcW w:w="2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B6DEE8"/>
          </w:tcPr>
          <w:p>
            <w:pPr>
              <w:spacing w:after="0"/>
              <w:rPr>
                <w:sz w:val="21"/>
                <w:szCs w:val="2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133,156</w:t>
            </w:r>
          </w:p>
        </w:tc>
        <w:tc>
          <w:tcPr>
            <w:tcW w:w="100" w:type="dxa"/>
            <w:vAlign w:val="bottom"/>
          </w:tcPr>
          <w:p>
            <w:pPr>
              <w:spacing w:after="0"/>
              <w:rPr>
                <w:sz w:val="20"/>
                <w:szCs w:val="20"/>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(20,310 )</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112,846</w:t>
            </w:r>
          </w:p>
        </w:tc>
        <w:tc>
          <w:tcPr>
            <w:tcW w:w="100" w:type="dxa"/>
            <w:vAlign w:val="bottom"/>
          </w:tcPr>
          <w:p>
            <w:pPr>
              <w:spacing w:after="0"/>
              <w:rPr>
                <w:sz w:val="20"/>
                <w:szCs w:val="20"/>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Member advances, net as of December 31, 2022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Gross Member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Member</w:t>
            </w:r>
          </w:p>
        </w:tc>
      </w:tr>
      <w:tr>
        <w:trPr>
          <w:trHeight w:val="211"/>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Advances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Advances, 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1-10</w:t>
            </w:r>
          </w:p>
        </w:tc>
        <w:tc>
          <w:tcPr>
            <w:tcW w:w="3320" w:type="dxa"/>
            <w:vAlign w:val="bottom"/>
            <w:shd w:val="clear" w:color="auto" w:fill="B6DEE8"/>
          </w:tcPr>
          <w:p>
            <w:pPr>
              <w:spacing w:after="0"/>
              <w:rPr>
                <w:sz w:val="20"/>
                <w:szCs w:val="20"/>
                <w:color w:val="auto"/>
              </w:rPr>
            </w:pP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91,121</w:t>
            </w:r>
          </w:p>
        </w:tc>
        <w:tc>
          <w:tcPr>
            <w:tcW w:w="600" w:type="dxa"/>
            <w:vAlign w:val="bottom"/>
            <w:gridSpan w:val="3"/>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(2,224 )</w:t>
            </w:r>
          </w:p>
        </w:tc>
        <w:tc>
          <w:tcPr>
            <w:tcW w:w="220" w:type="dxa"/>
            <w:vAlign w:val="bottom"/>
            <w:shd w:val="clear" w:color="auto" w:fill="B6DEE8"/>
          </w:tcPr>
          <w:p>
            <w:pPr>
              <w:spacing w:after="0"/>
              <w:rPr>
                <w:sz w:val="20"/>
                <w:szCs w:val="20"/>
                <w:color w:val="auto"/>
              </w:rPr>
            </w:pP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88,897</w:t>
            </w:r>
          </w:p>
        </w:tc>
        <w:tc>
          <w:tcPr>
            <w:tcW w:w="100" w:type="dxa"/>
            <w:vAlign w:val="bottom"/>
            <w:shd w:val="clear" w:color="auto" w:fill="B6DEE8"/>
          </w:tcPr>
          <w:p>
            <w:pPr>
              <w:spacing w:after="0"/>
              <w:rPr>
                <w:sz w:val="20"/>
                <w:szCs w:val="20"/>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(2,582 )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0"/>
                <w:szCs w:val="20"/>
                <w:color w:val="auto"/>
              </w:rPr>
            </w:pPr>
          </w:p>
        </w:tc>
      </w:tr>
      <w:tr>
        <w:trPr>
          <w:trHeight w:val="24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33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(5,529 )</w:t>
            </w:r>
          </w:p>
        </w:tc>
        <w:tc>
          <w:tcPr>
            <w:tcW w:w="2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shd w:val="clear" w:color="auto" w:fill="B6DEE8"/>
          </w:tcPr>
          <w:p>
            <w:pPr>
              <w:spacing w:after="0"/>
              <w:rPr>
                <w:sz w:val="21"/>
                <w:szCs w:val="21"/>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(6,702 )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0"/>
                <w:szCs w:val="20"/>
                <w:color w:val="auto"/>
              </w:rPr>
            </w:pPr>
          </w:p>
        </w:tc>
      </w:tr>
      <w:tr>
        <w:trPr>
          <w:trHeight w:val="243"/>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33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(7,464 )</w:t>
            </w:r>
          </w:p>
        </w:tc>
        <w:tc>
          <w:tcPr>
            <w:tcW w:w="2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B6DEE8"/>
          </w:tcPr>
          <w:p>
            <w:pPr>
              <w:spacing w:after="0"/>
              <w:rPr>
                <w:sz w:val="21"/>
                <w:szCs w:val="2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128,684</w:t>
            </w:r>
          </w:p>
        </w:tc>
        <w:tc>
          <w:tcPr>
            <w:tcW w:w="100" w:type="dxa"/>
            <w:vAlign w:val="bottom"/>
          </w:tcPr>
          <w:p>
            <w:pPr>
              <w:spacing w:after="0"/>
              <w:rPr>
                <w:sz w:val="20"/>
                <w:szCs w:val="20"/>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(24,501 )</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104,183</w:t>
            </w:r>
          </w:p>
        </w:tc>
        <w:tc>
          <w:tcPr>
            <w:tcW w:w="100" w:type="dxa"/>
            <w:vAlign w:val="bottom"/>
          </w:tcPr>
          <w:p>
            <w:pPr>
              <w:spacing w:after="0"/>
              <w:rPr>
                <w:sz w:val="20"/>
                <w:szCs w:val="20"/>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type w:val="continuous"/>
        </w:sectPr>
      </w:pPr>
    </w:p>
    <w:bookmarkStart w:id="84" w:name="page85"/>
    <w:bookmarkEnd w:id="84"/>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allowance for credit losses is as follows (in thousands):</w:t>
            </w:r>
          </w:p>
        </w:tc>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2023</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24,501</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6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2200" w:type="dxa"/>
            <w:vAlign w:val="bottom"/>
            <w:shd w:val="clear" w:color="auto" w:fill="B6DEE8"/>
          </w:tcPr>
          <w:p>
            <w:pPr>
              <w:spacing w:after="0"/>
              <w:rPr>
                <w:sz w:val="21"/>
                <w:szCs w:val="21"/>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58,386</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2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2200" w:type="dxa"/>
            <w:vAlign w:val="bottom"/>
            <w:shd w:val="clear" w:color="auto" w:fill="B6DEE8"/>
          </w:tcPr>
          <w:p>
            <w:pPr>
              <w:spacing w:after="0"/>
              <w:rPr>
                <w:sz w:val="21"/>
                <w:szCs w:val="21"/>
                <w:color w:val="auto"/>
              </w:rPr>
            </w:pPr>
          </w:p>
        </w:tc>
        <w:tc>
          <w:tcPr>
            <w:tcW w:w="14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(75,262 )</w:t>
            </w:r>
          </w:p>
        </w:tc>
      </w:tr>
      <w:tr>
        <w:trPr>
          <w:trHeight w:val="238"/>
        </w:trPr>
        <w:tc>
          <w:tcPr>
            <w:tcW w:w="580" w:type="dxa"/>
            <w:vAlign w:val="bottom"/>
          </w:tcPr>
          <w:p>
            <w:pPr>
              <w:spacing w:after="0"/>
              <w:rPr>
                <w:sz w:val="20"/>
                <w:szCs w:val="20"/>
                <w:color w:val="auto"/>
              </w:rPr>
            </w:pPr>
          </w:p>
        </w:tc>
        <w:tc>
          <w:tcPr>
            <w:tcW w:w="6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2023</w:t>
            </w:r>
          </w:p>
        </w:tc>
        <w:tc>
          <w:tcPr>
            <w:tcW w:w="22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58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2022</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11,995</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6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2200" w:type="dxa"/>
            <w:vAlign w:val="bottom"/>
            <w:shd w:val="clear" w:color="auto" w:fill="B6DEE8"/>
          </w:tcPr>
          <w:p>
            <w:pPr>
              <w:spacing w:after="0"/>
              <w:rPr>
                <w:sz w:val="21"/>
                <w:szCs w:val="21"/>
                <w:color w:val="auto"/>
              </w:rPr>
            </w:pP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66,266</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2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4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2200" w:type="dxa"/>
            <w:vAlign w:val="bottom"/>
            <w:shd w:val="clear" w:color="auto" w:fill="B6DEE8"/>
          </w:tcPr>
          <w:p>
            <w:pPr>
              <w:spacing w:after="0"/>
              <w:rPr>
                <w:sz w:val="21"/>
                <w:szCs w:val="21"/>
                <w:color w:val="auto"/>
              </w:rPr>
            </w:pPr>
          </w:p>
        </w:tc>
        <w:tc>
          <w:tcPr>
            <w:tcW w:w="14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(63,254 )</w:t>
            </w:r>
          </w:p>
        </w:tc>
      </w:tr>
      <w:tr>
        <w:trPr>
          <w:trHeight w:val="239"/>
        </w:trPr>
        <w:tc>
          <w:tcPr>
            <w:tcW w:w="580" w:type="dxa"/>
            <w:vAlign w:val="bottom"/>
          </w:tcPr>
          <w:p>
            <w:pPr>
              <w:spacing w:after="0"/>
              <w:rPr>
                <w:sz w:val="20"/>
                <w:szCs w:val="20"/>
                <w:color w:val="auto"/>
              </w:rPr>
            </w:pPr>
          </w:p>
        </w:tc>
        <w:tc>
          <w:tcPr>
            <w:tcW w:w="6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December 31, 2022</w:t>
            </w:r>
          </w:p>
        </w:tc>
        <w:tc>
          <w:tcPr>
            <w:tcW w:w="22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24,501</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credit losses for the year ended December 31, 2023 was lower compared the year ended December 31, 2022, due primarily to improved collections performance throughout the year and lower amounts outstanding 31 days to 120 days from origination. The increase in amounts written-off for the year ended December 31, 2023 compared to the year ended December 31, 2022, was primarily as result of higher member advance disbursements, which increased from $2,709 million to $3,629 million, offset by improved collections performance year over year.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334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34"/>
        </w:trPr>
        <w:tc>
          <w:tcPr>
            <w:tcW w:w="3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0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20" w:type="dxa"/>
            <w:vAlign w:val="bottom"/>
            <w:shd w:val="clear" w:color="auto" w:fill="B6DEE8"/>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4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80" w:type="dxa"/>
            <w:vAlign w:val="bottom"/>
            <w:gridSpan w:val="2"/>
            <w:shd w:val="clear" w:color="auto" w:fill="B6DE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B6DEE8"/>
          </w:tcPr>
          <w:p>
            <w:pPr>
              <w:spacing w:after="0"/>
              <w:rPr>
                <w:sz w:val="21"/>
                <w:szCs w:val="21"/>
                <w:color w:val="auto"/>
              </w:rPr>
            </w:pPr>
          </w:p>
        </w:tc>
      </w:tr>
      <w:tr>
        <w:trPr>
          <w:trHeight w:val="23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0"/>
                <w:szCs w:val="20"/>
                <w:color w:val="auto"/>
              </w:rPr>
            </w:pPr>
          </w:p>
        </w:tc>
      </w:tr>
      <w:tr>
        <w:trPr>
          <w:trHeight w:val="243"/>
        </w:trPr>
        <w:tc>
          <w:tcPr>
            <w:tcW w:w="30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20" w:type="dxa"/>
            <w:vAlign w:val="bottom"/>
            <w:tcBorders>
              <w:bottom w:val="single" w:sz="8" w:color="auto"/>
            </w:tcBorders>
            <w:shd w:val="clear" w:color="auto" w:fill="B6DEE8"/>
          </w:tcPr>
          <w:p>
            <w:pPr>
              <w:spacing w:after="0"/>
              <w:rPr>
                <w:sz w:val="21"/>
                <w:szCs w:val="21"/>
                <w:color w:val="auto"/>
              </w:rPr>
            </w:pPr>
          </w:p>
        </w:tc>
        <w:tc>
          <w:tcPr>
            <w:tcW w:w="144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4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B6DEE8"/>
            </w:tcBorders>
            <w:shd w:val="clear" w:color="auto" w:fill="B6DEE8"/>
          </w:tcPr>
          <w:p>
            <w:pPr>
              <w:spacing w:after="0"/>
              <w:rPr>
                <w:sz w:val="21"/>
                <w:szCs w:val="21"/>
                <w:color w:val="auto"/>
              </w:rPr>
            </w:pPr>
          </w:p>
        </w:tc>
        <w:tc>
          <w:tcPr>
            <w:tcW w:w="960" w:type="dxa"/>
            <w:vAlign w:val="bottom"/>
            <w:tcBorders>
              <w:bottom w:val="single" w:sz="8" w:color="auto"/>
            </w:tcBorders>
            <w:shd w:val="clear" w:color="auto" w:fill="B6DEE8"/>
          </w:tcPr>
          <w:p>
            <w:pPr>
              <w:spacing w:after="0"/>
              <w:rPr>
                <w:sz w:val="21"/>
                <w:szCs w:val="21"/>
                <w:color w:val="auto"/>
              </w:rPr>
            </w:pPr>
          </w:p>
        </w:tc>
        <w:tc>
          <w:tcPr>
            <w:tcW w:w="202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2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2,404</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100" w:type="dxa"/>
            <w:vAlign w:val="bottom"/>
          </w:tcPr>
          <w:p>
            <w:pPr>
              <w:spacing w:after="0"/>
              <w:rPr>
                <w:sz w:val="20"/>
                <w:szCs w:val="20"/>
                <w:color w:val="auto"/>
              </w:rPr>
            </w:pPr>
          </w:p>
        </w:tc>
      </w:tr>
      <w:tr>
        <w:trPr>
          <w:trHeight w:val="241"/>
        </w:trPr>
        <w:tc>
          <w:tcPr>
            <w:tcW w:w="33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shd w:val="clear" w:color="auto" w:fill="B6DEE8"/>
          </w:tcPr>
          <w:p>
            <w:pPr>
              <w:spacing w:after="0"/>
              <w:rPr>
                <w:sz w:val="20"/>
                <w:szCs w:val="20"/>
                <w:color w:val="auto"/>
              </w:rPr>
            </w:pPr>
          </w:p>
        </w:tc>
        <w:tc>
          <w:tcPr>
            <w:tcW w:w="15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(1,286 )</w:t>
            </w:r>
          </w:p>
        </w:tc>
        <w:tc>
          <w:tcPr>
            <w:tcW w:w="1540" w:type="dxa"/>
            <w:vAlign w:val="bottom"/>
            <w:shd w:val="clear" w:color="auto" w:fill="B6DEE8"/>
          </w:tcPr>
          <w:p>
            <w:pPr>
              <w:spacing w:after="0"/>
              <w:rPr>
                <w:sz w:val="20"/>
                <w:szCs w:val="20"/>
                <w:color w:val="auto"/>
              </w:rPr>
            </w:pPr>
          </w:p>
        </w:tc>
        <w:tc>
          <w:tcPr>
            <w:tcW w:w="15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(726 )</w:t>
            </w:r>
          </w:p>
        </w:tc>
      </w:tr>
      <w:tr>
        <w:trPr>
          <w:trHeight w:val="239"/>
        </w:trPr>
        <w:tc>
          <w:tcPr>
            <w:tcW w:w="3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120" w:type="dxa"/>
            <w:vAlign w:val="bottom"/>
            <w:tcBorders>
              <w:top w:val="single" w:sz="8" w:color="B6DEE8"/>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100" w:type="dxa"/>
            <w:vAlign w:val="bottom"/>
            <w:tcBorders>
              <w:top w:val="single" w:sz="8" w:color="B6DEE8"/>
            </w:tcBorders>
          </w:tcPr>
          <w:p>
            <w:pPr>
              <w:spacing w:after="0"/>
              <w:rPr>
                <w:sz w:val="20"/>
                <w:szCs w:val="20"/>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approximately $0.6 million and $0.4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 Net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(in thousands):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245"/>
        </w:trPr>
        <w:tc>
          <w:tcPr>
            <w:tcW w:w="22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6"/>
              </w:rPr>
              <w:t>December 31, 2022</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7"/>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Useful</w:t>
            </w:r>
          </w:p>
        </w:tc>
        <w:tc>
          <w:tcPr>
            <w:tcW w:w="1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3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22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Lives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1"/>
        </w:trPr>
        <w:tc>
          <w:tcPr>
            <w:tcW w:w="226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Internally developed</w:t>
            </w:r>
          </w:p>
        </w:tc>
        <w:tc>
          <w:tcPr>
            <w:tcW w:w="124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tcBorders>
              <w:top w:val="single" w:sz="8" w:color="auto"/>
            </w:tcBorders>
            <w:shd w:val="clear" w:color="auto" w:fill="B6DEE8"/>
          </w:tcPr>
          <w:p>
            <w:pPr>
              <w:spacing w:after="0"/>
              <w:rPr>
                <w:sz w:val="18"/>
                <w:szCs w:val="18"/>
                <w:color w:val="auto"/>
              </w:rPr>
            </w:pPr>
          </w:p>
        </w:tc>
        <w:tc>
          <w:tcPr>
            <w:tcW w:w="70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460" w:type="dxa"/>
            <w:vAlign w:val="bottom"/>
            <w:tcBorders>
              <w:top w:val="single" w:sz="8" w:color="auto"/>
            </w:tcBorders>
            <w:shd w:val="clear" w:color="auto" w:fill="B6DEE8"/>
          </w:tcPr>
          <w:p>
            <w:pPr>
              <w:spacing w:after="0"/>
              <w:rPr>
                <w:sz w:val="18"/>
                <w:szCs w:val="18"/>
                <w:color w:val="auto"/>
              </w:rPr>
            </w:pPr>
          </w:p>
        </w:tc>
        <w:tc>
          <w:tcPr>
            <w:tcW w:w="74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240" w:type="dxa"/>
            <w:vAlign w:val="bottom"/>
            <w:tcBorders>
              <w:top w:val="single" w:sz="8" w:color="auto"/>
            </w:tcBorders>
            <w:shd w:val="clear" w:color="auto" w:fill="B6DEE8"/>
          </w:tcPr>
          <w:p>
            <w:pPr>
              <w:spacing w:after="0"/>
              <w:rPr>
                <w:sz w:val="18"/>
                <w:szCs w:val="18"/>
                <w:color w:val="auto"/>
              </w:rPr>
            </w:pPr>
          </w:p>
        </w:tc>
        <w:tc>
          <w:tcPr>
            <w:tcW w:w="98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tcBorders>
              <w:top w:val="single" w:sz="8" w:color="auto"/>
            </w:tcBorders>
            <w:shd w:val="clear" w:color="auto" w:fill="B6DEE8"/>
          </w:tcPr>
          <w:p>
            <w:pPr>
              <w:spacing w:after="0"/>
              <w:rPr>
                <w:sz w:val="18"/>
                <w:szCs w:val="18"/>
                <w:color w:val="auto"/>
              </w:rPr>
            </w:pPr>
          </w:p>
        </w:tc>
        <w:tc>
          <w:tcPr>
            <w:tcW w:w="920" w:type="dxa"/>
            <w:vAlign w:val="bottom"/>
            <w:tcBorders>
              <w:top w:val="single" w:sz="8" w:color="auto"/>
              <w:right w:val="single" w:sz="8" w:color="B6DEE8"/>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40" w:type="dxa"/>
            <w:vAlign w:val="bottom"/>
            <w:tcBorders>
              <w:top w:val="single" w:sz="8" w:color="auto"/>
            </w:tcBorders>
            <w:shd w:val="clear" w:color="auto" w:fill="B6DEE8"/>
          </w:tcPr>
          <w:p>
            <w:pPr>
              <w:spacing w:after="0"/>
              <w:rPr>
                <w:sz w:val="18"/>
                <w:szCs w:val="18"/>
                <w:color w:val="auto"/>
              </w:rPr>
            </w:pPr>
          </w:p>
        </w:tc>
        <w:tc>
          <w:tcPr>
            <w:tcW w:w="80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tcBorders>
              <w:top w:val="single" w:sz="8" w:color="auto"/>
            </w:tcBorders>
            <w:shd w:val="clear" w:color="auto" w:fill="B6DEE8"/>
          </w:tcPr>
          <w:p>
            <w:pPr>
              <w:spacing w:after="0"/>
              <w:rPr>
                <w:sz w:val="18"/>
                <w:szCs w:val="18"/>
                <w:color w:val="auto"/>
              </w:rPr>
            </w:pPr>
          </w:p>
        </w:tc>
        <w:tc>
          <w:tcPr>
            <w:tcW w:w="96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r>
      <w:tr>
        <w:trPr>
          <w:trHeight w:val="248"/>
        </w:trPr>
        <w:tc>
          <w:tcPr>
            <w:tcW w:w="226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4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5"/>
              </w:rPr>
              <w:t>3.0 Years</w:t>
            </w: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580" w:type="dxa"/>
            <w:vAlign w:val="bottom"/>
            <w:gridSpan w:val="2"/>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(8,461 )</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32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440" w:type="dxa"/>
            <w:vAlign w:val="bottom"/>
            <w:gridSpan w:val="2"/>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(11,605 ) $</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20" w:type="dxa"/>
            <w:vAlign w:val="bottom"/>
            <w:shd w:val="clear" w:color="auto" w:fill="B6DEE8"/>
          </w:tcPr>
          <w:p>
            <w:pPr>
              <w:spacing w:after="0"/>
              <w:rPr>
                <w:sz w:val="21"/>
                <w:szCs w:val="2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Domain 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15.0 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r>
      <w:tr>
        <w:trPr>
          <w:trHeight w:val="20"/>
        </w:trPr>
        <w:tc>
          <w:tcPr>
            <w:tcW w:w="2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8"/>
        </w:trPr>
        <w:tc>
          <w:tcPr>
            <w:tcW w:w="226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40" w:type="dxa"/>
            <w:vAlign w:val="bottom"/>
            <w:shd w:val="clear" w:color="auto" w:fill="B6DEE8"/>
          </w:tcPr>
          <w:p>
            <w:pPr>
              <w:spacing w:after="0"/>
              <w:rPr>
                <w:sz w:val="22"/>
                <w:szCs w:val="22"/>
                <w:color w:val="auto"/>
              </w:rPr>
            </w:pP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21,722</w:t>
            </w:r>
          </w:p>
        </w:tc>
        <w:tc>
          <w:tcPr>
            <w:tcW w:w="120" w:type="dxa"/>
            <w:vAlign w:val="bottom"/>
            <w:shd w:val="clear" w:color="auto" w:fill="B6DEE8"/>
          </w:tcPr>
          <w:p>
            <w:pPr>
              <w:spacing w:after="0"/>
              <w:rPr>
                <w:sz w:val="22"/>
                <w:szCs w:val="22"/>
                <w:color w:val="auto"/>
              </w:rPr>
            </w:pPr>
          </w:p>
        </w:tc>
        <w:tc>
          <w:tcPr>
            <w:tcW w:w="460" w:type="dxa"/>
            <w:vAlign w:val="bottom"/>
            <w:shd w:val="clear" w:color="auto" w:fill="B6DEE8"/>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(8,516 )</w:t>
            </w: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13,206</w:t>
            </w:r>
          </w:p>
        </w:tc>
        <w:tc>
          <w:tcPr>
            <w:tcW w:w="32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21,815</w:t>
            </w:r>
          </w:p>
        </w:tc>
        <w:tc>
          <w:tcPr>
            <w:tcW w:w="440" w:type="dxa"/>
            <w:vAlign w:val="bottom"/>
            <w:gridSpan w:val="2"/>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(11,652 ) $</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10,163</w:t>
            </w:r>
          </w:p>
        </w:tc>
        <w:tc>
          <w:tcPr>
            <w:tcW w:w="120" w:type="dxa"/>
            <w:vAlign w:val="bottom"/>
            <w:shd w:val="clear" w:color="auto" w:fill="B6DEE8"/>
          </w:tcPr>
          <w:p>
            <w:pPr>
              <w:spacing w:after="0"/>
              <w:rPr>
                <w:sz w:val="22"/>
                <w:szCs w:val="22"/>
                <w:color w:val="auto"/>
              </w:rPr>
            </w:pPr>
          </w:p>
        </w:tc>
      </w:tr>
      <w:tr>
        <w:trPr>
          <w:trHeight w:val="20"/>
        </w:trPr>
        <w:tc>
          <w:tcPr>
            <w:tcW w:w="2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-25400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The future estimated amortization expenses as of December 31, 2023, were as follows (in thousands):</w:t>
            </w:r>
          </w:p>
        </w:tc>
        <w:tc>
          <w:tcPr>
            <w:tcW w:w="1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9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0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B6DEE8"/>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7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0"/>
                <w:szCs w:val="20"/>
                <w:color w:val="auto"/>
              </w:rPr>
            </w:pPr>
          </w:p>
        </w:tc>
      </w:tr>
      <w:tr>
        <w:trPr>
          <w:trHeight w:val="247"/>
        </w:trPr>
        <w:tc>
          <w:tcPr>
            <w:tcW w:w="79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700" w:type="dxa"/>
            <w:vAlign w:val="bottom"/>
            <w:shd w:val="clear" w:color="auto" w:fill="B6DEE8"/>
          </w:tcPr>
          <w:p>
            <w:pPr>
              <w:spacing w:after="0"/>
              <w:rPr>
                <w:sz w:val="21"/>
                <w:szCs w:val="21"/>
                <w:color w:val="auto"/>
              </w:rPr>
            </w:pPr>
          </w:p>
        </w:tc>
        <w:tc>
          <w:tcPr>
            <w:tcW w:w="15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shd w:val="clear" w:color="auto" w:fill="B6DEE8"/>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7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3"/>
        </w:trPr>
        <w:tc>
          <w:tcPr>
            <w:tcW w:w="7940" w:type="dxa"/>
            <w:vAlign w:val="bottom"/>
            <w:tcBorders>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auto"/>
            </w:tcBorders>
            <w:shd w:val="clear" w:color="auto" w:fill="B6DEE8"/>
          </w:tcPr>
          <w:p>
            <w:pPr>
              <w:spacing w:after="0"/>
              <w:rPr>
                <w:sz w:val="21"/>
                <w:szCs w:val="21"/>
                <w:color w:val="auto"/>
              </w:rPr>
            </w:pPr>
          </w:p>
        </w:tc>
        <w:tc>
          <w:tcPr>
            <w:tcW w:w="15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7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13,206</w:t>
            </w:r>
          </w:p>
        </w:tc>
        <w:tc>
          <w:tcPr>
            <w:tcW w:w="100" w:type="dxa"/>
            <w:vAlign w:val="bottom"/>
          </w:tcPr>
          <w:p>
            <w:pPr>
              <w:spacing w:after="0"/>
              <w:rPr>
                <w:sz w:val="20"/>
                <w:szCs w:val="20"/>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2023 and 2022, was $4.9 million and $6.3 million, respectively. No impairment charges were recognized related to long-lived assets for the years ended December 31, 2023 and 2022.</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change in useful life of a certain definite-lived intangible asset for the year ended December 31, 2023 was $0.3 million, respectively. Amortization expense related to change in useful life of a certain definite-lived intangible asset for the year ended December 31, 2022 was $2.7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r>
      <w:tr>
        <w:trPr>
          <w:trHeight w:val="243"/>
        </w:trPr>
        <w:tc>
          <w:tcPr>
            <w:tcW w:w="52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260" w:type="dxa"/>
            <w:vAlign w:val="bottom"/>
            <w:shd w:val="clear" w:color="auto" w:fill="B6DEE8"/>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52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B6DEE8"/>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0"/>
                <w:szCs w:val="20"/>
                <w:color w:val="auto"/>
              </w:rPr>
            </w:pPr>
          </w:p>
        </w:tc>
      </w:tr>
      <w:tr>
        <w:trPr>
          <w:trHeight w:val="247"/>
        </w:trPr>
        <w:tc>
          <w:tcPr>
            <w:tcW w:w="52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60" w:type="dxa"/>
            <w:vAlign w:val="bottom"/>
            <w:shd w:val="clear" w:color="auto" w:fill="B6DEE8"/>
          </w:tcPr>
          <w:p>
            <w:pPr>
              <w:spacing w:after="0"/>
              <w:rPr>
                <w:sz w:val="21"/>
                <w:szCs w:val="21"/>
                <w:color w:val="auto"/>
              </w:rPr>
            </w:pPr>
          </w:p>
        </w:tc>
        <w:tc>
          <w:tcPr>
            <w:tcW w:w="2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B6DEE8"/>
          </w:tcPr>
          <w:p>
            <w:pPr>
              <w:spacing w:after="0"/>
              <w:rPr>
                <w:sz w:val="21"/>
                <w:szCs w:val="21"/>
                <w:color w:val="auto"/>
              </w:rPr>
            </w:pPr>
          </w:p>
        </w:tc>
        <w:tc>
          <w:tcPr>
            <w:tcW w:w="420" w:type="dxa"/>
            <w:vAlign w:val="bottom"/>
            <w:shd w:val="clear" w:color="auto" w:fill="B6DEE8"/>
          </w:tcPr>
          <w:p>
            <w:pPr>
              <w:spacing w:after="0"/>
              <w:rPr>
                <w:sz w:val="21"/>
                <w:szCs w:val="21"/>
                <w:color w:val="auto"/>
              </w:rPr>
            </w:pPr>
          </w:p>
        </w:tc>
        <w:tc>
          <w:tcPr>
            <w:tcW w:w="1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B6DEE8"/>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B6DEE8"/>
          </w:tcPr>
          <w:p>
            <w:pPr>
              <w:spacing w:after="0"/>
              <w:rPr>
                <w:sz w:val="21"/>
                <w:szCs w:val="21"/>
                <w:color w:val="auto"/>
              </w:rPr>
            </w:pPr>
          </w:p>
        </w:tc>
        <w:tc>
          <w:tcPr>
            <w:tcW w:w="2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B6DEE8"/>
            </w:tcBorders>
            <w:shd w:val="clear" w:color="auto" w:fill="B6DEE8"/>
          </w:tcPr>
          <w:p>
            <w:pPr>
              <w:spacing w:after="0"/>
              <w:rPr>
                <w:sz w:val="21"/>
                <w:szCs w:val="21"/>
                <w:color w:val="auto"/>
              </w:rPr>
            </w:pPr>
          </w:p>
        </w:tc>
        <w:tc>
          <w:tcPr>
            <w:tcW w:w="420" w:type="dxa"/>
            <w:vAlign w:val="bottom"/>
            <w:tcBorders>
              <w:bottom w:val="single" w:sz="8" w:color="auto"/>
            </w:tcBorders>
            <w:shd w:val="clear" w:color="auto" w:fill="B6DEE8"/>
          </w:tcPr>
          <w:p>
            <w:pPr>
              <w:spacing w:after="0"/>
              <w:rPr>
                <w:sz w:val="21"/>
                <w:szCs w:val="21"/>
                <w:color w:val="auto"/>
              </w:rPr>
            </w:pPr>
          </w:p>
        </w:tc>
        <w:tc>
          <w:tcPr>
            <w:tcW w:w="19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10,965</w:t>
            </w:r>
          </w:p>
        </w:tc>
        <w:tc>
          <w:tcPr>
            <w:tcW w:w="100" w:type="dxa"/>
            <w:vAlign w:val="bottom"/>
          </w:tcPr>
          <w:p>
            <w:pPr>
              <w:spacing w:after="0"/>
              <w:rPr>
                <w:sz w:val="20"/>
                <w:szCs w:val="20"/>
                <w:color w:val="auto"/>
              </w:rPr>
            </w:pPr>
          </w:p>
        </w:tc>
      </w:tr>
      <w:tr>
        <w:trPr>
          <w:trHeight w:val="20"/>
        </w:trPr>
        <w:tc>
          <w:tcPr>
            <w:tcW w:w="5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-187960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Accrued charitable contributions includes amounts the Company has pledged related to charitable meal donations. The Company uses a portion of tips received to make a charitable cash donation to third parties who use the funds to provide meals to those in need. For the years ended December 31, 2023 and 2022, the Company pledged $5.1 million and $3.2 million related to charitable donations, respectively. These costs are expensed as incurred and are presented within other general and administrative expenses in the consolidated statements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(dollars in thousands):</w:t>
      </w:r>
    </w:p>
    <w:p>
      <w:pPr>
        <w:spacing w:after="0" w:line="33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500" w:type="dxa"/>
            <w:vAlign w:val="bottom"/>
            <w:shd w:val="clear" w:color="auto" w:fill="B6DEE8"/>
          </w:tcPr>
          <w:p>
            <w:pPr>
              <w:spacing w:after="0"/>
              <w:rPr>
                <w:sz w:val="20"/>
                <w:szCs w:val="20"/>
                <w:color w:val="auto"/>
              </w:rPr>
            </w:pPr>
          </w:p>
        </w:tc>
        <w:tc>
          <w:tcPr>
            <w:tcW w:w="3500" w:type="dxa"/>
            <w:vAlign w:val="bottom"/>
            <w:gridSpan w:val="2"/>
            <w:shd w:val="clear" w:color="auto" w:fill="B6DEE8"/>
          </w:tcPr>
          <w:p>
            <w:pPr>
              <w:ind w:left="20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2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460" w:type="dxa"/>
            <w:vAlign w:val="bottom"/>
            <w:shd w:val="clear" w:color="auto" w:fill="B6DEE8"/>
          </w:tcPr>
          <w:p>
            <w:pPr>
              <w:spacing w:after="0"/>
              <w:rPr>
                <w:sz w:val="20"/>
                <w:szCs w:val="20"/>
                <w:color w:val="auto"/>
              </w:rPr>
            </w:pPr>
          </w:p>
        </w:tc>
        <w:tc>
          <w:tcPr>
            <w:tcW w:w="2120" w:type="dxa"/>
            <w:vAlign w:val="bottom"/>
            <w:gridSpan w:val="4"/>
            <w:shd w:val="clear" w:color="auto" w:fill="B6DEE8"/>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9"/>
        </w:trPr>
        <w:tc>
          <w:tcPr>
            <w:tcW w:w="350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040" w:type="dxa"/>
            <w:vAlign w:val="bottom"/>
            <w:tcBorders>
              <w:top w:val="single" w:sz="8" w:color="B6DEE8"/>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w w:val="93"/>
              </w:rPr>
              <w:t>3,150</w:t>
            </w:r>
          </w:p>
        </w:tc>
        <w:tc>
          <w:tcPr>
            <w:tcW w:w="560" w:type="dxa"/>
            <w:vAlign w:val="bottom"/>
            <w:tcBorders>
              <w:top w:val="single" w:sz="8" w:color="B6DEE8"/>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B6DEE8"/>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4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w w:val="93"/>
              </w:rPr>
              <w:t>3,150</w:t>
            </w:r>
          </w:p>
        </w:tc>
        <w:tc>
          <w:tcPr>
            <w:tcW w:w="100" w:type="dxa"/>
            <w:vAlign w:val="bottom"/>
            <w:tcBorders>
              <w:top w:val="single" w:sz="8" w:color="B6DEE8"/>
            </w:tcBorders>
          </w:tcPr>
          <w:p>
            <w:pPr>
              <w:spacing w:after="0"/>
              <w:rPr>
                <w:sz w:val="20"/>
                <w:szCs w:val="20"/>
                <w:color w:val="auto"/>
              </w:rPr>
            </w:pPr>
          </w:p>
        </w:tc>
      </w:tr>
      <w:tr>
        <w:trPr>
          <w:trHeight w:val="243"/>
        </w:trPr>
        <w:tc>
          <w:tcPr>
            <w:tcW w:w="35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Borders>
              <w:bottom w:val="single" w:sz="8" w:color="auto"/>
            </w:tcBorders>
            <w:shd w:val="clear" w:color="auto" w:fill="B6DEE8"/>
          </w:tcPr>
          <w:p>
            <w:pPr>
              <w:spacing w:after="0"/>
              <w:rPr>
                <w:sz w:val="21"/>
                <w:szCs w:val="21"/>
                <w:color w:val="auto"/>
              </w:rPr>
            </w:pPr>
          </w:p>
        </w:tc>
        <w:tc>
          <w:tcPr>
            <w:tcW w:w="1460" w:type="dxa"/>
            <w:vAlign w:val="bottom"/>
            <w:tcBorders>
              <w:bottom w:val="single" w:sz="8" w:color="auto"/>
            </w:tcBorders>
            <w:shd w:val="clear" w:color="auto" w:fill="B6DEE8"/>
          </w:tcPr>
          <w:p>
            <w:pPr>
              <w:spacing w:after="0"/>
              <w:rPr>
                <w:sz w:val="21"/>
                <w:szCs w:val="21"/>
                <w:color w:val="auto"/>
              </w:rPr>
            </w:pPr>
          </w:p>
        </w:tc>
        <w:tc>
          <w:tcPr>
            <w:tcW w:w="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B6DEE8"/>
            </w:tcBorders>
            <w:shd w:val="clear" w:color="auto" w:fill="B6DEE8"/>
          </w:tcPr>
          <w:p>
            <w:pPr>
              <w:spacing w:after="0"/>
              <w:rPr>
                <w:sz w:val="21"/>
                <w:szCs w:val="21"/>
                <w:color w:val="auto"/>
              </w:rPr>
            </w:pPr>
          </w:p>
        </w:tc>
        <w:tc>
          <w:tcPr>
            <w:tcW w:w="460" w:type="dxa"/>
            <w:vAlign w:val="bottom"/>
            <w:tcBorders>
              <w:bottom w:val="single" w:sz="8" w:color="auto"/>
            </w:tcBorders>
            <w:shd w:val="clear" w:color="auto" w:fill="B6DEE8"/>
          </w:tcPr>
          <w:p>
            <w:pPr>
              <w:spacing w:after="0"/>
              <w:rPr>
                <w:sz w:val="21"/>
                <w:szCs w:val="21"/>
                <w:color w:val="auto"/>
              </w:rPr>
            </w:pPr>
          </w:p>
        </w:tc>
        <w:tc>
          <w:tcPr>
            <w:tcW w:w="2020" w:type="dxa"/>
            <w:vAlign w:val="bottom"/>
            <w:tcBorders>
              <w:bottom w:val="single" w:sz="8" w:color="auto"/>
            </w:tcBorders>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3,865</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4,311</w:t>
            </w:r>
          </w:p>
        </w:tc>
        <w:tc>
          <w:tcPr>
            <w:tcW w:w="100" w:type="dxa"/>
            <w:vAlign w:val="bottom"/>
          </w:tcPr>
          <w:p>
            <w:pPr>
              <w:spacing w:after="0"/>
              <w:rPr>
                <w:sz w:val="20"/>
                <w:szCs w:val="20"/>
                <w:color w:val="auto"/>
              </w:rPr>
            </w:pPr>
          </w:p>
        </w:tc>
      </w:tr>
      <w:tr>
        <w:trPr>
          <w:trHeight w:val="20"/>
        </w:trPr>
        <w:tc>
          <w:tcPr>
            <w:tcW w:w="35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Other current liabilities includes deferred transaction costs associated with the Business Combination. These transaction costs were also capitalized and included within APIC in the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Convertible Note Payable</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(“Note Purchase Agreement”) with FTX Ventures Ltd., (the “Purchaser”) owner of FTX US (“FTX”), providing for the purchase and sale of a convertible note in the initial principal amount of $100.0 million (the “Note”). The Note bears interest at a rate of 3.00% per year (compounded semiannually), payable semi-annually in arrears on June 30th and December 31st of each year.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6" w:name="page87"/>
    <w:bookmarkEnd w:id="86"/>
    <w:p>
      <w:pPr>
        <w:ind w:right="100"/>
        <w:spacing w:after="0" w:line="261" w:lineRule="auto"/>
        <w:rPr>
          <w:sz w:val="20"/>
          <w:szCs w:val="20"/>
          <w:color w:val="auto"/>
        </w:rPr>
      </w:pPr>
      <w:r>
        <w:rPr>
          <w:rFonts w:ascii="Times New Roman" w:cs="Times New Roman" w:eastAsia="Times New Roman" w:hAnsi="Times New Roman"/>
          <w:sz w:val="18"/>
          <w:szCs w:val="18"/>
          <w:color w:val="auto"/>
        </w:rPr>
        <w:t>Interest may be paid in-kind or in cash, at the Company’s option. Forty-eight months (the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2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$320.00 per share of Common Stock (the “Conversion Price”). The Conversion Price of</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21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canceled and retired.</w:t>
      </w:r>
    </w:p>
    <w:p>
      <w:pPr>
        <w:spacing w:after="0" w:line="21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effective interest rate as of December 31, 2023 was 3.01%. As of December 31, 2023, the outstanding balance of the Note, including paid in-kind interest, was $105.5 million.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29, 2024, the Company repurchased the $105.5 million outstanding balance of the Note as of December 31, 2023 for $71.0 million. For more information on the Purchase Agreement with FTX Ventures, see Note 21, Subsequent Events.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 Liabilities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2023,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7" w:name="page88"/>
    <w:bookmarkEnd w:id="87"/>
    <w:p>
      <w:pPr>
        <w:spacing w:after="0" w:line="1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Public Warrants and the Private Warrants have an exercise price of $368.00 per share, subject to adjustments and will expire five years after the completion of the Business Combination or earlier upon redemption or liquidation.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when the price per share of Class A Common Stock equals or exceeds $576.00: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 for cash:</w:t>
      </w:r>
    </w:p>
    <w:p>
      <w:pPr>
        <w:spacing w:after="0" w:line="117"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right="280" w:firstLine="8"/>
        <w:spacing w:after="0" w:line="266" w:lineRule="auto"/>
        <w:tabs>
          <w:tab w:leader="none" w:pos="4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for when the price per share of Class A Common Stock equals or exceeds $320.00: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4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67" w:lineRule="exact"/>
        <w:rPr>
          <w:rFonts w:ascii="Times New Roman" w:cs="Times New Roman" w:eastAsia="Times New Roman" w:hAnsi="Times New Roman"/>
          <w:sz w:val="18"/>
          <w:szCs w:val="18"/>
          <w:color w:val="auto"/>
        </w:rPr>
      </w:pPr>
    </w:p>
    <w:p>
      <w:pPr>
        <w:ind w:right="200" w:firstLine="8"/>
        <w:spacing w:after="0" w:line="282" w:lineRule="auto"/>
        <w:tabs>
          <w:tab w:leader="none" w:pos="42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w:t>
      </w:r>
    </w:p>
    <w:p>
      <w:pPr>
        <w:spacing w:after="0" w:line="2" w:lineRule="exact"/>
        <w:rPr>
          <w:sz w:val="20"/>
          <w:szCs w:val="20"/>
          <w:color w:val="auto"/>
        </w:rPr>
      </w:pPr>
    </w:p>
    <w:p>
      <w:pPr>
        <w:ind w:firstLine="8"/>
        <w:spacing w:after="0" w:line="253"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Immediately prior to the close of the Business Combination, all, or 1,664,394 of the vested warrants were exercised and net settled for 14,087 shares of Legacy Dave’s Class A Common Stock after applying the Exchange Ratio.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 Facility</w:t>
      </w:r>
    </w:p>
    <w:p>
      <w:pPr>
        <w:spacing w:after="0" w:line="13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In January 2021, Dave OD Funding I, LLC (“Borrower”) entered into a delayed draw senior secured loan facility (the “Debt Facility”) with Victory Park Management, LLC (“Agent”), and allowed the Borrower to draw up to $100 million from various lenders (the “Lenders”) associated with Victory Park Management, LLC.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$8.0 million.</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 million of the Borrower's obligations under the Debt Facility has been terminated.</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the Company had drawn $75.0 million on the Debt Facility and had made no repayments.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Third Amendment was accounted for as a debt modification and, accordingly, the Company capitalized $0.4 million of financing costs, which will be recognized within the statement of operations evenly through maturity date of the Debt Facility, and no gain or loss was recognized. As of December 31, 2023, the Company was in compliance with all covenants.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w:t>
      </w:r>
    </w:p>
    <w:p>
      <w:pPr>
        <w:spacing w:after="0" w:line="162"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Martinsek v. Dave Inc.</w:t>
      </w:r>
      <w:r>
        <w:rPr>
          <w:rFonts w:ascii="Times New Roman" w:cs="Times New Roman" w:eastAsia="Times New Roman" w:hAnsi="Times New Roman"/>
          <w:sz w:val="18"/>
          <w:szCs w:val="18"/>
          <w:color w:val="auto"/>
        </w:rPr>
        <w:t xml:space="preserve"> (filed January 9, 2020 in the California Superior Court for the County of Los Angeles)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Company settled this matter in January 2023 for approximately $6.0 million which is included in the Legal settlement accrual within the consolidated balance sheet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Stoffers v. Dave Inc.</w:t>
      </w:r>
      <w:r>
        <w:rPr>
          <w:rFonts w:ascii="Times New Roman" w:cs="Times New Roman" w:eastAsia="Times New Roman" w:hAnsi="Times New Roman"/>
          <w:sz w:val="18"/>
          <w:szCs w:val="18"/>
          <w:color w:val="auto"/>
        </w:rPr>
        <w:t xml:space="preserve"> (filed September 16, 2020 in LA County Superior Court)</w:t>
      </w:r>
    </w:p>
    <w:p>
      <w:pPr>
        <w:spacing w:after="0" w:line="2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This is a purported class action lawsuit filed in connection with a July 2020 data breach, asserting consumer protection and contract claims and seeking compensatory damages, punitive damages, injunctive relief and attorney's fees on behalf of a California class. The Company is in the process of settling this matter on a classwide basis, and the estimated settlement amount of approximately $3.2 million is included in the Legal settlement accrual within the consolidated balance sheets for the years ended December 31, 2023 and December 31, 2022.</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recorded an estimated legal settlement expense of $4.1 million relating to individual claims arising from the July 2020 data breach. During 2023, the Company paid $3.9 million of the estimated $4.1 million in legal settlement expense. The Company plans on settling the remaining amounts in Q1 2024. Legal settlement amounts of approximately $0.2 million are included in the Legal settlement accrual within the consolidated balance sheets for the years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75" w:lineRule="exact"/>
        <w:rPr>
          <w:sz w:val="20"/>
          <w:szCs w:val="20"/>
          <w:color w:val="auto"/>
        </w:rPr>
      </w:pPr>
    </w:p>
    <w:p>
      <w:pPr>
        <w:ind w:left="140" w:right="680"/>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with PCJW Properties LLC (“PCJW”) for office space located in Los Angeles, California. The lease term is seven years, beginning January 1, 2019 and ending December 31, 2025. Monthly rent is $0.02 million, subject to an annual escalation of 5%.</w:t>
      </w:r>
    </w:p>
    <w:p>
      <w:pPr>
        <w:spacing w:after="0" w:line="176" w:lineRule="exact"/>
        <w:rPr>
          <w:sz w:val="20"/>
          <w:szCs w:val="20"/>
          <w:color w:val="auto"/>
        </w:rPr>
      </w:pPr>
    </w:p>
    <w:p>
      <w:pPr>
        <w:ind w:left="140" w:right="20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$0.006 million, subject to an annual escalation of 4%.</w:t>
      </w:r>
    </w:p>
    <w:p>
      <w:pPr>
        <w:spacing w:after="0" w:line="207" w:lineRule="exact"/>
        <w:rPr>
          <w:sz w:val="20"/>
          <w:szCs w:val="20"/>
          <w:color w:val="auto"/>
        </w:rPr>
      </w:pPr>
    </w:p>
    <w:p>
      <w:pPr>
        <w:ind w:left="140" w:right="220"/>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a sublease with Whalerock for general office space in West Hollywood, California. Under the terms of the sublease, the lease term is approximately 12 months and the monthly rent is $0.14 million. The Company began utilizing the office space in June 2021. The lease was abandoned in August of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spacing w:after="0" w:line="18" w:lineRule="exact"/>
        <w:rPr>
          <w:sz w:val="20"/>
          <w:szCs w:val="20"/>
          <w:color w:val="auto"/>
        </w:rPr>
      </w:pPr>
    </w:p>
    <w:p>
      <w:pPr>
        <w:ind w:left="140" w:right="440"/>
        <w:spacing w:after="0" w:line="266"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consolidated statements of operations. The Company does not have any finance leases or sublease arrangements where the Company is the sublessor. The Company’s leasing activities are as follows (in thousands):</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62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spacing w:after="0"/>
              <w:rPr>
                <w:sz w:val="21"/>
                <w:szCs w:val="21"/>
                <w:color w:val="auto"/>
              </w:rPr>
            </w:pPr>
          </w:p>
        </w:tc>
        <w:tc>
          <w:tcPr>
            <w:tcW w:w="1280" w:type="dxa"/>
            <w:vAlign w:val="bottom"/>
            <w:tcBorders>
              <w:top w:val="single" w:sz="8" w:color="auto"/>
            </w:tcBorders>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B6DEE8"/>
          </w:tcPr>
          <w:p>
            <w:pPr>
              <w:spacing w:after="0"/>
              <w:rPr>
                <w:sz w:val="21"/>
                <w:szCs w:val="21"/>
                <w:color w:val="auto"/>
              </w:rPr>
            </w:pPr>
          </w:p>
        </w:tc>
        <w:tc>
          <w:tcPr>
            <w:tcW w:w="34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B6DEE8"/>
          </w:tcPr>
          <w:p>
            <w:pPr>
              <w:spacing w:after="0"/>
              <w:rPr>
                <w:sz w:val="21"/>
                <w:szCs w:val="21"/>
                <w:color w:val="auto"/>
              </w:rPr>
            </w:pPr>
          </w:p>
        </w:tc>
        <w:tc>
          <w:tcPr>
            <w:tcW w:w="1200" w:type="dxa"/>
            <w:vAlign w:val="bottom"/>
            <w:tcBorders>
              <w:top w:val="single" w:sz="8" w:color="auto"/>
            </w:tcBorders>
            <w:shd w:val="clear" w:color="auto" w:fill="B6DEE8"/>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40" w:type="dxa"/>
            <w:vAlign w:val="bottom"/>
          </w:tcPr>
          <w:p>
            <w:pPr>
              <w:spacing w:after="0"/>
              <w:rPr>
                <w:sz w:val="20"/>
                <w:szCs w:val="20"/>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9"/>
        </w:trPr>
        <w:tc>
          <w:tcPr>
            <w:tcW w:w="440" w:type="dxa"/>
            <w:vAlign w:val="bottom"/>
          </w:tcPr>
          <w:p>
            <w:pPr>
              <w:spacing w:after="0"/>
              <w:rPr>
                <w:sz w:val="24"/>
                <w:szCs w:val="24"/>
                <w:color w:val="auto"/>
              </w:rPr>
            </w:pPr>
          </w:p>
        </w:tc>
        <w:tc>
          <w:tcPr>
            <w:tcW w:w="624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20" w:type="dxa"/>
            <w:vAlign w:val="bottom"/>
          </w:tcPr>
          <w:p>
            <w:pPr>
              <w:spacing w:after="0"/>
              <w:rPr>
                <w:sz w:val="24"/>
                <w:szCs w:val="24"/>
                <w:color w:val="auto"/>
              </w:rPr>
            </w:pPr>
          </w:p>
        </w:tc>
        <w:tc>
          <w:tcPr>
            <w:tcW w:w="1280" w:type="dxa"/>
            <w:vAlign w:val="bottom"/>
            <w:tcBorders>
              <w:bottom w:val="single" w:sz="8" w:color="auto"/>
            </w:tcBorders>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shd w:val="clear" w:color="auto" w:fill="B6DEE8"/>
          </w:tcPr>
          <w:p>
            <w:pPr>
              <w:spacing w:after="0"/>
              <w:rPr>
                <w:sz w:val="24"/>
                <w:szCs w:val="24"/>
                <w:color w:val="auto"/>
              </w:rPr>
            </w:pPr>
          </w:p>
        </w:tc>
        <w:tc>
          <w:tcPr>
            <w:tcW w:w="3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00" w:type="dxa"/>
            <w:vAlign w:val="bottom"/>
            <w:tcBorders>
              <w:bottom w:val="single" w:sz="8" w:color="B6DEE8"/>
            </w:tcBorders>
            <w:shd w:val="clear" w:color="auto" w:fill="B6DEE8"/>
          </w:tcPr>
          <w:p>
            <w:pPr>
              <w:spacing w:after="0"/>
              <w:rPr>
                <w:sz w:val="24"/>
                <w:szCs w:val="24"/>
                <w:color w:val="auto"/>
              </w:rPr>
            </w:pPr>
          </w:p>
        </w:tc>
        <w:tc>
          <w:tcPr>
            <w:tcW w:w="1200" w:type="dxa"/>
            <w:vAlign w:val="bottom"/>
            <w:tcBorders>
              <w:bottom w:val="single" w:sz="8" w:color="auto"/>
            </w:tcBorders>
            <w:shd w:val="clear" w:color="auto" w:fill="B6DEE8"/>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2,179</w:t>
            </w:r>
          </w:p>
        </w:tc>
        <w:tc>
          <w:tcPr>
            <w:tcW w:w="100" w:type="dxa"/>
            <w:vAlign w:val="bottom"/>
            <w:tcBorders>
              <w:bottom w:val="single" w:sz="8" w:color="B6DEE8"/>
            </w:tcBorders>
            <w:shd w:val="clear" w:color="auto" w:fill="B6DEE8"/>
          </w:tcPr>
          <w:p>
            <w:pPr>
              <w:spacing w:after="0"/>
              <w:rPr>
                <w:sz w:val="24"/>
                <w:szCs w:val="24"/>
                <w:color w:val="auto"/>
              </w:rPr>
            </w:pPr>
          </w:p>
        </w:tc>
        <w:tc>
          <w:tcPr>
            <w:tcW w:w="60" w:type="dxa"/>
            <w:vAlign w:val="bottom"/>
          </w:tcPr>
          <w:p>
            <w:pPr>
              <w:spacing w:after="0"/>
              <w:rPr>
                <w:sz w:val="24"/>
                <w:szCs w:val="24"/>
                <w:color w:val="auto"/>
              </w:rPr>
            </w:pPr>
          </w:p>
        </w:tc>
      </w:tr>
      <w:tr>
        <w:trPr>
          <w:trHeight w:val="428"/>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0" w:type="dxa"/>
            <w:vAlign w:val="bottom"/>
          </w:tcPr>
          <w:p>
            <w:pPr>
              <w:spacing w:after="0"/>
              <w:rPr>
                <w:sz w:val="21"/>
                <w:szCs w:val="21"/>
                <w:color w:val="auto"/>
              </w:rPr>
            </w:pPr>
          </w:p>
        </w:tc>
        <w:tc>
          <w:tcPr>
            <w:tcW w:w="636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280" w:type="dxa"/>
            <w:vAlign w:val="bottom"/>
            <w:tcBorders>
              <w:top w:val="single" w:sz="8" w:color="auto"/>
            </w:tcBorders>
            <w:shd w:val="clear" w:color="auto" w:fill="B6DEE8"/>
          </w:tcPr>
          <w:p>
            <w:pPr>
              <w:spacing w:after="0"/>
              <w:rPr>
                <w:sz w:val="21"/>
                <w:szCs w:val="21"/>
                <w:color w:val="auto"/>
              </w:rPr>
            </w:pPr>
          </w:p>
        </w:tc>
        <w:tc>
          <w:tcPr>
            <w:tcW w:w="160" w:type="dxa"/>
            <w:vAlign w:val="bottom"/>
            <w:tcBorders>
              <w:top w:val="single" w:sz="8" w:color="auto"/>
            </w:tcBorders>
            <w:shd w:val="clear" w:color="auto" w:fill="B6DEE8"/>
          </w:tcPr>
          <w:p>
            <w:pPr>
              <w:spacing w:after="0"/>
              <w:rPr>
                <w:sz w:val="21"/>
                <w:szCs w:val="21"/>
                <w:color w:val="auto"/>
              </w:rPr>
            </w:pPr>
          </w:p>
        </w:tc>
        <w:tc>
          <w:tcPr>
            <w:tcW w:w="340" w:type="dxa"/>
            <w:vAlign w:val="bottom"/>
            <w:tcBorders>
              <w:top w:val="single" w:sz="8" w:color="auto"/>
            </w:tcBorders>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0" w:type="dxa"/>
            <w:vAlign w:val="bottom"/>
            <w:tcBorders>
              <w:top w:val="single" w:sz="8" w:color="auto"/>
            </w:tcBorders>
            <w:shd w:val="clear" w:color="auto" w:fill="B6DEE8"/>
          </w:tcPr>
          <w:p>
            <w:pPr>
              <w:spacing w:after="0"/>
              <w:rPr>
                <w:sz w:val="21"/>
                <w:szCs w:val="21"/>
                <w:color w:val="auto"/>
              </w:rPr>
            </w:pPr>
          </w:p>
        </w:tc>
        <w:tc>
          <w:tcPr>
            <w:tcW w:w="560" w:type="dxa"/>
            <w:vAlign w:val="bottom"/>
            <w:tcBorders>
              <w:top w:val="single" w:sz="8" w:color="auto"/>
            </w:tcBorders>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4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3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40" w:type="dxa"/>
            <w:vAlign w:val="bottom"/>
          </w:tcPr>
          <w:p>
            <w:pPr>
              <w:spacing w:after="0"/>
              <w:rPr>
                <w:sz w:val="21"/>
                <w:szCs w:val="21"/>
                <w:color w:val="auto"/>
              </w:rPr>
            </w:pPr>
          </w:p>
        </w:tc>
        <w:tc>
          <w:tcPr>
            <w:tcW w:w="636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128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B6DEE8"/>
          </w:tcPr>
          <w:p>
            <w:pPr>
              <w:spacing w:after="0"/>
              <w:rPr>
                <w:sz w:val="21"/>
                <w:szCs w:val="21"/>
                <w:color w:val="auto"/>
              </w:rPr>
            </w:pPr>
          </w:p>
        </w:tc>
        <w:tc>
          <w:tcPr>
            <w:tcW w:w="1200" w:type="dxa"/>
            <w:vAlign w:val="bottom"/>
            <w:shd w:val="clear" w:color="auto" w:fill="B6DEE8"/>
          </w:tcPr>
          <w:p>
            <w:pPr>
              <w:spacing w:after="0"/>
              <w:rPr>
                <w:sz w:val="21"/>
                <w:szCs w:val="21"/>
                <w:color w:val="auto"/>
              </w:rPr>
            </w:pP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4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441"/>
        </w:trPr>
        <w:tc>
          <w:tcPr>
            <w:tcW w:w="8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future minimum lease payments as of December 31, 2023, were as follows (in thousands):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r>
      <w:tr>
        <w:trPr>
          <w:trHeight w:val="20"/>
        </w:trPr>
        <w:tc>
          <w:tcPr>
            <w:tcW w:w="4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62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B6DEE8"/>
          </w:tcPr>
          <w:p>
            <w:pPr>
              <w:spacing w:after="0"/>
              <w:rPr>
                <w:sz w:val="20"/>
                <w:szCs w:val="20"/>
                <w:color w:val="auto"/>
              </w:rPr>
            </w:pPr>
          </w:p>
        </w:tc>
        <w:tc>
          <w:tcPr>
            <w:tcW w:w="1280" w:type="dxa"/>
            <w:vAlign w:val="bottom"/>
            <w:shd w:val="clear" w:color="auto" w:fill="B6DEE8"/>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B6DEE8"/>
          </w:tcPr>
          <w:p>
            <w:pPr>
              <w:spacing w:after="0"/>
              <w:rPr>
                <w:sz w:val="20"/>
                <w:szCs w:val="20"/>
                <w:color w:val="auto"/>
              </w:rPr>
            </w:pPr>
          </w:p>
        </w:tc>
        <w:tc>
          <w:tcPr>
            <w:tcW w:w="1200" w:type="dxa"/>
            <w:vAlign w:val="bottom"/>
            <w:shd w:val="clear" w:color="auto" w:fill="B6DEE8"/>
          </w:tcPr>
          <w:p>
            <w:pPr>
              <w:spacing w:after="0"/>
              <w:rPr>
                <w:sz w:val="20"/>
                <w:szCs w:val="20"/>
                <w:color w:val="auto"/>
              </w:rPr>
            </w:pP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B6DEE8"/>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40" w:type="dxa"/>
            <w:vAlign w:val="bottom"/>
          </w:tcPr>
          <w:p>
            <w:pPr>
              <w:spacing w:after="0"/>
              <w:rPr>
                <w:sz w:val="20"/>
                <w:szCs w:val="20"/>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40" w:type="dxa"/>
            <w:vAlign w:val="bottom"/>
          </w:tcPr>
          <w:p>
            <w:pPr>
              <w:spacing w:after="0"/>
              <w:rPr>
                <w:sz w:val="21"/>
                <w:szCs w:val="21"/>
                <w:color w:val="auto"/>
              </w:rPr>
            </w:pPr>
          </w:p>
        </w:tc>
        <w:tc>
          <w:tcPr>
            <w:tcW w:w="62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B6DEE8"/>
          </w:tcPr>
          <w:p>
            <w:pPr>
              <w:spacing w:after="0"/>
              <w:rPr>
                <w:sz w:val="21"/>
                <w:szCs w:val="21"/>
                <w:color w:val="auto"/>
              </w:rPr>
            </w:pPr>
          </w:p>
        </w:tc>
        <w:tc>
          <w:tcPr>
            <w:tcW w:w="1280" w:type="dxa"/>
            <w:vAlign w:val="bottom"/>
            <w:shd w:val="clear" w:color="auto" w:fill="B6DEE8"/>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0" w:type="dxa"/>
            <w:vAlign w:val="bottom"/>
            <w:shd w:val="clear" w:color="auto" w:fill="B6DEE8"/>
          </w:tcPr>
          <w:p>
            <w:pPr>
              <w:spacing w:after="0"/>
              <w:rPr>
                <w:sz w:val="21"/>
                <w:szCs w:val="21"/>
                <w:color w:val="auto"/>
              </w:rPr>
            </w:pP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40" w:type="dxa"/>
            <w:vAlign w:val="bottom"/>
          </w:tcPr>
          <w:p>
            <w:pPr>
              <w:spacing w:after="0"/>
              <w:rPr>
                <w:sz w:val="20"/>
                <w:szCs w:val="20"/>
                <w:color w:val="auto"/>
              </w:rPr>
            </w:pPr>
          </w:p>
        </w:tc>
        <w:tc>
          <w:tcPr>
            <w:tcW w:w="6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40" w:type="dxa"/>
            <w:vAlign w:val="bottom"/>
          </w:tcPr>
          <w:p>
            <w:pPr>
              <w:spacing w:after="0"/>
              <w:rPr>
                <w:sz w:val="20"/>
                <w:szCs w:val="20"/>
                <w:color w:val="auto"/>
              </w:rPr>
            </w:pPr>
          </w:p>
        </w:tc>
        <w:tc>
          <w:tcPr>
            <w:tcW w:w="6360" w:type="dxa"/>
            <w:vAlign w:val="bottom"/>
            <w:tcBorders>
              <w:bottom w:val="single" w:sz="8" w:color="auto"/>
            </w:tcBorders>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280" w:type="dxa"/>
            <w:vAlign w:val="bottom"/>
            <w:tcBorders>
              <w:bottom w:val="single" w:sz="8" w:color="auto"/>
            </w:tcBorders>
            <w:shd w:val="clear" w:color="auto" w:fill="B6DEE8"/>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B6DEE8"/>
          </w:tcPr>
          <w:p>
            <w:pPr>
              <w:spacing w:after="0"/>
              <w:rPr>
                <w:sz w:val="20"/>
                <w:szCs w:val="20"/>
                <w:color w:val="auto"/>
              </w:rPr>
            </w:pPr>
          </w:p>
        </w:tc>
        <w:tc>
          <w:tcPr>
            <w:tcW w:w="1200" w:type="dxa"/>
            <w:vAlign w:val="bottom"/>
            <w:tcBorders>
              <w:bottom w:val="single" w:sz="8" w:color="auto"/>
            </w:tcBorders>
            <w:shd w:val="clear" w:color="auto" w:fill="B6DEE8"/>
          </w:tcPr>
          <w:p>
            <w:pPr>
              <w:spacing w:after="0"/>
              <w:rPr>
                <w:sz w:val="20"/>
                <w:szCs w:val="20"/>
                <w:color w:val="auto"/>
              </w:rPr>
            </w:pP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Borders>
              <w:bottom w:val="single" w:sz="8" w:color="B6DEE8"/>
            </w:tcBorders>
            <w:shd w:val="clear" w:color="auto" w:fill="B6DEE8"/>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40" w:type="dxa"/>
            <w:vAlign w:val="bottom"/>
          </w:tcPr>
          <w:p>
            <w:pPr>
              <w:spacing w:after="0"/>
              <w:rPr>
                <w:sz w:val="20"/>
                <w:szCs w:val="20"/>
                <w:color w:val="auto"/>
              </w:rPr>
            </w:pPr>
          </w:p>
        </w:tc>
        <w:tc>
          <w:tcPr>
            <w:tcW w:w="6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(132 )</w:t>
            </w:r>
          </w:p>
        </w:tc>
        <w:tc>
          <w:tcPr>
            <w:tcW w:w="60" w:type="dxa"/>
            <w:vAlign w:val="bottom"/>
          </w:tcPr>
          <w:p>
            <w:pPr>
              <w:spacing w:after="0"/>
              <w:rPr>
                <w:sz w:val="20"/>
                <w:szCs w:val="20"/>
                <w:color w:val="auto"/>
              </w:rPr>
            </w:pPr>
          </w:p>
        </w:tc>
      </w:tr>
      <w:tr>
        <w:trPr>
          <w:trHeight w:val="279"/>
        </w:trPr>
        <w:tc>
          <w:tcPr>
            <w:tcW w:w="440" w:type="dxa"/>
            <w:vAlign w:val="bottom"/>
          </w:tcPr>
          <w:p>
            <w:pPr>
              <w:spacing w:after="0"/>
              <w:rPr>
                <w:sz w:val="24"/>
                <w:szCs w:val="24"/>
                <w:color w:val="auto"/>
              </w:rPr>
            </w:pPr>
          </w:p>
        </w:tc>
        <w:tc>
          <w:tcPr>
            <w:tcW w:w="6360" w:type="dxa"/>
            <w:vAlign w:val="bottom"/>
            <w:tcBorders>
              <w:top w:val="single" w:sz="8" w:color="auto"/>
              <w:bottom w:val="single" w:sz="8" w:color="auto"/>
            </w:tcBorders>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80" w:type="dxa"/>
            <w:vAlign w:val="bottom"/>
            <w:tcBorders>
              <w:top w:val="single" w:sz="8" w:color="auto"/>
              <w:bottom w:val="single" w:sz="8" w:color="auto"/>
            </w:tcBorders>
            <w:shd w:val="clear" w:color="auto" w:fill="B6DEE8"/>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bottom w:val="single" w:sz="8" w:color="auto"/>
            </w:tcBorders>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shd w:val="clear" w:color="auto" w:fill="B6DEE8"/>
          </w:tcPr>
          <w:p>
            <w:pPr>
              <w:spacing w:after="0"/>
              <w:rPr>
                <w:sz w:val="24"/>
                <w:szCs w:val="24"/>
                <w:color w:val="auto"/>
              </w:rPr>
            </w:pPr>
          </w:p>
        </w:tc>
        <w:tc>
          <w:tcPr>
            <w:tcW w:w="1200" w:type="dxa"/>
            <w:vAlign w:val="bottom"/>
            <w:tcBorders>
              <w:top w:val="single" w:sz="8" w:color="auto"/>
              <w:bottom w:val="single" w:sz="8" w:color="auto"/>
            </w:tcBorders>
            <w:shd w:val="clear" w:color="auto" w:fill="B6DEE8"/>
          </w:tcPr>
          <w:p>
            <w:pPr>
              <w:spacing w:after="0"/>
              <w:rPr>
                <w:sz w:val="24"/>
                <w:szCs w:val="24"/>
                <w:color w:val="auto"/>
              </w:rPr>
            </w:pPr>
          </w:p>
        </w:tc>
        <w:tc>
          <w:tcPr>
            <w:tcW w:w="5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tcBorders>
              <w:bottom w:val="single" w:sz="8" w:color="B6DEE8"/>
            </w:tcBorders>
            <w:shd w:val="clear" w:color="auto" w:fill="B6DEE8"/>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-2802255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-2785110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-2802255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-2785110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of Financial Instruments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December 31, 2023 and 2022, using quoted prices in active markets for identical assets (Level 1), significant other observable inputs (Level 2), and significant unobservable inputs (Level 3)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shd w:val="clear" w:color="auto" w:fill="B6DEE8"/>
          </w:tcPr>
          <w:p>
            <w:pPr>
              <w:spacing w:after="0"/>
              <w:rPr>
                <w:sz w:val="20"/>
                <w:szCs w:val="20"/>
                <w:color w:val="auto"/>
              </w:rPr>
            </w:pPr>
          </w:p>
        </w:tc>
        <w:tc>
          <w:tcPr>
            <w:tcW w:w="42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B6DEE8"/>
          </w:tcPr>
          <w:p>
            <w:pPr>
              <w:spacing w:after="0"/>
              <w:rPr>
                <w:sz w:val="20"/>
                <w:szCs w:val="20"/>
                <w:color w:val="auto"/>
              </w:rPr>
            </w:pPr>
          </w:p>
        </w:tc>
        <w:tc>
          <w:tcPr>
            <w:tcW w:w="94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820" w:type="dxa"/>
            <w:vAlign w:val="bottom"/>
            <w:shd w:val="clear" w:color="auto" w:fill="B6DEE8"/>
          </w:tcPr>
          <w:p>
            <w:pPr>
              <w:spacing w:after="0"/>
              <w:rPr>
                <w:sz w:val="20"/>
                <w:szCs w:val="20"/>
                <w:color w:val="auto"/>
              </w:rPr>
            </w:pPr>
          </w:p>
        </w:tc>
        <w:tc>
          <w:tcPr>
            <w:tcW w:w="320" w:type="dxa"/>
            <w:vAlign w:val="bottom"/>
            <w:shd w:val="clear" w:color="auto" w:fill="B6DEE8"/>
          </w:tcPr>
          <w:p>
            <w:pPr>
              <w:spacing w:after="0"/>
              <w:rPr>
                <w:sz w:val="20"/>
                <w:szCs w:val="20"/>
                <w:color w:val="auto"/>
              </w:rPr>
            </w:pPr>
          </w:p>
        </w:tc>
        <w:tc>
          <w:tcPr>
            <w:tcW w:w="1160" w:type="dxa"/>
            <w:vAlign w:val="bottom"/>
            <w:shd w:val="clear" w:color="auto" w:fill="B6DEE8"/>
          </w:tcPr>
          <w:p>
            <w:pPr>
              <w:spacing w:after="0"/>
              <w:rPr>
                <w:sz w:val="20"/>
                <w:szCs w:val="20"/>
                <w:color w:val="auto"/>
              </w:rPr>
            </w:pPr>
          </w:p>
        </w:tc>
        <w:tc>
          <w:tcPr>
            <w:tcW w:w="380" w:type="dxa"/>
            <w:vAlign w:val="bottom"/>
            <w:shd w:val="clear" w:color="auto" w:fill="B6DEE8"/>
          </w:tcPr>
          <w:p>
            <w:pPr>
              <w:spacing w:after="0"/>
              <w:rPr>
                <w:sz w:val="20"/>
                <w:szCs w:val="20"/>
                <w:color w:val="auto"/>
              </w:rPr>
            </w:pPr>
          </w:p>
        </w:tc>
        <w:tc>
          <w:tcPr>
            <w:tcW w:w="280" w:type="dxa"/>
            <w:vAlign w:val="bottom"/>
            <w:shd w:val="clear" w:color="auto" w:fill="B6DEE8"/>
          </w:tcPr>
          <w:p>
            <w:pPr>
              <w:spacing w:after="0"/>
              <w:rPr>
                <w:sz w:val="20"/>
                <w:szCs w:val="20"/>
                <w:color w:val="auto"/>
              </w:rPr>
            </w:pPr>
          </w:p>
        </w:tc>
        <w:tc>
          <w:tcPr>
            <w:tcW w:w="360" w:type="dxa"/>
            <w:vAlign w:val="bottom"/>
            <w:shd w:val="clear" w:color="auto" w:fill="B6DEE8"/>
          </w:tcPr>
          <w:p>
            <w:pPr>
              <w:spacing w:after="0"/>
              <w:rPr>
                <w:sz w:val="20"/>
                <w:szCs w:val="20"/>
                <w:color w:val="auto"/>
              </w:rPr>
            </w:pPr>
          </w:p>
        </w:tc>
        <w:tc>
          <w:tcPr>
            <w:tcW w:w="126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B6DEE8"/>
            </w:tcBorders>
            <w:shd w:val="clear" w:color="auto" w:fill="B6DEE8"/>
          </w:tcPr>
          <w:p>
            <w:pPr>
              <w:spacing w:after="0"/>
              <w:rPr>
                <w:sz w:val="21"/>
                <w:szCs w:val="21"/>
                <w:color w:val="auto"/>
              </w:rPr>
            </w:pPr>
          </w:p>
        </w:tc>
        <w:tc>
          <w:tcPr>
            <w:tcW w:w="4260" w:type="dxa"/>
            <w:vAlign w:val="bottom"/>
            <w:tcBorders>
              <w:bottom w:val="single" w:sz="8" w:color="B6DEE8"/>
            </w:tcBorders>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113,226</w:t>
            </w:r>
          </w:p>
        </w:tc>
        <w:tc>
          <w:tcPr>
            <w:tcW w:w="320" w:type="dxa"/>
            <w:vAlign w:val="bottom"/>
            <w:tcBorders>
              <w:bottom w:val="single" w:sz="8" w:color="B6DEE8"/>
            </w:tcBorders>
            <w:shd w:val="clear" w:color="auto" w:fill="B6DEE8"/>
          </w:tcPr>
          <w:p>
            <w:pPr>
              <w:spacing w:after="0"/>
              <w:rPr>
                <w:sz w:val="21"/>
                <w:szCs w:val="21"/>
                <w:color w:val="auto"/>
              </w:rPr>
            </w:pPr>
          </w:p>
        </w:tc>
        <w:tc>
          <w:tcPr>
            <w:tcW w:w="1160" w:type="dxa"/>
            <w:vAlign w:val="bottom"/>
            <w:tcBorders>
              <w:bottom w:val="single" w:sz="8" w:color="auto"/>
            </w:tcBorders>
            <w:shd w:val="clear" w:color="auto" w:fill="B6DEE8"/>
          </w:tcPr>
          <w:p>
            <w:pPr>
              <w:spacing w:after="0"/>
              <w:rPr>
                <w:sz w:val="21"/>
                <w:szCs w:val="21"/>
                <w:color w:val="auto"/>
              </w:rPr>
            </w:pPr>
          </w:p>
        </w:tc>
        <w:tc>
          <w:tcPr>
            <w:tcW w:w="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B6DEE8"/>
            </w:tcBorders>
            <w:shd w:val="clear" w:color="auto" w:fill="B6DEE8"/>
          </w:tcPr>
          <w:p>
            <w:pPr>
              <w:spacing w:after="0"/>
              <w:rPr>
                <w:sz w:val="21"/>
                <w:szCs w:val="21"/>
                <w:color w:val="auto"/>
              </w:rPr>
            </w:pPr>
          </w:p>
        </w:tc>
        <w:tc>
          <w:tcPr>
            <w:tcW w:w="360" w:type="dxa"/>
            <w:vAlign w:val="bottom"/>
            <w:tcBorders>
              <w:bottom w:val="single" w:sz="8" w:color="auto"/>
            </w:tcBorders>
            <w:shd w:val="clear" w:color="auto" w:fill="B6DEE8"/>
          </w:tcPr>
          <w:p>
            <w:pPr>
              <w:spacing w:after="0"/>
              <w:rPr>
                <w:sz w:val="21"/>
                <w:szCs w:val="21"/>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113,226</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113,226</w:t>
            </w:r>
          </w:p>
        </w:tc>
        <w:tc>
          <w:tcPr>
            <w:tcW w:w="1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114,178</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shd w:val="clear" w:color="auto" w:fill="B6DEE8"/>
          </w:tcPr>
          <w:p>
            <w:pPr>
              <w:spacing w:after="0"/>
              <w:rPr>
                <w:sz w:val="19"/>
                <w:szCs w:val="19"/>
                <w:color w:val="auto"/>
              </w:rPr>
            </w:pPr>
          </w:p>
        </w:tc>
        <w:tc>
          <w:tcPr>
            <w:tcW w:w="42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shd w:val="clear" w:color="auto" w:fill="B6DEE8"/>
          </w:tcPr>
          <w:p>
            <w:pPr>
              <w:spacing w:after="0"/>
              <w:rPr>
                <w:sz w:val="19"/>
                <w:szCs w:val="19"/>
                <w:color w:val="auto"/>
              </w:rPr>
            </w:pPr>
          </w:p>
        </w:tc>
        <w:tc>
          <w:tcPr>
            <w:tcW w:w="940" w:type="dxa"/>
            <w:vAlign w:val="bottom"/>
            <w:shd w:val="clear" w:color="auto" w:fill="B6DEE8"/>
          </w:tcPr>
          <w:p>
            <w:pPr>
              <w:spacing w:after="0"/>
              <w:rPr>
                <w:sz w:val="19"/>
                <w:szCs w:val="19"/>
                <w:color w:val="auto"/>
              </w:rPr>
            </w:pPr>
          </w:p>
        </w:tc>
        <w:tc>
          <w:tcPr>
            <w:tcW w:w="30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820" w:type="dxa"/>
            <w:vAlign w:val="bottom"/>
            <w:shd w:val="clear" w:color="auto" w:fill="B6DEE8"/>
          </w:tcPr>
          <w:p>
            <w:pPr>
              <w:spacing w:after="0"/>
              <w:rPr>
                <w:sz w:val="19"/>
                <w:szCs w:val="19"/>
                <w:color w:val="auto"/>
              </w:rPr>
            </w:pPr>
          </w:p>
        </w:tc>
        <w:tc>
          <w:tcPr>
            <w:tcW w:w="320" w:type="dxa"/>
            <w:vAlign w:val="bottom"/>
            <w:shd w:val="clear" w:color="auto" w:fill="B6DEE8"/>
          </w:tcPr>
          <w:p>
            <w:pPr>
              <w:spacing w:after="0"/>
              <w:rPr>
                <w:sz w:val="19"/>
                <w:szCs w:val="19"/>
                <w:color w:val="auto"/>
              </w:rPr>
            </w:pPr>
          </w:p>
        </w:tc>
        <w:tc>
          <w:tcPr>
            <w:tcW w:w="1160" w:type="dxa"/>
            <w:vAlign w:val="bottom"/>
            <w:shd w:val="clear" w:color="auto" w:fill="B6DEE8"/>
          </w:tcPr>
          <w:p>
            <w:pPr>
              <w:spacing w:after="0"/>
              <w:rPr>
                <w:sz w:val="19"/>
                <w:szCs w:val="19"/>
                <w:color w:val="auto"/>
              </w:rPr>
            </w:pPr>
          </w:p>
        </w:tc>
        <w:tc>
          <w:tcPr>
            <w:tcW w:w="380" w:type="dxa"/>
            <w:vAlign w:val="bottom"/>
            <w:shd w:val="clear" w:color="auto" w:fill="B6DEE8"/>
          </w:tcPr>
          <w:p>
            <w:pPr>
              <w:spacing w:after="0"/>
              <w:rPr>
                <w:sz w:val="19"/>
                <w:szCs w:val="19"/>
                <w:color w:val="auto"/>
              </w:rPr>
            </w:pPr>
          </w:p>
        </w:tc>
        <w:tc>
          <w:tcPr>
            <w:tcW w:w="280" w:type="dxa"/>
            <w:vAlign w:val="bottom"/>
            <w:shd w:val="clear" w:color="auto" w:fill="B6DEE8"/>
          </w:tcPr>
          <w:p>
            <w:pPr>
              <w:spacing w:after="0"/>
              <w:rPr>
                <w:sz w:val="19"/>
                <w:szCs w:val="19"/>
                <w:color w:val="auto"/>
              </w:rPr>
            </w:pPr>
          </w:p>
        </w:tc>
        <w:tc>
          <w:tcPr>
            <w:tcW w:w="360" w:type="dxa"/>
            <w:vAlign w:val="bottom"/>
            <w:shd w:val="clear" w:color="auto" w:fill="B6DEE8"/>
          </w:tcPr>
          <w:p>
            <w:pPr>
              <w:spacing w:after="0"/>
              <w:rPr>
                <w:sz w:val="19"/>
                <w:szCs w:val="19"/>
                <w:color w:val="auto"/>
              </w:rPr>
            </w:pPr>
          </w:p>
        </w:tc>
        <w:tc>
          <w:tcPr>
            <w:tcW w:w="126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r>
      <w:tr>
        <w:trPr>
          <w:trHeight w:val="247"/>
        </w:trPr>
        <w:tc>
          <w:tcPr>
            <w:tcW w:w="20" w:type="dxa"/>
            <w:vAlign w:val="bottom"/>
            <w:shd w:val="clear" w:color="auto" w:fill="B6DEE8"/>
          </w:tcPr>
          <w:p>
            <w:pPr>
              <w:spacing w:after="0"/>
              <w:rPr>
                <w:sz w:val="21"/>
                <w:szCs w:val="21"/>
                <w:color w:val="auto"/>
              </w:rPr>
            </w:pPr>
          </w:p>
        </w:tc>
        <w:tc>
          <w:tcPr>
            <w:tcW w:w="4260" w:type="dxa"/>
            <w:vAlign w:val="bottom"/>
            <w:gridSpan w:val="2"/>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200" w:type="dxa"/>
            <w:vAlign w:val="bottom"/>
            <w:shd w:val="clear" w:color="auto" w:fill="B6DEE8"/>
          </w:tcPr>
          <w:p>
            <w:pPr>
              <w:spacing w:after="0"/>
              <w:rPr>
                <w:sz w:val="21"/>
                <w:szCs w:val="21"/>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8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DEE8"/>
          </w:tcPr>
          <w:p>
            <w:pPr>
              <w:spacing w:after="0"/>
              <w:rPr>
                <w:sz w:val="21"/>
                <w:szCs w:val="21"/>
                <w:color w:val="auto"/>
              </w:rPr>
            </w:pPr>
          </w:p>
        </w:tc>
        <w:tc>
          <w:tcPr>
            <w:tcW w:w="1160" w:type="dxa"/>
            <w:vAlign w:val="bottom"/>
            <w:shd w:val="clear" w:color="auto" w:fill="B6DEE8"/>
          </w:tcPr>
          <w:p>
            <w:pPr>
              <w:spacing w:after="0"/>
              <w:rPr>
                <w:sz w:val="21"/>
                <w:szCs w:val="21"/>
                <w:color w:val="auto"/>
              </w:rPr>
            </w:pPr>
          </w:p>
        </w:tc>
        <w:tc>
          <w:tcPr>
            <w:tcW w:w="3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shd w:val="clear" w:color="auto" w:fill="B6DEE8"/>
          </w:tcPr>
          <w:p>
            <w:pPr>
              <w:spacing w:after="0"/>
              <w:rPr>
                <w:sz w:val="21"/>
                <w:szCs w:val="21"/>
                <w:color w:val="auto"/>
              </w:rPr>
            </w:pPr>
          </w:p>
        </w:tc>
        <w:tc>
          <w:tcPr>
            <w:tcW w:w="360" w:type="dxa"/>
            <w:vAlign w:val="bottom"/>
            <w:shd w:val="clear" w:color="auto" w:fill="B6DEE8"/>
          </w:tcPr>
          <w:p>
            <w:pPr>
              <w:spacing w:after="0"/>
              <w:rPr>
                <w:sz w:val="21"/>
                <w:szCs w:val="21"/>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B6DEE8"/>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Earnout liabilities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r>
      <w:tr>
        <w:trPr>
          <w:trHeight w:val="277"/>
        </w:trPr>
        <w:tc>
          <w:tcPr>
            <w:tcW w:w="20" w:type="dxa"/>
            <w:vAlign w:val="bottom"/>
            <w:tcBorders>
              <w:bottom w:val="single" w:sz="8" w:color="B6DEE8"/>
            </w:tcBorders>
            <w:shd w:val="clear" w:color="auto" w:fill="B6DEE8"/>
          </w:tcPr>
          <w:p>
            <w:pPr>
              <w:spacing w:after="0"/>
              <w:rPr>
                <w:sz w:val="24"/>
                <w:szCs w:val="24"/>
                <w:color w:val="auto"/>
              </w:rPr>
            </w:pPr>
          </w:p>
        </w:tc>
        <w:tc>
          <w:tcPr>
            <w:tcW w:w="4260" w:type="dxa"/>
            <w:vAlign w:val="bottom"/>
            <w:tcBorders>
              <w:bottom w:val="single" w:sz="8" w:color="B6DEE8"/>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B6DE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300" w:type="dxa"/>
            <w:vAlign w:val="bottom"/>
            <w:tcBorders>
              <w:bottom w:val="single" w:sz="8" w:color="B6DEE8"/>
            </w:tcBorders>
            <w:shd w:val="clear" w:color="auto" w:fill="B6DEE8"/>
          </w:tcPr>
          <w:p>
            <w:pPr>
              <w:spacing w:after="0"/>
              <w:rPr>
                <w:sz w:val="24"/>
                <w:szCs w:val="24"/>
                <w:color w:val="auto"/>
              </w:rPr>
            </w:pPr>
          </w:p>
        </w:tc>
        <w:tc>
          <w:tcPr>
            <w:tcW w:w="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B6DEE8"/>
            </w:tcBorders>
            <w:shd w:val="clear" w:color="auto" w:fill="B6DEE8"/>
          </w:tcPr>
          <w:p>
            <w:pPr>
              <w:spacing w:after="0"/>
              <w:rPr>
                <w:sz w:val="24"/>
                <w:szCs w:val="24"/>
                <w:color w:val="auto"/>
              </w:rPr>
            </w:pPr>
          </w:p>
        </w:tc>
        <w:tc>
          <w:tcPr>
            <w:tcW w:w="1160" w:type="dxa"/>
            <w:vAlign w:val="bottom"/>
            <w:tcBorders>
              <w:bottom w:val="single" w:sz="8" w:color="auto"/>
            </w:tcBorders>
            <w:shd w:val="clear" w:color="auto" w:fill="B6DEE8"/>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80" w:type="dxa"/>
            <w:vAlign w:val="bottom"/>
            <w:tcBorders>
              <w:bottom w:val="single" w:sz="8" w:color="B6DEE8"/>
            </w:tcBorders>
            <w:shd w:val="clear" w:color="auto" w:fill="B6DEE8"/>
          </w:tcPr>
          <w:p>
            <w:pPr>
              <w:spacing w:after="0"/>
              <w:rPr>
                <w:sz w:val="24"/>
                <w:szCs w:val="24"/>
                <w:color w:val="auto"/>
              </w:rPr>
            </w:pPr>
          </w:p>
        </w:tc>
        <w:tc>
          <w:tcPr>
            <w:tcW w:w="360" w:type="dxa"/>
            <w:vAlign w:val="bottom"/>
            <w:tcBorders>
              <w:bottom w:val="single" w:sz="8" w:color="auto"/>
            </w:tcBorders>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-993775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-993775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-993775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-993775</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and liabilities measured at fair value on a non-recurring basis as of December 31, 2023 and 2022.</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accounts payable (Level 2), accrued expenses (Level 2) and Member advances (Level 3) and believes the carrying value approximates the fair value due to the short-term nature of these balances. The fair value of the debt facility (Level 2) and convertible note payable (Level 2) approximates their carrying values.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13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the fair value of investments held as of December 31, 2023 and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related to the change in fair value of the public warrant liability for year ended December 31, 2023, was $0.1 million, which is presented within changes in fair value of public warrant liability in the consolidated statements of operations.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1 public warrant liability is as follows (dollars in thousands):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80" w:type="dxa"/>
            <w:vAlign w:val="bottom"/>
          </w:tcPr>
          <w:p>
            <w:pPr>
              <w:spacing w:after="0"/>
              <w:rPr>
                <w:sz w:val="21"/>
                <w:szCs w:val="21"/>
                <w:color w:val="auto"/>
              </w:rPr>
            </w:pPr>
          </w:p>
        </w:tc>
        <w:tc>
          <w:tcPr>
            <w:tcW w:w="8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2023</w:t>
            </w:r>
          </w:p>
        </w:tc>
        <w:tc>
          <w:tcPr>
            <w:tcW w:w="800" w:type="dxa"/>
            <w:vAlign w:val="bottom"/>
            <w:shd w:val="clear" w:color="auto" w:fill="B6DEE8"/>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100" w:type="dxa"/>
            <w:vAlign w:val="bottom"/>
            <w:shd w:val="clear" w:color="auto" w:fill="B6DEE8"/>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0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(112 )</w:t>
            </w:r>
          </w:p>
        </w:tc>
      </w:tr>
      <w:tr>
        <w:trPr>
          <w:trHeight w:val="276"/>
        </w:trPr>
        <w:tc>
          <w:tcPr>
            <w:tcW w:w="580" w:type="dxa"/>
            <w:vAlign w:val="bottom"/>
          </w:tcPr>
          <w:p>
            <w:pPr>
              <w:spacing w:after="0"/>
              <w:rPr>
                <w:sz w:val="24"/>
                <w:szCs w:val="24"/>
                <w:color w:val="auto"/>
              </w:rPr>
            </w:pPr>
          </w:p>
        </w:tc>
        <w:tc>
          <w:tcPr>
            <w:tcW w:w="81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2023</w:t>
            </w:r>
          </w:p>
        </w:tc>
        <w:tc>
          <w:tcPr>
            <w:tcW w:w="800" w:type="dxa"/>
            <w:vAlign w:val="bottom"/>
            <w:tcBorders>
              <w:top w:val="single" w:sz="8" w:color="auto"/>
              <w:bottom w:val="single" w:sz="8" w:color="auto"/>
            </w:tcBorders>
            <w:shd w:val="clear" w:color="auto" w:fill="B6DEE8"/>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further in Note 10,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consolidated statement of operations. The derivative liability was subsequently recorded at fair value at each reporting period, with changes in fair value reflected in earnings. The gain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related to the change in fair value of the private warrant liability for year ended December 31, 2023 was $0.1 million, which is presented within changes in fair value of private warrant liability in the 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(in thousands):</w:t>
            </w: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2023</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780" w:type="dxa"/>
            <w:vAlign w:val="bottom"/>
            <w:shd w:val="clear" w:color="auto" w:fill="B6DEE8"/>
          </w:tcPr>
          <w:p>
            <w:pPr>
              <w:spacing w:after="0"/>
              <w:rPr>
                <w:sz w:val="21"/>
                <w:szCs w:val="21"/>
                <w:color w:val="auto"/>
              </w:rPr>
            </w:pPr>
          </w:p>
        </w:tc>
        <w:tc>
          <w:tcPr>
            <w:tcW w:w="11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(148 )</w:t>
            </w:r>
          </w:p>
        </w:tc>
      </w:tr>
      <w:tr>
        <w:trPr>
          <w:trHeight w:val="236"/>
        </w:trPr>
        <w:tc>
          <w:tcPr>
            <w:tcW w:w="580" w:type="dxa"/>
            <w:vAlign w:val="bottom"/>
          </w:tcPr>
          <w:p>
            <w:pPr>
              <w:spacing w:after="0"/>
              <w:rPr>
                <w:sz w:val="20"/>
                <w:szCs w:val="20"/>
                <w:color w:val="auto"/>
              </w:rPr>
            </w:pPr>
          </w:p>
        </w:tc>
        <w:tc>
          <w:tcPr>
            <w:tcW w:w="81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2023</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year ended December 31, 2023:</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368.00</w:t>
            </w:r>
          </w:p>
        </w:tc>
        <w:tc>
          <w:tcPr>
            <w:tcW w:w="60" w:type="dxa"/>
            <w:vAlign w:val="bottom"/>
          </w:tcPr>
          <w:p>
            <w:pPr>
              <w:spacing w:after="0"/>
              <w:rPr>
                <w:sz w:val="20"/>
                <w:szCs w:val="20"/>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107.7 %</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4.01 %</w:t>
            </w:r>
          </w:p>
        </w:tc>
      </w:tr>
      <w:tr>
        <w:trPr>
          <w:trHeight w:val="256"/>
        </w:trPr>
        <w:tc>
          <w:tcPr>
            <w:tcW w:w="48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3880" w:type="dxa"/>
            <w:vAlign w:val="bottom"/>
            <w:shd w:val="clear" w:color="auto" w:fill="B7DEE8"/>
          </w:tcPr>
          <w:p>
            <w:pPr>
              <w:spacing w:after="0"/>
              <w:rPr>
                <w:sz w:val="22"/>
                <w:szCs w:val="22"/>
                <w:color w:val="auto"/>
              </w:rPr>
            </w:pPr>
          </w:p>
        </w:tc>
        <w:tc>
          <w:tcPr>
            <w:tcW w:w="134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3.01 years</w:t>
            </w:r>
          </w:p>
        </w:tc>
        <w:tc>
          <w:tcPr>
            <w:tcW w:w="60" w:type="dxa"/>
            <w:vAlign w:val="bottom"/>
          </w:tcPr>
          <w:p>
            <w:pPr>
              <w:spacing w:after="0"/>
              <w:rPr>
                <w:sz w:val="22"/>
                <w:szCs w:val="22"/>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further in Note 20, The Reverse Recapitalization and Related Transactions, as part of the recapitalization, 49,563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gain related to the change in fair value of the Founder Holder Earnout Shares liabilities for year ended December 31, 2023, was $0.02 million, which is presented within changes in fair value of earnout liabilities in the consolidated statements of operations.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2023</w:t>
            </w:r>
          </w:p>
        </w:tc>
        <w:tc>
          <w:tcPr>
            <w:tcW w:w="840" w:type="dxa"/>
            <w:vAlign w:val="bottom"/>
            <w:shd w:val="clear" w:color="auto" w:fill="B6DEE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B6DEE8"/>
          </w:tcPr>
          <w:p>
            <w:pPr>
              <w:spacing w:after="0"/>
              <w:rPr>
                <w:sz w:val="21"/>
                <w:szCs w:val="21"/>
                <w:color w:val="auto"/>
              </w:rPr>
            </w:pPr>
          </w:p>
        </w:tc>
      </w:tr>
      <w:tr>
        <w:trPr>
          <w:trHeight w:val="24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77"/>
        </w:trPr>
        <w:tc>
          <w:tcPr>
            <w:tcW w:w="81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value at December 31, 2023</w:t>
            </w:r>
          </w:p>
        </w:tc>
        <w:tc>
          <w:tcPr>
            <w:tcW w:w="840" w:type="dxa"/>
            <w:vAlign w:val="bottom"/>
            <w:tcBorders>
              <w:top w:val="single" w:sz="8" w:color="auto"/>
              <w:bottom w:val="single" w:sz="8" w:color="auto"/>
            </w:tcBorders>
            <w:shd w:val="clear" w:color="auto" w:fill="B6DEE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year ended December 31, 2023:</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$400-$480</w:t>
            </w:r>
          </w:p>
        </w:tc>
        <w:tc>
          <w:tcPr>
            <w:tcW w:w="60" w:type="dxa"/>
            <w:vAlign w:val="bottom"/>
          </w:tcPr>
          <w:p>
            <w:pPr>
              <w:spacing w:after="0"/>
              <w:rPr>
                <w:sz w:val="20"/>
                <w:szCs w:val="20"/>
                <w:color w:val="auto"/>
              </w:rPr>
            </w:pP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92.5 %</w:t>
            </w: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6"/>
        </w:trPr>
        <w:tc>
          <w:tcPr>
            <w:tcW w:w="53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2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3.01 years</w:t>
            </w:r>
          </w:p>
        </w:tc>
        <w:tc>
          <w:tcPr>
            <w:tcW w:w="60" w:type="dxa"/>
            <w:vAlign w:val="bottom"/>
          </w:tcPr>
          <w:p>
            <w:pPr>
              <w:spacing w:after="0"/>
              <w:rPr>
                <w:sz w:val="22"/>
                <w:szCs w:val="22"/>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December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shares of preferred stock were outstanding, and the Company has no present plans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3" w:name="page94"/>
    <w:bookmarkEnd w:id="93"/>
    <w:p>
      <w:pPr>
        <w:spacing w:after="0" w:line="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Company’s amended and restated certificate of incorporation, shares of preferred stock may be issued from time to time in one or more series. The Company’s Board of Directors are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are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2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Class V Common Stock are convertible into shares of Class A Common Stock on a one-to-one basis at the option of the holders of Class V Common Stock at any time upon written notice to the Company. As of December 31, 2023, the Company had 10,683,736 and 1,514,082 of Class A Common Stock and Class V Common Stock issued, respectively. As of December 31, 2023, the Company had 10,634,173 and 1,514,082 of Class A Common Stock and Class V Common Stock outstanding,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Stock-Based Compensation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January 4, 2022, the stockholders of the Company approved the 2021 Equity Incentive Plan (the “2021 Plan”). The 2021 Plan was previously approved, subject to stockholder approval, by the Company’s Board of Directors on January 4, 2022. The 2021 Plan became effective immediately upon the completion of the business combination with VPCC.</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recognized $26.7 million and $40.6 million of stock-based compensation expense arising from stock option and restricted stock unit grants which is recorded as a component of compensation and benefits in the consolidated statements of operations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Repricing:</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 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 vested and unvested stock options outstanding as of June 9, 2023, with original exercise prices ranging from $22.09 to $23.18, were repriced.</w:t>
      </w:r>
    </w:p>
    <w:p>
      <w:pPr>
        <w:spacing w:after="0" w:line="18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repricing on June 9, 2023 resulted in incremental stock-based compensation expense of $0.2 million, of which $0.14 million related to vested stock option awards was expensed on the repricing date. The remaining $0.06 million related to unvested stock option awards is being amortized on a straight-line basis over the weighted-average vesting period of those awards of approximately 1.3 years as of June 9,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2023, the Company’s Board of Directors approved a repricing of certain previously granted and still outstanding vested and unvested stock option awards held by eight remaining eligible employees excluded from the aforementioned June 9 repricing. As a result, the exercise price for these awards was lowered to $7.23 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 vested and unvested stock options outstanding as of September 13, 2023, with original exercise prices ranging from $22.09 to $23.18, were repriced.</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repricing on September 13, 2023 resulted in incremental stock-based compensation expense of $0.2 million, of which $0.17 million related to vested stock option awards was expensed on the repricing date. The remaining $0.07 million related to unvested stock option awards is being amortized on a straight-line basis over the weighted-average vesting period of those awards of approximately 1.0 years as of September 13,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200"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4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45"/>
        </w:trPr>
        <w:tc>
          <w:tcPr>
            <w:tcW w:w="45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4820" w:type="dxa"/>
            <w:vAlign w:val="bottom"/>
            <w:gridSpan w:val="2"/>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January 1, 2022</w:t>
            </w:r>
          </w:p>
        </w:tc>
        <w:tc>
          <w:tcPr>
            <w:tcW w:w="12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1,084,586</w:t>
            </w:r>
          </w:p>
        </w:tc>
        <w:tc>
          <w:tcPr>
            <w:tcW w:w="240" w:type="dxa"/>
            <w:vAlign w:val="bottom"/>
            <w:shd w:val="clear" w:color="auto" w:fill="B7DEE8"/>
          </w:tcPr>
          <w:p>
            <w:pPr>
              <w:spacing w:after="0"/>
              <w:rPr>
                <w:sz w:val="21"/>
                <w:szCs w:val="21"/>
                <w:color w:val="auto"/>
              </w:rPr>
            </w:pP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20.35</w:t>
            </w:r>
          </w:p>
        </w:tc>
        <w:tc>
          <w:tcPr>
            <w:tcW w:w="164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288,784</w:t>
            </w:r>
          </w:p>
        </w:tc>
        <w:tc>
          <w:tcPr>
            <w:tcW w:w="100" w:type="dxa"/>
            <w:vAlign w:val="bottom"/>
            <w:shd w:val="clear" w:color="auto" w:fill="B7DEE8"/>
          </w:tcPr>
          <w:p>
            <w:pPr>
              <w:spacing w:after="0"/>
              <w:rPr>
                <w:sz w:val="21"/>
                <w:szCs w:val="21"/>
                <w:color w:val="auto"/>
              </w:rPr>
            </w:pPr>
          </w:p>
        </w:tc>
      </w:tr>
      <w:tr>
        <w:trPr>
          <w:trHeight w:val="239"/>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gridSpan w:val="2"/>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B7DEE8"/>
          </w:tcPr>
          <w:p>
            <w:pPr>
              <w:jc w:val="right"/>
              <w:ind w:right="160"/>
              <w:spacing w:after="0"/>
              <w:rPr>
                <w:sz w:val="20"/>
                <w:szCs w:val="20"/>
                <w:color w:val="auto"/>
              </w:rPr>
            </w:pPr>
            <w:r>
              <w:rPr>
                <w:rFonts w:ascii="Times New Roman" w:cs="Times New Roman" w:eastAsia="Times New Roman" w:hAnsi="Times New Roman"/>
                <w:sz w:val="18"/>
                <w:szCs w:val="18"/>
                <w:color w:val="auto"/>
              </w:rPr>
              <w:t>(115,113 )</w:t>
            </w: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14.10</w:t>
            </w:r>
          </w:p>
        </w:tc>
        <w:tc>
          <w:tcPr>
            <w:tcW w:w="220" w:type="dxa"/>
            <w:vAlign w:val="bottom"/>
            <w:shd w:val="clear" w:color="auto" w:fill="B7DEE8"/>
          </w:tcPr>
          <w:p>
            <w:pPr>
              <w:spacing w:after="0"/>
              <w:rPr>
                <w:sz w:val="21"/>
                <w:szCs w:val="21"/>
                <w:color w:val="auto"/>
              </w:rPr>
            </w:pPr>
          </w:p>
        </w:tc>
        <w:tc>
          <w:tcPr>
            <w:tcW w:w="1420" w:type="dxa"/>
            <w:vAlign w:val="bottom"/>
            <w:shd w:val="clear" w:color="auto" w:fill="B7DEE8"/>
          </w:tcPr>
          <w:p>
            <w:pPr>
              <w:spacing w:after="0"/>
              <w:rPr>
                <w:sz w:val="21"/>
                <w:szCs w:val="21"/>
                <w:color w:val="auto"/>
              </w:rPr>
            </w:pPr>
          </w:p>
        </w:tc>
        <w:tc>
          <w:tcPr>
            <w:tcW w:w="24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3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(44,517 )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21.76</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00" w:type="dxa"/>
            <w:vAlign w:val="bottom"/>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320" w:type="dxa"/>
            <w:vAlign w:val="bottom"/>
            <w:shd w:val="clear" w:color="auto" w:fill="B7DEE8"/>
          </w:tcPr>
          <w:p>
            <w:pPr>
              <w:spacing w:after="0"/>
              <w:rPr>
                <w:sz w:val="21"/>
                <w:szCs w:val="21"/>
                <w:color w:val="auto"/>
              </w:rPr>
            </w:pPr>
          </w:p>
        </w:tc>
        <w:tc>
          <w:tcPr>
            <w:tcW w:w="1500" w:type="dxa"/>
            <w:vAlign w:val="bottom"/>
            <w:gridSpan w:val="2"/>
            <w:shd w:val="clear" w:color="auto" w:fill="B7DEE8"/>
          </w:tcPr>
          <w:p>
            <w:pPr>
              <w:jc w:val="right"/>
              <w:ind w:right="160"/>
              <w:spacing w:after="0"/>
              <w:rPr>
                <w:sz w:val="20"/>
                <w:szCs w:val="20"/>
                <w:color w:val="auto"/>
              </w:rPr>
            </w:pPr>
            <w:r>
              <w:rPr>
                <w:rFonts w:ascii="Times New Roman" w:cs="Times New Roman" w:eastAsia="Times New Roman" w:hAnsi="Times New Roman"/>
                <w:sz w:val="18"/>
                <w:szCs w:val="18"/>
                <w:color w:val="auto"/>
              </w:rPr>
              <w:t>(20,736 )</w:t>
            </w: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22.28</w:t>
            </w:r>
          </w:p>
        </w:tc>
        <w:tc>
          <w:tcPr>
            <w:tcW w:w="220" w:type="dxa"/>
            <w:vAlign w:val="bottom"/>
            <w:shd w:val="clear" w:color="auto" w:fill="B7DEE8"/>
          </w:tcPr>
          <w:p>
            <w:pPr>
              <w:spacing w:after="0"/>
              <w:rPr>
                <w:sz w:val="21"/>
                <w:szCs w:val="21"/>
                <w:color w:val="auto"/>
              </w:rPr>
            </w:pPr>
          </w:p>
        </w:tc>
        <w:tc>
          <w:tcPr>
            <w:tcW w:w="1420" w:type="dxa"/>
            <w:vAlign w:val="bottom"/>
            <w:shd w:val="clear" w:color="auto" w:fill="B7DEE8"/>
          </w:tcPr>
          <w:p>
            <w:pPr>
              <w:spacing w:after="0"/>
              <w:rPr>
                <w:sz w:val="21"/>
                <w:szCs w:val="21"/>
                <w:color w:val="auto"/>
              </w:rPr>
            </w:pPr>
          </w:p>
        </w:tc>
        <w:tc>
          <w:tcPr>
            <w:tcW w:w="24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3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4"/>
        </w:trPr>
        <w:tc>
          <w:tcPr>
            <w:tcW w:w="4500" w:type="dxa"/>
            <w:vAlign w:val="bottom"/>
            <w:tcBorders>
              <w:top w:val="single" w:sz="8" w:color="B7DEE8"/>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December 31, 2022</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904,220</w:t>
            </w:r>
          </w:p>
        </w:tc>
        <w:tc>
          <w:tcPr>
            <w:tcW w:w="240" w:type="dxa"/>
            <w:vAlign w:val="bottom"/>
            <w:tcBorders>
              <w:top w:val="single" w:sz="8" w:color="B7DEE8"/>
            </w:tcBorders>
          </w:tcPr>
          <w:p>
            <w:pPr>
              <w:spacing w:after="0"/>
              <w:rPr>
                <w:sz w:val="20"/>
                <w:szCs w:val="20"/>
                <w:color w:val="auto"/>
              </w:rPr>
            </w:pPr>
          </w:p>
        </w:tc>
        <w:tc>
          <w:tcPr>
            <w:tcW w:w="1100" w:type="dxa"/>
            <w:vAlign w:val="bottom"/>
            <w:tcBorders>
              <w:top w:val="single" w:sz="8" w:color="B7DEE8"/>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w w:val="93"/>
              </w:rPr>
              <w:t>21.04</w:t>
            </w:r>
          </w:p>
        </w:tc>
        <w:tc>
          <w:tcPr>
            <w:tcW w:w="164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top w:val="single" w:sz="8" w:color="B7DEE8"/>
            </w:tcBorders>
          </w:tcPr>
          <w:p>
            <w:pPr>
              <w:spacing w:after="0"/>
              <w:rPr>
                <w:sz w:val="20"/>
                <w:szCs w:val="20"/>
                <w:color w:val="auto"/>
              </w:rPr>
            </w:pPr>
          </w:p>
        </w:tc>
      </w:tr>
      <w:tr>
        <w:trPr>
          <w:trHeight w:val="245"/>
        </w:trPr>
        <w:tc>
          <w:tcPr>
            <w:tcW w:w="4820" w:type="dxa"/>
            <w:vAlign w:val="bottom"/>
            <w:gridSpan w:val="2"/>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335,502</w:t>
            </w:r>
          </w:p>
        </w:tc>
        <w:tc>
          <w:tcPr>
            <w:tcW w:w="240" w:type="dxa"/>
            <w:vAlign w:val="bottom"/>
            <w:shd w:val="clear" w:color="auto" w:fill="B7DEE8"/>
          </w:tcPr>
          <w:p>
            <w:pPr>
              <w:spacing w:after="0"/>
              <w:rPr>
                <w:sz w:val="21"/>
                <w:szCs w:val="21"/>
                <w:color w:val="auto"/>
              </w:rPr>
            </w:pP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shd w:val="clear" w:color="auto" w:fill="B7DEE8"/>
          </w:tcPr>
          <w:p>
            <w:pPr>
              <w:spacing w:after="0"/>
              <w:rPr>
                <w:sz w:val="21"/>
                <w:szCs w:val="21"/>
                <w:color w:val="auto"/>
              </w:rPr>
            </w:pPr>
          </w:p>
        </w:tc>
        <w:tc>
          <w:tcPr>
            <w:tcW w:w="1420" w:type="dxa"/>
            <w:vAlign w:val="bottom"/>
            <w:shd w:val="clear" w:color="auto" w:fill="B7DEE8"/>
          </w:tcPr>
          <w:p>
            <w:pPr>
              <w:spacing w:after="0"/>
              <w:rPr>
                <w:sz w:val="21"/>
                <w:szCs w:val="21"/>
                <w:color w:val="auto"/>
              </w:rPr>
            </w:pPr>
          </w:p>
        </w:tc>
        <w:tc>
          <w:tcPr>
            <w:tcW w:w="24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3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(13,099 )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gridSpan w:val="2"/>
            <w:shd w:val="clear" w:color="auto" w:fill="B7DEE8"/>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shd w:val="clear" w:color="auto" w:fill="B7DEE8"/>
          </w:tcPr>
          <w:p>
            <w:pPr>
              <w:jc w:val="right"/>
              <w:ind w:right="160"/>
              <w:spacing w:after="0"/>
              <w:rPr>
                <w:sz w:val="20"/>
                <w:szCs w:val="20"/>
                <w:color w:val="auto"/>
              </w:rPr>
            </w:pPr>
            <w:r>
              <w:rPr>
                <w:rFonts w:ascii="Times New Roman" w:cs="Times New Roman" w:eastAsia="Times New Roman" w:hAnsi="Times New Roman"/>
                <w:sz w:val="18"/>
                <w:szCs w:val="18"/>
                <w:color w:val="auto"/>
              </w:rPr>
              <w:t>(143,068 )</w:t>
            </w:r>
          </w:p>
        </w:tc>
        <w:tc>
          <w:tcPr>
            <w:tcW w:w="1100" w:type="dxa"/>
            <w:vAlign w:val="bottom"/>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21.67</w:t>
            </w:r>
          </w:p>
        </w:tc>
        <w:tc>
          <w:tcPr>
            <w:tcW w:w="220" w:type="dxa"/>
            <w:vAlign w:val="bottom"/>
            <w:shd w:val="clear" w:color="auto" w:fill="B7DEE8"/>
          </w:tcPr>
          <w:p>
            <w:pPr>
              <w:spacing w:after="0"/>
              <w:rPr>
                <w:sz w:val="21"/>
                <w:szCs w:val="21"/>
                <w:color w:val="auto"/>
              </w:rPr>
            </w:pPr>
          </w:p>
        </w:tc>
        <w:tc>
          <w:tcPr>
            <w:tcW w:w="1420" w:type="dxa"/>
            <w:vAlign w:val="bottom"/>
            <w:shd w:val="clear" w:color="auto" w:fill="B7DEE8"/>
          </w:tcPr>
          <w:p>
            <w:pPr>
              <w:spacing w:after="0"/>
              <w:rPr>
                <w:sz w:val="21"/>
                <w:szCs w:val="21"/>
                <w:color w:val="auto"/>
              </w:rPr>
            </w:pPr>
          </w:p>
        </w:tc>
        <w:tc>
          <w:tcPr>
            <w:tcW w:w="240" w:type="dxa"/>
            <w:vAlign w:val="bottom"/>
            <w:shd w:val="clear" w:color="auto" w:fill="B7DEE8"/>
          </w:tcPr>
          <w:p>
            <w:pPr>
              <w:spacing w:after="0"/>
              <w:rPr>
                <w:sz w:val="21"/>
                <w:szCs w:val="21"/>
                <w:color w:val="auto"/>
              </w:rPr>
            </w:pPr>
          </w:p>
        </w:tc>
        <w:tc>
          <w:tcPr>
            <w:tcW w:w="120" w:type="dxa"/>
            <w:vAlign w:val="bottom"/>
            <w:shd w:val="clear" w:color="auto" w:fill="B7DEE8"/>
          </w:tcPr>
          <w:p>
            <w:pPr>
              <w:spacing w:after="0"/>
              <w:rPr>
                <w:sz w:val="21"/>
                <w:szCs w:val="21"/>
                <w:color w:val="auto"/>
              </w:rPr>
            </w:pPr>
          </w:p>
        </w:tc>
        <w:tc>
          <w:tcPr>
            <w:tcW w:w="13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43"/>
        </w:trPr>
        <w:tc>
          <w:tcPr>
            <w:tcW w:w="4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32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(316,726 )</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22.84</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50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December 31, 2023</w:t>
            </w:r>
          </w:p>
        </w:tc>
        <w:tc>
          <w:tcPr>
            <w:tcW w:w="320" w:type="dxa"/>
            <w:vAlign w:val="bottom"/>
            <w:tcBorders>
              <w:top w:val="single" w:sz="8" w:color="auto"/>
              <w:bottom w:val="single" w:sz="8" w:color="auto"/>
            </w:tcBorders>
            <w:shd w:val="clear" w:color="auto" w:fill="B7DEE8"/>
          </w:tcPr>
          <w:p>
            <w:pPr>
              <w:spacing w:after="0"/>
              <w:rPr>
                <w:sz w:val="20"/>
                <w:szCs w:val="20"/>
                <w:color w:val="auto"/>
              </w:rPr>
            </w:pPr>
          </w:p>
        </w:tc>
        <w:tc>
          <w:tcPr>
            <w:tcW w:w="126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766,829</w:t>
            </w:r>
          </w:p>
        </w:tc>
        <w:tc>
          <w:tcPr>
            <w:tcW w:w="240" w:type="dxa"/>
            <w:vAlign w:val="bottom"/>
            <w:tcBorders>
              <w:bottom w:val="single" w:sz="8" w:color="B7DEE8"/>
            </w:tcBorders>
            <w:shd w:val="clear" w:color="auto" w:fill="B7DEE8"/>
          </w:tcPr>
          <w:p>
            <w:pPr>
              <w:spacing w:after="0"/>
              <w:rPr>
                <w:sz w:val="20"/>
                <w:szCs w:val="20"/>
                <w:color w:val="auto"/>
              </w:rPr>
            </w:pPr>
          </w:p>
        </w:tc>
        <w:tc>
          <w:tcPr>
            <w:tcW w:w="1100" w:type="dxa"/>
            <w:vAlign w:val="bottom"/>
            <w:tcBorders>
              <w:bottom w:val="single" w:sz="8" w:color="B7DEE8"/>
            </w:tcBorders>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93"/>
              </w:rPr>
              <w:t>14.10</w:t>
            </w:r>
          </w:p>
        </w:tc>
        <w:tc>
          <w:tcPr>
            <w:tcW w:w="164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B7DEE8"/>
            </w:tcBorders>
            <w:shd w:val="clear" w:color="auto" w:fill="B7DEE8"/>
          </w:tcPr>
          <w:p>
            <w:pPr>
              <w:spacing w:after="0"/>
              <w:rPr>
                <w:sz w:val="20"/>
                <w:szCs w:val="20"/>
                <w:color w:val="auto"/>
              </w:rPr>
            </w:pPr>
          </w:p>
        </w:tc>
      </w:tr>
      <w:tr>
        <w:trPr>
          <w:trHeight w:val="23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options, December 31, 2023</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410,075</w:t>
            </w:r>
          </w:p>
        </w:tc>
        <w:tc>
          <w:tcPr>
            <w:tcW w:w="24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21.03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76"/>
        </w:trPr>
        <w:tc>
          <w:tcPr>
            <w:tcW w:w="4500" w:type="dxa"/>
            <w:vAlign w:val="bottom"/>
            <w:tcBorders>
              <w:bottom w:val="single" w:sz="8" w:color="B7DEE8"/>
            </w:tcBorders>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December 31, 2023</w:t>
            </w:r>
          </w:p>
        </w:tc>
        <w:tc>
          <w:tcPr>
            <w:tcW w:w="320" w:type="dxa"/>
            <w:vAlign w:val="bottom"/>
            <w:tcBorders>
              <w:bottom w:val="single" w:sz="8" w:color="auto"/>
            </w:tcBorders>
            <w:shd w:val="clear" w:color="auto" w:fill="B7DEE8"/>
          </w:tcPr>
          <w:p>
            <w:pPr>
              <w:spacing w:after="0"/>
              <w:rPr>
                <w:sz w:val="24"/>
                <w:szCs w:val="24"/>
                <w:color w:val="auto"/>
              </w:rPr>
            </w:pPr>
          </w:p>
        </w:tc>
        <w:tc>
          <w:tcPr>
            <w:tcW w:w="12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356,754</w:t>
            </w:r>
          </w:p>
        </w:tc>
        <w:tc>
          <w:tcPr>
            <w:tcW w:w="240" w:type="dxa"/>
            <w:vAlign w:val="bottom"/>
            <w:tcBorders>
              <w:bottom w:val="single" w:sz="8" w:color="B7DEE8"/>
            </w:tcBorders>
            <w:shd w:val="clear" w:color="auto" w:fill="B7DEE8"/>
          </w:tcPr>
          <w:p>
            <w:pPr>
              <w:spacing w:after="0"/>
              <w:rPr>
                <w:sz w:val="24"/>
                <w:szCs w:val="24"/>
                <w:color w:val="auto"/>
              </w:rPr>
            </w:pPr>
          </w:p>
        </w:tc>
        <w:tc>
          <w:tcPr>
            <w:tcW w:w="1100" w:type="dxa"/>
            <w:vAlign w:val="bottom"/>
            <w:tcBorders>
              <w:bottom w:val="single" w:sz="8" w:color="B7DEE8"/>
            </w:tcBorders>
            <w:shd w:val="clear" w:color="auto" w:fill="B7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4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B7DEE8"/>
            </w:tcBorders>
            <w:shd w:val="clear" w:color="auto" w:fill="B7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-1293495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-350520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At December 31, 2023, total estimated unrecognized stock-based compensation cost related to unvested stock options prior to that date was $6.5 million, which is expected to be recognized over a weighted-average remaining period of 3.1 years.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December 31, 2023 and 2022, 0 and 5,555 shares of Common Stock were subject to repurchase at weighted-average prices of $22.09 per share, respectively. The shares issued pursuant to unvested options have been included in shares issued and outstanding on the consolidated balance sheets as such shares are considered legally outstanding.</w:t>
      </w:r>
    </w:p>
    <w:p>
      <w:pPr>
        <w:spacing w:after="0" w:line="18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with VPCC,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Remaining term</w:t>
            </w:r>
          </w:p>
        </w:tc>
        <w:tc>
          <w:tcPr>
            <w:tcW w:w="73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10.0 years</w:t>
            </w:r>
          </w:p>
        </w:tc>
      </w:tr>
      <w:tr>
        <w:trPr>
          <w:trHeight w:val="243"/>
        </w:trPr>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Risk-free interest rate</w:t>
            </w:r>
          </w:p>
        </w:tc>
        <w:tc>
          <w:tcPr>
            <w:tcW w:w="7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Expected dividend yield</w:t>
            </w:r>
          </w:p>
        </w:tc>
        <w:tc>
          <w:tcPr>
            <w:tcW w:w="7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Expected volatility</w:t>
            </w:r>
          </w:p>
        </w:tc>
        <w:tc>
          <w:tcPr>
            <w:tcW w:w="73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40.0 %</w:t>
            </w:r>
          </w:p>
        </w:tc>
      </w:tr>
      <w:tr>
        <w:trPr>
          <w:trHeight w:val="878"/>
        </w:trPr>
        <w:tc>
          <w:tcPr>
            <w:tcW w:w="3940" w:type="dxa"/>
            <w:vAlign w:val="bottom"/>
          </w:tcPr>
          <w:p>
            <w:pPr>
              <w:spacing w:after="0"/>
              <w:rPr>
                <w:sz w:val="24"/>
                <w:szCs w:val="24"/>
                <w:color w:val="auto"/>
              </w:rPr>
            </w:pPr>
          </w:p>
        </w:tc>
        <w:tc>
          <w:tcPr>
            <w:tcW w:w="73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94</w:t>
            </w:r>
          </w:p>
        </w:tc>
      </w:tr>
      <w:tr>
        <w:trPr>
          <w:trHeight w:val="749"/>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-1499235</wp:posOffset>
            </wp:positionV>
            <wp:extent cx="641223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-1190625</wp:posOffset>
            </wp:positionV>
            <wp:extent cx="641223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respect to RSUs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Nonvested shares at January 1, 2023</w:t>
      </w:r>
    </w:p>
    <w:p>
      <w:pPr>
        <w:spacing w:after="0" w:line="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Vested</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Forfeited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Nonvested shares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45"/>
        </w:trPr>
        <w:tc>
          <w:tcPr>
            <w:tcW w:w="23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508,506</w:t>
            </w: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w:t>
            </w:r>
          </w:p>
        </w:tc>
      </w:tr>
      <w:tr>
        <w:trPr>
          <w:trHeight w:val="234"/>
        </w:trPr>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1,980,437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43"/>
        </w:trPr>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(336,417 )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r>
      <w:tr>
        <w:trPr>
          <w:trHeight w:val="257"/>
        </w:trPr>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(425,887 )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37"/>
        </w:trPr>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1,726,639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-650875</wp:posOffset>
            </wp:positionV>
            <wp:extent cx="641223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-342265</wp:posOffset>
            </wp:positionV>
            <wp:extent cx="641223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860"/>
          </w:cols>
          <w:pgMar w:left="320" w:top="1440" w:right="399" w:bottom="1440" w:gutter="0" w:footer="0" w:header="0"/>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2023, total estimated unrecognized stock-based compensation cost related to nonvested RSUs was $38.1 million, which is expected to be recognized over a weighted-average period of 2.0 years.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January 2023 that contain service and market conditions on the grant date: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 years</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October 2023 that contain service and market conditions on the grant date: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 years</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97" w:name="page98"/>
    <w:bookmarkEnd w:id="9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Related-Party Transactions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Arrangements:</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2023 and 2022, the Company paid $0.3 million under lease agreements with PCJW, which is controlled by the Company's founders (including the Company's CEO) for general office space in Los Angeles, California.</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December 31, 2023, under Company’s sublease for the properties located in Los Angeles, California signed with PCJW (in thousands):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76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1"/>
                <w:szCs w:val="21"/>
                <w:color w:val="auto"/>
              </w:rPr>
            </w:pPr>
          </w:p>
        </w:tc>
        <w:tc>
          <w:tcPr>
            <w:tcW w:w="98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4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shd w:val="clear" w:color="auto" w:fill="B6DEE8"/>
          </w:tcPr>
          <w:p>
            <w:pPr>
              <w:spacing w:after="0"/>
              <w:rPr>
                <w:sz w:val="21"/>
                <w:szCs w:val="21"/>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60" w:type="dxa"/>
            <w:vAlign w:val="bottom"/>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64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980" w:type="dxa"/>
            <w:vAlign w:val="bottom"/>
            <w:tcBorders>
              <w:bottom w:val="single" w:sz="8" w:color="auto"/>
            </w:tcBorders>
            <w:shd w:val="clear" w:color="auto" w:fill="B6DEE8"/>
          </w:tcPr>
          <w:p>
            <w:pPr>
              <w:spacing w:after="0"/>
              <w:rPr>
                <w:sz w:val="20"/>
                <w:szCs w:val="20"/>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7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60" w:type="dxa"/>
            <w:vAlign w:val="bottom"/>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short-term, and lease liabilities, long-term are presented as part of the right-of-use asset and lease liability on the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Related-Party Exercise Receivable Promissory Notes:</w:t>
      </w:r>
    </w:p>
    <w:p>
      <w:pPr>
        <w:spacing w:after="0" w:line="25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January 3, 2022, Legacy Dave entered into an agreement with a certain executive to transfer and sell shares of Legacy Dave common stock to Legacy Dave. A total of 4,580 shares of Legacy Dave’s common stock were repurchased for an aggregate purchase amount of $1.6 million, which resulted in an extinguishment of the related-party exercise receivable promissory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Brendan Carroll, a Senior Partner at Victory Park Capital Advisors, LLC ("VPC") joined the board of directors of the Company upon closing of the Business Combination. Interest expense related to the Debt Facility totaled $8.6 million for the year ended December 31, 2023. For more information about the Debt Facility with VPC, refer to Note 11, Debt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Services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law firm of Mitchell Sandler LLC, of which the Company's director Andrea Mitchell is a partner, provided legal services to the Company, which totaled $0.8 million for the year ended December 31, 2023.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the years ended December 31, 2023, and 2022 were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tbl>
      <w:tblPr>
        <w:tblLayout w:type="fixed"/>
        <w:tblInd w:w="58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360" w:type="dxa"/>
            <w:vAlign w:val="bottom"/>
            <w:shd w:val="clear" w:color="auto" w:fill="B6DEE8"/>
          </w:tcPr>
          <w:p>
            <w:pPr>
              <w:spacing w:after="0"/>
              <w:rPr>
                <w:sz w:val="21"/>
                <w:szCs w:val="21"/>
                <w:color w:val="auto"/>
              </w:rPr>
            </w:pPr>
          </w:p>
        </w:tc>
        <w:tc>
          <w:tcPr>
            <w:tcW w:w="52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59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shd w:val="clear" w:color="auto" w:fill="B6DEE8"/>
          </w:tcPr>
          <w:p>
            <w:pPr>
              <w:spacing w:after="0"/>
              <w:rPr>
                <w:sz w:val="21"/>
                <w:szCs w:val="21"/>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r>
      <w:tr>
        <w:trPr>
          <w:trHeight w:val="20"/>
        </w:trPr>
        <w:tc>
          <w:tcPr>
            <w:tcW w:w="5980" w:type="dxa"/>
            <w:vAlign w:val="bottom"/>
            <w:shd w:val="clear" w:color="auto" w:fill="B6DEE8"/>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1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(67 )</w:t>
            </w:r>
          </w:p>
        </w:tc>
      </w:tr>
      <w:tr>
        <w:trPr>
          <w:trHeight w:val="245"/>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360" w:type="dxa"/>
            <w:vAlign w:val="bottom"/>
            <w:shd w:val="clear" w:color="auto" w:fill="B6DEE8"/>
          </w:tcPr>
          <w:p>
            <w:pPr>
              <w:spacing w:after="0"/>
              <w:rPr>
                <w:sz w:val="21"/>
                <w:szCs w:val="21"/>
                <w:color w:val="auto"/>
              </w:rPr>
            </w:pPr>
          </w:p>
        </w:tc>
        <w:tc>
          <w:tcPr>
            <w:tcW w:w="52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8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tcBorders>
              <w:bottom w:val="single" w:sz="8" w:color="auto"/>
            </w:tcBorders>
            <w:shd w:val="clear" w:color="auto" w:fill="B6DEE8"/>
          </w:tcPr>
          <w:p>
            <w:pPr>
              <w:spacing w:after="0"/>
              <w:rPr>
                <w:sz w:val="21"/>
                <w:szCs w:val="21"/>
                <w:color w:val="auto"/>
              </w:rPr>
            </w:pPr>
          </w:p>
        </w:tc>
        <w:tc>
          <w:tcPr>
            <w:tcW w:w="5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spacing w:after="0"/>
              <w:rPr>
                <w:sz w:val="21"/>
                <w:szCs w:val="21"/>
                <w:color w:val="auto"/>
              </w:rPr>
            </w:pPr>
          </w:p>
        </w:tc>
        <w:tc>
          <w:tcPr>
            <w:tcW w:w="1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deferred</w:t>
            </w:r>
          </w:p>
        </w:tc>
        <w:tc>
          <w:tcPr>
            <w:tcW w:w="1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57"/>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1360" w:type="dxa"/>
            <w:vAlign w:val="bottom"/>
            <w:shd w:val="clear" w:color="auto" w:fill="B6DEE8"/>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80" w:type="dxa"/>
            <w:vAlign w:val="bottom"/>
            <w:shd w:val="clear" w:color="auto" w:fill="B6DEE8"/>
          </w:tcPr>
          <w:p>
            <w:pPr>
              <w:spacing w:after="0"/>
              <w:rPr>
                <w:sz w:val="22"/>
                <w:szCs w:val="22"/>
                <w:color w:val="auto"/>
              </w:rPr>
            </w:pPr>
          </w:p>
        </w:tc>
        <w:tc>
          <w:tcPr>
            <w:tcW w:w="44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(67 )</w:t>
            </w:r>
          </w:p>
        </w:tc>
      </w:tr>
      <w:tr>
        <w:trPr>
          <w:trHeight w:val="20"/>
        </w:trPr>
        <w:tc>
          <w:tcPr>
            <w:tcW w:w="5980" w:type="dxa"/>
            <w:vAlign w:val="bottom"/>
            <w:tcBorders>
              <w:top w:val="single" w:sz="8" w:color="B6DEE8"/>
            </w:tcBorders>
            <w:shd w:val="clear" w:color="auto" w:fill="B6DEE8"/>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-976630</wp:posOffset>
            </wp:positionV>
            <wp:extent cx="596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-350520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between the Company’s federal statutory tax rate and its effective tax rate for the years ended December 31, 2023 and 2022 is as follows: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23.3 %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excess compensation</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liability</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tax credit - federal</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4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-41.6 %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r>
      <w:tr>
        <w:trPr>
          <w:trHeight w:val="20"/>
        </w:trPr>
        <w:tc>
          <w:tcPr>
            <w:tcW w:w="5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3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-0.2 %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r>
      <w:tr>
        <w:trPr>
          <w:trHeight w:val="20"/>
        </w:trPr>
        <w:tc>
          <w:tcPr>
            <w:tcW w:w="5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2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major components of the Company’s deferred tax assets and liabilities as of December 31, 2023 and 2022, consists of the following (dollars in thousands):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20" w:type="dxa"/>
            <w:vAlign w:val="bottom"/>
            <w:shd w:val="clear" w:color="auto" w:fill="B6DEE8"/>
          </w:tcPr>
          <w:p>
            <w:pPr>
              <w:spacing w:after="0"/>
              <w:rPr>
                <w:sz w:val="21"/>
                <w:szCs w:val="21"/>
                <w:color w:val="auto"/>
              </w:rPr>
            </w:pPr>
          </w:p>
        </w:tc>
        <w:tc>
          <w:tcPr>
            <w:tcW w:w="66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2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100" w:type="dxa"/>
            <w:vAlign w:val="bottom"/>
          </w:tcPr>
          <w:p>
            <w:pPr>
              <w:spacing w:after="0"/>
              <w:rPr>
                <w:sz w:val="20"/>
                <w:szCs w:val="20"/>
                <w:color w:val="auto"/>
              </w:rPr>
            </w:pPr>
          </w:p>
        </w:tc>
      </w:tr>
      <w:tr>
        <w:trPr>
          <w:trHeight w:val="247"/>
        </w:trPr>
        <w:tc>
          <w:tcPr>
            <w:tcW w:w="59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Pr>
          <w:p>
            <w:pPr>
              <w:spacing w:after="0"/>
              <w:rPr>
                <w:sz w:val="20"/>
                <w:szCs w:val="20"/>
                <w:color w:val="auto"/>
              </w:rPr>
            </w:pPr>
          </w:p>
        </w:tc>
      </w:tr>
      <w:tr>
        <w:trPr>
          <w:trHeight w:val="247"/>
        </w:trPr>
        <w:tc>
          <w:tcPr>
            <w:tcW w:w="59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2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47"/>
        </w:trPr>
        <w:tc>
          <w:tcPr>
            <w:tcW w:w="59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2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0"/>
                <w:szCs w:val="20"/>
                <w:color w:val="auto"/>
              </w:rPr>
            </w:pPr>
          </w:p>
        </w:tc>
      </w:tr>
      <w:tr>
        <w:trPr>
          <w:trHeight w:val="247"/>
        </w:trPr>
        <w:tc>
          <w:tcPr>
            <w:tcW w:w="59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Excess interest expense carryforward</w:t>
            </w:r>
          </w:p>
        </w:tc>
        <w:tc>
          <w:tcPr>
            <w:tcW w:w="1220" w:type="dxa"/>
            <w:vAlign w:val="bottom"/>
            <w:shd w:val="clear" w:color="auto" w:fill="B6DEE8"/>
          </w:tcPr>
          <w:p>
            <w:pPr>
              <w:spacing w:after="0"/>
              <w:rPr>
                <w:sz w:val="21"/>
                <w:szCs w:val="21"/>
                <w:color w:val="auto"/>
              </w:rPr>
            </w:pPr>
          </w:p>
        </w:tc>
        <w:tc>
          <w:tcPr>
            <w:tcW w:w="6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R&amp;E expenditures</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Pr>
          <w:p>
            <w:pPr>
              <w:spacing w:after="0"/>
              <w:rPr>
                <w:sz w:val="20"/>
                <w:szCs w:val="20"/>
                <w:color w:val="auto"/>
              </w:rPr>
            </w:pPr>
          </w:p>
        </w:tc>
      </w:tr>
      <w:tr>
        <w:trPr>
          <w:trHeight w:val="247"/>
        </w:trPr>
        <w:tc>
          <w:tcPr>
            <w:tcW w:w="5980" w:type="dxa"/>
            <w:vAlign w:val="bottom"/>
            <w:tcBorders>
              <w:bottom w:val="single" w:sz="8" w:color="B6DEE8"/>
            </w:tcBorders>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B6DEE8"/>
          </w:tcPr>
          <w:p>
            <w:pPr>
              <w:spacing w:after="0"/>
              <w:rPr>
                <w:sz w:val="21"/>
                <w:szCs w:val="21"/>
                <w:color w:val="auto"/>
              </w:rPr>
            </w:pPr>
          </w:p>
        </w:tc>
        <w:tc>
          <w:tcPr>
            <w:tcW w:w="6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80" w:type="dxa"/>
            <w:vAlign w:val="bottom"/>
            <w:tcBorders>
              <w:bottom w:val="single" w:sz="8" w:color="B6DEE8"/>
            </w:tcBorders>
            <w:shd w:val="clear" w:color="auto" w:fill="B6DEE8"/>
          </w:tcPr>
          <w:p>
            <w:pPr>
              <w:spacing w:after="0"/>
              <w:rPr>
                <w:sz w:val="21"/>
                <w:szCs w:val="21"/>
                <w:color w:val="auto"/>
              </w:rPr>
            </w:pPr>
          </w:p>
        </w:tc>
        <w:tc>
          <w:tcPr>
            <w:tcW w:w="440" w:type="dxa"/>
            <w:vAlign w:val="bottom"/>
            <w:tcBorders>
              <w:bottom w:val="single" w:sz="8" w:color="auto"/>
            </w:tcBorders>
            <w:shd w:val="clear" w:color="auto" w:fill="B6DEE8"/>
          </w:tcPr>
          <w:p>
            <w:pPr>
              <w:spacing w:after="0"/>
              <w:rPr>
                <w:sz w:val="21"/>
                <w:szCs w:val="21"/>
                <w:color w:val="auto"/>
              </w:rPr>
            </w:pPr>
          </w:p>
        </w:tc>
        <w:tc>
          <w:tcPr>
            <w:tcW w:w="1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4"/>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68,575</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48,800</w:t>
            </w:r>
          </w:p>
        </w:tc>
        <w:tc>
          <w:tcPr>
            <w:tcW w:w="100" w:type="dxa"/>
            <w:vAlign w:val="bottom"/>
          </w:tcPr>
          <w:p>
            <w:pPr>
              <w:spacing w:after="0"/>
              <w:rPr>
                <w:sz w:val="20"/>
                <w:szCs w:val="20"/>
                <w:color w:val="auto"/>
              </w:rPr>
            </w:pPr>
          </w:p>
        </w:tc>
      </w:tr>
      <w:tr>
        <w:trPr>
          <w:trHeight w:val="245"/>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20" w:type="dxa"/>
            <w:vAlign w:val="bottom"/>
            <w:shd w:val="clear" w:color="auto" w:fill="B6DEE8"/>
          </w:tcPr>
          <w:p>
            <w:pPr>
              <w:spacing w:after="0"/>
              <w:rPr>
                <w:sz w:val="21"/>
                <w:szCs w:val="21"/>
                <w:color w:val="auto"/>
              </w:rPr>
            </w:pPr>
          </w:p>
        </w:tc>
        <w:tc>
          <w:tcPr>
            <w:tcW w:w="66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(120 )</w:t>
            </w:r>
          </w:p>
        </w:tc>
        <w:tc>
          <w:tcPr>
            <w:tcW w:w="44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r>
      <w:tr>
        <w:trPr>
          <w:trHeight w:val="247"/>
        </w:trPr>
        <w:tc>
          <w:tcPr>
            <w:tcW w:w="598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220" w:type="dxa"/>
            <w:vAlign w:val="bottom"/>
            <w:shd w:val="clear" w:color="auto" w:fill="B6DEE8"/>
          </w:tcPr>
          <w:p>
            <w:pPr>
              <w:spacing w:after="0"/>
              <w:rPr>
                <w:sz w:val="21"/>
                <w:szCs w:val="21"/>
                <w:color w:val="auto"/>
              </w:rPr>
            </w:pPr>
          </w:p>
        </w:tc>
        <w:tc>
          <w:tcPr>
            <w:tcW w:w="94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(222 )</w:t>
            </w:r>
          </w:p>
        </w:tc>
        <w:tc>
          <w:tcPr>
            <w:tcW w:w="44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(177 )</w:t>
            </w:r>
          </w:p>
        </w:tc>
      </w:tr>
      <w:tr>
        <w:trPr>
          <w:trHeight w:val="24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(716 )</w:t>
            </w:r>
          </w:p>
        </w:tc>
        <w:tc>
          <w:tcPr>
            <w:tcW w:w="44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(491 )</w:t>
            </w:r>
          </w:p>
        </w:tc>
      </w:tr>
      <w:tr>
        <w:trPr>
          <w:trHeight w:val="20"/>
        </w:trPr>
        <w:tc>
          <w:tcPr>
            <w:tcW w:w="5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B6DEE8"/>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220" w:type="dxa"/>
            <w:vAlign w:val="bottom"/>
            <w:shd w:val="clear" w:color="auto" w:fill="B6DEE8"/>
          </w:tcPr>
          <w:p>
            <w:pPr>
              <w:spacing w:after="0"/>
              <w:rPr>
                <w:sz w:val="20"/>
                <w:szCs w:val="20"/>
                <w:color w:val="auto"/>
              </w:rPr>
            </w:pPr>
          </w:p>
        </w:tc>
        <w:tc>
          <w:tcPr>
            <w:tcW w:w="94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(1,058 )</w:t>
            </w:r>
          </w:p>
        </w:tc>
        <w:tc>
          <w:tcPr>
            <w:tcW w:w="440" w:type="dxa"/>
            <w:vAlign w:val="bottom"/>
            <w:shd w:val="clear" w:color="auto" w:fill="B6DEE8"/>
          </w:tcPr>
          <w:p>
            <w:pPr>
              <w:spacing w:after="0"/>
              <w:rPr>
                <w:sz w:val="20"/>
                <w:szCs w:val="20"/>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(769 )</w:t>
            </w:r>
          </w:p>
        </w:tc>
      </w:tr>
      <w:tr>
        <w:trPr>
          <w:trHeight w:val="234"/>
        </w:trPr>
        <w:tc>
          <w:tcPr>
            <w:tcW w:w="59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 assets before valuation allowance</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67,517</w:t>
            </w:r>
          </w:p>
        </w:tc>
        <w:tc>
          <w:tcPr>
            <w:tcW w:w="280" w:type="dxa"/>
            <w:vAlign w:val="bottom"/>
            <w:tcBorders>
              <w:top w:val="single" w:sz="8" w:color="B6DEE8"/>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48,031</w:t>
            </w:r>
          </w:p>
        </w:tc>
        <w:tc>
          <w:tcPr>
            <w:tcW w:w="100" w:type="dxa"/>
            <w:vAlign w:val="bottom"/>
            <w:tcBorders>
              <w:top w:val="single" w:sz="8" w:color="B6DEE8"/>
            </w:tcBorders>
          </w:tcPr>
          <w:p>
            <w:pPr>
              <w:spacing w:after="0"/>
              <w:rPr>
                <w:sz w:val="20"/>
                <w:szCs w:val="20"/>
                <w:color w:val="auto"/>
              </w:rPr>
            </w:pPr>
          </w:p>
        </w:tc>
      </w:tr>
      <w:tr>
        <w:trPr>
          <w:trHeight w:val="245"/>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Less: valuation allowance</w:t>
            </w:r>
          </w:p>
        </w:tc>
        <w:tc>
          <w:tcPr>
            <w:tcW w:w="1220" w:type="dxa"/>
            <w:vAlign w:val="bottom"/>
            <w:shd w:val="clear" w:color="auto" w:fill="B6DEE8"/>
          </w:tcPr>
          <w:p>
            <w:pPr>
              <w:spacing w:after="0"/>
              <w:rPr>
                <w:sz w:val="21"/>
                <w:szCs w:val="21"/>
                <w:color w:val="auto"/>
              </w:rPr>
            </w:pPr>
          </w:p>
        </w:tc>
        <w:tc>
          <w:tcPr>
            <w:tcW w:w="94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(67,517 )</w:t>
            </w:r>
          </w:p>
        </w:tc>
        <w:tc>
          <w:tcPr>
            <w:tcW w:w="44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(48,031 )</w:t>
            </w:r>
          </w:p>
        </w:tc>
      </w:tr>
      <w:tr>
        <w:trPr>
          <w:trHeight w:val="236"/>
        </w:trPr>
        <w:tc>
          <w:tcPr>
            <w:tcW w:w="59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Total net deferred taxes</w:t>
            </w:r>
          </w:p>
        </w:tc>
        <w:tc>
          <w:tcPr>
            <w:tcW w:w="122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B6DEE8"/>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B6DEE8"/>
            </w:tcBorders>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-1447800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-504825</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-187960</wp:posOffset>
            </wp:positionV>
            <wp:extent cx="596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$106.8 million of federal and $144.3 million of combined state net operating loss (“NOL”) carryforwards available to offset future taxable income. The federal NOLs do not expire;</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7" w:right="479" w:bottom="1440" w:gutter="0" w:footer="0" w:header="0"/>
        </w:sectPr>
      </w:pPr>
    </w:p>
    <w:bookmarkStart w:id="99" w:name="page100"/>
    <w:bookmarkEnd w:id="99"/>
    <w:p>
      <w:pPr>
        <w:ind w:right="60"/>
        <w:spacing w:after="0" w:line="258" w:lineRule="auto"/>
        <w:rPr>
          <w:sz w:val="20"/>
          <w:szCs w:val="20"/>
          <w:color w:val="auto"/>
        </w:rPr>
      </w:pPr>
      <w:r>
        <w:rPr>
          <w:rFonts w:ascii="Times New Roman" w:cs="Times New Roman" w:eastAsia="Times New Roman" w:hAnsi="Times New Roman"/>
          <w:sz w:val="18"/>
          <w:szCs w:val="18"/>
          <w:color w:val="auto"/>
        </w:rPr>
        <w:t>however, they are subject to a utilization limit of 80% of taxable income in any given year. The State NOLs begin to expire in 2031, except for $20.9 million of state NOLs that do not expire. Internal Revenue Code Section 382 imposes limitations on the utilization of NOLs in the event of certain changes in ownership of the Company. The Company has not yet completed a comprehensive analysis of its past ownership changes. Depending upon the degree of those past ownership changes, and any future ownership changes, annual limits may impair the Company’s ability to utilize NOLs and could cause federal and state income taxes to be due sooner than if no such limitations applied.</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is dependent upon future sources of taxable income. Available positive and negative evidence is considered in making this determination. Due to a history of losses and uncertainty as to future taxable income, realization of the deferred tax assets is limited to the anticipated reversal of deferred tax liabilities. Management determined that there were insufficient federal and state deferred tax liabilities to offset all of the federal and state deferred tax assets at December 31, 2023 and 2022. Therefore, management believes it is more-likely-than-not that the net federal and state deferred assets will not be fully realized and has recorded valuation allowances in the amounts of $67.5 million and $48.0 million, as of December 31, 2023 and 2022,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gross unrecognized tax benefits as of December 31, 2023 and 2022 is as follows (dollars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1300" w:type="dxa"/>
            <w:vAlign w:val="bottom"/>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B6DEE8"/>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B6DEE8"/>
          </w:tcPr>
          <w:p>
            <w:pPr>
              <w:spacing w:after="0"/>
              <w:rPr>
                <w:sz w:val="21"/>
                <w:szCs w:val="2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Increases to prior positions</w:t>
            </w:r>
          </w:p>
        </w:tc>
        <w:tc>
          <w:tcPr>
            <w:tcW w:w="1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9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Decreases to prior positions</w:t>
            </w:r>
          </w:p>
        </w:tc>
        <w:tc>
          <w:tcPr>
            <w:tcW w:w="1300" w:type="dxa"/>
            <w:vAlign w:val="bottom"/>
            <w:shd w:val="clear" w:color="auto" w:fill="B6DEE8"/>
          </w:tcPr>
          <w:p>
            <w:pPr>
              <w:spacing w:after="0"/>
              <w:rPr>
                <w:sz w:val="21"/>
                <w:szCs w:val="21"/>
                <w:color w:val="auto"/>
              </w:rPr>
            </w:pPr>
          </w:p>
        </w:tc>
        <w:tc>
          <w:tcPr>
            <w:tcW w:w="5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current year positions</w:t>
            </w:r>
          </w:p>
        </w:tc>
        <w:tc>
          <w:tcPr>
            <w:tcW w:w="1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r>
      <w:tr>
        <w:trPr>
          <w:trHeight w:val="277"/>
        </w:trPr>
        <w:tc>
          <w:tcPr>
            <w:tcW w:w="59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Balance at end of year</w:t>
            </w:r>
          </w:p>
        </w:tc>
        <w:tc>
          <w:tcPr>
            <w:tcW w:w="1300" w:type="dxa"/>
            <w:vAlign w:val="bottom"/>
            <w:tcBorders>
              <w:bottom w:val="single" w:sz="8" w:color="auto"/>
            </w:tcBorders>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100" w:type="dxa"/>
            <w:vAlign w:val="bottom"/>
            <w:tcBorders>
              <w:bottom w:val="single" w:sz="8" w:color="B6DEE8"/>
            </w:tcBorders>
            <w:shd w:val="clear" w:color="auto" w:fill="B6DEE8"/>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bottom w:val="single" w:sz="8" w:color="auto"/>
            </w:tcBorders>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$1.3 million of gross unrecognized tax benefits related to state income taxes and federal and state R&amp;D tax credits. The unrecognized tax benefits of $0.1 million as of December 31, 2023, would, if recognized, affect the effective tax rate. Although it is possible that the amount of unrecognized tax benefits with respect to the uncertain tax positions will increase or decrease in the next 12 months, the Company does not expect material changes.</w:t>
      </w:r>
    </w:p>
    <w:p>
      <w:pPr>
        <w:spacing w:after="0" w:line="18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insignificant amounts of interest expense as a component of income tax expense during the years ended December 31, 2023 and 2022. The income tax related accrued interest amounts were also insignificant as of December 31, 2023 and 2022, respectively.</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August 16, 2022, the President signed into law the Inflation Reduction Act of 2022 which contained provisions effective January 1, 2023, including a 15% corporate minimum tax and a 1% excise tax on stock buybacks, both of which we expect to be immaterial to our financial results, financial position and cash flows.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subject to examination by taxing authorities in the jurisdictions in which it files tax returns, including federal, California, and various other state jurisdictions. The federal statute of limitations remains open for the tax periods December 31, 2020 and thereafter. The statute of limitations for California and various other state jurisdictions remains open for the tax periods December 31, 2019 and thereafter.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19 401(k) Savings Plan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$2.2 million and $2.1 million for the years ended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The Reverse Recapitalization and Related Transactions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the Closing Date, the Company consummated the previously announced mergers contemplated by the Business Combination Agreement. In connection with the closing of the Business Combination, the Company changed the name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from “VPC Impact Acquisition Holdings III, Inc.” to “Dave Inc.,” and the Surviving Entity operates under the name “Dave Operating LLC.”</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the consummation of the Business Combination, in accordance with the terms and conditions of the Business Combination Agreement, all issued and outstanding Legacy Dave common stock was converted into shares of Common Stock at the Exchange Ratio. At closing, VPCC transaction costs of $22.6 million were paid, which reduced the proceeds from VPCC and reduced APIC. Additionally, $5.1 million of the costs were capitalized and included within deferred issuance costs in the consolidated balance sheet for the years ended December 31, 2021, and reduced APIC at closing. The remaining $10.7 million in transaction costs were accrued for at closing. Upon closing the Business Combination, Legacy Dave received $7.0 million in cash proceeds after transactions costs of $22.6 million were paid and released from VPCC’s trust account, net of redemptions of $224.2 million. At closing, each non-redeemed outstanding share of Legacy Dave Class A common stock was converted into one share of Class A Common Stock.</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Upon consummation of the Business Combination, the shares of Legacy Dave held by Legacy Dave shareholders converted into 10,707,440 shares of Common Stock, including 9,193,358 shares of Class A Common Stock and 1,514,082 shares of Class V Common Stock.</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While the legal acquirer in the Business Combination was VPCC, for accounting and financial reporting purposes under U.S. GAAP, Legacy Dave is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Dave in many respects. Under this method of accounting, VPCC was treated as the “acquired” company. Accordingly, the consolidated assets, liabilities, and results of operations of Legacy Dave became the historical consolidated financial statements of Dave, and VPCC’s assets and liabilities were consolidated with Legacy Dave’s on the Closing Date. Operations prior to the Business Combination are presented as those of Dave in reports subsequent to the Closing Date. The net assets of VPCC were recognized at their carrying value immediately prior to the closing with no goodwill or other intangible assets recorded and were as follows, net of transaction costs (in millions):</w:t>
      </w:r>
    </w:p>
    <w:p>
      <w:pPr>
        <w:sectPr>
          <w:pgSz w:w="11900" w:h="16838" w:orient="portrait"/>
          <w:cols w:equalWidth="0" w:num="1">
            <w:col w:w="11240"/>
          </w:cols>
          <w:pgMar w:left="320" w:top="1417" w:right="339" w:bottom="1440" w:gutter="0" w:footer="0" w:header="0"/>
        </w:sectPr>
      </w:pP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assets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Earned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Warrant liability - public</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Warrant liability -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-120650</wp:posOffset>
            </wp:positionV>
            <wp:extent cx="6412230" cy="1631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920" w:hanging="918"/>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w:t>
      </w:r>
    </w:p>
    <w:p>
      <w:pPr>
        <w:spacing w:after="0" w:line="36"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w:t>
      </w:r>
    </w:p>
    <w:p>
      <w:pPr>
        <w:spacing w:after="0" w:line="36"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(3.2 )</w:t>
      </w:r>
    </w:p>
    <w:p>
      <w:pPr>
        <w:spacing w:after="0" w:line="36"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(0.2 )</w:t>
      </w:r>
    </w:p>
    <w:p>
      <w:pPr>
        <w:spacing w:after="0" w:line="36"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(9.7 )</w:t>
      </w:r>
    </w:p>
    <w:p>
      <w:pPr>
        <w:spacing w:after="0" w:line="36"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(7.6 )</w:t>
      </w:r>
    </w:p>
    <w:p>
      <w:pPr>
        <w:spacing w:after="0" w:line="36"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color w:val="auto"/>
        </w:rPr>
        <w:t>(6.7 )</w:t>
      </w:r>
    </w:p>
    <w:p>
      <w:pPr>
        <w:spacing w:after="0" w:line="46" w:lineRule="exact"/>
        <w:rPr>
          <w:sz w:val="20"/>
          <w:szCs w:val="20"/>
          <w:color w:val="auto"/>
        </w:rPr>
      </w:pPr>
    </w:p>
    <w:p>
      <w:pPr>
        <w:ind w:left="920" w:hanging="918"/>
        <w:spacing w:after="0"/>
        <w:tabs>
          <w:tab w:leader="none" w:pos="9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8572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wp:posOffset>
            </wp:positionV>
            <wp:extent cx="8572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8520" w:space="720"/>
            <w:col w:w="2000"/>
          </w:cols>
          <w:pgMar w:left="320" w:top="1417" w:right="339" w:bottom="1440" w:gutter="0" w:footer="0" w:header="0"/>
          <w:type w:val="continuous"/>
        </w:sectPr>
      </w:pP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as part of the recapitalization, 168,515 shares of VPCC Class A common stock held by founders of VPCC (the “Founder Holders”) were exchanged with 168,515 shares of Dave Class A Common Stock, 49,563 (or “Founder Holder Earnout Shares”) of which will be subject to forfeiture if the vesting condition is not met over the five year term following the Closing Date as follows: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Sixty percent (60%) of the Founder Holder Earnout Shares (29,737 Founder Holder Earnout Shares) shall immediately become fully vested and no longer subject to forfeiture upon the occurrence of Triggering Event I, which is defined as the first date on which the Common Share Price is equal to or greater than $400 after the Closing Date, but within the Earnout Period (as defined in the Business Combination Agreement); provided, that</w:t>
      </w:r>
    </w:p>
    <w:p>
      <w:pPr>
        <w:spacing w:after="0" w:line="284" w:lineRule="exact"/>
        <w:rPr>
          <w:sz w:val="20"/>
          <w:szCs w:val="20"/>
          <w:color w:val="auto"/>
        </w:rPr>
      </w:pPr>
    </w:p>
    <w:p>
      <w:pPr>
        <w:ind w:left="1020" w:right="1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pursuant to which Dave Stockholders receive, or have the right to receive, cash, securities or other property attributing a value of at least $400 to each share of Class A Common Stock (as agreed in good faith by the Sponsor and the Board), then Triggering Event I shall be deemed to have occurred and;</w:t>
      </w:r>
    </w:p>
    <w:p>
      <w:pPr>
        <w:spacing w:after="0" w:line="28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(as defined in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1" w:name="page102"/>
    <w:bookmarkEnd w:id="101"/>
    <w:p>
      <w:pPr>
        <w:spacing w:after="0" w:line="86" w:lineRule="exact"/>
        <w:rPr>
          <w:sz w:val="20"/>
          <w:szCs w:val="20"/>
          <w:color w:val="auto"/>
        </w:rPr>
      </w:pPr>
    </w:p>
    <w:p>
      <w:pPr>
        <w:ind w:left="1020" w:right="40"/>
        <w:spacing w:after="0" w:line="282" w:lineRule="auto"/>
        <w:rPr>
          <w:sz w:val="20"/>
          <w:szCs w:val="20"/>
          <w:color w:val="auto"/>
        </w:rPr>
      </w:pPr>
      <w:r>
        <w:rPr>
          <w:rFonts w:ascii="Times New Roman" w:cs="Times New Roman" w:eastAsia="Times New Roman" w:hAnsi="Times New Roman"/>
          <w:sz w:val="18"/>
          <w:szCs w:val="18"/>
          <w:color w:val="auto"/>
        </w:rPr>
        <w:t>Agreement) threshold (i.e., $400) will, for all purposes of the Business Combination Agreement (and an agreement with the Founder Holders (the “Founder Holder Agreement”)), in each case be equitably adjusted to reflect such change;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Founder Holder Earnout Shares (19,825 Founder Holder Earnout Shares) shall immediately become fully vested and no longer subject to forfeiture upon the occurrence of Triggering Event II, which is defined as the first date on which the Common Share Price is equal to or greater than $480.00 after the Closing Date, but within the Earnout Period; provided that</w:t>
      </w:r>
    </w:p>
    <w:p>
      <w:pPr>
        <w:spacing w:after="0" w:line="284" w:lineRule="exact"/>
        <w:rPr>
          <w:sz w:val="20"/>
          <w:szCs w:val="20"/>
          <w:color w:val="auto"/>
        </w:rPr>
      </w:pPr>
    </w:p>
    <w:p>
      <w:pPr>
        <w:ind w:left="1020" w:right="16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change of control pursuant to which Dave Stockholders receive, or have the right to receive, cash, securities or other property attributing a value of at least $480.00 to each share of Class A Common Stock (as agreed in good faith by Sponsor and the Board), then Triggering Event II shall be deemed to have occurred and;</w:t>
      </w:r>
    </w:p>
    <w:p>
      <w:pPr>
        <w:spacing w:after="0" w:line="28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threshold (i.e., $480.00) will, for all purposes of the Business Combination Agreement (and the Founder Holder Agreement), in each case be equitably adjusted to reflect such change.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Founder Holder Earnout Shares were recognized at fair value upon the closing of the Business Combination and classified as a liability. The issuance of the Founder Holder Earnout Shares were recorded as a liability with the offsetting amount within APIC because the Business Combination is accounted for as a reverse recapitalization. The Founder Holder Earnout Shares will be remeasured to fair value at each reporting period end with changes in fair value going through the statements of operations.</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Pursuant to the terms of the Business Combination Agreement, all of the issued and outstanding Series A, Series B-1 and Series B-2 redeemable convertible preferred stock and series A redeemable convertible preferred stock converted into 6,395,542 shares of Legacy Dave common stock immediately prior to the Business Combination. Then, as of the closing of the Business Combination, all outstanding shares of Legacy Dave common stock converted into 10,707,440 shares of Class A Common Stock and Class V Common Stock. Additionally, each of Legacy Dave options and warrants that were outstanding immediately prior to the closing of the Business Combination remained outstanding and converted into options and warrants for Dave Class A and Class V Common Stock equal to the number of the Company’s common stock, subject to such options or warrants, multiplied by the Exchange Ratio at an exercise price per share equal to the current exercise price per share for such option or warrant divided by the Exchange Ratio, with the aggregate amount of shares of Class A Common Stock and Class V Common Stock issuable upon exercise of such options and warrants to be 1,002,383.</w:t>
      </w:r>
    </w:p>
    <w:p>
      <w:pPr>
        <w:spacing w:after="0" w:line="1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VPCC entered into Subscription Agreements (the “Subscription Agreement”) with certain investors (the “Subscription Investors”) pursuant to which the Subscription Investors agreed to purchase, and the Company agreed to sell to the Subscription Investors, an aggregate of 656,247 shares of the Class A Common Stock for a purchase price of $320 per share, or an aggregate of $210 million in gross cash proceeds (the “PIPE Financing”). On August 17, 2021 Alameda Research, a Subscription Investor agreed to pre-fund its obligation under the original Subscription Agreement to subscribe for 46,875 shares of Class A Common Stock for $15.0 million of the aggregate PIPE Financing subscription amount. On August 17, 2021, Legacy Dave issued a promissory note with a principal amount of $15.0 million to Alameda Research and amended the Subscription Agreement to satisfy Alameda Research’s obligation to pay the $15.0 million purchase price under the Alameda Subscription Agreement by way of a full discharge of Legacy Dave’s obligations to pay the principal under the promissory note. Upon the closing of the Business Combination, the promissory note was automatically discharged upon the Company’s issuance of 46,875 shares of Class A Common Stock to Alameda Research. The closing of the private placement occurred immediately prior to the closing date.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consummation of the Business Combination were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V</w:t>
            </w:r>
          </w:p>
        </w:tc>
      </w:tr>
      <w:tr>
        <w:trPr>
          <w:trHeight w:val="243"/>
        </w:trPr>
        <w:tc>
          <w:tcPr>
            <w:tcW w:w="7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Common stock outstanding on December 31, 2021</w:t>
            </w:r>
          </w:p>
        </w:tc>
        <w:tc>
          <w:tcPr>
            <w:tcW w:w="118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2,888,634</w:t>
            </w:r>
          </w:p>
        </w:tc>
        <w:tc>
          <w:tcPr>
            <w:tcW w:w="100" w:type="dxa"/>
            <w:vAlign w:val="bottom"/>
            <w:shd w:val="clear" w:color="auto" w:fill="B6DEE8"/>
          </w:tcPr>
          <w:p>
            <w:pPr>
              <w:spacing w:after="0"/>
              <w:rPr>
                <w:sz w:val="21"/>
                <w:szCs w:val="21"/>
                <w:color w:val="auto"/>
              </w:rPr>
            </w:pPr>
          </w:p>
        </w:tc>
        <w:tc>
          <w:tcPr>
            <w:tcW w:w="120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1,514,082</w:t>
            </w:r>
          </w:p>
        </w:tc>
        <w:tc>
          <w:tcPr>
            <w:tcW w:w="100" w:type="dxa"/>
            <w:vAlign w:val="bottom"/>
            <w:shd w:val="clear" w:color="auto" w:fill="B6DEE8"/>
          </w:tcPr>
          <w:p>
            <w:pPr>
              <w:spacing w:after="0"/>
              <w:rPr>
                <w:sz w:val="21"/>
                <w:szCs w:val="21"/>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activity between December 31, 2021 and January 5, 2022</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Exercise of derivative asset and paydown of stockholder loans</w:t>
            </w:r>
          </w:p>
        </w:tc>
        <w:tc>
          <w:tcPr>
            <w:tcW w:w="12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(187,945 )</w:t>
            </w: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Class A common stock for stock option exercises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52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Repurchase of Class A common stock</w:t>
            </w:r>
          </w:p>
        </w:tc>
        <w:tc>
          <w:tcPr>
            <w:tcW w:w="12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(6,203 )</w:t>
            </w: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8"/>
        </w:trPr>
        <w:tc>
          <w:tcPr>
            <w:tcW w:w="752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Common stock outstanding prior to the Business Combination</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2,776,689</w:t>
            </w:r>
          </w:p>
        </w:tc>
        <w:tc>
          <w:tcPr>
            <w:tcW w:w="100" w:type="dxa"/>
            <w:vAlign w:val="bottom"/>
            <w:tcBorders>
              <w:top w:val="single" w:sz="8" w:color="B6DEE8"/>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1,514,082</w:t>
            </w:r>
          </w:p>
        </w:tc>
        <w:tc>
          <w:tcPr>
            <w:tcW w:w="100" w:type="dxa"/>
            <w:vAlign w:val="bottom"/>
            <w:tcBorders>
              <w:top w:val="single" w:sz="8" w:color="B6DEE8"/>
            </w:tcBorders>
          </w:tcPr>
          <w:p>
            <w:pPr>
              <w:spacing w:after="0"/>
              <w:rPr>
                <w:sz w:val="20"/>
                <w:szCs w:val="20"/>
                <w:color w:val="auto"/>
              </w:rPr>
            </w:pPr>
          </w:p>
        </w:tc>
      </w:tr>
      <w:tr>
        <w:trPr>
          <w:trHeight w:val="245"/>
        </w:trPr>
        <w:tc>
          <w:tcPr>
            <w:tcW w:w="7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Conversion of preferred stock to Class A common stock</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6,395,542</w:t>
            </w:r>
          </w:p>
        </w:tc>
        <w:tc>
          <w:tcPr>
            <w:tcW w:w="100" w:type="dxa"/>
            <w:vAlign w:val="bottom"/>
            <w:shd w:val="clear" w:color="auto" w:fill="B6DEE8"/>
          </w:tcPr>
          <w:p>
            <w:pPr>
              <w:spacing w:after="0"/>
              <w:rPr>
                <w:sz w:val="21"/>
                <w:szCs w:val="21"/>
                <w:color w:val="auto"/>
              </w:rPr>
            </w:pP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attributable to VPCC</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92,463</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7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Adjustment related to Reverse Recapitalization*</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6,488,005</w:t>
            </w:r>
          </w:p>
        </w:tc>
        <w:tc>
          <w:tcPr>
            <w:tcW w:w="100" w:type="dxa"/>
            <w:vAlign w:val="bottom"/>
            <w:shd w:val="clear" w:color="auto" w:fill="B6DEE8"/>
          </w:tcPr>
          <w:p>
            <w:pPr>
              <w:spacing w:after="0"/>
              <w:rPr>
                <w:sz w:val="20"/>
                <w:szCs w:val="20"/>
                <w:color w:val="auto"/>
              </w:rPr>
            </w:pP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B6DEE8"/>
          </w:tcPr>
          <w:p>
            <w:pPr>
              <w:spacing w:after="0"/>
              <w:rPr>
                <w:sz w:val="20"/>
                <w:szCs w:val="20"/>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Founder Holder shares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118,953</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5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Conversion of 2019 convertible notes and accrued interest to Class A common stock</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shd w:val="clear" w:color="auto" w:fill="B6DEE8"/>
          </w:tcPr>
          <w:p>
            <w:pPr>
              <w:spacing w:after="0"/>
              <w:rPr>
                <w:sz w:val="21"/>
                <w:szCs w:val="21"/>
                <w:color w:val="auto"/>
              </w:rPr>
            </w:pP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Series B-1 preferred stock warrants, net of settlement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5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Issuance of Class A common stock pursuant to the PIPE financing</w:t>
            </w:r>
          </w:p>
        </w:tc>
        <w:tc>
          <w:tcPr>
            <w:tcW w:w="1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656,247</w:t>
            </w:r>
          </w:p>
        </w:tc>
        <w:tc>
          <w:tcPr>
            <w:tcW w:w="100" w:type="dxa"/>
            <w:vAlign w:val="bottom"/>
            <w:tcBorders>
              <w:bottom w:val="single" w:sz="8" w:color="B6DEE8"/>
            </w:tcBorders>
            <w:shd w:val="clear" w:color="auto" w:fill="B6DEE8"/>
          </w:tcPr>
          <w:p>
            <w:pPr>
              <w:spacing w:after="0"/>
              <w:rPr>
                <w:sz w:val="21"/>
                <w:szCs w:val="21"/>
                <w:color w:val="auto"/>
              </w:rPr>
            </w:pPr>
          </w:p>
        </w:tc>
        <w:tc>
          <w:tcPr>
            <w:tcW w:w="1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8"/>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shares of common stock as of closing of Business Combination and related transactions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10,061,021</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1,514,082</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-1439545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corresponding adjustment to APIC related to the reverse recapitalization was comprised of (i) $175.3 million which represents the fair value of the consideration transferred in the Business Combination, less the excess of the fair value of the shares issued over the value of the net monetary assets of VPCC, net of transaction costs and (ii) $72.2 million which represents the conversion of the convertible preferred stock into Dave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1,002,383 Dave options outstanding immediately after the Business Combination.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Dave warrants to purchase 357,635 shares of Class A Common Stock, consisted of (i) 198,254 public warrants listed on the Nasdaq and (ii) 159,381 private warrants, each with an exercise price of $368 per share, remained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3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consolidated balance sheet date, but before the consolidated financial statements are available to be issued. The Company recognizes in the consolidated financial statements the effects of all subsequent events that provide additional evidence about conditions that existed at the date of the consolidated balance sheet, including the estimates inherent in the process of preparing the consolidated financial statements. The Company’s consolidated financial statements do not recognize subsequent events that provide evidence about conditions that did not exist at the date of the consolidated balance sheet but arose after the consolidated balance sheet date and before the consolidated financial statements were available to be issued.</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4, 2024, the Company entered into a purchase and sale agreement (the “Purchase Agreement”), pursuant to which the Company agreed to purchase a convertible promissory note in the original principal amount of $100.0 million previously issued by the Company to FTX Ventures Ltd. (“FTX”) on March 21, 2022 (the “Note”) for consideration of $71.0 million in cash, subject to potential adjustments pursuant to certain change in control provisions specified in the Purchase Agreement (the “Transaction”). The closing of the Transaction was conditioned upon the Bankruptcy Court’s approval of the Purchase Agreement and upon FTX not entering into an alternative transaction for the sale of the Note. The Bankruptcy Court approved this transaction on January 26, 2024 and the Transaction was closed for consideration of $71 million in cash on January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3" w:name="page104"/>
    <w:bookmarkEnd w:id="10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2023. Based on this evaluation, our Chief Executive Officer and Chief Financial Officer have concluded that our disclosure controls and procedures were not effective, due to the material weaknesses in our internal control over financial reporting in our consolidated financial statements for the years ended December 31, 2023 and 2022 described below. As a result, we performed additional analysis as deemed necessary to ensure that our financial statements were prepared in accordance with U.S. generally accepted accounting principles. Accordingly, management believes that the financial statements included in this Annual Report on Form 10-K present fairly in all material respects our financial position, results of operations and cash flows for the period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of our Chief Executive Officer and Chief Financial Officer and with the participation of our management, we conducted an evaluation of the effectiveness of our internal control over financial reporting as of December 31, 2023 based on the framework in “Internal Control—Integrated Framework” issued by the Committee of Sponsoring Organizations of the Treadway Commission (2013 Framework). Based on that evaluation, our management concluded that our internal control over financial reporting was not effective as of December 31, 2023, due to the material weaknesses in our internal control over financial reporting in our consolidated financial statements for the year ended December 31, 2023, because:</w:t>
      </w:r>
    </w:p>
    <w:p>
      <w:pPr>
        <w:spacing w:after="0" w:line="86" w:lineRule="exact"/>
        <w:rPr>
          <w:sz w:val="20"/>
          <w:szCs w:val="20"/>
          <w:color w:val="auto"/>
        </w:rPr>
      </w:pPr>
    </w:p>
    <w:p>
      <w:pPr>
        <w:ind w:left="1020" w:right="34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sufficient evidence of the performance and/or review of certain internal controls or complete remediation testing for certain internal controls over the period-end financial reporting process addressing financial statement and footnote presentation and disclosures;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sufficient evidence of the performance and/or review of certain IT application controls for information systems that are relevant to the preparation of our financial statements.</w:t>
      </w:r>
    </w:p>
    <w:p>
      <w:pPr>
        <w:spacing w:after="0" w:line="16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During 2023, we made significant progress enhancing our internal control environment by completing an enterprise-wide risk assessment, process narratives, risk and control matrices, a subsequent gap analysis and performed targeted testing of the design and operating effectiveness of our internal control over financial reporting in efforts to remediate previously disclosed material weaknesses. These efforts also include, but are not limited to: adding additional resources in accounting and finance departments, utilizing third party specialists to assist with complex accounting matters and reduce risks associated with the lack of segregation of duties; implementing a segregation of duties monitoring tool; formalizing accounting policies and procedures; implementing a new enterprise resource planning system to enhance the journal entry review and approval processes; performing bank and balance sheet account reconciliations on a monthly basis; implementing a SOX compliance and audit management platform; and designing and implementing both</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ind w:right="300"/>
        <w:spacing w:after="0" w:line="282" w:lineRule="auto"/>
        <w:rPr>
          <w:sz w:val="20"/>
          <w:szCs w:val="20"/>
          <w:color w:val="auto"/>
        </w:rPr>
      </w:pPr>
      <w:r>
        <w:rPr>
          <w:rFonts w:ascii="Times New Roman" w:cs="Times New Roman" w:eastAsia="Times New Roman" w:hAnsi="Times New Roman"/>
          <w:sz w:val="18"/>
          <w:szCs w:val="18"/>
          <w:color w:val="auto"/>
        </w:rPr>
        <w:t>IT general controls and IT application controls around our product platform and core applications, including controls over: change management, access security and IT operations.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continue to implement our plan to remediate the material weaknesses described above. Those remediation measures are ongoing and include (i) ensuring our enterprise-wide risk assessment, risk and control matrices, process narratives and gap analysis continue to be updated to reflect our current accounting processes and internal control environment and (ii) ensuring internal control over financial reporting is adequately performed; and (iii) ensuring sufficient testing is performed and the testing-related support and documentation are complete and accurate for the design and operating effectiveness of internal control over financial reporting.</w:t>
      </w:r>
    </w:p>
    <w:p>
      <w:pPr>
        <w:spacing w:after="0" w:line="183" w:lineRule="exact"/>
        <w:rPr>
          <w:sz w:val="20"/>
          <w:szCs w:val="20"/>
          <w:color w:val="auto"/>
        </w:rPr>
      </w:pPr>
    </w:p>
    <w:p>
      <w:pPr>
        <w:ind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further details on our material weaknesses that existed during the years ended December 31, 2022 and 2021, please refer to our Form 10-K filed with the SEC on </w:t>
      </w:r>
      <w:hyperlink r:id="rId81">
        <w:r>
          <w:rPr>
            <w:rFonts w:ascii="Times New Roman" w:cs="Times New Roman" w:eastAsia="Times New Roman" w:hAnsi="Times New Roman"/>
            <w:sz w:val="18"/>
            <w:szCs w:val="18"/>
            <w:u w:val="single" w:color="auto"/>
            <w:color w:val="0000FF"/>
          </w:rPr>
          <w:t>March 13, 2023</w:t>
        </w:r>
      </w:hyperlink>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-48260</wp:posOffset>
            </wp:positionV>
            <wp:extent cx="7264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2023, Dan </w:t>
      </w:r>
      <w:r>
        <w:rPr>
          <w:rFonts w:ascii="Times New Roman" w:cs="Times New Roman" w:eastAsia="Times New Roman" w:hAnsi="Times New Roman"/>
          <w:sz w:val="18"/>
          <w:szCs w:val="18"/>
          <w:color w:val="222222"/>
        </w:rPr>
        <w:t>Preston, a member of our Board of Directors, entered into a pre-arranged</w:t>
      </w:r>
      <w:r>
        <w:rPr>
          <w:rFonts w:ascii="Times New Roman" w:cs="Times New Roman" w:eastAsia="Times New Roman" w:hAnsi="Times New Roman"/>
          <w:sz w:val="18"/>
          <w:szCs w:val="18"/>
          <w:color w:val="auto"/>
        </w:rPr>
        <w:t xml:space="preserve"> stock trading plan that is intended to satisfy the affirmative defense conditions of Rule 10b5-1 under the Exchange Act. Mr. Preston’s pla</w:t>
      </w:r>
      <w:r>
        <w:rPr>
          <w:rFonts w:ascii="Times New Roman" w:cs="Times New Roman" w:eastAsia="Times New Roman" w:hAnsi="Times New Roman"/>
          <w:sz w:val="18"/>
          <w:szCs w:val="18"/>
          <w:color w:val="222222"/>
        </w:rPr>
        <w:t>n provides for (i) the potential exercise of vested stock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and the associated sale of up to 24,125 shares of Dave Class A Common Stock and (ii) the potential sale of up to an additional 31,405 shares of Dave Class A Common Stock. Mr. Preston’s plan commences on January 1, 2024 and expires on December 31, 2024, subject to the plan's earlier expiration or completion in accordance with its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executive officers and directors, which is included herein under “Information about our Executive Officers and Directors”, and our code of ethics, which is set forth below, the information required by this Item 10 will be included in our Proxy Statement to be filed with the SEC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of Dave has adopted a Code of Business Conduct and Ethics that applies to all of its directors, officers and employees, including the principal executive officer, principal financial officer, principal accounting officer or controller, or persons performing similar functions. The Code of Business Conduct and Ethics is available on the Corporate Governance section of Dave’s website. In addition, Dave will post on the Corporate Governance section of its website all disclosures that are required by law or Nasdaq listing standards relating to any amendments to, or waivers from, any provision of the Code of Business Conduct and Ethics.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to be filed with the SEC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Los Angeles, CA, PCAOB Auditor ID 34.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to be filed with the SEC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6" w:name="page107"/>
    <w:bookmarkEnd w:id="10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7" w:lineRule="exact"/>
        <w:rPr>
          <w:sz w:val="20"/>
          <w:szCs w:val="20"/>
          <w:color w:val="auto"/>
        </w:rPr>
      </w:pPr>
    </w:p>
    <w:p>
      <w:pPr>
        <w:ind w:left="1040" w:hanging="560"/>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financial statements listed in the Index to Financial Statements under Part II, Item 8 of this report.</w:t>
      </w:r>
    </w:p>
    <w:p>
      <w:pPr>
        <w:spacing w:after="0" w:line="231" w:lineRule="exact"/>
        <w:rPr>
          <w:rFonts w:ascii="Times New Roman" w:cs="Times New Roman" w:eastAsia="Times New Roman" w:hAnsi="Times New Roman"/>
          <w:sz w:val="18"/>
          <w:szCs w:val="18"/>
          <w:color w:val="auto"/>
        </w:rPr>
      </w:pPr>
    </w:p>
    <w:p>
      <w:pPr>
        <w:ind w:left="1040" w:right="6879" w:hanging="560"/>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75" w:lineRule="exact"/>
        <w:rPr>
          <w:rFonts w:ascii="Times New Roman" w:cs="Times New Roman" w:eastAsia="Times New Roman" w:hAnsi="Times New Roman"/>
          <w:sz w:val="18"/>
          <w:szCs w:val="18"/>
          <w:color w:val="auto"/>
        </w:rPr>
      </w:pPr>
    </w:p>
    <w:p>
      <w:pPr>
        <w:ind w:left="1040" w:hanging="560"/>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furnished or incorporated by reference as part of this report.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7" w:name="page108"/>
    <w:bookmarkEnd w:id="107"/>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60" w:type="dxa"/>
            <w:vAlign w:val="bottom"/>
            <w:gridSpan w:val="18"/>
          </w:tcPr>
          <w:p>
            <w:pPr>
              <w:ind w:left="10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300" w:type="dxa"/>
            <w:vAlign w:val="bottom"/>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9940" w:type="dxa"/>
            <w:vAlign w:val="bottom"/>
            <w:gridSpan w:val="23"/>
          </w:tcPr>
          <w:p>
            <w:pPr>
              <w:spacing w:after="0" w:line="202"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Agreement and Plan of Merger, dated as of June 7, 2021, by and among VPC Impact Acquisition Holdings III, Inc., Bear Merger</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Company I Inc., Bear Merger Company II LLC, and Dave Inc. (incorporated by reference to Exhibit 2.1 to the Company’s Current</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Report on Form 8-K filed with the Commission on June 7, 2021.)</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Second Amended and Restated Certificate of Incorporation of Dave Inc. (incorporated by reference to Exhibit 3.1 to the Company’s</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Certificate of Amendment to Second Amended and Restated Certificate of Incorporation of Dave Inc. (incorporated by reference to</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Exhibit 3.1 to the Company’s Current Report on Form 8-K filed with the Commission on January 5, 2023.</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Amended and Restated Bylaws of Dave Inc. (incorporated by reference to Exhibit 3.2 to the Company’s Current Report on Form 8-K</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Convertible Note, dated March 21, 2022, by and between Dave Inc. and FTX Ventures Ltd. (incorporated by reference to Exhibit 4.1 to</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the Company’s Current Report on Form 8-K filed with the Commission on March 21,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4.2</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Warrant Agreement, dated March 4, 2021, between Continental Stock Transfer &amp; Trust Company and VPCC (incorporated by reference</w:t>
              </w:r>
            </w:hyperlink>
          </w:p>
        </w:tc>
      </w:tr>
      <w:tr>
        <w:trPr>
          <w:trHeight w:val="20"/>
        </w:trPr>
        <w:tc>
          <w:tcPr>
            <w:tcW w:w="1300" w:type="dxa"/>
            <w:vAlign w:val="bottom"/>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to Exhibit 4.1 to the Company’s Current Report on Form 8-K, filed with the Commission on March 9, 2021).</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4.3</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 xml:space="preserve">Description of Securities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incorporated by reference to Exhibit 4.3 to the Company’s Annual Report on Form 10-K filed with the</w:t>
            </w:r>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2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Commission on March 25, 2022).</w:t>
            </w:r>
          </w:p>
        </w:tc>
        <w:tc>
          <w:tcPr>
            <w:tcW w:w="7540" w:type="dxa"/>
            <w:vAlign w:val="bottom"/>
            <w:gridSpan w:val="20"/>
          </w:tcPr>
          <w:p>
            <w:pPr>
              <w:spacing w:after="0"/>
              <w:rPr>
                <w:sz w:val="17"/>
                <w:szCs w:val="17"/>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Indemnification Agreement (incorporated by reference to Exhibit 10.1 to the Company’s Current Report on Form 8-K filed with</w:t>
              </w:r>
            </w:hyperlink>
          </w:p>
        </w:tc>
      </w:tr>
      <w:tr>
        <w:trPr>
          <w:trHeight w:val="20"/>
        </w:trPr>
        <w:tc>
          <w:tcPr>
            <w:tcW w:w="1300" w:type="dxa"/>
            <w:vAlign w:val="bottom"/>
          </w:tcPr>
          <w:p>
            <w:pPr>
              <w:spacing w:after="0" w:line="20" w:lineRule="exact"/>
              <w:rPr>
                <w:sz w:val="1"/>
                <w:szCs w:val="1"/>
                <w:color w:val="auto"/>
              </w:rPr>
            </w:pPr>
          </w:p>
        </w:tc>
        <w:tc>
          <w:tcPr>
            <w:tcW w:w="2760" w:type="dxa"/>
            <w:vAlign w:val="bottom"/>
            <w:tcBorders>
              <w:right w:val="single" w:sz="8" w:color="0000FF"/>
            </w:tcBorders>
            <w:gridSpan w:val="4"/>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4"/>
            <w:shd w:val="clear" w:color="auto" w:fill="0000FF"/>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w:t>
            </w:r>
          </w:p>
        </w:tc>
        <w:tc>
          <w:tcPr>
            <w:tcW w:w="9940" w:type="dxa"/>
            <w:vAlign w:val="bottom"/>
            <w:gridSpan w:val="23"/>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Investor Rights Agreement, dated as of January 5, 2022, by and among the Company, the Sponsor, Janet Kloppenburg, Peter Offenhauser</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and Kurt Summers, and certain holders of Legacy Dave Capital Stock (incorporated by reference to Exhibit 10.2 to the Company’s</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5620" w:type="dxa"/>
            <w:vAlign w:val="bottom"/>
            <w:tcBorders>
              <w:right w:val="single" w:sz="8" w:color="0000EE"/>
            </w:tcBorders>
            <w:gridSpan w:val="7"/>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Lease by and between PCJW Properties LLC and Legacy Dave, dated as of January 1, 2019 (incorporated by reference to Exhibit 10.3 to</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the Company’s 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Sublease by and between PCJW Properties LLC and Legacy Dave, dated as pf December 1, 2018 (incorporated by reference to Exhibit</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Company’s 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Amended and Restated 2021 Equity Incentive Plan and related forms of award agreements (incorporated by reference to Exhibit 10.1 to</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gridSpan w:val="10"/>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the Company’s Current Report on Form 8-K filed with the Commission on December 13,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4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10.6†</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2021 Employee Stock Purchase Plan (incorporated by reference to Exhibit 10.6 to the Company’s Current Report on Form 8-K filed with</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2760" w:type="dxa"/>
            <w:vAlign w:val="bottom"/>
            <w:tcBorders>
              <w:right w:val="single" w:sz="8" w:color="0000EE"/>
            </w:tcBorders>
            <w:gridSpan w:val="4"/>
            <w:shd w:val="clear" w:color="auto" w:fill="0000FF"/>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10.7†</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Employment Agreement, dated January 3, 2022, by and between Jason Wilk and Dave (incorporated by reference to Exhibit 10.7 to the</w:t>
              </w:r>
            </w:hyperlink>
          </w:p>
        </w:tc>
      </w:tr>
      <w:tr>
        <w:trPr>
          <w:trHeight w:val="20"/>
        </w:trPr>
        <w:tc>
          <w:tcPr>
            <w:tcW w:w="1300" w:type="dxa"/>
            <w:vAlign w:val="bottom"/>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Company’s Current Report on Form 8-K filed with the Commission on January 11, 2022).</w:t>
              </w:r>
            </w:hyperlink>
          </w:p>
        </w:tc>
      </w:tr>
      <w:tr>
        <w:trPr>
          <w:trHeight w:val="20"/>
        </w:trPr>
        <w:tc>
          <w:tcPr>
            <w:tcW w:w="1300" w:type="dxa"/>
            <w:vAlign w:val="bottom"/>
            <w:tcBorders>
              <w:right w:val="single" w:sz="8" w:color="0000EE"/>
            </w:tcBorders>
          </w:tcPr>
          <w:p>
            <w:pPr>
              <w:spacing w:after="0" w:line="20" w:lineRule="exact"/>
              <w:rPr>
                <w:sz w:val="1"/>
                <w:szCs w:val="1"/>
                <w:color w:val="auto"/>
              </w:rPr>
            </w:pPr>
          </w:p>
        </w:tc>
        <w:tc>
          <w:tcPr>
            <w:tcW w:w="646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10.8†</w:t>
            </w:r>
          </w:p>
        </w:tc>
        <w:tc>
          <w:tcPr>
            <w:tcW w:w="9940" w:type="dxa"/>
            <w:vAlign w:val="bottom"/>
            <w:gridSpan w:val="23"/>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Employment Agreement, dated January 31, 2022, by and between Kyle Beilman and Dave (incorporated by reference to Exhibit 10.2 to</w:t>
              </w:r>
            </w:hyperlink>
          </w:p>
        </w:tc>
      </w:tr>
      <w:tr>
        <w:trPr>
          <w:trHeight w:val="20"/>
        </w:trPr>
        <w:tc>
          <w:tcPr>
            <w:tcW w:w="1300" w:type="dxa"/>
            <w:vAlign w:val="bottom"/>
          </w:tcPr>
          <w:p>
            <w:pPr>
              <w:spacing w:after="0" w:line="20" w:lineRule="exact"/>
              <w:rPr>
                <w:sz w:val="1"/>
                <w:szCs w:val="1"/>
                <w:color w:val="auto"/>
              </w:rPr>
            </w:pPr>
          </w:p>
        </w:tc>
        <w:tc>
          <w:tcPr>
            <w:tcW w:w="6760" w:type="dxa"/>
            <w:vAlign w:val="bottom"/>
            <w:tcBorders>
              <w:right w:val="single" w:sz="8" w:color="0000FF"/>
            </w:tcBorders>
            <w:gridSpan w:val="10"/>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9940" w:type="dxa"/>
            <w:vAlign w:val="bottom"/>
            <w:gridSpan w:val="23"/>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the Company’s Current Report on Form 8-K filed with the Commission on February 1, 2022).</w:t>
              </w:r>
            </w:hyperlink>
          </w:p>
        </w:tc>
      </w:tr>
      <w:tr>
        <w:trPr>
          <w:trHeight w:val="830"/>
        </w:trPr>
        <w:tc>
          <w:tcPr>
            <w:tcW w:w="1300" w:type="dxa"/>
            <w:vAlign w:val="bottom"/>
          </w:tcPr>
          <w:p>
            <w:pPr>
              <w:spacing w:after="0"/>
              <w:rPr>
                <w:sz w:val="24"/>
                <w:szCs w:val="24"/>
                <w:color w:val="auto"/>
              </w:rPr>
            </w:pPr>
          </w:p>
        </w:tc>
        <w:tc>
          <w:tcPr>
            <w:tcW w:w="4720" w:type="dxa"/>
            <w:vAlign w:val="bottom"/>
            <w:tcBorders>
              <w:top w:val="single" w:sz="8" w:color="0000FF"/>
            </w:tcBorders>
            <w:gridSpan w:val="6"/>
          </w:tcPr>
          <w:p>
            <w:pPr>
              <w:jc w:val="right"/>
              <w:ind w:right="170"/>
              <w:spacing w:after="0"/>
              <w:rPr>
                <w:sz w:val="20"/>
                <w:szCs w:val="20"/>
                <w:color w:val="auto"/>
              </w:rPr>
            </w:pPr>
            <w:r>
              <w:rPr>
                <w:rFonts w:ascii="Times New Roman" w:cs="Times New Roman" w:eastAsia="Times New Roman" w:hAnsi="Times New Roman"/>
                <w:sz w:val="18"/>
                <w:szCs w:val="18"/>
                <w:color w:val="auto"/>
              </w:rPr>
              <w:t>106</w:t>
            </w:r>
          </w:p>
        </w:tc>
        <w:tc>
          <w:tcPr>
            <w:tcW w:w="9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ind w:left="1280" w:right="260" w:hanging="809"/>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58">
        <w:r>
          <w:rPr>
            <w:rFonts w:ascii="Times New Roman" w:cs="Times New Roman" w:eastAsia="Times New Roman" w:hAnsi="Times New Roman"/>
            <w:sz w:val="18"/>
            <w:szCs w:val="18"/>
            <w:u w:val="single" w:color="auto"/>
            <w:color w:val="0000FF"/>
          </w:rPr>
          <w:t>Convertible Note Purchase Agreement, dated March 21, 2022, by and between the Company and FTX Ventures Ltd. (incorporated by</w:t>
        </w:r>
      </w:hyperlink>
      <w:r>
        <w:rPr>
          <w:rFonts w:ascii="Times New Roman" w:cs="Times New Roman" w:eastAsia="Times New Roman" w:hAnsi="Times New Roman"/>
          <w:sz w:val="18"/>
          <w:szCs w:val="18"/>
          <w:u w:val="single" w:color="auto"/>
          <w:color w:val="0000FF"/>
        </w:rPr>
        <w:t xml:space="preserve"> </w:t>
      </w:r>
      <w:hyperlink r:id="rId358">
        <w:r>
          <w:rPr>
            <w:rFonts w:ascii="Times New Roman" w:cs="Times New Roman" w:eastAsia="Times New Roman" w:hAnsi="Times New Roman"/>
            <w:sz w:val="18"/>
            <w:szCs w:val="18"/>
            <w:u w:val="single" w:color="auto"/>
            <w:color w:val="0000FF"/>
          </w:rPr>
          <w:t>reference to Exhibit 10.1 to the Company’s Current Report on Form 8-K filed with the Commission on March 21,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1398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6139815" cy="8890"/>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5521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5521325" cy="8255"/>
                    </a:xfrm>
                    <a:prstGeom prst="rect">
                      <a:avLst/>
                    </a:prstGeom>
                    <a:noFill/>
                  </pic:spPr>
                </pic:pic>
              </a:graphicData>
            </a:graphic>
          </wp:anchor>
        </w:drawing>
      </w:r>
    </w:p>
    <w:p>
      <w:pPr>
        <w:spacing w:after="0" w:line="101" w:lineRule="exact"/>
        <w:rPr>
          <w:sz w:val="20"/>
          <w:szCs w:val="20"/>
          <w:color w:val="auto"/>
        </w:rPr>
      </w:pPr>
    </w:p>
    <w:p>
      <w:pPr>
        <w:ind w:left="1280" w:right="340" w:hanging="851"/>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61">
        <w:r>
          <w:rPr>
            <w:rFonts w:ascii="Times New Roman" w:cs="Times New Roman" w:eastAsia="Times New Roman" w:hAnsi="Times New Roman"/>
            <w:sz w:val="18"/>
            <w:szCs w:val="18"/>
            <w:u w:val="single" w:color="auto"/>
            <w:color w:val="0000FF"/>
          </w:rPr>
          <w:t>Dave Inc. Executive Incentive Bonus Plan (incorporated by reference to Exhibit 10.1 to the Company’s Current Report on Form 8-K</w:t>
        </w:r>
      </w:hyperlink>
      <w:r>
        <w:rPr>
          <w:rFonts w:ascii="Times New Roman" w:cs="Times New Roman" w:eastAsia="Times New Roman" w:hAnsi="Times New Roman"/>
          <w:sz w:val="18"/>
          <w:szCs w:val="18"/>
          <w:u w:val="single" w:color="auto"/>
          <w:color w:val="0000FF"/>
        </w:rPr>
        <w:t xml:space="preserve"> </w:t>
      </w:r>
      <w:hyperlink r:id="rId361">
        <w:r>
          <w:rPr>
            <w:rFonts w:ascii="Times New Roman" w:cs="Times New Roman" w:eastAsia="Times New Roman" w:hAnsi="Times New Roman"/>
            <w:sz w:val="18"/>
            <w:szCs w:val="18"/>
            <w:u w:val="single" w:color="auto"/>
            <w:color w:val="0000FF"/>
          </w:rPr>
          <w:t>filed with the Commission on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0921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6092190"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21799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extLst>
                        <a:ext uri="{28A0092B-C50C-407E-A947-70E740481C1C}"/>
                      </a:extLst>
                    </a:blip>
                    <a:srcRect/>
                    <a:stretch>
                      <a:fillRect/>
                    </a:stretch>
                  </pic:blipFill>
                  <pic:spPr bwMode="auto">
                    <a:xfrm>
                      <a:off x="0" y="0"/>
                      <a:ext cx="2179955" cy="8890"/>
                    </a:xfrm>
                    <a:prstGeom prst="rect">
                      <a:avLst/>
                    </a:prstGeom>
                    <a:noFill/>
                  </pic:spPr>
                </pic:pic>
              </a:graphicData>
            </a:graphic>
          </wp:anchor>
        </w:drawing>
      </w:r>
    </w:p>
    <w:p>
      <w:pPr>
        <w:spacing w:after="0" w:line="101" w:lineRule="exact"/>
        <w:rPr>
          <w:sz w:val="20"/>
          <w:szCs w:val="20"/>
          <w:color w:val="auto"/>
        </w:rPr>
      </w:pPr>
    </w:p>
    <w:p>
      <w:pPr>
        <w:ind w:left="1280" w:right="80" w:hanging="854"/>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64">
        <w:r>
          <w:rPr>
            <w:rFonts w:ascii="Times New Roman" w:cs="Times New Roman" w:eastAsia="Times New Roman" w:hAnsi="Times New Roman"/>
            <w:sz w:val="18"/>
            <w:szCs w:val="18"/>
            <w:u w:val="single" w:color="auto"/>
            <w:color w:val="0000FF"/>
          </w:rPr>
          <w:t>Dave Inc. Non-Employee Director Compensation Policy (incorporated by reference to Exhibit 10.1 to the Company’s Current Report on</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Form 8-K filed with the Commission on February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2630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626300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271970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2719705" cy="8890"/>
                    </a:xfrm>
                    <a:prstGeom prst="rect">
                      <a:avLst/>
                    </a:prstGeom>
                    <a:noFill/>
                  </pic:spPr>
                </pic:pic>
              </a:graphicData>
            </a:graphic>
          </wp:anchor>
        </w:drawing>
      </w:r>
    </w:p>
    <w:p>
      <w:pPr>
        <w:spacing w:after="0" w:line="101" w:lineRule="exact"/>
        <w:rPr>
          <w:sz w:val="20"/>
          <w:szCs w:val="20"/>
          <w:color w:val="auto"/>
        </w:rPr>
      </w:pPr>
    </w:p>
    <w:p>
      <w:pPr>
        <w:ind w:left="1280" w:hanging="719"/>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16.1</w:t>
      </w:r>
      <w:r>
        <w:rPr>
          <w:sz w:val="20"/>
          <w:szCs w:val="20"/>
          <w:color w:val="auto"/>
        </w:rPr>
        <w:tab/>
      </w:r>
      <w:hyperlink r:id="rId367">
        <w:r>
          <w:rPr>
            <w:rFonts w:ascii="Times New Roman" w:cs="Times New Roman" w:eastAsia="Times New Roman" w:hAnsi="Times New Roman"/>
            <w:sz w:val="18"/>
            <w:szCs w:val="18"/>
            <w:u w:val="single" w:color="auto"/>
            <w:color w:val="0000FF"/>
          </w:rPr>
          <w:t>Letter to the Securities and Exchange Commission from WithumSmith+Brown, PC, dated January 11, 2022 (incorporated by reference to</w:t>
        </w:r>
      </w:hyperlink>
      <w:r>
        <w:rPr>
          <w:rFonts w:ascii="Times New Roman" w:cs="Times New Roman" w:eastAsia="Times New Roman" w:hAnsi="Times New Roman"/>
          <w:sz w:val="18"/>
          <w:szCs w:val="18"/>
          <w:u w:val="single" w:color="auto"/>
          <w:color w:val="0000FF"/>
        </w:rPr>
        <w:t xml:space="preserve"> </w:t>
      </w:r>
      <w:hyperlink r:id="rId367">
        <w:r>
          <w:rPr>
            <w:rFonts w:ascii="Times New Roman" w:cs="Times New Roman" w:eastAsia="Times New Roman" w:hAnsi="Times New Roman"/>
            <w:sz w:val="18"/>
            <w:szCs w:val="18"/>
            <w:u w:val="single" w:color="auto"/>
            <w:color w:val="0000FF"/>
          </w:rPr>
          <w:t>Exhibit 16.1 to the Company’s Current 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283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50031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5003165" cy="8890"/>
                    </a:xfrm>
                    <a:prstGeom prst="rect">
                      <a:avLst/>
                    </a:prstGeom>
                    <a:noFill/>
                  </pic:spPr>
                </pic:pic>
              </a:graphicData>
            </a:graphic>
          </wp:anchor>
        </w:drawing>
      </w:r>
    </w:p>
    <w:p>
      <w:pPr>
        <w:spacing w:after="0" w:line="101" w:lineRule="exact"/>
        <w:rPr>
          <w:sz w:val="20"/>
          <w:szCs w:val="20"/>
          <w:color w:val="auto"/>
        </w:rPr>
      </w:pPr>
    </w:p>
    <w:p>
      <w:pPr>
        <w:ind w:left="1280" w:right="40" w:hanging="719"/>
        <w:spacing w:after="0" w:line="282" w:lineRule="auto"/>
        <w:tabs>
          <w:tab w:leader="none" w:pos="12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21.1</w:t>
      </w:r>
      <w:r>
        <w:rPr>
          <w:sz w:val="20"/>
          <w:szCs w:val="20"/>
          <w:color w:val="auto"/>
        </w:rPr>
        <w:tab/>
      </w:r>
      <w:hyperlink r:id="rId370">
        <w:r>
          <w:rPr>
            <w:rFonts w:ascii="Times New Roman" w:cs="Times New Roman" w:eastAsia="Times New Roman" w:hAnsi="Times New Roman"/>
            <w:sz w:val="18"/>
            <w:szCs w:val="18"/>
            <w:u w:val="single" w:color="auto"/>
            <w:color w:val="0000FF"/>
          </w:rPr>
          <w:t>List of Subsidiaries (incorporated by reference to Exhibit 21.1 to the Company’s Current Report on Form 8-K filed with the Commission</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-185420</wp:posOffset>
            </wp:positionV>
            <wp:extent cx="6283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628332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-48260</wp:posOffset>
            </wp:positionV>
            <wp:extent cx="98869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988695" cy="8890"/>
                    </a:xfrm>
                    <a:prstGeom prst="rect">
                      <a:avLst/>
                    </a:prstGeom>
                    <a:noFill/>
                  </pic:spPr>
                </pic:pic>
              </a:graphicData>
            </a:graphic>
          </wp:anchor>
        </w:drawing>
      </w:r>
    </w:p>
    <w:p>
      <w:pPr>
        <w:spacing w:after="0" w:line="101"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-7620</wp:posOffset>
            </wp:positionV>
            <wp:extent cx="16230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1623060" cy="8255"/>
                    </a:xfrm>
                    <a:prstGeom prst="rect">
                      <a:avLst/>
                    </a:prstGeom>
                    <a:noFill/>
                  </pic:spPr>
                </pic:pic>
              </a:graphicData>
            </a:graphic>
          </wp:anchor>
        </w:drawing>
      </w:r>
    </w:p>
    <w:p>
      <w:pPr>
        <w:spacing w:after="0" w:line="165" w:lineRule="exact"/>
        <w:rPr>
          <w:sz w:val="20"/>
          <w:szCs w:val="20"/>
          <w:color w:val="auto"/>
        </w:rPr>
      </w:pPr>
    </w:p>
    <w:p>
      <w:pPr>
        <w:ind w:left="560"/>
        <w:spacing w:after="0"/>
        <w:tabs>
          <w:tab w:leader="none" w:pos="12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the signature page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-7620</wp:posOffset>
            </wp:positionV>
            <wp:extent cx="26682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2668270" cy="8255"/>
                    </a:xfrm>
                    <a:prstGeom prst="rect">
                      <a:avLst/>
                    </a:prstGeom>
                    <a:noFill/>
                  </pic:spPr>
                </pic:pic>
              </a:graphicData>
            </a:graphic>
          </wp:anchor>
        </w:drawing>
      </w:r>
    </w:p>
    <w:p>
      <w:pPr>
        <w:spacing w:after="0" w:line="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 under the Securities Exchange Act of 1934, as adopted pursuant</w:t>
      </w:r>
    </w:p>
    <w:tbl>
      <w:tblPr>
        <w:tblLayout w:type="fixed"/>
        <w:tblInd w:w="560" w:type="dxa"/>
        <w:tblCellMar>
          <w:top w:w="0" w:type="dxa"/>
          <w:left w:w="0" w:type="dxa"/>
          <w:bottom w:w="0" w:type="dxa"/>
          <w:right w:w="0" w:type="dxa"/>
        </w:tblCellMar>
      </w:tblPr>
      <w:tr>
        <w:trPr>
          <w:trHeight w:val="66"/>
        </w:trPr>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31.1</w:t>
            </w:r>
          </w:p>
        </w:tc>
        <w:tc>
          <w:tcPr>
            <w:tcW w:w="3140" w:type="dxa"/>
            <w:vAlign w:val="bottom"/>
            <w:tcBorders>
              <w:bottom w:val="single" w:sz="8" w:color="0000FF"/>
            </w:tcBorders>
          </w:tcPr>
          <w:p>
            <w:pPr>
              <w:spacing w:after="0"/>
              <w:rPr>
                <w:sz w:val="5"/>
                <w:szCs w:val="5"/>
                <w:color w:val="auto"/>
              </w:rPr>
            </w:pPr>
          </w:p>
        </w:tc>
        <w:tc>
          <w:tcPr>
            <w:tcW w:w="6600" w:type="dxa"/>
            <w:vAlign w:val="bottom"/>
            <w:tcBorders>
              <w:bottom w:val="single" w:sz="8" w:color="0000FF"/>
            </w:tcBorders>
          </w:tcPr>
          <w:p>
            <w:pPr>
              <w:spacing w:after="0"/>
              <w:rPr>
                <w:sz w:val="5"/>
                <w:szCs w:val="5"/>
                <w:color w:val="auto"/>
              </w:rPr>
            </w:pPr>
          </w:p>
        </w:tc>
        <w:tc>
          <w:tcPr>
            <w:tcW w:w="40" w:type="dxa"/>
            <w:vAlign w:val="bottom"/>
            <w:tcBorders>
              <w:bottom w:val="single" w:sz="8" w:color="0000FF"/>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97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§302 of the Sarbanes-Oxley Act of 2002.</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9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31.2</w:t>
            </w:r>
          </w:p>
        </w:tc>
        <w:tc>
          <w:tcPr>
            <w:tcW w:w="9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w:t>
            </w:r>
          </w:p>
        </w:tc>
        <w:tc>
          <w:tcPr>
            <w:tcW w:w="0" w:type="dxa"/>
            <w:vAlign w:val="bottom"/>
          </w:tcPr>
          <w:p>
            <w:pPr>
              <w:spacing w:after="0"/>
              <w:rPr>
                <w:sz w:val="1"/>
                <w:szCs w:val="1"/>
                <w:color w:val="auto"/>
              </w:rPr>
            </w:pPr>
          </w:p>
        </w:tc>
      </w:tr>
      <w:tr>
        <w:trPr>
          <w:trHeight w:val="20"/>
        </w:trPr>
        <w:tc>
          <w:tcPr>
            <w:tcW w:w="740" w:type="dxa"/>
            <w:vAlign w:val="bottom"/>
            <w:vMerge w:val="continu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6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40" w:type="dxa"/>
            <w:vAlign w:val="bottom"/>
            <w:vMerge w:val="continue"/>
          </w:tcPr>
          <w:p>
            <w:pPr>
              <w:spacing w:after="0"/>
              <w:rPr>
                <w:sz w:val="11"/>
                <w:szCs w:val="11"/>
                <w:color w:val="auto"/>
              </w:rPr>
            </w:pPr>
          </w:p>
        </w:tc>
        <w:tc>
          <w:tcPr>
            <w:tcW w:w="97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to §302 of the Sarbanes-Oxley Act of 2002.</w:t>
            </w: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9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80" w:right="60" w:hanging="662"/>
        <w:spacing w:after="0" w:line="184" w:lineRule="auto"/>
        <w:tabs>
          <w:tab w:leader="none" w:pos="1280" w:val="left"/>
        </w:tabs>
        <w:numPr>
          <w:ilvl w:val="0"/>
          <w:numId w:val="4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u w:val="single" w:color="auto"/>
          <w:color w:val="0000FF"/>
        </w:rPr>
        <w:t>Certification of the Chief Executive Officer and Chief Financial Officer pursuant to 18 U.S.C. §1350, as adopted pursuant to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-161925</wp:posOffset>
            </wp:positionV>
            <wp:extent cx="627189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6271895" cy="8255"/>
                    </a:xfrm>
                    <a:prstGeom prst="rect">
                      <a:avLst/>
                    </a:prstGeom>
                    <a:noFill/>
                  </pic:spPr>
                </pic:pic>
              </a:graphicData>
            </a:graphic>
          </wp:anchor>
        </w:drawing>
        <w:drawing>
          <wp:anchor simplePos="0" relativeHeight="251657728" behindDoc="1" locked="0" layoutInCell="0" allowOverlap="1">
            <wp:simplePos x="0" y="0"/>
            <wp:positionH relativeFrom="column">
              <wp:posOffset>806450</wp:posOffset>
            </wp:positionH>
            <wp:positionV relativeFrom="paragraph">
              <wp:posOffset>-24765</wp:posOffset>
            </wp:positionV>
            <wp:extent cx="13328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1332865" cy="8890"/>
                    </a:xfrm>
                    <a:prstGeom prst="rect">
                      <a:avLst/>
                    </a:prstGeom>
                    <a:noFill/>
                  </pic:spPr>
                </pic:pic>
              </a:graphicData>
            </a:graphic>
          </wp:anchor>
        </w:drawing>
      </w:r>
    </w:p>
    <w:p>
      <w:pPr>
        <w:sectPr>
          <w:pgSz w:w="11900" w:h="16838" w:orient="portrait"/>
          <w:cols w:equalWidth="0" w:num="1">
            <w:col w:w="11160"/>
          </w:cols>
          <w:pgMar w:left="320" w:top="1431" w:right="41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97.1†</w:t>
      </w: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101.INS</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Dave Inc.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9405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1940560" cy="8255"/>
                    </a:xfrm>
                    <a:prstGeom prst="rect">
                      <a:avLst/>
                    </a:prstGeom>
                    <a:noFill/>
                  </pic:spPr>
                </pic:pic>
              </a:graphicData>
            </a:graphic>
          </wp:anchor>
        </w:drawing>
      </w:r>
    </w:p>
    <w:p>
      <w:pPr>
        <w:spacing w:after="0" w:line="16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p>
      <w:pPr>
        <w:spacing w:after="0" w:line="185" w:lineRule="exact"/>
        <w:rPr>
          <w:sz w:val="20"/>
          <w:szCs w:val="20"/>
          <w:color w:val="auto"/>
        </w:rPr>
      </w:pPr>
    </w:p>
    <w:p>
      <w:pPr>
        <w:sectPr>
          <w:pgSz w:w="11900" w:h="16838" w:orient="portrait"/>
          <w:cols w:equalWidth="0" w:num="2">
            <w:col w:w="1000" w:space="280"/>
            <w:col w:w="9880"/>
          </w:cols>
          <w:pgMar w:left="320" w:top="1431" w:right="419" w:bottom="1440" w:gutter="0" w:footer="0" w:header="0"/>
          <w:type w:val="continuous"/>
        </w:sectPr>
      </w:pPr>
    </w:p>
    <w:p>
      <w:pPr>
        <w:ind w:right="3320" w:firstLine="528"/>
        <w:spacing w:after="0" w:line="339" w:lineRule="auto"/>
        <w:tabs>
          <w:tab w:leader="none" w:pos="126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The schedules to this Exhibit have been omitted in accordance with Regulation S-K</w:t>
      </w:r>
    </w:p>
    <w:p>
      <w:pPr>
        <w:spacing w:after="0" w:line="1"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Item 601(a)(5). The Company agrees to furnish supplementally a copy of any omitted schedule to the Securities and Exchange Commission upon its request.</w:t>
      </w:r>
    </w:p>
    <w:p>
      <w:pPr>
        <w:spacing w:after="0" w:line="1" w:lineRule="exact"/>
        <w:rPr>
          <w:sz w:val="20"/>
          <w:szCs w:val="20"/>
          <w:color w:val="auto"/>
        </w:rPr>
      </w:pPr>
    </w:p>
    <w:p>
      <w:pPr>
        <w:ind w:left="5480" w:right="5200" w:hanging="5472"/>
        <w:spacing w:after="0" w:line="761" w:lineRule="auto"/>
        <w:tabs>
          <w:tab w:leader="none" w:pos="1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31" w:right="4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March 5, 2024</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56"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Jason Wilk</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Joan Aristei or Kyle Beilman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Wilk</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Wilk</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2"/>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Kyle Beilman</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Kyle Beilman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2"/>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Brendan Carroll</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Brendan Carroll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Andrea Mitchell</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Andrea Mitchell</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Pope</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Pope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 Preston</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 Preston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Imran Khan</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Imran Khan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Yadin Rozov</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5, 2024</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Yadin Rozov</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8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20" w:type="dxa"/>
            <w:vAlign w:val="bottom"/>
            <w:gridSpan w:val="3"/>
          </w:tcPr>
          <w:p>
            <w:pPr>
              <w:jc w:val="right"/>
              <w:ind w:right="3332"/>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333-269482, 333-268785 and 333-263589 on Form S-8 and 333-262478 on Form S-3 of our report dated March 5, 2024 relating to the consolidated financial statements of Dave Inc., appearing in the Annual Report on Form 10-K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13" w:name="page114"/>
    <w:bookmarkEnd w:id="11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2024</w:t>
      </w:r>
    </w:p>
    <w:p>
      <w:pPr>
        <w:spacing w:after="0" w:line="200" w:lineRule="exact"/>
        <w:rPr>
          <w:sz w:val="20"/>
          <w:szCs w:val="20"/>
          <w:color w:val="auto"/>
        </w:rPr>
      </w:pPr>
    </w:p>
    <w:p>
      <w:pPr>
        <w:spacing w:after="0" w:line="30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of Dave Inc. (the “Company”), hereby certify as of the date hereof, solely for the purposes of 18 U.S.C. §1350, that:</w:t>
      </w:r>
    </w:p>
    <w:p>
      <w:pPr>
        <w:spacing w:after="0" w:line="54" w:lineRule="exact"/>
        <w:rPr>
          <w:sz w:val="20"/>
          <w:szCs w:val="20"/>
          <w:color w:val="auto"/>
        </w:rPr>
      </w:pPr>
    </w:p>
    <w:p>
      <w:pPr>
        <w:ind w:left="1020" w:right="7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period ended December 31, 2023,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5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(Adopted, approved and effective on November 16, 2023)</w:t>
      </w:r>
    </w:p>
    <w:p>
      <w:pPr>
        <w:spacing w:after="0" w:line="221"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Dave Inc.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committed to promoting high standards of honest and ethical business conduct and compliance with applicable laws, rules and regulations. As part of this commitment, the Company has adopted this Compensation Recovery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explains when the Company will be required to seek recovery of Incentive Compensation awarded or paid to a Covered Person. Please refer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i w:val="1"/>
          <w:iCs w:val="1"/>
          <w:color w:val="auto"/>
        </w:rPr>
        <w:t>Definitions Exhibit</w:t>
      </w:r>
      <w:r>
        <w:rPr>
          <w:rFonts w:ascii="Times New Roman" w:cs="Times New Roman" w:eastAsia="Times New Roman" w:hAnsi="Times New Roman"/>
          <w:sz w:val="18"/>
          <w:szCs w:val="18"/>
          <w:color w:val="auto"/>
        </w:rPr>
        <w:t>”) for the definitions of capitalized terms used throughout this Policy.</w:t>
      </w:r>
    </w:p>
    <w:p>
      <w:pPr>
        <w:spacing w:after="0" w:line="179"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Miscalculation of Financial Reporting Measure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Restatement, the Company will seek to recover, reasonably promptly, all Recoverable Incentive Compensation from a Covered Person. Such recovery, in the case of a Restatement, will be made without regard to any individual knowledge or responsibility related to the Restatement. Notwithstanding the foregoing, if the Company is required to undertake a Restatement, the Company will not be required to recover the Recoverable Incentive Compensation if the Compensation Committee determines it Impracticable to do so, after exercising a normal due process review of all the relevant facts and circumstances.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such Recoverable Incentive Compensation was not awarded or paid on a formulaic basis, the Company will seek to recover the amount that the Compensation Committee determines in good faith should be recouped.</w:t>
      </w:r>
    </w:p>
    <w:p>
      <w:pPr>
        <w:spacing w:after="0" w:line="158"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may, subject to applicable law, seek recovery in the manner it chooses, including by seeking reimbursement from the Covered Person of all or part of the compensation awarded or paid, by electing to withhold unpaid compensation, by set-off, or by rescinding or canceling unvested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reasonable exercise of its business judgment under this Policy, the Compensation Committee may in its sole discretion determine whether and to what extent additional action is appropriate to address the circumstances surrounding a Restatement to minimize the likelihood of any recurrence and to impose such other discipline as it deems appropriate.</w:t>
      </w:r>
    </w:p>
    <w:p>
      <w:pPr>
        <w:spacing w:after="0" w:line="172"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or Reimbursement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terms of any other policy, program, agreement or arrangement, in no event will the Company or any of its affiliates indemnify or reimburse a Covered Person for any loss under this Policy and in no event will the Company or any of its affiliates pay premiums on any insurance policy that would cover a Covered Person’s potential obligations with respect to Recoverable Incentive Compensation under this Policy.</w:t>
      </w:r>
    </w:p>
    <w:p>
      <w:pPr>
        <w:spacing w:after="0" w:line="172"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will have full authority to administer this Policy. The Compensation Committee will, subject to the provisions of this Policy and Rule 10D-1 of the Exchange Act, and the Company’s applicable exchange listing standards, make such determinations and interpretations and take such actions in connection with this Policy as it deems necessary, appropriate or advisable. All determinations and interpretations made by the Compensation Committee will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257"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Claims and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spacing w:after="0" w:line="176"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 by Covered Persons; Condition to Eligibility for Incentive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provide notice and seek acknowledgement of this Policy, in substantially the form included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from each Covered Person, provided that the failure to provide such notice or obtain such acknowledgement will have no impact on the applicability or enforceability of this Policy. After the Effective Date, the Company must be in receipt of a Covered Person's acknowledgement as a condition to such Covered Person’s eligibility to receive Incentive Compensation. All Incentive Compensation subject to this Policy will not be earned, even if already paid, until the Policy ceases to apply to such Incentive Compensation and any other vesting conditions applicable to such Incentive Compensation are satisfied.</w:t>
      </w:r>
    </w:p>
    <w:p>
      <w:pPr>
        <w:spacing w:after="0" w:line="179"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or the Compensation Committee may approve, amend or terminate this Policy at any time.</w:t>
      </w:r>
    </w:p>
    <w:p>
      <w:pPr>
        <w:spacing w:after="0" w:line="221"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determined in writing by the Compensation Committee, this Policy will apply to any Incentive Compensation that is Received by a Covered Person on or after the Effective Date. This Policy will survive and continue notwithstanding any termination of a Covered Person’s employment with the Company and its affiliates.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10.  Successors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successors,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EXHIBIT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Period</w:t>
      </w:r>
      <w:r>
        <w:rPr>
          <w:rFonts w:ascii="Times New Roman" w:cs="Times New Roman" w:eastAsia="Times New Roman" w:hAnsi="Times New Roman"/>
          <w:sz w:val="18"/>
          <w:szCs w:val="18"/>
          <w:color w:val="auto"/>
        </w:rPr>
        <w:t>” 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The “Applicable Period” also includes any transition period (that results from a change in the Company’s fiscal year) within or immediately following the three completed fiscal years identified in the preceding sentence.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Company’s committee of independent directors responsible for executive compensation decisions, or in the absence of such a committee, a majority of the independent directors serving on the Board.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means any person who is, or was at any time, during the Applicable Period, an Executive Officer of the Company. For the avoidance of doubt, a Covered Person may include a former Executive Officer that left the Company, retired, or transitioned to an employee role (including after serving as an Executive Officer in an interim capacity) during the Applicable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November 16, 2023.</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executive officer,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 preparing the Company’s financial statements (including, but not limited to, “non-GAAP” financial measures, such as those appearing in the Company’s earnings releases or Management Discussion and Analysis), and any measure that is derived wholly or in part from such measure. Stock price and total shareholder return (and any measures derived wholly or in part therefrom) shall be considered Financial Reporting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Impracticable.</w:t>
      </w:r>
      <w:r>
        <w:rPr>
          <w:rFonts w:ascii="Times New Roman" w:cs="Times New Roman" w:eastAsia="Times New Roman" w:hAnsi="Times New Roman"/>
          <w:sz w:val="18"/>
          <w:szCs w:val="18"/>
          <w:color w:val="auto"/>
        </w:rPr>
        <w:t>” The Compensation Committee may determine in good faith that recovery of Recoverable Incentive Compensation is “Impracticable” if:</w:t>
      </w:r>
    </w:p>
    <w:p>
      <w:pPr>
        <w:spacing w:after="0" w:line="31" w:lineRule="exact"/>
        <w:rPr>
          <w:sz w:val="20"/>
          <w:szCs w:val="20"/>
          <w:color w:val="auto"/>
        </w:rPr>
      </w:pPr>
    </w:p>
    <w:p>
      <w:pPr>
        <w:jc w:val="both"/>
        <w:ind w:firstLine="8"/>
        <w:spacing w:after="0" w:line="250" w:lineRule="auto"/>
        <w:tabs>
          <w:tab w:leader="none" w:pos="2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w:t>
      </w:r>
    </w:p>
    <w:p>
      <w:pPr>
        <w:ind w:left="280" w:hanging="272"/>
        <w:spacing w:after="0"/>
        <w:tabs>
          <w:tab w:leader="none" w:pos="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Incentive Compensation and the Company has</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Section 401(a)(13) or Section 411(a) of the Internal Revenue Code of 1986, as amended.</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w:t>
      </w: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the amount of any Incentive Compensation (calculated on a pre-tax basis) Received by a Covered Person during the Applicable Period that is in excess of the amount that otherwise would have been Received if the calculation were based on the Restatement. For the avoidance of doubt Recoverable Incentive Compensation does not include any Incentive Compensation Received by a person (i) before such person began service in a position or capacity meeting the definition of an Executive Officer, (ii) who did not serve as an Executive Officer at any time during the performance period for that Incentive Compensation, or (iii) during any period the Company did not have a class of its securities listed on a national securities exchange or a national securities association.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Person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57"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22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signing below, the undersigned acknowledges that they have read and understood, and they agree to be subject to the terms of, the Dave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440" w:right="1219" w:bottom="1440" w:gutter="0" w:footer="0" w:header="0"/>
        </w:sectPr>
      </w:pPr>
    </w:p>
    <w:bookmarkStart w:id="120" w:name="page121"/>
    <w:bookmarkEnd w:id="1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lvl w:ilvl="1">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Letter"/>
      <w:start w:val="3"/>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lowerRoman"/>
      <w:start w:val="1"/>
    </w:lvl>
  </w:abstractNum>
  <w:abstractNum w:abstractNumId="32">
    <w:nsid w:val="4B588F54"/>
    <w:multiLevelType w:val="hybridMultilevel"/>
    <w:lvl w:ilvl="0">
      <w:lvlJc w:val="left"/>
      <w:lvlText w:val="(%1)"/>
      <w:numFmt w:val="lowerRoman"/>
      <w:start w:val="1"/>
    </w:lvl>
  </w:abstractNum>
  <w:abstractNum w:abstractNumId="33">
    <w:nsid w:val="542289EC"/>
    <w:multiLevelType w:val="hybridMultilevel"/>
    <w:lvl w:ilvl="0">
      <w:lvlJc w:val="left"/>
      <w:lvlText w:val="%1."/>
      <w:numFmt w:val="decimal"/>
      <w:start w:val="848"/>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lowerRoman"/>
      <w:start w:val="2"/>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lowerRoman"/>
      <w:start w:val="1"/>
    </w:lvl>
  </w:abstractNum>
  <w:abstractNum w:abstractNumId="40">
    <w:nsid w:val="749ABB43"/>
    <w:multiLevelType w:val="hybridMultilevel"/>
    <w:lvl w:ilvl="0">
      <w:lvlJc w:val="left"/>
      <w:lvlText w:val="(%1)"/>
      <w:numFmt w:val="lowerRoman"/>
      <w:start w:val="3"/>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decimal"/>
      <w:start w:val="32"/>
    </w:lvl>
  </w:abstractNum>
  <w:abstractNum w:abstractNumId="44">
    <w:nsid w:val="75C6C33A"/>
    <w:multiLevelType w:val="hybridMultilevel"/>
    <w:lvl w:ilvl="0">
      <w:lvlJc w:val="left"/>
      <w:lvlText w:val="*"/>
      <w:numFmt w:val="bullet"/>
      <w:start w:val="1"/>
    </w:lvl>
    <w:lvl w:ilvl="1">
      <w:lvlJc w:val="left"/>
      <w:lvlText w:val="%2"/>
      <w:numFmt w:val="decimal"/>
      <w:start w:val="104"/>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lvl w:ilvl="1">
      <w:lvlJc w:val="left"/>
      <w:lvlText w:val="(%2)"/>
      <w:numFmt w:val="lowerLetter"/>
      <w:start w:val="1"/>
    </w:lvl>
  </w:abstractNum>
  <w:abstractNum w:abstractNumId="47">
    <w:nsid w:val="520EEDD1"/>
    <w:multiLevelType w:val="hybridMultilevel"/>
    <w:lvl w:ilvl="0">
      <w:lvlJc w:val="left"/>
      <w:lvlText w:val="%1)"/>
      <w:numFmt w:val="decimal"/>
      <w:start w:val="1"/>
    </w:lvl>
    <w:lvl w:ilvl="1">
      <w:lvlJc w:val="left"/>
      <w:lvlText w:val="(%2)"/>
      <w:numFmt w:val="lowerLetter"/>
      <w:start w:val="1"/>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decimal"/>
      <w:start w:val="3"/>
    </w:lvl>
  </w:abstractNum>
  <w:abstractNum w:abstractNumId="52">
    <w:nsid w:val="275AC794"/>
    <w:multiLevelType w:val="hybridMultilevel"/>
    <w:lvl w:ilvl="0">
      <w:lvlJc w:val="left"/>
      <w:lvlText w:val="%1."/>
      <w:numFmt w:val="decimal"/>
      <w:start w:val="4"/>
    </w:lvl>
  </w:abstractNum>
  <w:abstractNum w:abstractNumId="53">
    <w:nsid w:val="39386575"/>
    <w:multiLevelType w:val="hybridMultilevel"/>
    <w:lvl w:ilvl="0">
      <w:lvlJc w:val="left"/>
      <w:lvlText w:val="%1."/>
      <w:numFmt w:val="decimal"/>
      <w:start w:val="5"/>
    </w:lvl>
  </w:abstractNum>
  <w:abstractNum w:abstractNumId="54">
    <w:nsid w:val="1CF10FD8"/>
    <w:multiLevelType w:val="hybridMultilevel"/>
    <w:lvl w:ilvl="0">
      <w:lvlJc w:val="left"/>
      <w:lvlText w:val="%1."/>
      <w:numFmt w:val="decimal"/>
      <w:start w:val="6"/>
    </w:lvl>
  </w:abstractNum>
  <w:abstractNum w:abstractNumId="55">
    <w:nsid w:val="180115BE"/>
    <w:multiLevelType w:val="hybridMultilevel"/>
    <w:lvl w:ilvl="0">
      <w:lvlJc w:val="left"/>
      <w:lvlText w:val="%1."/>
      <w:numFmt w:val="decimal"/>
      <w:start w:val="7"/>
    </w:lvl>
  </w:abstractNum>
  <w:abstractNum w:abstractNumId="56">
    <w:nsid w:val="235BA861"/>
    <w:multiLevelType w:val="hybridMultilevel"/>
    <w:lvl w:ilvl="0">
      <w:lvlJc w:val="left"/>
      <w:lvlText w:val="%1."/>
      <w:numFmt w:val="decimal"/>
      <w:start w:val="8"/>
    </w:lvl>
  </w:abstractNum>
  <w:abstractNum w:abstractNumId="57">
    <w:nsid w:val="47398C89"/>
    <w:multiLevelType w:val="hybridMultilevel"/>
    <w:lvl w:ilvl="0">
      <w:lvlJc w:val="left"/>
      <w:lvlText w:val="%1."/>
      <w:numFmt w:val="decimal"/>
      <w:start w:val="9"/>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2" Type="http://schemas.openxmlformats.org/officeDocument/2006/relationships/image" Target="media/image337.png"/><Relationship Id="rId363"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81" Type="http://schemas.openxmlformats.org/officeDocument/2006/relationships/hyperlink" Target="https://www.sec.gov/Archives/edgar/data/1841408/000095017023007591/dave-20221231.htm" TargetMode="External"/><Relationship Id="rId341" Type="http://schemas.openxmlformats.org/officeDocument/2006/relationships/hyperlink" Target="https://www.sec.gov/Archives/edgar/data/1841408/000119312521183575/d165916dex21.htm" TargetMode="External"/><Relationship Id="rId342" Type="http://schemas.openxmlformats.org/officeDocument/2006/relationships/hyperlink" Target="https://www.sec.gov/Archives/edgar/data/1841408/000119312522006854/d253532dex31.htm" TargetMode="External"/><Relationship Id="rId343" Type="http://schemas.openxmlformats.org/officeDocument/2006/relationships/hyperlink" Target="https://www.sec.gov/Archives/edgar/data/1841408/000119312523002529/d380889dex31.htm" TargetMode="External"/><Relationship Id="rId344" Type="http://schemas.openxmlformats.org/officeDocument/2006/relationships/hyperlink" Target="https://www.sec.gov/Archives/edgar/data/1841408/000119312522006854/d253532dex32.htm" TargetMode="External"/><Relationship Id="rId345" Type="http://schemas.openxmlformats.org/officeDocument/2006/relationships/hyperlink" Target="https://www.sec.gov/Archives/edgar/data/1841408/000119312522080609/d325306dex41.htm" TargetMode="External"/><Relationship Id="rId346" Type="http://schemas.openxmlformats.org/officeDocument/2006/relationships/hyperlink" Target="https://www.sec.gov/Archives/edgar/data/1841408/000119312521074943/d153642dex41.htm" TargetMode="External"/><Relationship Id="rId347" Type="http://schemas.openxmlformats.org/officeDocument/2006/relationships/hyperlink" Target="https://www.sec.gov/Archives/edgar/data/1841408/000119312522085334/d288520dex43.htm" TargetMode="External"/><Relationship Id="rId348" Type="http://schemas.openxmlformats.org/officeDocument/2006/relationships/hyperlink" Target="https://www.sec.gov/Archives/edgar/data/1841408/000119312522006854/d253532dex101.htm" TargetMode="External"/><Relationship Id="rId349" Type="http://schemas.openxmlformats.org/officeDocument/2006/relationships/hyperlink" Target="https://www.sec.gov/Archives/edgar/data/1841408/000119312522006854/d253532dex102.htm" TargetMode="External"/><Relationship Id="rId350" Type="http://schemas.openxmlformats.org/officeDocument/2006/relationships/hyperlink" Target="https://www.sec.gov/Archives/edgar/data/1841408/000119312522006854/d253532dex103.htm" TargetMode="External"/><Relationship Id="rId351" Type="http://schemas.openxmlformats.org/officeDocument/2006/relationships/hyperlink" Target="https://www.sec.gov/Archives/edgar/data/1841408/000119312522006854/d253532dex104.htm" TargetMode="External"/><Relationship Id="rId352" Type="http://schemas.openxmlformats.org/officeDocument/2006/relationships/hyperlink" Target="https://www.sec.gov/Archives/edgar/data/1841408/000119312522303917/d281798dex101.htm" TargetMode="External"/><Relationship Id="rId353" Type="http://schemas.openxmlformats.org/officeDocument/2006/relationships/hyperlink" Target="https://www.sec.gov/Archives/edgar/data/1841408/000119312522006854/d253532dex106.htm" TargetMode="External"/><Relationship Id="rId354" Type="http://schemas.openxmlformats.org/officeDocument/2006/relationships/hyperlink" Target="https://www.sec.gov/Archives/edgar/data/1841408/000119312522006854/d253532dex107.htm" TargetMode="External"/><Relationship Id="rId355" Type="http://schemas.openxmlformats.org/officeDocument/2006/relationships/hyperlink" Target="https://www.sec.gov/Archives/edgar/data/1841408/000119312522024663/d291934dex102.htm" TargetMode="External"/><Relationship Id="rId358" Type="http://schemas.openxmlformats.org/officeDocument/2006/relationships/hyperlink" Target="https://www.sec.gov/Archives/edgar/data/1841408/000119312522080609/d325306dex101.htm" TargetMode="External"/><Relationship Id="rId361" Type="http://schemas.openxmlformats.org/officeDocument/2006/relationships/hyperlink" Target="https://www.sec.gov/Archives/edgar/data/1841408/000119312522090833/d311249dex101.htm" TargetMode="External"/><Relationship Id="rId364" Type="http://schemas.openxmlformats.org/officeDocument/2006/relationships/hyperlink" Target="https://www.sec.gov/Archives/edgar/data/1841408/000119312522024663/d291934dex101.htm" TargetMode="External"/><Relationship Id="rId367" Type="http://schemas.openxmlformats.org/officeDocument/2006/relationships/hyperlink" Target="https://www.sec.gov/Archives/edgar/data/1841408/000119312522006854/d253532dex161.htm" TargetMode="External"/><Relationship Id="rId370" Type="http://schemas.openxmlformats.org/officeDocument/2006/relationships/hyperlink" Target="https://www.sec.gov/Archives/edgar/data/1841408/000119312522006854/d25353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2024-03-05T15:39:28Z</dcterms:created>
  <dcterms:modified xsi:type="dcterms:W3CDTF">2024-03-05T15:39:28Z</dcterms:modified>
</cp:coreProperties>
</file>