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941070</wp:posOffset>
            </wp:positionH>
            <wp:positionV relativeFrom="paragraph">
              <wp:posOffset>167640</wp:posOffset>
            </wp:positionV>
            <wp:extent cx="529145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91455"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200025</wp:posOffset>
            </wp:positionV>
            <wp:extent cx="529145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91455" cy="6350"/>
                    </a:xfrm>
                    <a:prstGeom prst="rect">
                      <a:avLst/>
                    </a:prstGeom>
                    <a:noFill/>
                  </pic:spPr>
                </pic:pic>
              </a:graphicData>
            </a:graphic>
          </wp:anchor>
        </w:drawing>
      </w:r>
    </w:p>
    <w:p>
      <w:pPr>
        <w:spacing w:after="0" w:line="3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ind w:left="48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3029585</wp:posOffset>
            </wp:positionH>
            <wp:positionV relativeFrom="paragraph">
              <wp:posOffset>176530</wp:posOffset>
            </wp:positionV>
            <wp:extent cx="110871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396"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5"/>
          <w:szCs w:val="25"/>
          <w:b w:val="1"/>
          <w:bCs w:val="1"/>
          <w:color w:val="auto"/>
        </w:rPr>
        <w:t>FORM 10-Q/A</w:t>
      </w:r>
    </w:p>
    <w:p>
      <w:pPr>
        <w:spacing w:after="0" w:line="28"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9"/>
          <w:szCs w:val="19"/>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3029585</wp:posOffset>
            </wp:positionH>
            <wp:positionV relativeFrom="paragraph">
              <wp:posOffset>170180</wp:posOffset>
            </wp:positionV>
            <wp:extent cx="110871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7" w:lineRule="exact"/>
        <w:rPr>
          <w:sz w:val="24"/>
          <w:szCs w:val="24"/>
          <w:color w:val="auto"/>
        </w:rPr>
      </w:pPr>
    </w:p>
    <w:p>
      <w:pPr>
        <w:ind w:left="1800" w:right="419" w:hanging="323"/>
        <w:spacing w:after="0" w:line="252" w:lineRule="auto"/>
        <w:tabs>
          <w:tab w:leader="none" w:pos="1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2022</w:t>
      </w:r>
    </w:p>
    <w:p>
      <w:pPr>
        <w:spacing w:after="0" w:line="166"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78" w:lineRule="exact"/>
        <w:rPr>
          <w:sz w:val="24"/>
          <w:szCs w:val="24"/>
          <w:color w:val="auto"/>
        </w:rPr>
      </w:pPr>
    </w:p>
    <w:p>
      <w:pPr>
        <w:ind w:left="1800" w:right="399" w:hanging="323"/>
        <w:spacing w:after="0" w:line="281" w:lineRule="auto"/>
        <w:tabs>
          <w:tab w:leader="none" w:pos="18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97" w:lineRule="exact"/>
        <w:rPr>
          <w:sz w:val="24"/>
          <w:szCs w:val="24"/>
          <w:color w:val="auto"/>
        </w:rPr>
      </w:pPr>
    </w:p>
    <w:tbl>
      <w:tblPr>
        <w:tblLayout w:type="fixed"/>
        <w:tblInd w:w="218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262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24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276"/>
        </w:trPr>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r>
      <w:tr>
        <w:trPr>
          <w:trHeight w:val="515"/>
        </w:trPr>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33"/>
                <w:szCs w:val="33"/>
                <w:b w:val="1"/>
                <w:bCs w:val="1"/>
                <w:color w:val="auto"/>
                <w:w w:val="96"/>
              </w:rPr>
              <w:t>DAVE INC.</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79"/>
        </w:trPr>
        <w:tc>
          <w:tcPr>
            <w:tcW w:w="1680" w:type="dxa"/>
            <w:vAlign w:val="bottom"/>
          </w:tcPr>
          <w:p>
            <w:pPr>
              <w:spacing w:after="0"/>
              <w:rPr>
                <w:sz w:val="15"/>
                <w:szCs w:val="15"/>
                <w:color w:val="auto"/>
              </w:rPr>
            </w:pPr>
          </w:p>
        </w:tc>
        <w:tc>
          <w:tcPr>
            <w:tcW w:w="5040" w:type="dxa"/>
            <w:vAlign w:val="bottom"/>
            <w:gridSpan w:val="8"/>
          </w:tcPr>
          <w:p>
            <w:pPr>
              <w:jc w:val="center"/>
              <w:ind w:right="1426"/>
              <w:spacing w:after="0"/>
              <w:rPr>
                <w:sz w:val="20"/>
                <w:szCs w:val="20"/>
                <w:color w:val="auto"/>
              </w:rPr>
            </w:pPr>
            <w:r>
              <w:rPr>
                <w:rFonts w:ascii="Times New Roman" w:cs="Times New Roman" w:eastAsia="Times New Roman" w:hAnsi="Times New Roman"/>
                <w:sz w:val="14"/>
                <w:szCs w:val="14"/>
                <w:b w:val="1"/>
                <w:bCs w:val="1"/>
                <w:color w:val="auto"/>
                <w:w w:val="96"/>
              </w:rPr>
              <w:t>(Exact name of registrant as specified in its charter)</w:t>
            </w:r>
          </w:p>
        </w:tc>
      </w:tr>
      <w:tr>
        <w:trPr>
          <w:trHeight w:val="277"/>
        </w:trPr>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39"/>
        </w:trPr>
        <w:tc>
          <w:tcPr>
            <w:tcW w:w="168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w w:val="95"/>
              </w:rPr>
              <w:t>Delaware</w:t>
            </w:r>
          </w:p>
        </w:tc>
        <w:tc>
          <w:tcPr>
            <w:tcW w:w="258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001-40161</w:t>
            </w:r>
          </w:p>
        </w:tc>
        <w:tc>
          <w:tcPr>
            <w:tcW w:w="40" w:type="dxa"/>
            <w:vAlign w:val="bottom"/>
          </w:tcPr>
          <w:p>
            <w:pPr>
              <w:spacing w:after="0"/>
              <w:rPr>
                <w:sz w:val="24"/>
                <w:szCs w:val="24"/>
                <w:color w:val="auto"/>
              </w:rPr>
            </w:pPr>
          </w:p>
        </w:tc>
        <w:tc>
          <w:tcPr>
            <w:tcW w:w="2420" w:type="dxa"/>
            <w:vAlign w:val="bottom"/>
            <w:gridSpan w:val="4"/>
          </w:tcPr>
          <w:p>
            <w:pPr>
              <w:jc w:val="center"/>
              <w:ind w:left="1492"/>
              <w:spacing w:after="0"/>
              <w:rPr>
                <w:sz w:val="20"/>
                <w:szCs w:val="20"/>
                <w:color w:val="auto"/>
              </w:rPr>
            </w:pPr>
            <w:r>
              <w:rPr>
                <w:rFonts w:ascii="Times New Roman" w:cs="Times New Roman" w:eastAsia="Times New Roman" w:hAnsi="Times New Roman"/>
                <w:sz w:val="14"/>
                <w:szCs w:val="14"/>
                <w:b w:val="1"/>
                <w:bCs w:val="1"/>
                <w:color w:val="auto"/>
                <w:w w:val="97"/>
              </w:rPr>
              <w:t>86-1481509</w:t>
            </w:r>
          </w:p>
        </w:tc>
      </w:tr>
      <w:tr>
        <w:trPr>
          <w:trHeight w:val="112"/>
        </w:trPr>
        <w:tc>
          <w:tcPr>
            <w:tcW w:w="1680" w:type="dxa"/>
            <w:vAlign w:val="bottom"/>
          </w:tcPr>
          <w:p>
            <w:pPr>
              <w:jc w:val="center"/>
              <w:ind w:right="181"/>
              <w:spacing w:after="0" w:line="113" w:lineRule="exact"/>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920" w:type="dxa"/>
            <w:vAlign w:val="bottom"/>
          </w:tcPr>
          <w:p>
            <w:pPr>
              <w:spacing w:after="0"/>
              <w:rPr>
                <w:sz w:val="9"/>
                <w:szCs w:val="9"/>
                <w:color w:val="auto"/>
              </w:rPr>
            </w:pPr>
          </w:p>
        </w:tc>
        <w:tc>
          <w:tcPr>
            <w:tcW w:w="1700" w:type="dxa"/>
            <w:vAlign w:val="bottom"/>
            <w:gridSpan w:val="3"/>
          </w:tcPr>
          <w:p>
            <w:pPr>
              <w:ind w:left="640"/>
              <w:spacing w:after="0" w:line="113" w:lineRule="exact"/>
              <w:rPr>
                <w:sz w:val="20"/>
                <w:szCs w:val="20"/>
                <w:color w:val="auto"/>
              </w:rPr>
            </w:pPr>
            <w:r>
              <w:rPr>
                <w:rFonts w:ascii="Times New Roman" w:cs="Times New Roman" w:eastAsia="Times New Roman" w:hAnsi="Times New Roman"/>
                <w:sz w:val="11"/>
                <w:szCs w:val="11"/>
                <w:b w:val="1"/>
                <w:bCs w:val="1"/>
                <w:color w:val="auto"/>
              </w:rPr>
              <w:t>(Commission</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720" w:type="dxa"/>
            <w:vAlign w:val="bottom"/>
          </w:tcPr>
          <w:p>
            <w:pPr>
              <w:jc w:val="center"/>
              <w:ind w:left="826"/>
              <w:spacing w:after="0" w:line="113" w:lineRule="exact"/>
              <w:rPr>
                <w:sz w:val="20"/>
                <w:szCs w:val="20"/>
                <w:color w:val="auto"/>
              </w:rPr>
            </w:pPr>
            <w:r>
              <w:rPr>
                <w:rFonts w:ascii="Times New Roman" w:cs="Times New Roman" w:eastAsia="Times New Roman" w:hAnsi="Times New Roman"/>
                <w:sz w:val="11"/>
                <w:szCs w:val="11"/>
                <w:b w:val="1"/>
                <w:bCs w:val="1"/>
                <w:color w:val="auto"/>
                <w:w w:val="99"/>
              </w:rPr>
              <w:t>(I.R.S Employer</w:t>
            </w:r>
          </w:p>
        </w:tc>
      </w:tr>
      <w:tr>
        <w:trPr>
          <w:trHeight w:val="143"/>
        </w:trPr>
        <w:tc>
          <w:tcPr>
            <w:tcW w:w="1680" w:type="dxa"/>
            <w:vAlign w:val="bottom"/>
          </w:tcPr>
          <w:p>
            <w:pPr>
              <w:jc w:val="center"/>
              <w:ind w:right="201"/>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920" w:type="dxa"/>
            <w:vAlign w:val="bottom"/>
          </w:tcPr>
          <w:p>
            <w:pPr>
              <w:spacing w:after="0"/>
              <w:rPr>
                <w:sz w:val="12"/>
                <w:szCs w:val="12"/>
                <w:color w:val="auto"/>
              </w:rPr>
            </w:pPr>
          </w:p>
        </w:tc>
        <w:tc>
          <w:tcPr>
            <w:tcW w:w="1700" w:type="dxa"/>
            <w:vAlign w:val="bottom"/>
            <w:gridSpan w:val="3"/>
          </w:tcPr>
          <w:p>
            <w:pPr>
              <w:ind w:left="640"/>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20" w:type="dxa"/>
            <w:vAlign w:val="bottom"/>
          </w:tcPr>
          <w:p>
            <w:pPr>
              <w:jc w:val="center"/>
              <w:ind w:left="826"/>
              <w:spacing w:after="0"/>
              <w:rPr>
                <w:sz w:val="20"/>
                <w:szCs w:val="20"/>
                <w:color w:val="auto"/>
              </w:rPr>
            </w:pPr>
            <w:r>
              <w:rPr>
                <w:rFonts w:ascii="Times New Roman" w:cs="Times New Roman" w:eastAsia="Times New Roman" w:hAnsi="Times New Roman"/>
                <w:sz w:val="11"/>
                <w:szCs w:val="11"/>
                <w:b w:val="1"/>
                <w:bCs w:val="1"/>
                <w:color w:val="auto"/>
                <w:w w:val="97"/>
              </w:rPr>
              <w:t>Identification No.)</w:t>
            </w:r>
          </w:p>
        </w:tc>
      </w:tr>
    </w:tbl>
    <w:p>
      <w:pPr>
        <w:spacing w:after="0" w:line="1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1265 South Cochran Avenue</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Los Angeles, CA 90019</w:t>
      </w: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 including zip code)</w:t>
      </w:r>
    </w:p>
    <w:p>
      <w:pPr>
        <w:spacing w:after="0" w:line="138"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(844) 857-3283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3029585</wp:posOffset>
            </wp:positionH>
            <wp:positionV relativeFrom="paragraph">
              <wp:posOffset>187325</wp:posOffset>
            </wp:positionV>
            <wp:extent cx="110871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70" w:lineRule="exact"/>
        <w:rPr>
          <w:sz w:val="24"/>
          <w:szCs w:val="24"/>
          <w:color w:val="auto"/>
        </w:rPr>
      </w:pPr>
    </w:p>
    <w:tbl>
      <w:tblPr>
        <w:tblLayout w:type="fixed"/>
        <w:tblInd w:w="14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Title of each class</w:t>
            </w:r>
          </w:p>
        </w:tc>
        <w:tc>
          <w:tcPr>
            <w:tcW w:w="380" w:type="dxa"/>
            <w:vAlign w:val="bottom"/>
          </w:tcPr>
          <w:p>
            <w:pPr>
              <w:spacing w:after="0"/>
              <w:rPr>
                <w:sz w:val="10"/>
                <w:szCs w:val="10"/>
                <w:color w:val="auto"/>
              </w:rPr>
            </w:pPr>
          </w:p>
        </w:tc>
        <w:tc>
          <w:tcPr>
            <w:tcW w:w="2780" w:type="dxa"/>
            <w:vAlign w:val="bottom"/>
            <w:gridSpan w:val="4"/>
          </w:tcPr>
          <w:p>
            <w:pPr>
              <w:jc w:val="center"/>
              <w:ind w:right="880"/>
              <w:spacing w:after="0"/>
              <w:rPr>
                <w:sz w:val="20"/>
                <w:szCs w:val="20"/>
                <w:color w:val="auto"/>
              </w:rPr>
            </w:pPr>
            <w:r>
              <w:rPr>
                <w:rFonts w:ascii="Times New Roman" w:cs="Times New Roman" w:eastAsia="Times New Roman" w:hAnsi="Times New Roman"/>
                <w:sz w:val="11"/>
                <w:szCs w:val="11"/>
                <w:b w:val="1"/>
                <w:bCs w:val="1"/>
                <w:color w:val="auto"/>
                <w:w w:val="98"/>
              </w:rPr>
              <w:t>Trading</w:t>
            </w:r>
          </w:p>
        </w:tc>
        <w:tc>
          <w:tcPr>
            <w:tcW w:w="2260" w:type="dxa"/>
            <w:vAlign w:val="bottom"/>
          </w:tcPr>
          <w:p>
            <w:pPr>
              <w:jc w:val="center"/>
              <w:ind w:right="357"/>
              <w:spacing w:after="0"/>
              <w:rPr>
                <w:sz w:val="20"/>
                <w:szCs w:val="20"/>
                <w:color w:val="auto"/>
              </w:rPr>
            </w:pPr>
            <w:r>
              <w:rPr>
                <w:rFonts w:ascii="Times New Roman" w:cs="Times New Roman" w:eastAsia="Times New Roman" w:hAnsi="Times New Roman"/>
                <w:sz w:val="11"/>
                <w:szCs w:val="11"/>
                <w:b w:val="1"/>
                <w:bCs w:val="1"/>
                <w:color w:val="auto"/>
                <w:w w:val="98"/>
              </w:rPr>
              <w:t>Name of each exchange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2780" w:type="dxa"/>
            <w:vAlign w:val="bottom"/>
            <w:gridSpan w:val="4"/>
          </w:tcPr>
          <w:p>
            <w:pPr>
              <w:jc w:val="center"/>
              <w:ind w:right="880"/>
              <w:spacing w:after="0"/>
              <w:rPr>
                <w:sz w:val="20"/>
                <w:szCs w:val="20"/>
                <w:color w:val="auto"/>
              </w:rPr>
            </w:pPr>
            <w:r>
              <w:rPr>
                <w:rFonts w:ascii="Times New Roman" w:cs="Times New Roman" w:eastAsia="Times New Roman" w:hAnsi="Times New Roman"/>
                <w:sz w:val="11"/>
                <w:szCs w:val="11"/>
                <w:b w:val="1"/>
                <w:bCs w:val="1"/>
                <w:color w:val="auto"/>
                <w:w w:val="97"/>
              </w:rPr>
              <w:t>Symbol(s)</w:t>
            </w:r>
          </w:p>
        </w:tc>
        <w:tc>
          <w:tcPr>
            <w:tcW w:w="2260" w:type="dxa"/>
            <w:vAlign w:val="bottom"/>
          </w:tcPr>
          <w:p>
            <w:pPr>
              <w:jc w:val="center"/>
              <w:ind w:right="357"/>
              <w:spacing w:after="0"/>
              <w:rPr>
                <w:sz w:val="20"/>
                <w:szCs w:val="20"/>
                <w:color w:val="auto"/>
              </w:rPr>
            </w:pPr>
            <w:r>
              <w:rPr>
                <w:rFonts w:ascii="Times New Roman" w:cs="Times New Roman" w:eastAsia="Times New Roman" w:hAnsi="Times New Roman"/>
                <w:sz w:val="11"/>
                <w:szCs w:val="11"/>
                <w:b w:val="1"/>
                <w:bCs w:val="1"/>
                <w:color w:val="auto"/>
                <w:w w:val="99"/>
              </w:rPr>
              <w:t>on which registered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Common Stock, par value of $0.0001 per share</w:t>
            </w: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28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DAVE</w:t>
            </w: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260" w:type="dxa"/>
            <w:vAlign w:val="bottom"/>
            <w:tcBorders>
              <w:top w:val="single" w:sz="8" w:color="auto"/>
            </w:tcBorders>
          </w:tcPr>
          <w:p>
            <w:pPr>
              <w:jc w:val="center"/>
              <w:ind w:right="357"/>
              <w:spacing w:after="0"/>
              <w:rPr>
                <w:sz w:val="20"/>
                <w:szCs w:val="20"/>
                <w:color w:val="auto"/>
              </w:rPr>
            </w:pPr>
            <w:r>
              <w:rPr>
                <w:rFonts w:ascii="Times New Roman" w:cs="Times New Roman" w:eastAsia="Times New Roman" w:hAnsi="Times New Roman"/>
                <w:sz w:val="14"/>
                <w:szCs w:val="14"/>
                <w:b w:val="1"/>
                <w:bCs w:val="1"/>
                <w:color w:val="auto"/>
                <w:w w:val="96"/>
              </w:rPr>
              <w:t>The Nasdaq Stock Market LLC</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Redeemable warrants, each whole warrant</w:t>
            </w:r>
          </w:p>
        </w:tc>
        <w:tc>
          <w:tcPr>
            <w:tcW w:w="380" w:type="dxa"/>
            <w:vAlign w:val="bottom"/>
          </w:tcPr>
          <w:p>
            <w:pPr>
              <w:spacing w:after="0"/>
              <w:rPr>
                <w:sz w:val="18"/>
                <w:szCs w:val="18"/>
                <w:color w:val="auto"/>
              </w:rPr>
            </w:pPr>
          </w:p>
        </w:tc>
        <w:tc>
          <w:tcPr>
            <w:tcW w:w="2780" w:type="dxa"/>
            <w:vAlign w:val="bottom"/>
            <w:gridSpan w:val="4"/>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w w:val="93"/>
              </w:rPr>
              <w:t>DAVEW</w:t>
            </w:r>
          </w:p>
        </w:tc>
        <w:tc>
          <w:tcPr>
            <w:tcW w:w="2260" w:type="dxa"/>
            <w:vAlign w:val="bottom"/>
          </w:tcPr>
          <w:p>
            <w:pPr>
              <w:jc w:val="center"/>
              <w:ind w:right="357"/>
              <w:spacing w:after="0"/>
              <w:rPr>
                <w:sz w:val="20"/>
                <w:szCs w:val="20"/>
                <w:color w:val="auto"/>
              </w:rPr>
            </w:pPr>
            <w:r>
              <w:rPr>
                <w:rFonts w:ascii="Times New Roman" w:cs="Times New Roman" w:eastAsia="Times New Roman" w:hAnsi="Times New Roman"/>
                <w:sz w:val="14"/>
                <w:szCs w:val="14"/>
                <w:b w:val="1"/>
                <w:bCs w:val="1"/>
                <w:color w:val="auto"/>
                <w:w w:val="96"/>
              </w:rPr>
              <w:t>The Nasdaq Stock Market LLC</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exercisable for one share of Class A common</w:t>
            </w:r>
          </w:p>
        </w:tc>
        <w:tc>
          <w:tcPr>
            <w:tcW w:w="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stock, each at an exercise price of $11.50 per</w:t>
            </w:r>
          </w:p>
        </w:tc>
        <w:tc>
          <w:tcPr>
            <w:tcW w:w="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1"/>
              </w:rPr>
              <w:t>share</w:t>
            </w:r>
          </w:p>
        </w:tc>
        <w:tc>
          <w:tcPr>
            <w:tcW w:w="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060" w:type="dxa"/>
            <w:vAlign w:val="bottom"/>
            <w:gridSpan w:val="7"/>
          </w:tcPr>
          <w:p>
            <w:pPr>
              <w:ind w:left="2320"/>
              <w:spacing w:after="0"/>
              <w:rPr>
                <w:sz w:val="20"/>
                <w:szCs w:val="20"/>
                <w:color w:val="auto"/>
              </w:rPr>
            </w:pPr>
            <w:r>
              <w:rPr>
                <w:rFonts w:ascii="Times New Roman" w:cs="Times New Roman" w:eastAsia="Times New Roman" w:hAnsi="Times New Roman"/>
                <w:sz w:val="14"/>
                <w:szCs w:val="14"/>
                <w:b w:val="1"/>
                <w:bCs w:val="1"/>
                <w:color w:val="auto"/>
                <w:w w:val="98"/>
              </w:rPr>
              <w:t>Securities registered pursuant to Section 12(g) of the Act: None</w:t>
            </w: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3300" w:type="dxa"/>
            <w:vAlign w:val="bottom"/>
            <w:gridSpan w:val="4"/>
          </w:tcPr>
          <w:p>
            <w:pPr>
              <w:spacing w:after="0"/>
              <w:rPr>
                <w:sz w:val="23"/>
                <w:szCs w:val="23"/>
                <w:color w:val="auto"/>
              </w:rPr>
            </w:pPr>
          </w:p>
        </w:tc>
        <w:tc>
          <w:tcPr>
            <w:tcW w:w="1740" w:type="dxa"/>
            <w:vAlign w:val="bottom"/>
            <w:tcBorders>
              <w:bottom w:val="single" w:sz="8" w:color="auto"/>
            </w:tcBorders>
          </w:tcPr>
          <w:p>
            <w:pPr>
              <w:spacing w:after="0"/>
              <w:rPr>
                <w:sz w:val="23"/>
                <w:szCs w:val="23"/>
                <w:color w:val="auto"/>
              </w:rPr>
            </w:pPr>
          </w:p>
        </w:tc>
        <w:tc>
          <w:tcPr>
            <w:tcW w:w="1040" w:type="dxa"/>
            <w:vAlign w:val="bottom"/>
            <w:gridSpan w:val="3"/>
          </w:tcPr>
          <w:p>
            <w:pPr>
              <w:spacing w:after="0"/>
              <w:rPr>
                <w:sz w:val="23"/>
                <w:szCs w:val="23"/>
                <w:color w:val="auto"/>
              </w:rPr>
            </w:pPr>
          </w:p>
        </w:tc>
        <w:tc>
          <w:tcPr>
            <w:tcW w:w="2260" w:type="dxa"/>
            <w:vAlign w:val="bottom"/>
            <w:vMerge w:val="restart"/>
          </w:tcPr>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332"/>
        </w:trPr>
        <w:tc>
          <w:tcPr>
            <w:tcW w:w="6080" w:type="dxa"/>
            <w:vAlign w:val="bottom"/>
            <w:gridSpan w:val="8"/>
          </w:tcPr>
          <w:p>
            <w:pPr>
              <w:spacing w:after="0"/>
              <w:rPr>
                <w:sz w:val="20"/>
                <w:szCs w:val="20"/>
                <w:color w:val="auto"/>
              </w:rPr>
            </w:pPr>
            <w:r>
              <w:rPr>
                <w:rFonts w:ascii="Times New Roman" w:cs="Times New Roman" w:eastAsia="Times New Roman" w:hAnsi="Times New Roman"/>
                <w:sz w:val="14"/>
                <w:szCs w:val="14"/>
                <w:color w:val="auto"/>
                <w:w w:val="97"/>
              </w:rPr>
              <w:t>Indicate by check mark if the registrant is not required to file reports pursuant to Section 13 or 15(d) of the Act.</w:t>
            </w:r>
          </w:p>
        </w:tc>
        <w:tc>
          <w:tcPr>
            <w:tcW w:w="2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4"/>
          <w:szCs w:val="24"/>
          <w:color w:val="auto"/>
        </w:rPr>
      </w:pPr>
    </w:p>
    <w:p>
      <w:pPr>
        <w:ind w:left="1480" w:right="399"/>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ind w:left="1480" w:right="459"/>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ind w:left="1480" w:right="419"/>
        <w:spacing w:after="0" w:line="25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12b-2of the Exchange Act.</w:t>
      </w:r>
    </w:p>
    <w:p>
      <w:pPr>
        <w:spacing w:after="0" w:line="140" w:lineRule="exact"/>
        <w:rPr>
          <w:sz w:val="24"/>
          <w:szCs w:val="24"/>
          <w:color w:val="auto"/>
        </w:rPr>
      </w:pPr>
    </w:p>
    <w:tbl>
      <w:tblPr>
        <w:tblLayout w:type="fixed"/>
        <w:tblInd w:w="1480" w:type="dxa"/>
        <w:tblCellMar>
          <w:top w:w="0" w:type="dxa"/>
          <w:left w:w="0" w:type="dxa"/>
          <w:bottom w:w="0" w:type="dxa"/>
          <w:right w:w="0" w:type="dxa"/>
        </w:tblCellMar>
      </w:tblPr>
      <w:tr>
        <w:trPr>
          <w:trHeight w:val="214"/>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62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4020" w:type="dxa"/>
            <w:vAlign w:val="bottom"/>
          </w:tcPr>
          <w:p>
            <w:pPr>
              <w:ind w:left="2360"/>
              <w:spacing w:after="0"/>
              <w:rPr>
                <w:sz w:val="20"/>
                <w:szCs w:val="20"/>
                <w:color w:val="auto"/>
              </w:rPr>
            </w:pPr>
            <w:r>
              <w:rPr>
                <w:rFonts w:ascii="Times New Roman" w:cs="Times New Roman" w:eastAsia="Times New Roman" w:hAnsi="Times New Roman"/>
                <w:sz w:val="14"/>
                <w:szCs w:val="14"/>
                <w:color w:val="auto"/>
              </w:rPr>
              <w:t>Accelerated filer</w:t>
            </w:r>
          </w:p>
        </w:tc>
        <w:tc>
          <w:tcPr>
            <w:tcW w:w="2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5"/>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62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4020" w:type="dxa"/>
            <w:vAlign w:val="bottom"/>
          </w:tcPr>
          <w:p>
            <w:pPr>
              <w:ind w:left="23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5"/>
        </w:trPr>
        <w:tc>
          <w:tcPr>
            <w:tcW w:w="13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4020" w:type="dxa"/>
            <w:vAlign w:val="bottom"/>
          </w:tcPr>
          <w:p>
            <w:pPr>
              <w:ind w:left="2360"/>
              <w:spacing w:after="0"/>
              <w:rPr>
                <w:sz w:val="20"/>
                <w:szCs w:val="20"/>
                <w:color w:val="auto"/>
              </w:rPr>
            </w:pPr>
            <w:r>
              <w:rPr>
                <w:rFonts w:ascii="Times New Roman" w:cs="Times New Roman" w:eastAsia="Times New Roman" w:hAnsi="Times New Roman"/>
                <w:sz w:val="14"/>
                <w:szCs w:val="14"/>
                <w:color w:val="auto"/>
              </w:rPr>
              <w:t>Emerging growth company</w:t>
            </w:r>
          </w:p>
        </w:tc>
        <w:tc>
          <w:tcPr>
            <w:tcW w:w="2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36" w:lineRule="exact"/>
        <w:rPr>
          <w:sz w:val="24"/>
          <w:szCs w:val="24"/>
          <w:color w:val="auto"/>
        </w:rPr>
      </w:pPr>
    </w:p>
    <w:p>
      <w:pPr>
        <w:ind w:left="1480" w:right="579"/>
        <w:spacing w:after="0" w:line="17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1" w:lineRule="exact"/>
        <w:rPr>
          <w:sz w:val="24"/>
          <w:szCs w:val="24"/>
          <w:color w:val="auto"/>
        </w:rPr>
      </w:pPr>
    </w:p>
    <w:p>
      <w:pPr>
        <w:ind w:left="1480"/>
        <w:spacing w:after="0" w:line="161" w:lineRule="exact"/>
        <w:tabs>
          <w:tab w:leader="none" w:pos="7160" w:val="left"/>
          <w:tab w:leader="none" w:pos="77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12b-2of the Act).</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89" w:lineRule="exact"/>
        <w:rPr>
          <w:sz w:val="24"/>
          <w:szCs w:val="24"/>
          <w:color w:val="auto"/>
        </w:rPr>
      </w:pPr>
    </w:p>
    <w:p>
      <w:pPr>
        <w:ind w:left="1480" w:right="419"/>
        <w:spacing w:after="0" w:line="264" w:lineRule="auto"/>
        <w:rPr>
          <w:sz w:val="20"/>
          <w:szCs w:val="20"/>
          <w:color w:val="auto"/>
        </w:rPr>
      </w:pPr>
      <w:r>
        <w:rPr>
          <w:rFonts w:ascii="Times New Roman" w:cs="Times New Roman" w:eastAsia="Times New Roman" w:hAnsi="Times New Roman"/>
          <w:sz w:val="14"/>
          <w:szCs w:val="14"/>
          <w:color w:val="auto"/>
        </w:rPr>
        <w:t>As of May 5, 2022, the number of outstanding shares of Dave Inc’s Class A common stock was 323,539,696 at and the number of outstanding shares of Dave Inc.’s Class V common stock was 48,450,639.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941070</wp:posOffset>
            </wp:positionH>
            <wp:positionV relativeFrom="paragraph">
              <wp:posOffset>100965</wp:posOffset>
            </wp:positionV>
            <wp:extent cx="529145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91455"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133350</wp:posOffset>
            </wp:positionV>
            <wp:extent cx="529145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91455" cy="6350"/>
                    </a:xfrm>
                    <a:prstGeom prst="rect">
                      <a:avLst/>
                    </a:prstGeom>
                    <a:noFill/>
                  </pic:spPr>
                </pic:pic>
              </a:graphicData>
            </a:graphic>
          </wp:anchor>
        </w:drawing>
      </w:r>
    </w:p>
    <w:p>
      <w:pPr>
        <w:sectPr>
          <w:pgSz w:w="11900" w:h="16838" w:orient="portrait"/>
          <w:cols w:equalWidth="0" w:num="1">
            <w:col w:w="10159"/>
          </w:cols>
          <w:pgMar w:left="300" w:top="20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88" w:lineRule="exact"/>
        <w:rPr>
          <w:sz w:val="20"/>
          <w:szCs w:val="20"/>
          <w:color w:val="auto"/>
        </w:rPr>
      </w:pPr>
    </w:p>
    <w:p>
      <w:pPr>
        <w:ind w:left="1480" w:right="419"/>
        <w:spacing w:after="0" w:line="297" w:lineRule="auto"/>
        <w:rPr>
          <w:sz w:val="20"/>
          <w:szCs w:val="20"/>
          <w:color w:val="auto"/>
        </w:rPr>
      </w:pPr>
      <w:r>
        <w:rPr>
          <w:rFonts w:ascii="Times New Roman" w:cs="Times New Roman" w:eastAsia="Times New Roman" w:hAnsi="Times New Roman"/>
          <w:sz w:val="12"/>
          <w:szCs w:val="12"/>
          <w:color w:val="auto"/>
        </w:rPr>
        <w:t>Dave Inc. (the “Company”) is filing this unaudited Amendment No. 1 (this “Amendment No. 1”) to amend its Quarterly Report on Form 10-Q for the quarterly period ended March 31, 2022, filed with the Securities and Exchange Commission (the “SEC”) on May 13, 2022 (the “Original Form 10-Q”). The purpose of this Amendment No. 1 is to restate the Company’s previously issued unaudited interim condensed consolidated financial statements for the three months ended March 31, 2022 contained in the Original Form 10-Q (the “Restatement”) and updated related disclosures as described below. See Note 2 - Restatement of Previously-Issued Financial Statements in this Amendment No. 1 for additional information. On August 12, 2022, the Company filed a Current Report on Form 8-K, disclosing that the financial statements included in the Original Form 10-Q should not be relied upon.</w:t>
      </w:r>
    </w:p>
    <w:p>
      <w:pPr>
        <w:spacing w:after="0" w:line="19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Restatement Background</w:t>
      </w:r>
    </w:p>
    <w:p>
      <w:pPr>
        <w:spacing w:after="0" w:line="88" w:lineRule="exact"/>
        <w:rPr>
          <w:sz w:val="20"/>
          <w:szCs w:val="20"/>
          <w:color w:val="auto"/>
        </w:rPr>
      </w:pPr>
    </w:p>
    <w:p>
      <w:pPr>
        <w:ind w:left="1480" w:right="379"/>
        <w:spacing w:after="0" w:line="246" w:lineRule="auto"/>
        <w:rPr>
          <w:sz w:val="20"/>
          <w:szCs w:val="20"/>
          <w:color w:val="auto"/>
        </w:rPr>
      </w:pPr>
      <w:r>
        <w:rPr>
          <w:rFonts w:ascii="Times New Roman" w:cs="Times New Roman" w:eastAsia="Times New Roman" w:hAnsi="Times New Roman"/>
          <w:sz w:val="14"/>
          <w:szCs w:val="14"/>
          <w:color w:val="auto"/>
        </w:rPr>
        <w:t>In connection with the preparation of the unaudited consolidated financial statements and related disclosures for the quarter ended June 30, 2022, the Company reevaluated the accounting treatment of the Company’s member advances within the Company’s statements of cash flows and concluded that cash flows from the principal portion of member advances should be included as an investing activity as opposed to an operating activity, resulting in an overstatement of the cash flows used in operating activities and an understatement of the cash flows from investing activities as of and for the years ended December 31, 2021 and December 31, 2020 (the “Audited Financials Relevant Periods”). Upon further review, the Company determined to correct the treatment of the principal portion of member advances by classifying them as an investing activity instead of operating activity in the statement of cash flows for the Audited Financials Relevant Periods and in the statements of cash flows in the unaudited financial statements included in the Original Form 10-Q.</w:t>
      </w:r>
    </w:p>
    <w:p>
      <w:pPr>
        <w:spacing w:after="0" w:line="150" w:lineRule="exact"/>
        <w:rPr>
          <w:sz w:val="20"/>
          <w:szCs w:val="20"/>
          <w:color w:val="auto"/>
        </w:rPr>
      </w:pPr>
    </w:p>
    <w:p>
      <w:pPr>
        <w:ind w:left="1480" w:right="379"/>
        <w:spacing w:after="0" w:line="245" w:lineRule="auto"/>
        <w:rPr>
          <w:sz w:val="20"/>
          <w:szCs w:val="20"/>
          <w:color w:val="auto"/>
        </w:rPr>
      </w:pPr>
      <w:r>
        <w:rPr>
          <w:rFonts w:ascii="Times New Roman" w:cs="Times New Roman" w:eastAsia="Times New Roman" w:hAnsi="Times New Roman"/>
          <w:sz w:val="14"/>
          <w:szCs w:val="14"/>
          <w:color w:val="auto"/>
        </w:rPr>
        <w:t>Additionally, in connection with the preparation of the unaudited consolidated financial statements and related disclosures for the quarter ended June 30, 2022, the Company reevaluated the accounting treatment of certain previously disclosed earnout arrangements in connection with the Company’s business combination pursuant to the Agreement and Plan of Merger, dated June 7, 2021, by and among Dave Inc., VPC Impact Acquisition Holdings III, Inc. (“VPCC”), Bear Merger Company I Inc., and Bear Merger Company II LLC (the “Business Combination Agreement”). The Business Combination Agreement provided for the issuance of 1,586,037 shares (the “Earnout Shares”) of the Company’s Class A common stock, par value $0.0001 per share (“Class A Common Stock”), to VPC Impact Acquisition Holdings Sponsor III, LLC, which is the sponsor of VPCC, and the independent directors of VPCC prior to the completion of the business combination, subject to potential forfeiture such that 60% of the Earnout Shares will be fully vested and no longer subject to forfeiture in the event that the Class A Common Stock achieves a trading price of at least $12.50 per share, and 40% of the Earnout Shares will be fully vested and no longer subject to forfeiture in the event that the Class A Common Stock achieves a trading price of at least $15.00 per share (in each case, determined by reference to the volume-weighted average price achieved for at least 20 trading days within any 30 consecutive trading days) prior to June 7, 2026. The Earnout Shares were recognized at fair value upon the closing of the business combination and classified in stockholders’ equity.</w:t>
      </w:r>
    </w:p>
    <w:p>
      <w:pPr>
        <w:spacing w:after="0" w:line="152" w:lineRule="exact"/>
        <w:rPr>
          <w:sz w:val="20"/>
          <w:szCs w:val="20"/>
          <w:color w:val="auto"/>
        </w:rPr>
      </w:pPr>
    </w:p>
    <w:p>
      <w:pPr>
        <w:ind w:left="1480" w:right="419"/>
        <w:spacing w:after="0" w:line="247" w:lineRule="auto"/>
        <w:rPr>
          <w:sz w:val="20"/>
          <w:szCs w:val="20"/>
          <w:color w:val="auto"/>
        </w:rPr>
      </w:pPr>
      <w:r>
        <w:rPr>
          <w:rFonts w:ascii="Times New Roman" w:cs="Times New Roman" w:eastAsia="Times New Roman" w:hAnsi="Times New Roman"/>
          <w:sz w:val="14"/>
          <w:szCs w:val="14"/>
          <w:color w:val="auto"/>
        </w:rPr>
        <w:t>On August 9, 2022, the Company, in consultation with the Audit Committee, reached a determination that the unaudited consolidated financial statements presented in the Original Form 10-Q improperly assessed the accounting treatment of the Earnout Shares by classifying them as stockholders’ equity rather than as a liability, resulting in a reclassification of the Earnout Shares along with a non-cash fair value adjustment during the three months ended March 31, 2022 (the “Relevant Earnout Period”). Upon further review, the Company determined to correct the treatment of the Earnout Shares by reclassifying them as a liability measured at fair value and recording a non-cash fair value adjustment for the Relevant Earnout Period.</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Internal Control and Disclosure Controls</w:t>
      </w:r>
    </w:p>
    <w:p>
      <w:pPr>
        <w:spacing w:after="0" w:line="88" w:lineRule="exact"/>
        <w:rPr>
          <w:sz w:val="20"/>
          <w:szCs w:val="20"/>
          <w:color w:val="auto"/>
        </w:rPr>
      </w:pPr>
    </w:p>
    <w:p>
      <w:pPr>
        <w:ind w:left="1480" w:right="419"/>
        <w:spacing w:after="0" w:line="248" w:lineRule="auto"/>
        <w:rPr>
          <w:sz w:val="20"/>
          <w:szCs w:val="20"/>
          <w:color w:val="auto"/>
        </w:rPr>
      </w:pPr>
      <w:r>
        <w:rPr>
          <w:rFonts w:ascii="Times New Roman" w:cs="Times New Roman" w:eastAsia="Times New Roman" w:hAnsi="Times New Roman"/>
          <w:sz w:val="14"/>
          <w:szCs w:val="14"/>
          <w:color w:val="auto"/>
        </w:rPr>
        <w:t>In the Original Form 10-Q, the Company’s management concluded that the Company’s disclosure controls and procedures were not effective as of March 31, 2022 as a result of the material weaknesses identified its Annual Report for the years ended December 31, 2021 and 2020 filed with the SEC on March 25, 2022 (the “2021 Annual Report”). The Company’s management has concluded again that as a result of the material weaknesses described in its 2021 Annual Report, the errors in accounting treatment described above and further herein and the material weaknesses described herein, the Company’s disclosure controls and procedures were not effective as of March 31, 2022.</w:t>
      </w:r>
    </w:p>
    <w:p>
      <w:pPr>
        <w:spacing w:after="0" w:line="2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Items Amended in this Amendment No. 1</w:t>
      </w:r>
    </w:p>
    <w:p>
      <w:pPr>
        <w:spacing w:after="0" w:line="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color w:val="auto"/>
        </w:rPr>
        <w:t>The Company is filing this Amendment No. 1 to amend and restate the Original Form 10-Q with modifications as necessary to reflect the Restatement.</w:t>
      </w:r>
    </w:p>
    <w:p>
      <w:pPr>
        <w:spacing w:after="0" w:line="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following items have been amended to reflect the Restatement:</w:t>
      </w:r>
    </w:p>
    <w:p>
      <w:pPr>
        <w:spacing w:after="0" w:line="82" w:lineRule="exact"/>
        <w:rPr>
          <w:sz w:val="20"/>
          <w:szCs w:val="20"/>
          <w:color w:val="auto"/>
        </w:rPr>
      </w:pPr>
    </w:p>
    <w:p>
      <w:pPr>
        <w:ind w:left="2220" w:hanging="334"/>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 I, Item 1, Financial Statements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 I, Item 2, Management’s Discussion and Analysis of Financial Condition and Results of Operations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 I, Item 4, Controls and Procedures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 II, Item 1, Risk Factors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 II, Item 6, Exhibits and Signatures</w:t>
      </w:r>
    </w:p>
    <w:p>
      <w:pPr>
        <w:spacing w:after="0" w:line="166" w:lineRule="exact"/>
        <w:rPr>
          <w:sz w:val="20"/>
          <w:szCs w:val="20"/>
          <w:color w:val="auto"/>
        </w:rPr>
      </w:pPr>
    </w:p>
    <w:p>
      <w:pPr>
        <w:ind w:left="1480" w:right="359"/>
        <w:spacing w:after="0" w:line="316" w:lineRule="auto"/>
        <w:rPr>
          <w:sz w:val="20"/>
          <w:szCs w:val="20"/>
          <w:color w:val="auto"/>
        </w:rPr>
      </w:pPr>
      <w:r>
        <w:rPr>
          <w:rFonts w:ascii="Times New Roman" w:cs="Times New Roman" w:eastAsia="Times New Roman" w:hAnsi="Times New Roman"/>
          <w:sz w:val="12"/>
          <w:szCs w:val="12"/>
          <w:color w:val="auto"/>
        </w:rPr>
        <w:t>Certain renumbering of, and cross-reference updates, to, the notes to the condensed consolidated financial statements have also been made. Additionally, in accordance with Rule 12b-15 under the Securities Exchange Act of 1934, as amended, the Company is including with this Amendment No. 1 currently dated certifications of its President and Chief Executive Officer and its Chief Financial Officer in Exhibits 31.1, 31.2 and 32.1.</w:t>
      </w:r>
    </w:p>
    <w:p>
      <w:pPr>
        <w:spacing w:after="0" w:line="109" w:lineRule="exact"/>
        <w:rPr>
          <w:sz w:val="20"/>
          <w:szCs w:val="20"/>
          <w:color w:val="auto"/>
        </w:rPr>
      </w:pPr>
    </w:p>
    <w:p>
      <w:pPr>
        <w:ind w:left="1480" w:right="499"/>
        <w:spacing w:after="0" w:line="254" w:lineRule="auto"/>
        <w:rPr>
          <w:sz w:val="20"/>
          <w:szCs w:val="20"/>
          <w:color w:val="auto"/>
        </w:rPr>
      </w:pPr>
      <w:r>
        <w:rPr>
          <w:rFonts w:ascii="Times New Roman" w:cs="Times New Roman" w:eastAsia="Times New Roman" w:hAnsi="Times New Roman"/>
          <w:sz w:val="14"/>
          <w:szCs w:val="14"/>
          <w:color w:val="auto"/>
        </w:rPr>
        <w:t>Except as described above, this Amendment No. 1 does not amend, update or change any other disclosures in the Original Form 10-Q. In addition, the information contained in this Amendment No. 1 does not reflect events occurring after the Original Form 10-Q and does not modify or update the disclosures therein, except to reflect the effects of the Restatement.</w:t>
      </w:r>
    </w:p>
    <w:p>
      <w:pPr>
        <w:spacing w:after="0" w:line="9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99"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tbl>
      <w:tblPr>
        <w:tblLayout w:type="fixed"/>
        <w:tblInd w:w="1480" w:type="dxa"/>
        <w:tblCellMar>
          <w:top w:w="0" w:type="dxa"/>
          <w:left w:w="0" w:type="dxa"/>
          <w:bottom w:w="0" w:type="dxa"/>
          <w:right w:w="0" w:type="dxa"/>
        </w:tblCellMar>
      </w:tblPr>
      <w:tr>
        <w:trPr>
          <w:trHeight w:val="179"/>
        </w:trPr>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762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0000EE"/>
              </w:rPr>
              <w:t>PART I – FINANCIAL INFORMATION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0" w:type="dxa"/>
            <w:vAlign w:val="bottom"/>
          </w:tcPr>
          <w:p>
            <w:pPr>
              <w:spacing w:after="0" w:line="20" w:lineRule="exact"/>
              <w:rPr>
                <w:sz w:val="1"/>
                <w:szCs w:val="1"/>
                <w:color w:val="auto"/>
              </w:rPr>
            </w:pPr>
          </w:p>
        </w:tc>
      </w:tr>
      <w:tr>
        <w:trPr>
          <w:trHeight w:val="143"/>
        </w:trPr>
        <w:tc>
          <w:tcPr>
            <w:tcW w:w="1120" w:type="dxa"/>
            <w:vAlign w:val="bottom"/>
            <w:gridSpan w:val="2"/>
          </w:tcPr>
          <w:p>
            <w:pPr>
              <w:ind w:left="260"/>
              <w:spacing w:after="0" w:line="143" w:lineRule="exact"/>
              <w:rPr>
                <w:sz w:val="20"/>
                <w:szCs w:val="20"/>
                <w:color w:val="auto"/>
              </w:rPr>
            </w:pPr>
            <w:r>
              <w:rPr>
                <w:rFonts w:ascii="Times New Roman" w:cs="Times New Roman" w:eastAsia="Times New Roman" w:hAnsi="Times New Roman"/>
                <w:sz w:val="14"/>
                <w:szCs w:val="14"/>
                <w:b w:val="1"/>
                <w:bCs w:val="1"/>
                <w:color w:val="auto"/>
              </w:rPr>
              <w:t>Item 1.</w:t>
            </w:r>
          </w:p>
        </w:tc>
        <w:tc>
          <w:tcPr>
            <w:tcW w:w="4160" w:type="dxa"/>
            <w:vAlign w:val="bottom"/>
            <w:tcBorders>
              <w:bottom w:val="single" w:sz="8" w:color="0000EE"/>
            </w:tcBorders>
            <w:gridSpan w:val="12"/>
          </w:tcPr>
          <w:p>
            <w:pPr>
              <w:spacing w:after="0" w:line="143" w:lineRule="exact"/>
              <w:rPr>
                <w:sz w:val="20"/>
                <w:szCs w:val="20"/>
                <w:color w:val="auto"/>
              </w:rPr>
            </w:pPr>
            <w:r>
              <w:rPr>
                <w:rFonts w:ascii="Times New Roman" w:cs="Times New Roman" w:eastAsia="Times New Roman" w:hAnsi="Times New Roman"/>
                <w:sz w:val="14"/>
                <w:szCs w:val="14"/>
                <w:b w:val="1"/>
                <w:bCs w:val="1"/>
                <w:color w:val="0000EE"/>
                <w:w w:val="96"/>
              </w:rPr>
              <w:t>Unaudited Condensed Consolidated Financial Statements (As Restated)</w:t>
            </w:r>
          </w:p>
        </w:tc>
        <w:tc>
          <w:tcPr>
            <w:tcW w:w="2340" w:type="dxa"/>
            <w:vAlign w:val="bottom"/>
            <w:gridSpan w:val="2"/>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20" w:type="dxa"/>
            <w:vAlign w:val="bottom"/>
            <w:gridSpan w:val="2"/>
          </w:tcPr>
          <w:p>
            <w:pPr>
              <w:ind w:left="260"/>
              <w:spacing w:after="0" w:line="143" w:lineRule="exact"/>
              <w:rPr>
                <w:sz w:val="20"/>
                <w:szCs w:val="20"/>
                <w:color w:val="auto"/>
              </w:rPr>
            </w:pPr>
            <w:r>
              <w:rPr>
                <w:rFonts w:ascii="Times New Roman" w:cs="Times New Roman" w:eastAsia="Times New Roman" w:hAnsi="Times New Roman"/>
                <w:sz w:val="14"/>
                <w:szCs w:val="14"/>
                <w:b w:val="1"/>
                <w:bCs w:val="1"/>
                <w:color w:val="auto"/>
              </w:rPr>
              <w:t>Item 2.</w:t>
            </w:r>
          </w:p>
        </w:tc>
        <w:tc>
          <w:tcPr>
            <w:tcW w:w="6500" w:type="dxa"/>
            <w:vAlign w:val="bottom"/>
            <w:gridSpan w:val="14"/>
          </w:tcPr>
          <w:p>
            <w:pPr>
              <w:spacing w:after="0" w:line="143" w:lineRule="exact"/>
              <w:rPr>
                <w:sz w:val="20"/>
                <w:szCs w:val="20"/>
                <w:color w:val="auto"/>
              </w:rPr>
            </w:pPr>
            <w:r>
              <w:rPr>
                <w:rFonts w:ascii="Times New Roman" w:cs="Times New Roman" w:eastAsia="Times New Roman" w:hAnsi="Times New Roman"/>
                <w:sz w:val="14"/>
                <w:szCs w:val="14"/>
                <w:b w:val="1"/>
                <w:bCs w:val="1"/>
                <w:color w:val="0000EE"/>
              </w:rPr>
              <w:t>Management’s Discussion and Analysis of Financial Condition and Results of Operations (As Restated)</w:t>
            </w:r>
          </w:p>
        </w:tc>
        <w:tc>
          <w:tcPr>
            <w:tcW w:w="6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40</w:t>
            </w:r>
          </w:p>
        </w:tc>
        <w:tc>
          <w:tcPr>
            <w:tcW w:w="0" w:type="dxa"/>
            <w:vAlign w:val="bottom"/>
          </w:tcPr>
          <w:p>
            <w:pPr>
              <w:spacing w:after="0"/>
              <w:rPr>
                <w:sz w:val="1"/>
                <w:szCs w:val="1"/>
                <w:color w:val="auto"/>
              </w:rPr>
            </w:pPr>
          </w:p>
        </w:tc>
      </w:tr>
      <w:tr>
        <w:trPr>
          <w:trHeight w:val="143"/>
        </w:trPr>
        <w:tc>
          <w:tcPr>
            <w:tcW w:w="1120" w:type="dxa"/>
            <w:vAlign w:val="bottom"/>
            <w:gridSpan w:val="2"/>
          </w:tcPr>
          <w:p>
            <w:pPr>
              <w:ind w:left="260"/>
              <w:spacing w:after="0" w:line="143" w:lineRule="exact"/>
              <w:rPr>
                <w:sz w:val="20"/>
                <w:szCs w:val="20"/>
                <w:color w:val="auto"/>
              </w:rPr>
            </w:pPr>
            <w:r>
              <w:rPr>
                <w:rFonts w:ascii="Times New Roman" w:cs="Times New Roman" w:eastAsia="Times New Roman" w:hAnsi="Times New Roman"/>
                <w:sz w:val="14"/>
                <w:szCs w:val="14"/>
                <w:b w:val="1"/>
                <w:bCs w:val="1"/>
                <w:color w:val="auto"/>
              </w:rPr>
              <w:t>Item 3.</w:t>
            </w:r>
          </w:p>
        </w:tc>
        <w:tc>
          <w:tcPr>
            <w:tcW w:w="5980" w:type="dxa"/>
            <w:vAlign w:val="bottom"/>
            <w:tcBorders>
              <w:top w:val="single" w:sz="8" w:color="0000EE"/>
            </w:tcBorders>
            <w:gridSpan w:val="13"/>
          </w:tcPr>
          <w:p>
            <w:pPr>
              <w:spacing w:after="0" w:line="143" w:lineRule="exact"/>
              <w:rPr>
                <w:sz w:val="20"/>
                <w:szCs w:val="20"/>
                <w:color w:val="auto"/>
              </w:rPr>
            </w:pPr>
            <w:r>
              <w:rPr>
                <w:rFonts w:ascii="Times New Roman" w:cs="Times New Roman" w:eastAsia="Times New Roman" w:hAnsi="Times New Roman"/>
                <w:sz w:val="14"/>
                <w:szCs w:val="14"/>
                <w:b w:val="1"/>
                <w:bCs w:val="1"/>
                <w:color w:val="0000EE"/>
              </w:rPr>
              <w:t>Quantitative and Qualitative Disclosures About Market Risk</w:t>
            </w:r>
          </w:p>
        </w:tc>
        <w:tc>
          <w:tcPr>
            <w:tcW w:w="52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56</w:t>
            </w:r>
          </w:p>
        </w:tc>
        <w:tc>
          <w:tcPr>
            <w:tcW w:w="0" w:type="dxa"/>
            <w:vAlign w:val="bottom"/>
          </w:tcPr>
          <w:p>
            <w:pPr>
              <w:spacing w:after="0"/>
              <w:rPr>
                <w:sz w:val="1"/>
                <w:szCs w:val="1"/>
                <w:color w:val="auto"/>
              </w:rPr>
            </w:pPr>
          </w:p>
        </w:tc>
      </w:tr>
      <w:tr>
        <w:trPr>
          <w:trHeight w:val="143"/>
        </w:trPr>
        <w:tc>
          <w:tcPr>
            <w:tcW w:w="1120" w:type="dxa"/>
            <w:vAlign w:val="bottom"/>
            <w:gridSpan w:val="2"/>
          </w:tcPr>
          <w:p>
            <w:pPr>
              <w:ind w:left="260"/>
              <w:spacing w:after="0" w:line="143" w:lineRule="exact"/>
              <w:rPr>
                <w:sz w:val="20"/>
                <w:szCs w:val="20"/>
                <w:color w:val="auto"/>
              </w:rPr>
            </w:pPr>
            <w:r>
              <w:rPr>
                <w:rFonts w:ascii="Times New Roman" w:cs="Times New Roman" w:eastAsia="Times New Roman" w:hAnsi="Times New Roman"/>
                <w:sz w:val="14"/>
                <w:szCs w:val="14"/>
                <w:b w:val="1"/>
                <w:bCs w:val="1"/>
                <w:color w:val="auto"/>
              </w:rPr>
              <w:t>Item 4.</w:t>
            </w:r>
          </w:p>
        </w:tc>
        <w:tc>
          <w:tcPr>
            <w:tcW w:w="3520" w:type="dxa"/>
            <w:vAlign w:val="bottom"/>
            <w:tcBorders>
              <w:top w:val="single" w:sz="8" w:color="0000EE"/>
            </w:tcBorders>
            <w:gridSpan w:val="11"/>
          </w:tcPr>
          <w:p>
            <w:pPr>
              <w:spacing w:after="0" w:line="143" w:lineRule="exact"/>
              <w:rPr>
                <w:sz w:val="20"/>
                <w:szCs w:val="20"/>
                <w:color w:val="auto"/>
              </w:rPr>
            </w:pPr>
            <w:r>
              <w:rPr>
                <w:rFonts w:ascii="Times New Roman" w:cs="Times New Roman" w:eastAsia="Times New Roman" w:hAnsi="Times New Roman"/>
                <w:sz w:val="14"/>
                <w:szCs w:val="14"/>
                <w:b w:val="1"/>
                <w:bCs w:val="1"/>
                <w:color w:val="0000EE"/>
              </w:rPr>
              <w:t>Controls and Procedures (As Restated)</w:t>
            </w:r>
          </w:p>
        </w:tc>
        <w:tc>
          <w:tcPr>
            <w:tcW w:w="2980" w:type="dxa"/>
            <w:vAlign w:val="bottom"/>
            <w:gridSpan w:val="3"/>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57</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2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b w:val="1"/>
                <w:bCs w:val="1"/>
                <w:color w:val="0000EE"/>
                <w:w w:val="95"/>
              </w:rPr>
              <w:t>PART II – OTHER INFORMATION</w:t>
            </w:r>
          </w:p>
        </w:tc>
        <w:tc>
          <w:tcPr>
            <w:tcW w:w="5460" w:type="dxa"/>
            <w:vAlign w:val="bottom"/>
            <w:gridSpan w:val="12"/>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w:t>
            </w:r>
          </w:p>
        </w:tc>
        <w:tc>
          <w:tcPr>
            <w:tcW w:w="0" w:type="dxa"/>
            <w:vAlign w:val="bottom"/>
          </w:tcPr>
          <w:p>
            <w:pPr>
              <w:spacing w:after="0"/>
              <w:rPr>
                <w:sz w:val="1"/>
                <w:szCs w:val="1"/>
                <w:color w:val="auto"/>
              </w:rPr>
            </w:pPr>
          </w:p>
        </w:tc>
      </w:tr>
      <w:tr>
        <w:trPr>
          <w:trHeight w:val="143"/>
        </w:trPr>
        <w:tc>
          <w:tcPr>
            <w:tcW w:w="1120" w:type="dxa"/>
            <w:vAlign w:val="bottom"/>
            <w:gridSpan w:val="2"/>
          </w:tcPr>
          <w:p>
            <w:pPr>
              <w:ind w:left="260"/>
              <w:spacing w:after="0" w:line="143" w:lineRule="exact"/>
              <w:rPr>
                <w:sz w:val="20"/>
                <w:szCs w:val="20"/>
                <w:color w:val="auto"/>
              </w:rPr>
            </w:pPr>
            <w:r>
              <w:rPr>
                <w:rFonts w:ascii="Times New Roman" w:cs="Times New Roman" w:eastAsia="Times New Roman" w:hAnsi="Times New Roman"/>
                <w:sz w:val="14"/>
                <w:szCs w:val="14"/>
                <w:b w:val="1"/>
                <w:bCs w:val="1"/>
                <w:color w:val="auto"/>
              </w:rPr>
              <w:t>Item 1.</w:t>
            </w:r>
          </w:p>
        </w:tc>
        <w:tc>
          <w:tcPr>
            <w:tcW w:w="6500" w:type="dxa"/>
            <w:vAlign w:val="bottom"/>
            <w:gridSpan w:val="14"/>
          </w:tcPr>
          <w:p>
            <w:pPr>
              <w:spacing w:after="0" w:line="143" w:lineRule="exact"/>
              <w:rPr>
                <w:sz w:val="20"/>
                <w:szCs w:val="20"/>
                <w:color w:val="auto"/>
              </w:rPr>
            </w:pPr>
            <w:r>
              <w:rPr>
                <w:rFonts w:ascii="Times New Roman" w:cs="Times New Roman" w:eastAsia="Times New Roman" w:hAnsi="Times New Roman"/>
                <w:sz w:val="14"/>
                <w:szCs w:val="14"/>
                <w:b w:val="1"/>
                <w:bCs w:val="1"/>
                <w:color w:val="0000EE"/>
              </w:rPr>
              <w:t>Legal Proceedings</w:t>
            </w:r>
          </w:p>
        </w:tc>
        <w:tc>
          <w:tcPr>
            <w:tcW w:w="6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58</w:t>
            </w: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Item 1A.</w:t>
            </w:r>
          </w:p>
        </w:tc>
        <w:tc>
          <w:tcPr>
            <w:tcW w:w="4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58</w:t>
            </w:r>
          </w:p>
        </w:tc>
        <w:tc>
          <w:tcPr>
            <w:tcW w:w="0" w:type="dxa"/>
            <w:vAlign w:val="bottom"/>
          </w:tcPr>
          <w:p>
            <w:pPr>
              <w:spacing w:after="0" w:line="20" w:lineRule="exact"/>
              <w:rPr>
                <w:sz w:val="1"/>
                <w:szCs w:val="1"/>
                <w:color w:val="auto"/>
              </w:rPr>
            </w:pPr>
          </w:p>
        </w:tc>
      </w:tr>
      <w:tr>
        <w:trPr>
          <w:trHeight w:val="143"/>
        </w:trPr>
        <w:tc>
          <w:tcPr>
            <w:tcW w:w="1120" w:type="dxa"/>
            <w:vAlign w:val="bottom"/>
            <w:gridSpan w:val="2"/>
            <w:vMerge w:val="continue"/>
          </w:tcPr>
          <w:p>
            <w:pPr>
              <w:spacing w:after="0"/>
              <w:rPr>
                <w:sz w:val="12"/>
                <w:szCs w:val="12"/>
                <w:color w:val="auto"/>
              </w:rPr>
            </w:pPr>
          </w:p>
        </w:tc>
        <w:tc>
          <w:tcPr>
            <w:tcW w:w="1560" w:type="dxa"/>
            <w:vAlign w:val="bottom"/>
            <w:tcBorders>
              <w:bottom w:val="single" w:sz="8" w:color="0000EE"/>
            </w:tcBorders>
            <w:gridSpan w:val="7"/>
          </w:tcPr>
          <w:p>
            <w:pPr>
              <w:spacing w:after="0" w:line="143" w:lineRule="exact"/>
              <w:rPr>
                <w:sz w:val="20"/>
                <w:szCs w:val="20"/>
                <w:color w:val="auto"/>
              </w:rPr>
            </w:pPr>
            <w:r>
              <w:rPr>
                <w:rFonts w:ascii="Times New Roman" w:cs="Times New Roman" w:eastAsia="Times New Roman" w:hAnsi="Times New Roman"/>
                <w:sz w:val="14"/>
                <w:szCs w:val="14"/>
                <w:b w:val="1"/>
                <w:bCs w:val="1"/>
                <w:color w:val="0000EE"/>
                <w:w w:val="96"/>
              </w:rPr>
              <w:t>Risk Factors (As Restated)</w:t>
            </w:r>
          </w:p>
        </w:tc>
        <w:tc>
          <w:tcPr>
            <w:tcW w:w="4940" w:type="dxa"/>
            <w:vAlign w:val="bottom"/>
            <w:gridSpan w:val="7"/>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20" w:type="dxa"/>
            <w:vAlign w:val="bottom"/>
            <w:gridSpan w:val="2"/>
          </w:tcPr>
          <w:p>
            <w:pPr>
              <w:ind w:left="260"/>
              <w:spacing w:after="0" w:line="143" w:lineRule="exact"/>
              <w:rPr>
                <w:sz w:val="20"/>
                <w:szCs w:val="20"/>
                <w:color w:val="auto"/>
              </w:rPr>
            </w:pPr>
            <w:r>
              <w:rPr>
                <w:rFonts w:ascii="Times New Roman" w:cs="Times New Roman" w:eastAsia="Times New Roman" w:hAnsi="Times New Roman"/>
                <w:sz w:val="14"/>
                <w:szCs w:val="14"/>
                <w:b w:val="1"/>
                <w:bCs w:val="1"/>
                <w:color w:val="auto"/>
              </w:rPr>
              <w:t>Item 2.</w:t>
            </w:r>
          </w:p>
        </w:tc>
        <w:tc>
          <w:tcPr>
            <w:tcW w:w="3460" w:type="dxa"/>
            <w:vAlign w:val="bottom"/>
            <w:tcBorders>
              <w:bottom w:val="single" w:sz="8" w:color="0000EE"/>
            </w:tcBorders>
            <w:gridSpan w:val="10"/>
          </w:tcPr>
          <w:p>
            <w:pPr>
              <w:spacing w:after="0" w:line="143" w:lineRule="exact"/>
              <w:rPr>
                <w:sz w:val="20"/>
                <w:szCs w:val="20"/>
                <w:color w:val="auto"/>
              </w:rPr>
            </w:pPr>
            <w:r>
              <w:rPr>
                <w:rFonts w:ascii="Times New Roman" w:cs="Times New Roman" w:eastAsia="Times New Roman" w:hAnsi="Times New Roman"/>
                <w:sz w:val="14"/>
                <w:szCs w:val="14"/>
                <w:b w:val="1"/>
                <w:bCs w:val="1"/>
                <w:color w:val="0000EE"/>
                <w:w w:val="96"/>
              </w:rPr>
              <w:t>Unregistered Sales of Equity Securities and Use of Proceeds</w:t>
            </w:r>
          </w:p>
        </w:tc>
        <w:tc>
          <w:tcPr>
            <w:tcW w:w="3040" w:type="dxa"/>
            <w:vAlign w:val="bottom"/>
            <w:gridSpan w:val="4"/>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58</w:t>
            </w:r>
          </w:p>
        </w:tc>
        <w:tc>
          <w:tcPr>
            <w:tcW w:w="0" w:type="dxa"/>
            <w:vAlign w:val="bottom"/>
          </w:tcPr>
          <w:p>
            <w:pPr>
              <w:spacing w:after="0"/>
              <w:rPr>
                <w:sz w:val="1"/>
                <w:szCs w:val="1"/>
                <w:color w:val="auto"/>
              </w:rPr>
            </w:pPr>
          </w:p>
        </w:tc>
      </w:tr>
      <w:tr>
        <w:trPr>
          <w:trHeight w:val="143"/>
        </w:trPr>
        <w:tc>
          <w:tcPr>
            <w:tcW w:w="1120" w:type="dxa"/>
            <w:vAlign w:val="bottom"/>
            <w:gridSpan w:val="2"/>
          </w:tcPr>
          <w:p>
            <w:pPr>
              <w:ind w:left="260"/>
              <w:spacing w:after="0" w:line="143" w:lineRule="exact"/>
              <w:rPr>
                <w:sz w:val="20"/>
                <w:szCs w:val="20"/>
                <w:color w:val="auto"/>
              </w:rPr>
            </w:pPr>
            <w:r>
              <w:rPr>
                <w:rFonts w:ascii="Times New Roman" w:cs="Times New Roman" w:eastAsia="Times New Roman" w:hAnsi="Times New Roman"/>
                <w:sz w:val="14"/>
                <w:szCs w:val="14"/>
                <w:b w:val="1"/>
                <w:bCs w:val="1"/>
                <w:color w:val="auto"/>
              </w:rPr>
              <w:t>Item 3.</w:t>
            </w:r>
          </w:p>
        </w:tc>
        <w:tc>
          <w:tcPr>
            <w:tcW w:w="6500" w:type="dxa"/>
            <w:vAlign w:val="bottom"/>
            <w:gridSpan w:val="14"/>
          </w:tcPr>
          <w:p>
            <w:pPr>
              <w:spacing w:after="0" w:line="143" w:lineRule="exact"/>
              <w:rPr>
                <w:sz w:val="20"/>
                <w:szCs w:val="20"/>
                <w:color w:val="auto"/>
              </w:rPr>
            </w:pPr>
            <w:r>
              <w:rPr>
                <w:rFonts w:ascii="Times New Roman" w:cs="Times New Roman" w:eastAsia="Times New Roman" w:hAnsi="Times New Roman"/>
                <w:sz w:val="14"/>
                <w:szCs w:val="14"/>
                <w:b w:val="1"/>
                <w:bCs w:val="1"/>
                <w:color w:val="0000EE"/>
              </w:rPr>
              <w:t>Defaults Upon Senior Securities</w:t>
            </w:r>
          </w:p>
        </w:tc>
        <w:tc>
          <w:tcPr>
            <w:tcW w:w="6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58</w:t>
            </w:r>
          </w:p>
        </w:tc>
        <w:tc>
          <w:tcPr>
            <w:tcW w:w="0" w:type="dxa"/>
            <w:vAlign w:val="bottom"/>
          </w:tcPr>
          <w:p>
            <w:pPr>
              <w:spacing w:after="0"/>
              <w:rPr>
                <w:sz w:val="1"/>
                <w:szCs w:val="1"/>
                <w:color w:val="auto"/>
              </w:rPr>
            </w:pPr>
          </w:p>
        </w:tc>
      </w:tr>
      <w:tr>
        <w:trPr>
          <w:trHeight w:val="143"/>
        </w:trPr>
        <w:tc>
          <w:tcPr>
            <w:tcW w:w="1120" w:type="dxa"/>
            <w:vAlign w:val="bottom"/>
            <w:gridSpan w:val="2"/>
          </w:tcPr>
          <w:p>
            <w:pPr>
              <w:ind w:left="260"/>
              <w:spacing w:after="0" w:line="143" w:lineRule="exact"/>
              <w:rPr>
                <w:sz w:val="20"/>
                <w:szCs w:val="20"/>
                <w:color w:val="auto"/>
              </w:rPr>
            </w:pPr>
            <w:r>
              <w:rPr>
                <w:rFonts w:ascii="Times New Roman" w:cs="Times New Roman" w:eastAsia="Times New Roman" w:hAnsi="Times New Roman"/>
                <w:sz w:val="14"/>
                <w:szCs w:val="14"/>
                <w:b w:val="1"/>
                <w:bCs w:val="1"/>
                <w:color w:val="auto"/>
              </w:rPr>
              <w:t>Item 4.</w:t>
            </w:r>
          </w:p>
        </w:tc>
        <w:tc>
          <w:tcPr>
            <w:tcW w:w="1840" w:type="dxa"/>
            <w:vAlign w:val="bottom"/>
            <w:tcBorders>
              <w:top w:val="single" w:sz="8" w:color="0000EE"/>
            </w:tcBorders>
            <w:gridSpan w:val="8"/>
          </w:tcPr>
          <w:p>
            <w:pPr>
              <w:spacing w:after="0" w:line="143" w:lineRule="exact"/>
              <w:rPr>
                <w:sz w:val="20"/>
                <w:szCs w:val="20"/>
                <w:color w:val="auto"/>
              </w:rPr>
            </w:pPr>
            <w:r>
              <w:rPr>
                <w:rFonts w:ascii="Times New Roman" w:cs="Times New Roman" w:eastAsia="Times New Roman" w:hAnsi="Times New Roman"/>
                <w:sz w:val="14"/>
                <w:szCs w:val="14"/>
                <w:b w:val="1"/>
                <w:bCs w:val="1"/>
                <w:color w:val="0000EE"/>
              </w:rPr>
              <w:t>Mine Safety Disclosures</w:t>
            </w:r>
          </w:p>
        </w:tc>
        <w:tc>
          <w:tcPr>
            <w:tcW w:w="4660" w:type="dxa"/>
            <w:vAlign w:val="bottom"/>
            <w:gridSpan w:val="6"/>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58</w:t>
            </w:r>
          </w:p>
        </w:tc>
        <w:tc>
          <w:tcPr>
            <w:tcW w:w="0" w:type="dxa"/>
            <w:vAlign w:val="bottom"/>
          </w:tcPr>
          <w:p>
            <w:pPr>
              <w:spacing w:after="0"/>
              <w:rPr>
                <w:sz w:val="1"/>
                <w:szCs w:val="1"/>
                <w:color w:val="auto"/>
              </w:rPr>
            </w:pPr>
          </w:p>
        </w:tc>
      </w:tr>
      <w:tr>
        <w:trPr>
          <w:trHeight w:val="143"/>
        </w:trPr>
        <w:tc>
          <w:tcPr>
            <w:tcW w:w="1120" w:type="dxa"/>
            <w:vAlign w:val="bottom"/>
            <w:gridSpan w:val="2"/>
          </w:tcPr>
          <w:p>
            <w:pPr>
              <w:ind w:left="260"/>
              <w:spacing w:after="0" w:line="143" w:lineRule="exact"/>
              <w:rPr>
                <w:sz w:val="20"/>
                <w:szCs w:val="20"/>
                <w:color w:val="auto"/>
              </w:rPr>
            </w:pPr>
            <w:r>
              <w:rPr>
                <w:rFonts w:ascii="Times New Roman" w:cs="Times New Roman" w:eastAsia="Times New Roman" w:hAnsi="Times New Roman"/>
                <w:sz w:val="14"/>
                <w:szCs w:val="14"/>
                <w:b w:val="1"/>
                <w:bCs w:val="1"/>
                <w:color w:val="auto"/>
              </w:rPr>
              <w:t>Item 5.</w:t>
            </w:r>
          </w:p>
        </w:tc>
        <w:tc>
          <w:tcPr>
            <w:tcW w:w="1100" w:type="dxa"/>
            <w:vAlign w:val="bottom"/>
            <w:tcBorders>
              <w:top w:val="single" w:sz="8" w:color="0000EE"/>
              <w:bottom w:val="single" w:sz="8" w:color="0000EE"/>
            </w:tcBorders>
            <w:gridSpan w:val="4"/>
          </w:tcPr>
          <w:p>
            <w:pPr>
              <w:spacing w:after="0" w:line="143" w:lineRule="exact"/>
              <w:rPr>
                <w:sz w:val="20"/>
                <w:szCs w:val="20"/>
                <w:color w:val="auto"/>
              </w:rPr>
            </w:pPr>
            <w:r>
              <w:rPr>
                <w:rFonts w:ascii="Times New Roman" w:cs="Times New Roman" w:eastAsia="Times New Roman" w:hAnsi="Times New Roman"/>
                <w:sz w:val="14"/>
                <w:szCs w:val="14"/>
                <w:b w:val="1"/>
                <w:bCs w:val="1"/>
                <w:color w:val="0000EE"/>
                <w:w w:val="96"/>
              </w:rPr>
              <w:t>Other Information</w:t>
            </w:r>
          </w:p>
        </w:tc>
        <w:tc>
          <w:tcPr>
            <w:tcW w:w="280" w:type="dxa"/>
            <w:vAlign w:val="bottom"/>
            <w:tcBorders>
              <w:top w:val="single" w:sz="8" w:color="0000EE"/>
            </w:tcBorders>
            <w:gridSpan w:val="2"/>
          </w:tcPr>
          <w:p>
            <w:pPr>
              <w:spacing w:after="0"/>
              <w:rPr>
                <w:sz w:val="12"/>
                <w:szCs w:val="12"/>
                <w:color w:val="auto"/>
              </w:rPr>
            </w:pPr>
          </w:p>
        </w:tc>
        <w:tc>
          <w:tcPr>
            <w:tcW w:w="5120" w:type="dxa"/>
            <w:vAlign w:val="bottom"/>
            <w:gridSpan w:val="8"/>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58</w:t>
            </w:r>
          </w:p>
        </w:tc>
        <w:tc>
          <w:tcPr>
            <w:tcW w:w="0" w:type="dxa"/>
            <w:vAlign w:val="bottom"/>
          </w:tcPr>
          <w:p>
            <w:pPr>
              <w:spacing w:after="0"/>
              <w:rPr>
                <w:sz w:val="1"/>
                <w:szCs w:val="1"/>
                <w:color w:val="auto"/>
              </w:rPr>
            </w:pPr>
          </w:p>
        </w:tc>
      </w:tr>
      <w:tr>
        <w:trPr>
          <w:trHeight w:val="143"/>
        </w:trPr>
        <w:tc>
          <w:tcPr>
            <w:tcW w:w="1120" w:type="dxa"/>
            <w:vAlign w:val="bottom"/>
            <w:gridSpan w:val="2"/>
          </w:tcPr>
          <w:p>
            <w:pPr>
              <w:ind w:left="260"/>
              <w:spacing w:after="0" w:line="143" w:lineRule="exact"/>
              <w:rPr>
                <w:sz w:val="20"/>
                <w:szCs w:val="20"/>
                <w:color w:val="auto"/>
              </w:rPr>
            </w:pPr>
            <w:r>
              <w:rPr>
                <w:rFonts w:ascii="Times New Roman" w:cs="Times New Roman" w:eastAsia="Times New Roman" w:hAnsi="Times New Roman"/>
                <w:sz w:val="14"/>
                <w:szCs w:val="14"/>
                <w:b w:val="1"/>
                <w:bCs w:val="1"/>
                <w:color w:val="auto"/>
              </w:rPr>
              <w:t>Item 6.</w:t>
            </w:r>
          </w:p>
        </w:tc>
        <w:tc>
          <w:tcPr>
            <w:tcW w:w="6500" w:type="dxa"/>
            <w:vAlign w:val="bottom"/>
            <w:gridSpan w:val="14"/>
          </w:tcPr>
          <w:p>
            <w:pPr>
              <w:spacing w:after="0" w:line="143" w:lineRule="exact"/>
              <w:rPr>
                <w:sz w:val="20"/>
                <w:szCs w:val="20"/>
                <w:color w:val="auto"/>
              </w:rPr>
            </w:pPr>
            <w:r>
              <w:rPr>
                <w:rFonts w:ascii="Times New Roman" w:cs="Times New Roman" w:eastAsia="Times New Roman" w:hAnsi="Times New Roman"/>
                <w:sz w:val="14"/>
                <w:szCs w:val="14"/>
                <w:b w:val="1"/>
                <w:bCs w:val="1"/>
                <w:color w:val="0000EE"/>
              </w:rPr>
              <w:t>Exhibits</w:t>
            </w:r>
          </w:p>
        </w:tc>
        <w:tc>
          <w:tcPr>
            <w:tcW w:w="6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58</w:t>
            </w:r>
          </w:p>
        </w:tc>
        <w:tc>
          <w:tcPr>
            <w:tcW w:w="0" w:type="dxa"/>
            <w:vAlign w:val="bottom"/>
          </w:tcPr>
          <w:p>
            <w:pPr>
              <w:spacing w:after="0"/>
              <w:rPr>
                <w:sz w:val="1"/>
                <w:szCs w:val="1"/>
                <w:color w:val="auto"/>
              </w:rPr>
            </w:pPr>
          </w:p>
        </w:tc>
      </w:tr>
      <w:tr>
        <w:trPr>
          <w:trHeight w:val="143"/>
        </w:trPr>
        <w:tc>
          <w:tcPr>
            <w:tcW w:w="112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b w:val="1"/>
                <w:bCs w:val="1"/>
                <w:color w:val="0000EE"/>
              </w:rPr>
              <w:t>SIGNATURE</w:t>
            </w:r>
          </w:p>
        </w:tc>
        <w:tc>
          <w:tcPr>
            <w:tcW w:w="480" w:type="dxa"/>
            <w:vAlign w:val="bottom"/>
            <w:tcBorders>
              <w:top w:val="single" w:sz="8" w:color="0000EE"/>
            </w:tcBorders>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60</w:t>
            </w:r>
          </w:p>
        </w:tc>
        <w:tc>
          <w:tcPr>
            <w:tcW w:w="0" w:type="dxa"/>
            <w:vAlign w:val="bottom"/>
          </w:tcPr>
          <w:p>
            <w:pPr>
              <w:spacing w:after="0"/>
              <w:rPr>
                <w:sz w:val="1"/>
                <w:szCs w:val="1"/>
                <w:color w:val="auto"/>
              </w:rPr>
            </w:pPr>
          </w:p>
        </w:tc>
      </w:tr>
      <w:tr>
        <w:trPr>
          <w:trHeight w:val="286"/>
        </w:trPr>
        <w:tc>
          <w:tcPr>
            <w:tcW w:w="8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3460" w:type="dxa"/>
            <w:vAlign w:val="bottom"/>
            <w:gridSpan w:val="10"/>
          </w:tcPr>
          <w:p>
            <w:pPr>
              <w:ind w:left="3020"/>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9"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0" w:lineRule="exact"/>
        <w:rPr>
          <w:sz w:val="20"/>
          <w:szCs w:val="20"/>
          <w:color w:val="auto"/>
        </w:rPr>
      </w:pPr>
    </w:p>
    <w:p>
      <w:pPr>
        <w:ind w:left="1480" w:right="419"/>
        <w:spacing w:after="0" w:line="288" w:lineRule="auto"/>
        <w:rPr>
          <w:sz w:val="20"/>
          <w:szCs w:val="20"/>
          <w:color w:val="auto"/>
        </w:rPr>
      </w:pPr>
      <w:r>
        <w:rPr>
          <w:rFonts w:ascii="Times New Roman" w:cs="Times New Roman" w:eastAsia="Times New Roman" w:hAnsi="Times New Roman"/>
          <w:sz w:val="12"/>
          <w:szCs w:val="12"/>
          <w:color w:val="auto"/>
        </w:rPr>
        <w:t>This Quarterly Report on Form 10-Q (this “Form 10-Q” or this “report”) contains forward-looking statements within the meaning of Section 27A of the Securities Act of 1933, as amended (the “Securities Act”), and Section 21E of the Securities Exchange Act of 1934, as amended (the “Exchange Act”), that are forward looking and as such are not historical facts. All statements contained in this Form 10-Q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set forth in Part I, Item 1A of our Annual Report on Form 10-K for the year ended December 31, 2021 filed with the Securities and Exchange Commission (the “SEC”) on March 25, 2022 (the “Annual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Form 10-Q may not occur, and actual results could differ materially and adversely from those anticipated or implied in the forward-looking statements. Forward-looking statements contained in this Form 10-Q involve a number of judgments, risks and uncertainties, including, without limitation, risks related to:</w:t>
      </w:r>
    </w:p>
    <w:p>
      <w:pPr>
        <w:spacing w:after="0" w:line="386" w:lineRule="exact"/>
        <w:rPr>
          <w:sz w:val="20"/>
          <w:szCs w:val="20"/>
          <w:color w:val="auto"/>
        </w:rPr>
      </w:pPr>
    </w:p>
    <w:p>
      <w:pPr>
        <w:ind w:left="2220" w:hanging="334"/>
        <w:spacing w:after="0"/>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Dave to compete in its highly competitive industry;</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Dave to keep pace with the rapid technological developments in its industry and the larger financial services industry;</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Dave to manage its growth as a public company;</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Dave to protect intellectual property and trade secrets;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applicable laws or regulations and extensive and evolving government regulations that impact operations and business;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attract or maintain a qualified workforce;</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of product service failures that could lead Dave members (“Members”) to use competitors’ services;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investigations, claims, disputes, enforcement actions, litigation and/or other regulatory or legal proceedings;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maintain the listing of Dave Class A Common Stock on Nasdaq;</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the COVID-19 pandemic, the Russia-Ukraine war or rising inflation on Dave’s business;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Dave may be adversely affected by other economic, business, and/or competitive factors; and</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risks and uncertainties described in this Form 10-Q, including those described under Item 1A, “Risk Factors” of the Annual Report.</w:t>
      </w:r>
    </w:p>
    <w:p>
      <w:pPr>
        <w:spacing w:after="0" w:line="189" w:lineRule="exact"/>
        <w:rPr>
          <w:sz w:val="20"/>
          <w:szCs w:val="20"/>
          <w:color w:val="auto"/>
        </w:rPr>
      </w:pPr>
    </w:p>
    <w:p>
      <w:pPr>
        <w:ind w:left="1480" w:right="479"/>
        <w:spacing w:after="0" w:line="250" w:lineRule="auto"/>
        <w:rPr>
          <w:sz w:val="20"/>
          <w:szCs w:val="20"/>
          <w:color w:val="auto"/>
        </w:rPr>
      </w:pPr>
      <w:r>
        <w:rPr>
          <w:rFonts w:ascii="Times New Roman" w:cs="Times New Roman" w:eastAsia="Times New Roman" w:hAnsi="Times New Roman"/>
          <w:sz w:val="14"/>
          <w:szCs w:val="14"/>
          <w:color w:val="auto"/>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w:t>
      </w:r>
    </w:p>
    <w:p>
      <w:pPr>
        <w:spacing w:after="0" w:line="9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99"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31" w:lineRule="exact"/>
        <w:rPr>
          <w:sz w:val="20"/>
          <w:szCs w:val="20"/>
          <w:color w:val="auto"/>
        </w:rPr>
      </w:pPr>
    </w:p>
    <w:p>
      <w:pPr>
        <w:ind w:left="1480" w:right="339"/>
        <w:spacing w:after="0" w:line="264" w:lineRule="auto"/>
        <w:rPr>
          <w:sz w:val="20"/>
          <w:szCs w:val="20"/>
          <w:color w:val="auto"/>
        </w:rPr>
      </w:pPr>
      <w:r>
        <w:rPr>
          <w:rFonts w:ascii="Times New Roman" w:cs="Times New Roman" w:eastAsia="Times New Roman" w:hAnsi="Times New Roman"/>
          <w:sz w:val="14"/>
          <w:szCs w:val="14"/>
          <w:color w:val="auto"/>
        </w:rPr>
        <w:t>Except as required by law, we do not intend to update any of these forward-looking statements after the date of this report or to conform these statements to actual results or revised expectations.</w:t>
      </w:r>
    </w:p>
    <w:p>
      <w:pPr>
        <w:spacing w:after="0" w:line="136" w:lineRule="exact"/>
        <w:rPr>
          <w:sz w:val="20"/>
          <w:szCs w:val="20"/>
          <w:color w:val="auto"/>
        </w:rPr>
      </w:pPr>
    </w:p>
    <w:p>
      <w:pPr>
        <w:ind w:left="1480" w:right="439"/>
        <w:spacing w:after="0" w:line="264" w:lineRule="auto"/>
        <w:rPr>
          <w:sz w:val="20"/>
          <w:szCs w:val="20"/>
          <w:color w:val="auto"/>
        </w:rPr>
      </w:pPr>
      <w:r>
        <w:rPr>
          <w:rFonts w:ascii="Times New Roman" w:cs="Times New Roman" w:eastAsia="Times New Roman" w:hAnsi="Times New Roman"/>
          <w:sz w:val="14"/>
          <w:szCs w:val="14"/>
          <w:color w:val="auto"/>
        </w:rPr>
        <w:t>You should read this Form 10-Q with the understanding that our actual future results, levels of activity, performance and events and circumstances may be materially different from what we expect.</w:t>
      </w:r>
    </w:p>
    <w:p>
      <w:pPr>
        <w:spacing w:after="0" w:line="136" w:lineRule="exact"/>
        <w:rPr>
          <w:sz w:val="20"/>
          <w:szCs w:val="20"/>
          <w:color w:val="auto"/>
        </w:rPr>
      </w:pPr>
    </w:p>
    <w:p>
      <w:pPr>
        <w:ind w:left="1480" w:right="399"/>
        <w:spacing w:after="0" w:line="247" w:lineRule="auto"/>
        <w:rPr>
          <w:sz w:val="20"/>
          <w:szCs w:val="20"/>
          <w:color w:val="auto"/>
        </w:rPr>
      </w:pPr>
      <w:r>
        <w:rPr>
          <w:rFonts w:ascii="Times New Roman" w:cs="Times New Roman" w:eastAsia="Times New Roman" w:hAnsi="Times New Roman"/>
          <w:sz w:val="14"/>
          <w:szCs w:val="14"/>
          <w:color w:val="auto"/>
        </w:rPr>
        <w:t>This report contains estimates, projections and other information concerning our industry, our business and the markets for our products. We obtained the industry, market and similar data set forth in this report from our own internal estimates and research and from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You are cautioned not to give undue weight to any such information, projections and estimates.</w:t>
      </w:r>
    </w:p>
    <w:p>
      <w:pPr>
        <w:spacing w:after="0" w:line="150" w:lineRule="exact"/>
        <w:rPr>
          <w:sz w:val="20"/>
          <w:szCs w:val="20"/>
          <w:color w:val="auto"/>
        </w:rPr>
      </w:pPr>
    </w:p>
    <w:p>
      <w:pPr>
        <w:ind w:left="1480" w:right="459"/>
        <w:spacing w:after="0" w:line="254" w:lineRule="auto"/>
        <w:rPr>
          <w:sz w:val="20"/>
          <w:szCs w:val="20"/>
          <w:color w:val="auto"/>
        </w:rPr>
      </w:pPr>
      <w:r>
        <w:rPr>
          <w:rFonts w:ascii="Times New Roman" w:cs="Times New Roman" w:eastAsia="Times New Roman" w:hAnsi="Times New Roman"/>
          <w:sz w:val="14"/>
          <w:szCs w:val="14"/>
          <w:color w:val="auto"/>
        </w:rPr>
        <w:t>As a result of a number of known and unknown risks and uncertainties, including without limitation, the important factors described in Part I, Item 1A, “Risk Factors” in the Annual Report, our actual results or performance may be materially different from those expressed or implied by these forward-looking statements.</w:t>
      </w:r>
    </w:p>
    <w:p>
      <w:pPr>
        <w:spacing w:after="0" w:line="140" w:lineRule="exact"/>
        <w:rPr>
          <w:sz w:val="20"/>
          <w:szCs w:val="20"/>
          <w:color w:val="auto"/>
        </w:rPr>
      </w:pPr>
    </w:p>
    <w:p>
      <w:pPr>
        <w:ind w:left="1480" w:right="399"/>
        <w:spacing w:after="0" w:line="267" w:lineRule="auto"/>
        <w:rPr>
          <w:sz w:val="20"/>
          <w:szCs w:val="20"/>
          <w:color w:val="auto"/>
        </w:rPr>
      </w:pPr>
      <w:r>
        <w:rPr>
          <w:rFonts w:ascii="Times New Roman" w:cs="Times New Roman" w:eastAsia="Times New Roman" w:hAnsi="Times New Roman"/>
          <w:sz w:val="14"/>
          <w:szCs w:val="14"/>
          <w:i w:val="1"/>
          <w:iCs w:val="1"/>
          <w:color w:val="auto"/>
        </w:rPr>
        <w:t>As used in this report, the “Company,” “Dave,” “we,” “us,” “our” and similar terms refer Dave Inc. (f/k/a VPC Impact Acquisition Holdings III, Inc.) and its consolidated subsidiaries, unless otherwise noted or the context otherwise requires.</w:t>
      </w:r>
    </w:p>
    <w:p>
      <w:pPr>
        <w:spacing w:after="0" w:line="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99"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1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Dave Inc. and Subsidiaries</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p>
      <w:pPr>
        <w:spacing w:after="0" w:line="133" w:lineRule="exact"/>
        <w:rPr>
          <w:sz w:val="20"/>
          <w:szCs w:val="20"/>
          <w:color w:val="auto"/>
        </w:rPr>
      </w:pPr>
    </w:p>
    <w:tbl>
      <w:tblPr>
        <w:tblLayout w:type="fixed"/>
        <w:tblInd w:w="1480" w:type="dxa"/>
        <w:tblCellMar>
          <w:top w:w="0" w:type="dxa"/>
          <w:left w:w="0" w:type="dxa"/>
          <w:bottom w:w="0" w:type="dxa"/>
          <w:right w:w="0" w:type="dxa"/>
        </w:tblCellMar>
      </w:tblPr>
      <w:tr>
        <w:trPr>
          <w:trHeight w:val="126"/>
        </w:trPr>
        <w:tc>
          <w:tcPr>
            <w:tcW w:w="6260" w:type="dxa"/>
            <w:vAlign w:val="bottom"/>
          </w:tcPr>
          <w:p>
            <w:pPr>
              <w:spacing w:after="0"/>
              <w:rPr>
                <w:sz w:val="11"/>
                <w:szCs w:val="11"/>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As of March 31,</w:t>
            </w:r>
          </w:p>
        </w:tc>
        <w:tc>
          <w:tcPr>
            <w:tcW w:w="1140" w:type="dxa"/>
            <w:vAlign w:val="bottom"/>
            <w:gridSpan w:val="4"/>
          </w:tcPr>
          <w:p>
            <w:pPr>
              <w:ind w:left="16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6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jc w:val="center"/>
              <w:ind w:right="16"/>
              <w:spacing w:after="0" w:line="84" w:lineRule="exact"/>
              <w:rPr>
                <w:sz w:val="20"/>
                <w:szCs w:val="20"/>
                <w:color w:val="auto"/>
              </w:rPr>
            </w:pPr>
            <w:r>
              <w:rPr>
                <w:rFonts w:ascii="Times New Roman" w:cs="Times New Roman" w:eastAsia="Times New Roman" w:hAnsi="Times New Roman"/>
                <w:sz w:val="9"/>
                <w:szCs w:val="9"/>
                <w:i w:val="1"/>
                <w:iCs w:val="1"/>
                <w:color w:val="auto"/>
              </w:rPr>
              <w:t>(unaudited)</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(As Restated)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23,569</w:t>
            </w:r>
          </w:p>
        </w:tc>
        <w:tc>
          <w:tcPr>
            <w:tcW w:w="2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32,009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Marketable securities</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278,265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60" w:type="dxa"/>
            <w:vAlign w:val="bottom"/>
            <w:shd w:val="clear" w:color="auto" w:fill="CCEEFF"/>
          </w:tcPr>
          <w:p>
            <w:pPr>
              <w:ind w:left="260"/>
              <w:spacing w:after="0" w:line="136" w:lineRule="exact"/>
              <w:rPr>
                <w:sz w:val="20"/>
                <w:szCs w:val="20"/>
                <w:color w:val="auto"/>
              </w:rPr>
            </w:pPr>
            <w:r>
              <w:rPr>
                <w:rFonts w:ascii="Times New Roman" w:cs="Times New Roman" w:eastAsia="Times New Roman" w:hAnsi="Times New Roman"/>
                <w:sz w:val="13"/>
                <w:szCs w:val="13"/>
                <w:color w:val="auto"/>
              </w:rPr>
              <w:t>Member advances, net of allowance for unrecoverable advances of $16,340 and $11,995 as of March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31, 2022 and December 31, 2021, respectively</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61,813</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49,013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Prepaid income taxes</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Deferred issuance costs</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4,443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375,008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100,203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6260" w:type="dxa"/>
            <w:vAlign w:val="bottom"/>
            <w:shd w:val="clear" w:color="auto" w:fill="CCEEFF"/>
          </w:tcPr>
          <w:p>
            <w:pPr>
              <w:ind w:left="260"/>
              <w:spacing w:after="0" w:line="102" w:lineRule="exact"/>
              <w:rPr>
                <w:sz w:val="20"/>
                <w:szCs w:val="20"/>
                <w:color w:val="auto"/>
              </w:rPr>
            </w:pPr>
            <w:r>
              <w:rPr>
                <w:rFonts w:ascii="Times New Roman" w:cs="Times New Roman" w:eastAsia="Times New Roman" w:hAnsi="Times New Roman"/>
                <w:sz w:val="11"/>
                <w:szCs w:val="11"/>
                <w:color w:val="auto"/>
              </w:rPr>
              <w:t>Lease right-of-use assets (related-party of $914 and $970 as of March 31, 2022 and December 31,</w:t>
            </w:r>
          </w:p>
        </w:tc>
        <w:tc>
          <w:tcPr>
            <w:tcW w:w="8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2,263</w:t>
            </w: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2,702</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6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2021, respectively)</w:t>
            </w: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Intangible assets, net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9,090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Derivative asset on loans to stockholders</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35,253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Debt facility commitment fee, long-term</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Restricted cash, net of current portion</w:t>
            </w: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26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387,774</w:t>
            </w:r>
          </w:p>
        </w:tc>
        <w:tc>
          <w:tcPr>
            <w:tcW w:w="200" w:type="dxa"/>
            <w:vAlign w:val="bottom"/>
          </w:tcPr>
          <w:p>
            <w:pPr>
              <w:spacing w:after="0"/>
              <w:rPr>
                <w:sz w:val="14"/>
                <w:szCs w:val="14"/>
                <w:color w:val="auto"/>
              </w:rPr>
            </w:pP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147,186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13,599</w:t>
            </w:r>
          </w:p>
        </w:tc>
        <w:tc>
          <w:tcPr>
            <w:tcW w:w="2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13,044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Accrued expenses</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11,609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60" w:type="dxa"/>
            <w:vAlign w:val="bottom"/>
            <w:shd w:val="clear" w:color="auto" w:fill="CCEEFF"/>
          </w:tcPr>
          <w:p>
            <w:pPr>
              <w:ind w:left="260"/>
              <w:spacing w:after="0" w:line="136" w:lineRule="exact"/>
              <w:rPr>
                <w:sz w:val="20"/>
                <w:szCs w:val="20"/>
                <w:color w:val="auto"/>
              </w:rPr>
            </w:pPr>
            <w:r>
              <w:rPr>
                <w:rFonts w:ascii="Times New Roman" w:cs="Times New Roman" w:eastAsia="Times New Roman" w:hAnsi="Times New Roman"/>
                <w:sz w:val="13"/>
                <w:szCs w:val="13"/>
                <w:color w:val="auto"/>
              </w:rPr>
              <w:t>Lease liabilities, short-term (related-party of $253 and $243 as of March 31, 2022 and December 31, 2021,</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respectively)</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1,674</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Legal settlement accrual</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Note payable</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15,051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Credit facility</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Convertible debt, current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Interest payable, convertible notes, current</w:t>
            </w:r>
          </w:p>
        </w:tc>
        <w:tc>
          <w:tcPr>
            <w:tcW w:w="8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8,332</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26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58,790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68,634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60" w:type="dxa"/>
            <w:vAlign w:val="bottom"/>
            <w:shd w:val="clear" w:color="auto" w:fill="CCEEFF"/>
          </w:tcPr>
          <w:p>
            <w:pPr>
              <w:ind w:left="260"/>
              <w:spacing w:after="0" w:line="136" w:lineRule="exact"/>
              <w:rPr>
                <w:sz w:val="20"/>
                <w:szCs w:val="20"/>
                <w:color w:val="auto"/>
              </w:rPr>
            </w:pPr>
            <w:r>
              <w:rPr>
                <w:rFonts w:ascii="Times New Roman" w:cs="Times New Roman" w:eastAsia="Times New Roman" w:hAnsi="Times New Roman"/>
                <w:sz w:val="13"/>
                <w:szCs w:val="13"/>
                <w:color w:val="auto"/>
              </w:rPr>
              <w:t>Lease liabilities, long-term (related-party of $754 and $822 as of March 31, 2022 and December 31, 2021,</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respectively)</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754</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Debt facility, long-term</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Convertible debt, long-term</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99,949</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6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Warrant liabilities</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18,720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Earnout liabilities</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7,642</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6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220,976</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108,449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auto"/>
              </w:rPr>
              <w:t>Commitments and contingencies (Note 15)</w:t>
            </w: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2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60" w:type="dxa"/>
            <w:vAlign w:val="bottom"/>
          </w:tcPr>
          <w:p>
            <w:pPr>
              <w:ind w:left="260"/>
              <w:spacing w:after="0" w:line="136" w:lineRule="exact"/>
              <w:rPr>
                <w:sz w:val="20"/>
                <w:szCs w:val="20"/>
                <w:color w:val="auto"/>
              </w:rPr>
            </w:pPr>
            <w:r>
              <w:rPr>
                <w:rFonts w:ascii="Times New Roman" w:cs="Times New Roman" w:eastAsia="Times New Roman" w:hAnsi="Times New Roman"/>
                <w:sz w:val="13"/>
                <w:szCs w:val="13"/>
                <w:color w:val="auto"/>
              </w:rPr>
              <w:t>Preferred stock, par value per share $0.0001, 10,000,000 shares authorized; 0 shares issued and outstanding at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2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March 31, 2022 and December 31, 2021</w:t>
            </w:r>
          </w:p>
        </w:tc>
        <w:tc>
          <w:tcPr>
            <w:tcW w:w="8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6260" w:type="dxa"/>
            <w:vAlign w:val="bottom"/>
            <w:shd w:val="clear" w:color="auto" w:fill="CCEEFF"/>
          </w:tcPr>
          <w:p>
            <w:pPr>
              <w:ind w:left="260"/>
              <w:spacing w:after="0" w:line="136" w:lineRule="exact"/>
              <w:rPr>
                <w:sz w:val="20"/>
                <w:szCs w:val="20"/>
                <w:color w:val="auto"/>
              </w:rPr>
            </w:pPr>
            <w:r>
              <w:rPr>
                <w:rFonts w:ascii="Times New Roman" w:cs="Times New Roman" w:eastAsia="Times New Roman" w:hAnsi="Times New Roman"/>
                <w:sz w:val="13"/>
                <w:szCs w:val="13"/>
                <w:color w:val="auto"/>
              </w:rPr>
              <w:t>Class A common stock, par value per share $0.0001, 500,000,000 shares authorized; 322,659,785 and</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297,094,254 shares issued and outstanding at March 31, 2022 and December 31, 2021, respectively</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60" w:type="dxa"/>
            <w:vAlign w:val="bottom"/>
          </w:tcPr>
          <w:p>
            <w:pPr>
              <w:ind w:left="260"/>
              <w:spacing w:after="0" w:line="136" w:lineRule="exact"/>
              <w:rPr>
                <w:sz w:val="20"/>
                <w:szCs w:val="20"/>
                <w:color w:val="auto"/>
              </w:rPr>
            </w:pPr>
            <w:r>
              <w:rPr>
                <w:rFonts w:ascii="Times New Roman" w:cs="Times New Roman" w:eastAsia="Times New Roman" w:hAnsi="Times New Roman"/>
                <w:sz w:val="13"/>
                <w:szCs w:val="13"/>
                <w:color w:val="auto"/>
              </w:rPr>
              <w:t>Class V common stock, par value per share $0.0001, 100,000,000 shares authorized; 48,450,639 shares</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2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issued and outstanding at March 31, 2022 and December 31, 2021, respectively;</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Treasury stock</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3"/>
        </w:trPr>
        <w:tc>
          <w:tcPr>
            <w:tcW w:w="6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232,453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86,796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Loans to stockholders</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(15,192)</w:t>
            </w:r>
          </w:p>
        </w:tc>
        <w:tc>
          <w:tcPr>
            <w:tcW w:w="0" w:type="dxa"/>
            <w:vAlign w:val="bottom"/>
          </w:tcPr>
          <w:p>
            <w:pPr>
              <w:spacing w:after="0"/>
              <w:rPr>
                <w:sz w:val="1"/>
                <w:szCs w:val="1"/>
                <w:color w:val="auto"/>
              </w:rPr>
            </w:pPr>
          </w:p>
        </w:tc>
      </w:tr>
      <w:tr>
        <w:trPr>
          <w:trHeight w:val="164"/>
        </w:trPr>
        <w:tc>
          <w:tcPr>
            <w:tcW w:w="6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Accumulated deficit</w:t>
            </w: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(65,692)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(32,897)</w:t>
            </w:r>
          </w:p>
        </w:tc>
        <w:tc>
          <w:tcPr>
            <w:tcW w:w="0" w:type="dxa"/>
            <w:vAlign w:val="bottom"/>
          </w:tcPr>
          <w:p>
            <w:pPr>
              <w:spacing w:after="0"/>
              <w:rPr>
                <w:sz w:val="1"/>
                <w:szCs w:val="1"/>
                <w:color w:val="auto"/>
              </w:rPr>
            </w:pPr>
          </w:p>
        </w:tc>
      </w:tr>
      <w:tr>
        <w:trPr>
          <w:trHeight w:val="163"/>
        </w:trPr>
        <w:tc>
          <w:tcPr>
            <w:tcW w:w="6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166,798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38,737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ind w:left="52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80" w:type="dxa"/>
            <w:vAlign w:val="bottom"/>
          </w:tcPr>
          <w:p>
            <w:pPr>
              <w:spacing w:after="0" w:line="144"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387,774</w:t>
            </w:r>
          </w:p>
        </w:tc>
        <w:tc>
          <w:tcPr>
            <w:tcW w:w="200" w:type="dxa"/>
            <w:vAlign w:val="bottom"/>
          </w:tcPr>
          <w:p>
            <w:pPr>
              <w:spacing w:after="0"/>
              <w:rPr>
                <w:sz w:val="12"/>
                <w:szCs w:val="12"/>
                <w:color w:val="auto"/>
              </w:rPr>
            </w:pPr>
          </w:p>
        </w:tc>
        <w:tc>
          <w:tcPr>
            <w:tcW w:w="360" w:type="dxa"/>
            <w:vAlign w:val="bottom"/>
            <w:gridSpan w:val="2"/>
          </w:tcPr>
          <w:p>
            <w:pPr>
              <w:ind w:left="160"/>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147,186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See accompanying notes to the condensed consolidated financial statements.</w:t>
      </w:r>
    </w:p>
    <w:p>
      <w:pPr>
        <w:spacing w:after="0" w:line="1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99"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Dave Inc. and Subsidiaries</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54" w:lineRule="exact"/>
        <w:rPr>
          <w:sz w:val="20"/>
          <w:szCs w:val="20"/>
          <w:color w:val="auto"/>
        </w:rPr>
      </w:pPr>
    </w:p>
    <w:tbl>
      <w:tblPr>
        <w:tblLayout w:type="fixed"/>
        <w:tblInd w:w="148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0" w:type="dxa"/>
            <w:vAlign w:val="bottom"/>
            <w:gridSpan w:val="6"/>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w w:val="98"/>
              </w:rPr>
              <w:t>March 31, 2022</w:t>
            </w:r>
          </w:p>
        </w:tc>
        <w:tc>
          <w:tcPr>
            <w:tcW w:w="220" w:type="dxa"/>
            <w:vAlign w:val="bottom"/>
          </w:tcPr>
          <w:p>
            <w:pPr>
              <w:spacing w:after="0"/>
              <w:rPr>
                <w:sz w:val="11"/>
                <w:szCs w:val="11"/>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98"/>
              </w:rPr>
              <w:t>March 31, 2021</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60" w:type="dxa"/>
            <w:vAlign w:val="bottom"/>
            <w:tcBorders>
              <w:top w:val="single" w:sz="8" w:color="auto"/>
            </w:tcBorders>
            <w:gridSpan w:val="2"/>
          </w:tcPr>
          <w:p>
            <w:pPr>
              <w:jc w:val="right"/>
              <w:ind w:right="12"/>
              <w:spacing w:after="0" w:line="103" w:lineRule="exact"/>
              <w:rPr>
                <w:sz w:val="20"/>
                <w:szCs w:val="20"/>
                <w:color w:val="auto"/>
              </w:rPr>
            </w:pPr>
            <w:r>
              <w:rPr>
                <w:rFonts w:ascii="Times New Roman" w:cs="Times New Roman" w:eastAsia="Times New Roman" w:hAnsi="Times New Roman"/>
                <w:sz w:val="11"/>
                <w:szCs w:val="11"/>
                <w:b w:val="1"/>
                <w:bCs w:val="1"/>
                <w:color w:val="auto"/>
              </w:rPr>
              <w:t>(As Restated)</w:t>
            </w: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Service based revenue, net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39,268</w:t>
            </w:r>
          </w:p>
        </w:tc>
        <w:tc>
          <w:tcPr>
            <w:tcW w:w="240" w:type="dxa"/>
            <w:vAlign w:val="bottom"/>
          </w:tcPr>
          <w:p>
            <w:pPr>
              <w:spacing w:after="0"/>
              <w:rPr>
                <w:sz w:val="14"/>
                <w:szCs w:val="1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Transaction based revenue, net</w:t>
            </w:r>
          </w:p>
        </w:tc>
        <w:tc>
          <w:tcPr>
            <w:tcW w:w="1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3,283</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operating revenues, net</w:t>
            </w:r>
          </w:p>
        </w:tc>
        <w:tc>
          <w:tcPr>
            <w:tcW w:w="1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42,551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34,426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Provision for unrecoverable advances</w:t>
            </w: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Processing and servicing fees</w:t>
            </w:r>
          </w:p>
        </w:tc>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6,543</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Advertising and marketing</w:t>
            </w: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17,894</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operating expenses</w:t>
            </w:r>
          </w:p>
        </w:tc>
        <w:tc>
          <w:tcPr>
            <w:tcW w:w="1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14,798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12,577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65,224</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44,759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(income) expenses:</w:t>
            </w: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income</w:t>
            </w:r>
          </w:p>
        </w:tc>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expense</w:t>
            </w: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Legal settlement and litigation expenses</w:t>
            </w:r>
          </w:p>
        </w:tc>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strategic financing and transactional expenses</w:t>
            </w: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Changes in fair value of derivative asset on loans to stockholders</w:t>
            </w:r>
          </w:p>
        </w:tc>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5,572</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(17,146)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Changes in fair value of warrant liabilities</w:t>
            </w: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Changes in fair value of earnout liabilities</w:t>
            </w:r>
          </w:p>
        </w:tc>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(2,040)</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4"/>
        </w:trPr>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other (income) expense, net</w:t>
            </w:r>
          </w:p>
        </w:tc>
        <w:tc>
          <w:tcPr>
            <w:tcW w:w="11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10,100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(14,277)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 income before provision (benefit) for income taxes</w:t>
            </w:r>
          </w:p>
        </w:tc>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(32,773)</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3,944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1140" w:type="dxa"/>
            <w:vAlign w:val="bottom"/>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(32,795)</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3,952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(loss) income per share:</w:t>
            </w:r>
          </w:p>
        </w:tc>
        <w:tc>
          <w:tcPr>
            <w:tcW w:w="1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4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Basic</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(0.09)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Diluted</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(0.09)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Weighted-average shares used to compute net (loss) income per share</w:t>
            </w:r>
          </w:p>
        </w:tc>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Basic</w:t>
            </w: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360,326,205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4"/>
              </w:rPr>
              <w:t>133,243,614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Diluted</w:t>
            </w:r>
          </w:p>
        </w:tc>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360,326,205</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340,910,349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See accompanying notes to the condensed consolidated financial statements.</w:t>
      </w:r>
    </w:p>
    <w:p>
      <w:pPr>
        <w:spacing w:after="0" w:line="1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99"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Dave Inc. and Subsidiaries</w:t>
      </w:r>
    </w:p>
    <w:p>
      <w:pPr>
        <w:spacing w:after="0" w:line="1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Stockholders’ Equity</w:t>
      </w:r>
    </w:p>
    <w:p>
      <w:pPr>
        <w:spacing w:after="0" w:line="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p>
      <w:pPr>
        <w:spacing w:after="0" w:line="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72" w:lineRule="exact"/>
        <w:rPr>
          <w:sz w:val="20"/>
          <w:szCs w:val="20"/>
          <w:color w:val="auto"/>
        </w:rPr>
      </w:pPr>
    </w:p>
    <w:tbl>
      <w:tblPr>
        <w:tblLayout w:type="fixed"/>
        <w:tblInd w:w="148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700" w:type="dxa"/>
            <w:vAlign w:val="bottom"/>
            <w:gridSpan w:val="2"/>
            <w:vMerge w:val="restart"/>
          </w:tcPr>
          <w:p>
            <w:pPr>
              <w:jc w:val="center"/>
              <w:ind w:left="287"/>
              <w:spacing w:after="0"/>
              <w:rPr>
                <w:sz w:val="20"/>
                <w:szCs w:val="20"/>
                <w:color w:val="auto"/>
              </w:rPr>
            </w:pPr>
            <w:r>
              <w:rPr>
                <w:rFonts w:ascii="Times New Roman" w:cs="Times New Roman" w:eastAsia="Times New Roman" w:hAnsi="Times New Roman"/>
                <w:sz w:val="10"/>
                <w:szCs w:val="10"/>
                <w:b w:val="1"/>
                <w:bCs w:val="1"/>
                <w:color w:val="auto"/>
                <w:w w:val="90"/>
              </w:rPr>
              <w:t>Series A</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4"/>
            <w:vMerge w:val="restart"/>
          </w:tcPr>
          <w:p>
            <w:pPr>
              <w:jc w:val="center"/>
              <w:ind w:left="147"/>
              <w:spacing w:after="0"/>
              <w:rPr>
                <w:sz w:val="20"/>
                <w:szCs w:val="20"/>
                <w:color w:val="auto"/>
              </w:rPr>
            </w:pPr>
            <w:r>
              <w:rPr>
                <w:rFonts w:ascii="Times New Roman" w:cs="Times New Roman" w:eastAsia="Times New Roman" w:hAnsi="Times New Roman"/>
                <w:sz w:val="10"/>
                <w:szCs w:val="10"/>
                <w:b w:val="1"/>
                <w:bCs w:val="1"/>
                <w:color w:val="auto"/>
                <w:w w:val="97"/>
              </w:rPr>
              <w:t>Series B-1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4"/>
            <w:vMerge w:val="restart"/>
          </w:tcPr>
          <w:p>
            <w:pPr>
              <w:jc w:val="center"/>
              <w:ind w:left="107"/>
              <w:spacing w:after="0"/>
              <w:rPr>
                <w:sz w:val="20"/>
                <w:szCs w:val="20"/>
                <w:color w:val="auto"/>
              </w:rPr>
            </w:pPr>
            <w:r>
              <w:rPr>
                <w:rFonts w:ascii="Times New Roman" w:cs="Times New Roman" w:eastAsia="Times New Roman" w:hAnsi="Times New Roman"/>
                <w:sz w:val="10"/>
                <w:szCs w:val="10"/>
                <w:b w:val="1"/>
                <w:bCs w:val="1"/>
                <w:color w:val="auto"/>
                <w:w w:val="92"/>
              </w:rPr>
              <w:t>Series B-2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4"/>
            <w:vMerge w:val="continue"/>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4"/>
            <w:vMerge w:val="continue"/>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760" w:type="dxa"/>
            <w:vAlign w:val="bottom"/>
            <w:gridSpan w:val="4"/>
          </w:tcPr>
          <w:p>
            <w:pPr>
              <w:jc w:val="center"/>
              <w:ind w:left="227"/>
              <w:spacing w:after="0" w:line="107" w:lineRule="exact"/>
              <w:rPr>
                <w:sz w:val="20"/>
                <w:szCs w:val="20"/>
                <w:color w:val="auto"/>
              </w:rPr>
            </w:pPr>
            <w:r>
              <w:rPr>
                <w:rFonts w:ascii="Times New Roman" w:cs="Times New Roman" w:eastAsia="Times New Roman" w:hAnsi="Times New Roman"/>
                <w:sz w:val="10"/>
                <w:szCs w:val="10"/>
                <w:b w:val="1"/>
                <w:bCs w:val="1"/>
                <w:color w:val="auto"/>
                <w:w w:val="92"/>
              </w:rPr>
              <w:t>convertible</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4"/>
          </w:tcPr>
          <w:p>
            <w:pPr>
              <w:jc w:val="center"/>
              <w:ind w:left="147"/>
              <w:spacing w:after="0" w:line="107" w:lineRule="exact"/>
              <w:rPr>
                <w:sz w:val="20"/>
                <w:szCs w:val="20"/>
                <w:color w:val="auto"/>
              </w:rPr>
            </w:pPr>
            <w:r>
              <w:rPr>
                <w:rFonts w:ascii="Times New Roman" w:cs="Times New Roman" w:eastAsia="Times New Roman" w:hAnsi="Times New Roman"/>
                <w:sz w:val="10"/>
                <w:szCs w:val="10"/>
                <w:b w:val="1"/>
                <w:bCs w:val="1"/>
                <w:color w:val="auto"/>
                <w:w w:val="96"/>
              </w:rPr>
              <w:t>convertible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4"/>
          </w:tcPr>
          <w:p>
            <w:pPr>
              <w:jc w:val="center"/>
              <w:ind w:left="127"/>
              <w:spacing w:after="0" w:line="107" w:lineRule="exact"/>
              <w:rPr>
                <w:sz w:val="20"/>
                <w:szCs w:val="20"/>
                <w:color w:val="auto"/>
              </w:rPr>
            </w:pPr>
            <w:r>
              <w:rPr>
                <w:rFonts w:ascii="Times New Roman" w:cs="Times New Roman" w:eastAsia="Times New Roman" w:hAnsi="Times New Roman"/>
                <w:sz w:val="10"/>
                <w:szCs w:val="10"/>
                <w:b w:val="1"/>
                <w:bCs w:val="1"/>
                <w:color w:val="auto"/>
                <w:w w:val="96"/>
              </w:rPr>
              <w:t>convertible</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gridSpan w:val="4"/>
          </w:tcPr>
          <w:p>
            <w:pPr>
              <w:ind w:left="80"/>
              <w:spacing w:after="0" w:line="107"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160" w:type="dxa"/>
            <w:vAlign w:val="bottom"/>
            <w:gridSpan w:val="6"/>
          </w:tcPr>
          <w:p>
            <w:pPr>
              <w:jc w:val="center"/>
              <w:ind w:right="120"/>
              <w:spacing w:after="0" w:line="113" w:lineRule="exact"/>
              <w:rPr>
                <w:sz w:val="20"/>
                <w:szCs w:val="20"/>
                <w:color w:val="auto"/>
              </w:rPr>
            </w:pPr>
            <w:r>
              <w:rPr>
                <w:rFonts w:ascii="Times New Roman" w:cs="Times New Roman" w:eastAsia="Times New Roman" w:hAnsi="Times New Roman"/>
                <w:sz w:val="10"/>
                <w:szCs w:val="10"/>
                <w:b w:val="1"/>
                <w:bCs w:val="1"/>
                <w:color w:val="auto"/>
                <w:w w:val="97"/>
              </w:rPr>
              <w:t>preferred stock</w:t>
            </w:r>
          </w:p>
        </w:tc>
        <w:tc>
          <w:tcPr>
            <w:tcW w:w="860" w:type="dxa"/>
            <w:vAlign w:val="bottom"/>
            <w:gridSpan w:val="4"/>
          </w:tcPr>
          <w:p>
            <w:pPr>
              <w:jc w:val="center"/>
              <w:ind w:left="147"/>
              <w:spacing w:after="0" w:line="113" w:lineRule="exact"/>
              <w:rPr>
                <w:sz w:val="20"/>
                <w:szCs w:val="20"/>
                <w:color w:val="auto"/>
              </w:rPr>
            </w:pPr>
            <w:r>
              <w:rPr>
                <w:rFonts w:ascii="Times New Roman" w:cs="Times New Roman" w:eastAsia="Times New Roman" w:hAnsi="Times New Roman"/>
                <w:sz w:val="10"/>
                <w:szCs w:val="10"/>
                <w:b w:val="1"/>
                <w:bCs w:val="1"/>
                <w:color w:val="auto"/>
                <w:w w:val="94"/>
              </w:rPr>
              <w:t>preferred stock</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4"/>
          </w:tcPr>
          <w:p>
            <w:pPr>
              <w:jc w:val="center"/>
              <w:ind w:left="127"/>
              <w:spacing w:after="0" w:line="113" w:lineRule="exact"/>
              <w:rPr>
                <w:sz w:val="20"/>
                <w:szCs w:val="20"/>
                <w:color w:val="auto"/>
              </w:rPr>
            </w:pPr>
            <w:r>
              <w:rPr>
                <w:rFonts w:ascii="Times New Roman" w:cs="Times New Roman" w:eastAsia="Times New Roman" w:hAnsi="Times New Roman"/>
                <w:sz w:val="10"/>
                <w:szCs w:val="10"/>
                <w:b w:val="1"/>
                <w:bCs w:val="1"/>
                <w:color w:val="auto"/>
                <w:w w:val="94"/>
              </w:rPr>
              <w:t>preferred stock</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4"/>
          </w:tcPr>
          <w:p>
            <w:pPr>
              <w:jc w:val="center"/>
              <w:ind w:left="147"/>
              <w:spacing w:after="0" w:line="113" w:lineRule="exact"/>
              <w:rPr>
                <w:sz w:val="20"/>
                <w:szCs w:val="20"/>
                <w:color w:val="auto"/>
              </w:rPr>
            </w:pPr>
            <w:r>
              <w:rPr>
                <w:rFonts w:ascii="Times New Roman" w:cs="Times New Roman" w:eastAsia="Times New Roman" w:hAnsi="Times New Roman"/>
                <w:sz w:val="10"/>
                <w:szCs w:val="10"/>
                <w:b w:val="1"/>
                <w:bCs w:val="1"/>
                <w:color w:val="auto"/>
                <w:w w:val="93"/>
              </w:rPr>
              <w:t>Common stock</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0"/>
                <w:szCs w:val="10"/>
                <w:b w:val="1"/>
                <w:bCs w:val="1"/>
                <w:color w:val="auto"/>
              </w:rPr>
              <w:t>Class A</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2"/>
          </w:tcPr>
          <w:p>
            <w:pPr>
              <w:ind w:left="280"/>
              <w:spacing w:after="0" w:line="113" w:lineRule="exact"/>
              <w:rPr>
                <w:sz w:val="20"/>
                <w:szCs w:val="20"/>
                <w:color w:val="auto"/>
              </w:rPr>
            </w:pPr>
            <w:r>
              <w:rPr>
                <w:rFonts w:ascii="Times New Roman" w:cs="Times New Roman" w:eastAsia="Times New Roman" w:hAnsi="Times New Roman"/>
                <w:sz w:val="10"/>
                <w:szCs w:val="10"/>
                <w:b w:val="1"/>
                <w:bCs w:val="1"/>
                <w:color w:val="auto"/>
                <w:w w:val="92"/>
              </w:rPr>
              <w:t>Class V</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paid-in</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0"/>
                <w:szCs w:val="10"/>
                <w:b w:val="1"/>
                <w:bCs w:val="1"/>
                <w:color w:val="auto"/>
                <w:w w:val="91"/>
              </w:rPr>
              <w:t>Loans to</w:t>
            </w:r>
          </w:p>
        </w:tc>
        <w:tc>
          <w:tcPr>
            <w:tcW w:w="360" w:type="dxa"/>
            <w:vAlign w:val="bottom"/>
            <w:gridSpan w:val="3"/>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w w:val="92"/>
              </w:rPr>
              <w:t>Treasur</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700" w:type="dxa"/>
            <w:vAlign w:val="bottom"/>
            <w:tcBorders>
              <w:top w:val="single" w:sz="8" w:color="auto"/>
            </w:tcBorders>
            <w:gridSpan w:val="2"/>
          </w:tcPr>
          <w:p>
            <w:pPr>
              <w:jc w:val="right"/>
              <w:ind w:right="260"/>
              <w:spacing w:after="0" w:line="92" w:lineRule="exact"/>
              <w:rPr>
                <w:sz w:val="20"/>
                <w:szCs w:val="20"/>
                <w:color w:val="auto"/>
              </w:rPr>
            </w:pPr>
            <w:r>
              <w:rPr>
                <w:rFonts w:ascii="Times New Roman" w:cs="Times New Roman" w:eastAsia="Times New Roman" w:hAnsi="Times New Roman"/>
                <w:sz w:val="10"/>
                <w:szCs w:val="10"/>
                <w:b w:val="1"/>
                <w:bCs w:val="1"/>
                <w:color w:val="auto"/>
              </w:rPr>
              <w:t>Shares</w:t>
            </w:r>
          </w:p>
        </w:tc>
        <w:tc>
          <w:tcPr>
            <w:tcW w:w="20" w:type="dxa"/>
            <w:vAlign w:val="bottom"/>
            <w:tcBorders>
              <w:top w:val="single" w:sz="8" w:color="auto"/>
            </w:tcBorders>
          </w:tcPr>
          <w:p>
            <w:pPr>
              <w:spacing w:after="0"/>
              <w:rPr>
                <w:sz w:val="8"/>
                <w:szCs w:val="8"/>
                <w:color w:val="auto"/>
              </w:rPr>
            </w:pPr>
          </w:p>
        </w:tc>
        <w:tc>
          <w:tcPr>
            <w:tcW w:w="340" w:type="dxa"/>
            <w:vAlign w:val="bottom"/>
            <w:tcBorders>
              <w:top w:val="single" w:sz="8" w:color="auto"/>
            </w:tcBorders>
            <w:gridSpan w:val="2"/>
          </w:tcPr>
          <w:p>
            <w:pPr>
              <w:spacing w:after="0" w:line="92" w:lineRule="exact"/>
              <w:rPr>
                <w:sz w:val="20"/>
                <w:szCs w:val="20"/>
                <w:color w:val="auto"/>
              </w:rPr>
            </w:pPr>
            <w:r>
              <w:rPr>
                <w:rFonts w:ascii="Times New Roman" w:cs="Times New Roman" w:eastAsia="Times New Roman" w:hAnsi="Times New Roman"/>
                <w:sz w:val="10"/>
                <w:szCs w:val="10"/>
                <w:b w:val="1"/>
                <w:bCs w:val="1"/>
                <w:color w:val="auto"/>
                <w:w w:val="91"/>
              </w:rPr>
              <w:t>Amount</w:t>
            </w:r>
          </w:p>
        </w:tc>
        <w:tc>
          <w:tcPr>
            <w:tcW w:w="100" w:type="dxa"/>
            <w:vAlign w:val="bottom"/>
          </w:tcPr>
          <w:p>
            <w:pPr>
              <w:spacing w:after="0"/>
              <w:rPr>
                <w:sz w:val="8"/>
                <w:szCs w:val="8"/>
                <w:color w:val="auto"/>
              </w:rPr>
            </w:pPr>
          </w:p>
        </w:tc>
        <w:tc>
          <w:tcPr>
            <w:tcW w:w="620" w:type="dxa"/>
            <w:vAlign w:val="bottom"/>
            <w:tcBorders>
              <w:top w:val="single" w:sz="8" w:color="auto"/>
            </w:tcBorders>
            <w:gridSpan w:val="2"/>
          </w:tcPr>
          <w:p>
            <w:pPr>
              <w:jc w:val="right"/>
              <w:ind w:right="200"/>
              <w:spacing w:after="0" w:line="92" w:lineRule="exact"/>
              <w:rPr>
                <w:sz w:val="20"/>
                <w:szCs w:val="20"/>
                <w:color w:val="auto"/>
              </w:rPr>
            </w:pPr>
            <w:r>
              <w:rPr>
                <w:rFonts w:ascii="Times New Roman" w:cs="Times New Roman" w:eastAsia="Times New Roman" w:hAnsi="Times New Roman"/>
                <w:sz w:val="10"/>
                <w:szCs w:val="10"/>
                <w:b w:val="1"/>
                <w:bCs w:val="1"/>
                <w:color w:val="auto"/>
              </w:rPr>
              <w:t>Shares</w:t>
            </w:r>
          </w:p>
        </w:tc>
        <w:tc>
          <w:tcPr>
            <w:tcW w:w="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gridSpan w:val="2"/>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w w:val="96"/>
              </w:rPr>
              <w:t>Amount</w:t>
            </w:r>
          </w:p>
        </w:tc>
        <w:tc>
          <w:tcPr>
            <w:tcW w:w="100" w:type="dxa"/>
            <w:vAlign w:val="bottom"/>
          </w:tcPr>
          <w:p>
            <w:pPr>
              <w:spacing w:after="0"/>
              <w:rPr>
                <w:sz w:val="8"/>
                <w:szCs w:val="8"/>
                <w:color w:val="auto"/>
              </w:rPr>
            </w:pPr>
          </w:p>
        </w:tc>
        <w:tc>
          <w:tcPr>
            <w:tcW w:w="580" w:type="dxa"/>
            <w:vAlign w:val="bottom"/>
            <w:tcBorders>
              <w:top w:val="single" w:sz="8" w:color="auto"/>
            </w:tcBorders>
            <w:gridSpan w:val="2"/>
          </w:tcPr>
          <w:p>
            <w:pPr>
              <w:jc w:val="right"/>
              <w:ind w:right="180"/>
              <w:spacing w:after="0" w:line="92" w:lineRule="exact"/>
              <w:rPr>
                <w:sz w:val="20"/>
                <w:szCs w:val="20"/>
                <w:color w:val="auto"/>
              </w:rPr>
            </w:pPr>
            <w:r>
              <w:rPr>
                <w:rFonts w:ascii="Times New Roman" w:cs="Times New Roman" w:eastAsia="Times New Roman" w:hAnsi="Times New Roman"/>
                <w:sz w:val="10"/>
                <w:szCs w:val="10"/>
                <w:b w:val="1"/>
                <w:bCs w:val="1"/>
                <w:color w:val="auto"/>
              </w:rPr>
              <w:t>Shares</w:t>
            </w:r>
          </w:p>
        </w:tc>
        <w:tc>
          <w:tcPr>
            <w:tcW w:w="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gridSpan w:val="2"/>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w w:val="96"/>
              </w:rPr>
              <w:t>Amount</w:t>
            </w:r>
          </w:p>
        </w:tc>
        <w:tc>
          <w:tcPr>
            <w:tcW w:w="100" w:type="dxa"/>
            <w:vAlign w:val="bottom"/>
          </w:tcPr>
          <w:p>
            <w:pPr>
              <w:spacing w:after="0"/>
              <w:rPr>
                <w:sz w:val="8"/>
                <w:szCs w:val="8"/>
                <w:color w:val="auto"/>
              </w:rPr>
            </w:pPr>
          </w:p>
        </w:tc>
        <w:tc>
          <w:tcPr>
            <w:tcW w:w="680" w:type="dxa"/>
            <w:vAlign w:val="bottom"/>
            <w:tcBorders>
              <w:top w:val="single" w:sz="8" w:color="auto"/>
            </w:tcBorders>
            <w:gridSpan w:val="2"/>
          </w:tcPr>
          <w:p>
            <w:pPr>
              <w:jc w:val="right"/>
              <w:ind w:right="240"/>
              <w:spacing w:after="0" w:line="92" w:lineRule="exact"/>
              <w:rPr>
                <w:sz w:val="20"/>
                <w:szCs w:val="20"/>
                <w:color w:val="auto"/>
              </w:rPr>
            </w:pPr>
            <w:r>
              <w:rPr>
                <w:rFonts w:ascii="Times New Roman" w:cs="Times New Roman" w:eastAsia="Times New Roman" w:hAnsi="Times New Roman"/>
                <w:sz w:val="10"/>
                <w:szCs w:val="10"/>
                <w:b w:val="1"/>
                <w:bCs w:val="1"/>
                <w:color w:val="auto"/>
              </w:rPr>
              <w:t>Shares</w:t>
            </w:r>
          </w:p>
        </w:tc>
        <w:tc>
          <w:tcPr>
            <w:tcW w:w="360" w:type="dxa"/>
            <w:vAlign w:val="bottom"/>
            <w:tcBorders>
              <w:top w:val="single" w:sz="8" w:color="auto"/>
            </w:tcBorders>
            <w:gridSpan w:val="3"/>
          </w:tcPr>
          <w:p>
            <w:pPr>
              <w:ind w:left="20"/>
              <w:spacing w:after="0" w:line="92" w:lineRule="exact"/>
              <w:rPr>
                <w:sz w:val="20"/>
                <w:szCs w:val="20"/>
                <w:color w:val="auto"/>
              </w:rPr>
            </w:pPr>
            <w:r>
              <w:rPr>
                <w:rFonts w:ascii="Times New Roman" w:cs="Times New Roman" w:eastAsia="Times New Roman" w:hAnsi="Times New Roman"/>
                <w:sz w:val="10"/>
                <w:szCs w:val="10"/>
                <w:b w:val="1"/>
                <w:bCs w:val="1"/>
                <w:color w:val="auto"/>
                <w:w w:val="91"/>
              </w:rPr>
              <w:t>Amount</w:t>
            </w:r>
          </w:p>
        </w:tc>
        <w:tc>
          <w:tcPr>
            <w:tcW w:w="120" w:type="dxa"/>
            <w:vAlign w:val="bottom"/>
          </w:tcPr>
          <w:p>
            <w:pPr>
              <w:spacing w:after="0"/>
              <w:rPr>
                <w:sz w:val="8"/>
                <w:szCs w:val="8"/>
                <w:color w:val="auto"/>
              </w:rPr>
            </w:pPr>
          </w:p>
        </w:tc>
        <w:tc>
          <w:tcPr>
            <w:tcW w:w="660" w:type="dxa"/>
            <w:vAlign w:val="bottom"/>
            <w:tcBorders>
              <w:top w:val="single" w:sz="8" w:color="auto"/>
            </w:tcBorders>
            <w:gridSpan w:val="2"/>
          </w:tcPr>
          <w:p>
            <w:pPr>
              <w:jc w:val="right"/>
              <w:ind w:right="240"/>
              <w:spacing w:after="0" w:line="92" w:lineRule="exact"/>
              <w:rPr>
                <w:sz w:val="20"/>
                <w:szCs w:val="20"/>
                <w:color w:val="auto"/>
              </w:rPr>
            </w:pPr>
            <w:r>
              <w:rPr>
                <w:rFonts w:ascii="Times New Roman" w:cs="Times New Roman" w:eastAsia="Times New Roman" w:hAnsi="Times New Roman"/>
                <w:sz w:val="10"/>
                <w:szCs w:val="10"/>
                <w:b w:val="1"/>
                <w:bCs w:val="1"/>
                <w:color w:val="auto"/>
              </w:rPr>
              <w:t>Shares</w:t>
            </w:r>
          </w:p>
        </w:tc>
        <w:tc>
          <w:tcPr>
            <w:tcW w:w="360" w:type="dxa"/>
            <w:vAlign w:val="bottom"/>
            <w:tcBorders>
              <w:top w:val="single" w:sz="8" w:color="auto"/>
            </w:tcBorders>
            <w:gridSpan w:val="3"/>
          </w:tcPr>
          <w:p>
            <w:pPr>
              <w:ind w:left="20"/>
              <w:spacing w:after="0" w:line="92" w:lineRule="exact"/>
              <w:rPr>
                <w:sz w:val="20"/>
                <w:szCs w:val="20"/>
                <w:color w:val="auto"/>
              </w:rPr>
            </w:pPr>
            <w:r>
              <w:rPr>
                <w:rFonts w:ascii="Times New Roman" w:cs="Times New Roman" w:eastAsia="Times New Roman" w:hAnsi="Times New Roman"/>
                <w:sz w:val="10"/>
                <w:szCs w:val="10"/>
                <w:b w:val="1"/>
                <w:bCs w:val="1"/>
                <w:color w:val="auto"/>
                <w:w w:val="91"/>
              </w:rPr>
              <w:t>Amount</w:t>
            </w:r>
          </w:p>
        </w:tc>
        <w:tc>
          <w:tcPr>
            <w:tcW w:w="1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gridSpan w:val="2"/>
          </w:tcPr>
          <w:p>
            <w:pPr>
              <w:ind w:left="80"/>
              <w:spacing w:after="0" w:line="92" w:lineRule="exact"/>
              <w:rPr>
                <w:sz w:val="20"/>
                <w:szCs w:val="20"/>
                <w:color w:val="auto"/>
              </w:rPr>
            </w:pPr>
            <w:r>
              <w:rPr>
                <w:rFonts w:ascii="Times New Roman" w:cs="Times New Roman" w:eastAsia="Times New Roman" w:hAnsi="Times New Roman"/>
                <w:sz w:val="10"/>
                <w:szCs w:val="10"/>
                <w:b w:val="1"/>
                <w:bCs w:val="1"/>
                <w:color w:val="auto"/>
              </w:rPr>
              <w:t>Shares</w:t>
            </w:r>
          </w:p>
        </w:tc>
        <w:tc>
          <w:tcPr>
            <w:tcW w:w="340" w:type="dxa"/>
            <w:vAlign w:val="bottom"/>
            <w:tcBorders>
              <w:top w:val="single" w:sz="8" w:color="auto"/>
            </w:tcBorders>
            <w:gridSpan w:val="2"/>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w w:val="85"/>
              </w:rPr>
              <w:t>Amount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ind w:left="20"/>
              <w:spacing w:after="0" w:line="92" w:lineRule="exact"/>
              <w:rPr>
                <w:sz w:val="20"/>
                <w:szCs w:val="20"/>
                <w:color w:val="auto"/>
              </w:rPr>
            </w:pPr>
            <w:r>
              <w:rPr>
                <w:rFonts w:ascii="Times New Roman" w:cs="Times New Roman" w:eastAsia="Times New Roman" w:hAnsi="Times New Roman"/>
                <w:sz w:val="10"/>
                <w:szCs w:val="10"/>
                <w:b w:val="1"/>
                <w:bCs w:val="1"/>
                <w:color w:val="auto"/>
              </w:rPr>
              <w:t>capital</w:t>
            </w:r>
          </w:p>
        </w:tc>
        <w:tc>
          <w:tcPr>
            <w:tcW w:w="620" w:type="dxa"/>
            <w:vAlign w:val="bottom"/>
            <w:gridSpan w:val="4"/>
          </w:tcPr>
          <w:p>
            <w:pPr>
              <w:ind w:left="20"/>
              <w:spacing w:after="0" w:line="92"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w w:val="89"/>
              </w:rPr>
              <w:t>stock</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Balance at January 1, 2022 (as</w:t>
            </w: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previously reported)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133,216,940</w:t>
            </w:r>
          </w:p>
        </w:tc>
        <w:tc>
          <w:tcPr>
            <w:tcW w:w="100" w:type="dxa"/>
            <w:vAlign w:val="bottom"/>
            <w:shd w:val="clear" w:color="auto" w:fill="CCEEFF"/>
          </w:tcPr>
          <w:p>
            <w:pPr>
              <w:spacing w:after="0"/>
              <w:rPr>
                <w:sz w:val="12"/>
                <w:szCs w:val="12"/>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$ 9,881</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13,326,050</w:t>
            </w:r>
          </w:p>
        </w:tc>
        <w:tc>
          <w:tcPr>
            <w:tcW w:w="6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$ 49,675</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3,991,610</w:t>
            </w:r>
          </w:p>
        </w:tc>
        <w:tc>
          <w:tcPr>
            <w:tcW w:w="6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$ 12,617</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104,022,678</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0.1</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14,658</w:t>
            </w:r>
          </w:p>
        </w:tc>
        <w:tc>
          <w:tcPr>
            <w:tcW w:w="8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(15,192)</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1"/>
                <w:szCs w:val="11"/>
                <w:color w:val="auto"/>
              </w:rPr>
              <w:t>Retroactive application of</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recapitalization</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w w:val="99"/>
              </w:rPr>
              <w:t>(133,216,940)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w w:val="93"/>
              </w:rPr>
              <w:t>(9,881)</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(13,326,050)</w:t>
            </w:r>
          </w:p>
        </w:tc>
        <w:tc>
          <w:tcPr>
            <w:tcW w:w="540" w:type="dxa"/>
            <w:vAlign w:val="bottom"/>
            <w:gridSpan w:val="4"/>
          </w:tcPr>
          <w:p>
            <w:pPr>
              <w:jc w:val="right"/>
              <w:ind w:right="60"/>
              <w:spacing w:after="0"/>
              <w:rPr>
                <w:sz w:val="20"/>
                <w:szCs w:val="20"/>
                <w:color w:val="auto"/>
              </w:rPr>
            </w:pPr>
            <w:r>
              <w:rPr>
                <w:rFonts w:ascii="Times New Roman" w:cs="Times New Roman" w:eastAsia="Times New Roman" w:hAnsi="Times New Roman"/>
                <w:sz w:val="11"/>
                <w:szCs w:val="11"/>
                <w:color w:val="auto"/>
              </w:rPr>
              <w:t>(49,675)</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(3,991,610)</w:t>
            </w:r>
          </w:p>
        </w:tc>
        <w:tc>
          <w:tcPr>
            <w:tcW w:w="540" w:type="dxa"/>
            <w:vAlign w:val="bottom"/>
            <w:gridSpan w:val="4"/>
          </w:tcPr>
          <w:p>
            <w:pPr>
              <w:jc w:val="right"/>
              <w:ind w:right="80"/>
              <w:spacing w:after="0"/>
              <w:rPr>
                <w:sz w:val="20"/>
                <w:szCs w:val="20"/>
                <w:color w:val="auto"/>
              </w:rPr>
            </w:pPr>
            <w:r>
              <w:rPr>
                <w:rFonts w:ascii="Times New Roman" w:cs="Times New Roman" w:eastAsia="Times New Roman" w:hAnsi="Times New Roman"/>
                <w:sz w:val="11"/>
                <w:szCs w:val="11"/>
                <w:color w:val="auto"/>
              </w:rPr>
              <w:t>(12,617)</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99"/>
              </w:rPr>
              <w:t>(104,022,678)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(0.1)</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8"/>
              </w:rPr>
              <w:t>297,094,254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2"/>
              </w:rPr>
              <w:t>48,450,639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72,138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at January 1, 2022 (as</w:t>
            </w: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adjusted)</w:t>
            </w:r>
          </w:p>
        </w:tc>
        <w:tc>
          <w:tcPr>
            <w:tcW w:w="700" w:type="dxa"/>
            <w:vAlign w:val="bottom"/>
            <w:gridSpan w:val="2"/>
            <w:shd w:val="clear" w:color="auto" w:fill="CCEEFF"/>
          </w:tcPr>
          <w:p>
            <w:pPr>
              <w:jc w:val="center"/>
              <w:ind w:left="227"/>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680" w:type="dxa"/>
            <w:vAlign w:val="bottom"/>
            <w:gridSpan w:val="2"/>
            <w:shd w:val="clear" w:color="auto" w:fill="CCEEFF"/>
          </w:tcPr>
          <w:p>
            <w:pPr>
              <w:jc w:val="center"/>
              <w:ind w:left="267"/>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297,094,254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30</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w w:val="92"/>
              </w:rPr>
              <w:t>48,450,639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86,796</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(15,192)</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Class A common stock</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for stock option exercises</w:t>
            </w:r>
          </w:p>
        </w:tc>
        <w:tc>
          <w:tcPr>
            <w:tcW w:w="700" w:type="dxa"/>
            <w:vAlign w:val="bottom"/>
            <w:gridSpan w:val="2"/>
          </w:tcPr>
          <w:p>
            <w:pPr>
              <w:jc w:val="center"/>
              <w:ind w:left="227"/>
              <w:spacing w:after="0"/>
              <w:rPr>
                <w:sz w:val="20"/>
                <w:szCs w:val="20"/>
                <w:color w:val="auto"/>
              </w:rPr>
            </w:pPr>
            <w:r>
              <w:rPr>
                <w:rFonts w:ascii="Times New Roman" w:cs="Times New Roman" w:eastAsia="Times New Roman" w:hAnsi="Times New Roman"/>
                <w:sz w:val="11"/>
                <w:szCs w:val="11"/>
                <w:color w:val="auto"/>
                <w:w w:val="90"/>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w w:val="90"/>
              </w:rPr>
              <w:t>—</w:t>
            </w:r>
          </w:p>
        </w:tc>
        <w:tc>
          <w:tcPr>
            <w:tcW w:w="680" w:type="dxa"/>
            <w:vAlign w:val="bottom"/>
            <w:gridSpan w:val="2"/>
          </w:tcPr>
          <w:p>
            <w:pPr>
              <w:jc w:val="center"/>
              <w:ind w:left="267"/>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3,336,683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 Class A common stock</w:t>
            </w: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pursuant to the PIPE financing</w:t>
            </w:r>
          </w:p>
        </w:tc>
        <w:tc>
          <w:tcPr>
            <w:tcW w:w="700" w:type="dxa"/>
            <w:vAlign w:val="bottom"/>
            <w:gridSpan w:val="2"/>
            <w:shd w:val="clear" w:color="auto" w:fill="CCEEFF"/>
          </w:tcPr>
          <w:p>
            <w:pPr>
              <w:jc w:val="center"/>
              <w:ind w:left="227"/>
              <w:spacing w:after="0"/>
              <w:rPr>
                <w:sz w:val="20"/>
                <w:szCs w:val="20"/>
                <w:color w:val="auto"/>
              </w:rPr>
            </w:pPr>
            <w:r>
              <w:rPr>
                <w:rFonts w:ascii="Times New Roman" w:cs="Times New Roman" w:eastAsia="Times New Roman" w:hAnsi="Times New Roman"/>
                <w:sz w:val="11"/>
                <w:szCs w:val="11"/>
                <w:color w:val="auto"/>
                <w:w w:val="90"/>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w w:val="90"/>
              </w:rPr>
              <w:t>—</w:t>
            </w:r>
          </w:p>
        </w:tc>
        <w:tc>
          <w:tcPr>
            <w:tcW w:w="680" w:type="dxa"/>
            <w:vAlign w:val="bottom"/>
            <w:gridSpan w:val="2"/>
            <w:shd w:val="clear" w:color="auto" w:fill="CCEEFF"/>
          </w:tcPr>
          <w:p>
            <w:pPr>
              <w:jc w:val="center"/>
              <w:ind w:left="267"/>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21,000,000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209,999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Class A common stock</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pursuant to the Merger</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Agreement (As Restated)</w:t>
            </w:r>
          </w:p>
        </w:tc>
        <w:tc>
          <w:tcPr>
            <w:tcW w:w="700" w:type="dxa"/>
            <w:vAlign w:val="bottom"/>
            <w:gridSpan w:val="2"/>
          </w:tcPr>
          <w:p>
            <w:pPr>
              <w:jc w:val="center"/>
              <w:ind w:left="227"/>
              <w:spacing w:after="0"/>
              <w:rPr>
                <w:sz w:val="20"/>
                <w:szCs w:val="20"/>
                <w:color w:val="auto"/>
              </w:rPr>
            </w:pPr>
            <w:r>
              <w:rPr>
                <w:rFonts w:ascii="Times New Roman" w:cs="Times New Roman" w:eastAsia="Times New Roman" w:hAnsi="Times New Roman"/>
                <w:sz w:val="11"/>
                <w:szCs w:val="11"/>
                <w:color w:val="auto"/>
                <w:w w:val="90"/>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w w:val="90"/>
              </w:rPr>
              <w:t>—</w:t>
            </w:r>
          </w:p>
        </w:tc>
        <w:tc>
          <w:tcPr>
            <w:tcW w:w="680" w:type="dxa"/>
            <w:vAlign w:val="bottom"/>
            <w:gridSpan w:val="2"/>
          </w:tcPr>
          <w:p>
            <w:pPr>
              <w:jc w:val="center"/>
              <w:ind w:left="267"/>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6,765,322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(26,702)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Exercise of Series B-1 preferred</w:t>
            </w: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stock warrants, net of settlement</w:t>
            </w:r>
          </w:p>
        </w:tc>
        <w:tc>
          <w:tcPr>
            <w:tcW w:w="700" w:type="dxa"/>
            <w:vAlign w:val="bottom"/>
            <w:gridSpan w:val="2"/>
            <w:shd w:val="clear" w:color="auto" w:fill="CCEEFF"/>
          </w:tcPr>
          <w:p>
            <w:pPr>
              <w:jc w:val="center"/>
              <w:ind w:left="227"/>
              <w:spacing w:after="0"/>
              <w:rPr>
                <w:sz w:val="20"/>
                <w:szCs w:val="20"/>
                <w:color w:val="auto"/>
              </w:rPr>
            </w:pPr>
            <w:r>
              <w:rPr>
                <w:rFonts w:ascii="Times New Roman" w:cs="Times New Roman" w:eastAsia="Times New Roman" w:hAnsi="Times New Roman"/>
                <w:sz w:val="11"/>
                <w:szCs w:val="11"/>
                <w:color w:val="auto"/>
                <w:w w:val="90"/>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w w:val="90"/>
              </w:rPr>
              <w:t>—</w:t>
            </w:r>
          </w:p>
        </w:tc>
        <w:tc>
          <w:tcPr>
            <w:tcW w:w="680" w:type="dxa"/>
            <w:vAlign w:val="bottom"/>
            <w:gridSpan w:val="2"/>
            <w:shd w:val="clear" w:color="auto" w:fill="CCEEFF"/>
          </w:tcPr>
          <w:p>
            <w:pPr>
              <w:jc w:val="center"/>
              <w:ind w:left="267"/>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450,841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3,365</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1"/>
                <w:szCs w:val="11"/>
                <w:color w:val="auto"/>
              </w:rPr>
              <w:t>Conversion of 2019 convertible</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notes and accrued interest to</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Class A common stock</w:t>
            </w:r>
          </w:p>
        </w:tc>
        <w:tc>
          <w:tcPr>
            <w:tcW w:w="700" w:type="dxa"/>
            <w:vAlign w:val="bottom"/>
            <w:gridSpan w:val="2"/>
          </w:tcPr>
          <w:p>
            <w:pPr>
              <w:jc w:val="center"/>
              <w:ind w:left="227"/>
              <w:spacing w:after="0"/>
              <w:rPr>
                <w:sz w:val="20"/>
                <w:szCs w:val="20"/>
                <w:color w:val="auto"/>
              </w:rPr>
            </w:pPr>
            <w:r>
              <w:rPr>
                <w:rFonts w:ascii="Times New Roman" w:cs="Times New Roman" w:eastAsia="Times New Roman" w:hAnsi="Times New Roman"/>
                <w:sz w:val="11"/>
                <w:szCs w:val="11"/>
                <w:color w:val="auto"/>
                <w:w w:val="90"/>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w w:val="90"/>
              </w:rPr>
              <w:t>—</w:t>
            </w:r>
          </w:p>
        </w:tc>
        <w:tc>
          <w:tcPr>
            <w:tcW w:w="680" w:type="dxa"/>
            <w:vAlign w:val="bottom"/>
            <w:gridSpan w:val="2"/>
          </w:tcPr>
          <w:p>
            <w:pPr>
              <w:jc w:val="center"/>
              <w:ind w:left="267"/>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225,330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Repurchase of Class A common</w:t>
            </w: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stock</w:t>
            </w:r>
          </w:p>
        </w:tc>
        <w:tc>
          <w:tcPr>
            <w:tcW w:w="700" w:type="dxa"/>
            <w:vAlign w:val="bottom"/>
            <w:gridSpan w:val="2"/>
            <w:shd w:val="clear" w:color="auto" w:fill="CCEEFF"/>
          </w:tcPr>
          <w:p>
            <w:pPr>
              <w:jc w:val="center"/>
              <w:ind w:left="227"/>
              <w:spacing w:after="0"/>
              <w:rPr>
                <w:sz w:val="20"/>
                <w:szCs w:val="20"/>
                <w:color w:val="auto"/>
              </w:rPr>
            </w:pPr>
            <w:r>
              <w:rPr>
                <w:rFonts w:ascii="Times New Roman" w:cs="Times New Roman" w:eastAsia="Times New Roman" w:hAnsi="Times New Roman"/>
                <w:sz w:val="11"/>
                <w:szCs w:val="11"/>
                <w:color w:val="auto"/>
                <w:w w:val="90"/>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w w:val="90"/>
              </w:rPr>
              <w:t>—</w:t>
            </w:r>
          </w:p>
        </w:tc>
        <w:tc>
          <w:tcPr>
            <w:tcW w:w="680" w:type="dxa"/>
            <w:vAlign w:val="bottom"/>
            <w:gridSpan w:val="2"/>
            <w:shd w:val="clear" w:color="auto" w:fill="CCEEFF"/>
          </w:tcPr>
          <w:p>
            <w:pPr>
              <w:jc w:val="center"/>
              <w:ind w:left="267"/>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(198,505)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(1,588)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1"/>
                <w:szCs w:val="11"/>
                <w:color w:val="auto"/>
              </w:rPr>
              <w:t>Exercise of warrant for Class A</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700" w:type="dxa"/>
            <w:vAlign w:val="bottom"/>
            <w:gridSpan w:val="2"/>
          </w:tcPr>
          <w:p>
            <w:pPr>
              <w:jc w:val="center"/>
              <w:ind w:left="227"/>
              <w:spacing w:after="0"/>
              <w:rPr>
                <w:sz w:val="20"/>
                <w:szCs w:val="20"/>
                <w:color w:val="auto"/>
              </w:rPr>
            </w:pPr>
            <w:r>
              <w:rPr>
                <w:rFonts w:ascii="Times New Roman" w:cs="Times New Roman" w:eastAsia="Times New Roman" w:hAnsi="Times New Roman"/>
                <w:sz w:val="11"/>
                <w:szCs w:val="11"/>
                <w:color w:val="auto"/>
                <w:w w:val="90"/>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w w:val="90"/>
              </w:rPr>
              <w:t>—</w:t>
            </w:r>
          </w:p>
        </w:tc>
        <w:tc>
          <w:tcPr>
            <w:tcW w:w="680" w:type="dxa"/>
            <w:vAlign w:val="bottom"/>
            <w:gridSpan w:val="2"/>
          </w:tcPr>
          <w:p>
            <w:pPr>
              <w:jc w:val="center"/>
              <w:ind w:left="267"/>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Stockholder loans interest</w:t>
            </w:r>
          </w:p>
        </w:tc>
        <w:tc>
          <w:tcPr>
            <w:tcW w:w="700" w:type="dxa"/>
            <w:vAlign w:val="bottom"/>
            <w:gridSpan w:val="2"/>
            <w:shd w:val="clear" w:color="auto" w:fill="CCEEFF"/>
          </w:tcPr>
          <w:p>
            <w:pPr>
              <w:jc w:val="center"/>
              <w:ind w:left="227"/>
              <w:spacing w:after="0"/>
              <w:rPr>
                <w:sz w:val="20"/>
                <w:szCs w:val="20"/>
                <w:color w:val="auto"/>
              </w:rPr>
            </w:pPr>
            <w:r>
              <w:rPr>
                <w:rFonts w:ascii="Times New Roman" w:cs="Times New Roman" w:eastAsia="Times New Roman" w:hAnsi="Times New Roman"/>
                <w:sz w:val="11"/>
                <w:szCs w:val="11"/>
                <w:color w:val="auto"/>
                <w:w w:val="90"/>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w w:val="90"/>
              </w:rPr>
              <w:t>—</w:t>
            </w:r>
          </w:p>
        </w:tc>
        <w:tc>
          <w:tcPr>
            <w:tcW w:w="680" w:type="dxa"/>
            <w:vAlign w:val="bottom"/>
            <w:gridSpan w:val="2"/>
            <w:shd w:val="clear" w:color="auto" w:fill="CCEEFF"/>
          </w:tcPr>
          <w:p>
            <w:pPr>
              <w:jc w:val="center"/>
              <w:ind w:left="267"/>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(12)</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1"/>
                <w:szCs w:val="11"/>
                <w:color w:val="auto"/>
              </w:rPr>
              <w:t>Exercise of derivative asset and</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paydown of stockholder loans</w:t>
            </w:r>
          </w:p>
        </w:tc>
        <w:tc>
          <w:tcPr>
            <w:tcW w:w="700" w:type="dxa"/>
            <w:vAlign w:val="bottom"/>
            <w:gridSpan w:val="2"/>
          </w:tcPr>
          <w:p>
            <w:pPr>
              <w:jc w:val="center"/>
              <w:ind w:left="227"/>
              <w:spacing w:after="0"/>
              <w:rPr>
                <w:sz w:val="20"/>
                <w:szCs w:val="20"/>
                <w:color w:val="auto"/>
              </w:rPr>
            </w:pPr>
            <w:r>
              <w:rPr>
                <w:rFonts w:ascii="Times New Roman" w:cs="Times New Roman" w:eastAsia="Times New Roman" w:hAnsi="Times New Roman"/>
                <w:sz w:val="11"/>
                <w:szCs w:val="11"/>
                <w:color w:val="auto"/>
                <w:w w:val="90"/>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w w:val="90"/>
              </w:rPr>
              <w:t>—</w:t>
            </w:r>
          </w:p>
        </w:tc>
        <w:tc>
          <w:tcPr>
            <w:tcW w:w="680" w:type="dxa"/>
            <w:vAlign w:val="bottom"/>
            <w:gridSpan w:val="2"/>
          </w:tcPr>
          <w:p>
            <w:pPr>
              <w:jc w:val="center"/>
              <w:ind w:left="267"/>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(6,014,250)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tcPr>
          <w:p>
            <w:pPr>
              <w:spacing w:after="0"/>
              <w:rPr>
                <w:sz w:val="12"/>
                <w:szCs w:val="12"/>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(44,885)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15,204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Stock-based compensation</w:t>
            </w:r>
          </w:p>
        </w:tc>
        <w:tc>
          <w:tcPr>
            <w:tcW w:w="700" w:type="dxa"/>
            <w:vAlign w:val="bottom"/>
            <w:gridSpan w:val="2"/>
            <w:shd w:val="clear" w:color="auto" w:fill="CCEEFF"/>
          </w:tcPr>
          <w:p>
            <w:pPr>
              <w:jc w:val="center"/>
              <w:ind w:left="227"/>
              <w:spacing w:after="0"/>
              <w:rPr>
                <w:sz w:val="20"/>
                <w:szCs w:val="20"/>
                <w:color w:val="auto"/>
              </w:rPr>
            </w:pPr>
            <w:r>
              <w:rPr>
                <w:rFonts w:ascii="Times New Roman" w:cs="Times New Roman" w:eastAsia="Times New Roman" w:hAnsi="Times New Roman"/>
                <w:sz w:val="11"/>
                <w:szCs w:val="11"/>
                <w:color w:val="auto"/>
                <w:w w:val="90"/>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w w:val="90"/>
              </w:rPr>
              <w:t>—</w:t>
            </w:r>
          </w:p>
        </w:tc>
        <w:tc>
          <w:tcPr>
            <w:tcW w:w="680" w:type="dxa"/>
            <w:vAlign w:val="bottom"/>
            <w:gridSpan w:val="2"/>
            <w:shd w:val="clear" w:color="auto" w:fill="CCEEFF"/>
          </w:tcPr>
          <w:p>
            <w:pPr>
              <w:jc w:val="center"/>
              <w:ind w:left="267"/>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3,190</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1"/>
                <w:szCs w:val="11"/>
                <w:color w:val="auto"/>
              </w:rPr>
              <w:t>Net loss (As Restated)</w:t>
            </w:r>
          </w:p>
        </w:tc>
        <w:tc>
          <w:tcPr>
            <w:tcW w:w="700" w:type="dxa"/>
            <w:vAlign w:val="bottom"/>
            <w:gridSpan w:val="2"/>
          </w:tcPr>
          <w:p>
            <w:pPr>
              <w:jc w:val="center"/>
              <w:ind w:left="227"/>
              <w:spacing w:after="0"/>
              <w:rPr>
                <w:sz w:val="20"/>
                <w:szCs w:val="20"/>
                <w:color w:val="auto"/>
              </w:rPr>
            </w:pPr>
            <w:r>
              <w:rPr>
                <w:rFonts w:ascii="Times New Roman" w:cs="Times New Roman" w:eastAsia="Times New Roman" w:hAnsi="Times New Roman"/>
                <w:sz w:val="11"/>
                <w:szCs w:val="11"/>
                <w:color w:val="auto"/>
                <w:w w:val="90"/>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w w:val="90"/>
              </w:rPr>
              <w:t>—</w:t>
            </w:r>
          </w:p>
        </w:tc>
        <w:tc>
          <w:tcPr>
            <w:tcW w:w="680" w:type="dxa"/>
            <w:vAlign w:val="bottom"/>
            <w:gridSpan w:val="2"/>
          </w:tcPr>
          <w:p>
            <w:pPr>
              <w:jc w:val="center"/>
              <w:ind w:left="267"/>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at March 31, 2022</w:t>
            </w: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(As Restated)</w:t>
            </w:r>
          </w:p>
        </w:tc>
        <w:tc>
          <w:tcPr>
            <w:tcW w:w="600" w:type="dxa"/>
            <w:vAlign w:val="bottom"/>
            <w:shd w:val="clear" w:color="auto" w:fill="CCEEFF"/>
          </w:tcPr>
          <w:p>
            <w:pPr>
              <w:jc w:val="center"/>
              <w:ind w:left="327"/>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10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680" w:type="dxa"/>
            <w:vAlign w:val="bottom"/>
            <w:gridSpan w:val="2"/>
            <w:shd w:val="clear" w:color="auto" w:fill="CCEEFF"/>
          </w:tcPr>
          <w:p>
            <w:pPr>
              <w:jc w:val="center"/>
              <w:ind w:left="267"/>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322,659,785</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32</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w w:val="92"/>
              </w:rPr>
              <w:t>48,450,639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$ 232,453</w:t>
            </w:r>
          </w:p>
        </w:tc>
        <w:tc>
          <w:tcPr>
            <w:tcW w:w="8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700" w:type="dxa"/>
            <w:vAlign w:val="bottom"/>
            <w:gridSpan w:val="2"/>
            <w:vMerge w:val="restart"/>
          </w:tcPr>
          <w:p>
            <w:pPr>
              <w:jc w:val="center"/>
              <w:ind w:left="287"/>
              <w:spacing w:after="0"/>
              <w:rPr>
                <w:sz w:val="20"/>
                <w:szCs w:val="20"/>
                <w:color w:val="auto"/>
              </w:rPr>
            </w:pPr>
            <w:r>
              <w:rPr>
                <w:rFonts w:ascii="Times New Roman" w:cs="Times New Roman" w:eastAsia="Times New Roman" w:hAnsi="Times New Roman"/>
                <w:sz w:val="10"/>
                <w:szCs w:val="10"/>
                <w:b w:val="1"/>
                <w:bCs w:val="1"/>
                <w:color w:val="auto"/>
                <w:w w:val="90"/>
              </w:rPr>
              <w:t>Series A</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4"/>
            <w:vMerge w:val="restart"/>
          </w:tcPr>
          <w:p>
            <w:pPr>
              <w:jc w:val="center"/>
              <w:ind w:left="147"/>
              <w:spacing w:after="0"/>
              <w:rPr>
                <w:sz w:val="20"/>
                <w:szCs w:val="20"/>
                <w:color w:val="auto"/>
              </w:rPr>
            </w:pPr>
            <w:r>
              <w:rPr>
                <w:rFonts w:ascii="Times New Roman" w:cs="Times New Roman" w:eastAsia="Times New Roman" w:hAnsi="Times New Roman"/>
                <w:sz w:val="10"/>
                <w:szCs w:val="10"/>
                <w:b w:val="1"/>
                <w:bCs w:val="1"/>
                <w:color w:val="auto"/>
                <w:w w:val="97"/>
              </w:rPr>
              <w:t>Series B-1</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4"/>
            <w:vMerge w:val="restart"/>
          </w:tcPr>
          <w:p>
            <w:pPr>
              <w:jc w:val="center"/>
              <w:ind w:left="107"/>
              <w:spacing w:after="0"/>
              <w:rPr>
                <w:sz w:val="20"/>
                <w:szCs w:val="20"/>
                <w:color w:val="auto"/>
              </w:rPr>
            </w:pPr>
            <w:r>
              <w:rPr>
                <w:rFonts w:ascii="Times New Roman" w:cs="Times New Roman" w:eastAsia="Times New Roman" w:hAnsi="Times New Roman"/>
                <w:sz w:val="10"/>
                <w:szCs w:val="10"/>
                <w:b w:val="1"/>
                <w:bCs w:val="1"/>
                <w:color w:val="auto"/>
                <w:w w:val="92"/>
              </w:rPr>
              <w:t>Series B-2</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4"/>
            <w:vMerge w:val="continue"/>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4"/>
            <w:vMerge w:val="continue"/>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760" w:type="dxa"/>
            <w:vAlign w:val="bottom"/>
            <w:gridSpan w:val="4"/>
          </w:tcPr>
          <w:p>
            <w:pPr>
              <w:jc w:val="center"/>
              <w:ind w:left="227"/>
              <w:spacing w:after="0" w:line="107" w:lineRule="exact"/>
              <w:rPr>
                <w:sz w:val="20"/>
                <w:szCs w:val="20"/>
                <w:color w:val="auto"/>
              </w:rPr>
            </w:pPr>
            <w:r>
              <w:rPr>
                <w:rFonts w:ascii="Times New Roman" w:cs="Times New Roman" w:eastAsia="Times New Roman" w:hAnsi="Times New Roman"/>
                <w:sz w:val="10"/>
                <w:szCs w:val="10"/>
                <w:b w:val="1"/>
                <w:bCs w:val="1"/>
                <w:color w:val="auto"/>
                <w:w w:val="92"/>
              </w:rPr>
              <w:t>convertible</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4"/>
          </w:tcPr>
          <w:p>
            <w:pPr>
              <w:jc w:val="center"/>
              <w:ind w:left="147"/>
              <w:spacing w:after="0" w:line="107" w:lineRule="exact"/>
              <w:rPr>
                <w:sz w:val="20"/>
                <w:szCs w:val="20"/>
                <w:color w:val="auto"/>
              </w:rPr>
            </w:pPr>
            <w:r>
              <w:rPr>
                <w:rFonts w:ascii="Times New Roman" w:cs="Times New Roman" w:eastAsia="Times New Roman" w:hAnsi="Times New Roman"/>
                <w:sz w:val="10"/>
                <w:szCs w:val="10"/>
                <w:b w:val="1"/>
                <w:bCs w:val="1"/>
                <w:color w:val="auto"/>
                <w:w w:val="96"/>
              </w:rPr>
              <w:t>convertible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4"/>
          </w:tcPr>
          <w:p>
            <w:pPr>
              <w:jc w:val="center"/>
              <w:ind w:left="127"/>
              <w:spacing w:after="0" w:line="107" w:lineRule="exact"/>
              <w:rPr>
                <w:sz w:val="20"/>
                <w:szCs w:val="20"/>
                <w:color w:val="auto"/>
              </w:rPr>
            </w:pPr>
            <w:r>
              <w:rPr>
                <w:rFonts w:ascii="Times New Roman" w:cs="Times New Roman" w:eastAsia="Times New Roman" w:hAnsi="Times New Roman"/>
                <w:sz w:val="10"/>
                <w:szCs w:val="10"/>
                <w:b w:val="1"/>
                <w:bCs w:val="1"/>
                <w:color w:val="auto"/>
                <w:w w:val="96"/>
              </w:rPr>
              <w:t>convertible</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gridSpan w:val="4"/>
          </w:tcPr>
          <w:p>
            <w:pPr>
              <w:ind w:left="80"/>
              <w:spacing w:after="0" w:line="107"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160" w:type="dxa"/>
            <w:vAlign w:val="bottom"/>
            <w:gridSpan w:val="6"/>
          </w:tcPr>
          <w:p>
            <w:pPr>
              <w:jc w:val="center"/>
              <w:ind w:right="120"/>
              <w:spacing w:after="0" w:line="113" w:lineRule="exact"/>
              <w:rPr>
                <w:sz w:val="20"/>
                <w:szCs w:val="20"/>
                <w:color w:val="auto"/>
              </w:rPr>
            </w:pPr>
            <w:r>
              <w:rPr>
                <w:rFonts w:ascii="Times New Roman" w:cs="Times New Roman" w:eastAsia="Times New Roman" w:hAnsi="Times New Roman"/>
                <w:sz w:val="10"/>
                <w:szCs w:val="10"/>
                <w:b w:val="1"/>
                <w:bCs w:val="1"/>
                <w:color w:val="auto"/>
                <w:w w:val="97"/>
              </w:rPr>
              <w:t>preferred stock</w:t>
            </w:r>
          </w:p>
        </w:tc>
        <w:tc>
          <w:tcPr>
            <w:tcW w:w="860" w:type="dxa"/>
            <w:vAlign w:val="bottom"/>
            <w:gridSpan w:val="4"/>
          </w:tcPr>
          <w:p>
            <w:pPr>
              <w:jc w:val="center"/>
              <w:ind w:left="147"/>
              <w:spacing w:after="0" w:line="113" w:lineRule="exact"/>
              <w:rPr>
                <w:sz w:val="20"/>
                <w:szCs w:val="20"/>
                <w:color w:val="auto"/>
              </w:rPr>
            </w:pPr>
            <w:r>
              <w:rPr>
                <w:rFonts w:ascii="Times New Roman" w:cs="Times New Roman" w:eastAsia="Times New Roman" w:hAnsi="Times New Roman"/>
                <w:sz w:val="10"/>
                <w:szCs w:val="10"/>
                <w:b w:val="1"/>
                <w:bCs w:val="1"/>
                <w:color w:val="auto"/>
                <w:w w:val="94"/>
              </w:rPr>
              <w:t>preferred stock</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4"/>
          </w:tcPr>
          <w:p>
            <w:pPr>
              <w:jc w:val="center"/>
              <w:ind w:left="127"/>
              <w:spacing w:after="0" w:line="113" w:lineRule="exact"/>
              <w:rPr>
                <w:sz w:val="20"/>
                <w:szCs w:val="20"/>
                <w:color w:val="auto"/>
              </w:rPr>
            </w:pPr>
            <w:r>
              <w:rPr>
                <w:rFonts w:ascii="Times New Roman" w:cs="Times New Roman" w:eastAsia="Times New Roman" w:hAnsi="Times New Roman"/>
                <w:sz w:val="10"/>
                <w:szCs w:val="10"/>
                <w:b w:val="1"/>
                <w:bCs w:val="1"/>
                <w:color w:val="auto"/>
                <w:w w:val="94"/>
              </w:rPr>
              <w:t>preferred stock</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4"/>
          </w:tcPr>
          <w:p>
            <w:pPr>
              <w:jc w:val="center"/>
              <w:ind w:left="147"/>
              <w:spacing w:after="0" w:line="113" w:lineRule="exact"/>
              <w:rPr>
                <w:sz w:val="20"/>
                <w:szCs w:val="20"/>
                <w:color w:val="auto"/>
              </w:rPr>
            </w:pPr>
            <w:r>
              <w:rPr>
                <w:rFonts w:ascii="Times New Roman" w:cs="Times New Roman" w:eastAsia="Times New Roman" w:hAnsi="Times New Roman"/>
                <w:sz w:val="10"/>
                <w:szCs w:val="10"/>
                <w:b w:val="1"/>
                <w:bCs w:val="1"/>
                <w:color w:val="auto"/>
                <w:w w:val="93"/>
              </w:rPr>
              <w:t>Common stock</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0"/>
                <w:szCs w:val="10"/>
                <w:b w:val="1"/>
                <w:bCs w:val="1"/>
                <w:color w:val="auto"/>
              </w:rPr>
              <w:t>Class A</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2"/>
          </w:tcPr>
          <w:p>
            <w:pPr>
              <w:ind w:left="280"/>
              <w:spacing w:after="0" w:line="113" w:lineRule="exact"/>
              <w:rPr>
                <w:sz w:val="20"/>
                <w:szCs w:val="20"/>
                <w:color w:val="auto"/>
              </w:rPr>
            </w:pPr>
            <w:r>
              <w:rPr>
                <w:rFonts w:ascii="Times New Roman" w:cs="Times New Roman" w:eastAsia="Times New Roman" w:hAnsi="Times New Roman"/>
                <w:sz w:val="10"/>
                <w:szCs w:val="10"/>
                <w:b w:val="1"/>
                <w:bCs w:val="1"/>
                <w:color w:val="auto"/>
                <w:w w:val="92"/>
              </w:rPr>
              <w:t>Class V</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paid-in</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0"/>
                <w:szCs w:val="10"/>
                <w:b w:val="1"/>
                <w:bCs w:val="1"/>
                <w:color w:val="auto"/>
                <w:w w:val="91"/>
              </w:rPr>
              <w:t>Loans to</w:t>
            </w:r>
          </w:p>
        </w:tc>
        <w:tc>
          <w:tcPr>
            <w:tcW w:w="360" w:type="dxa"/>
            <w:vAlign w:val="bottom"/>
            <w:gridSpan w:val="3"/>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w w:val="92"/>
              </w:rPr>
              <w:t>Treasur</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700" w:type="dxa"/>
            <w:vAlign w:val="bottom"/>
            <w:tcBorders>
              <w:top w:val="single" w:sz="8" w:color="auto"/>
            </w:tcBorders>
            <w:gridSpan w:val="2"/>
          </w:tcPr>
          <w:p>
            <w:pPr>
              <w:jc w:val="right"/>
              <w:ind w:right="260"/>
              <w:spacing w:after="0" w:line="92" w:lineRule="exact"/>
              <w:rPr>
                <w:sz w:val="20"/>
                <w:szCs w:val="20"/>
                <w:color w:val="auto"/>
              </w:rPr>
            </w:pPr>
            <w:r>
              <w:rPr>
                <w:rFonts w:ascii="Times New Roman" w:cs="Times New Roman" w:eastAsia="Times New Roman" w:hAnsi="Times New Roman"/>
                <w:sz w:val="10"/>
                <w:szCs w:val="10"/>
                <w:b w:val="1"/>
                <w:bCs w:val="1"/>
                <w:color w:val="auto"/>
              </w:rPr>
              <w:t>Shares</w:t>
            </w:r>
          </w:p>
        </w:tc>
        <w:tc>
          <w:tcPr>
            <w:tcW w:w="20" w:type="dxa"/>
            <w:vAlign w:val="bottom"/>
            <w:tcBorders>
              <w:top w:val="single" w:sz="8" w:color="auto"/>
            </w:tcBorders>
          </w:tcPr>
          <w:p>
            <w:pPr>
              <w:spacing w:after="0"/>
              <w:rPr>
                <w:sz w:val="8"/>
                <w:szCs w:val="8"/>
                <w:color w:val="auto"/>
              </w:rPr>
            </w:pPr>
          </w:p>
        </w:tc>
        <w:tc>
          <w:tcPr>
            <w:tcW w:w="340" w:type="dxa"/>
            <w:vAlign w:val="bottom"/>
            <w:tcBorders>
              <w:top w:val="single" w:sz="8" w:color="auto"/>
            </w:tcBorders>
            <w:gridSpan w:val="2"/>
          </w:tcPr>
          <w:p>
            <w:pPr>
              <w:spacing w:after="0" w:line="92" w:lineRule="exact"/>
              <w:rPr>
                <w:sz w:val="20"/>
                <w:szCs w:val="20"/>
                <w:color w:val="auto"/>
              </w:rPr>
            </w:pPr>
            <w:r>
              <w:rPr>
                <w:rFonts w:ascii="Times New Roman" w:cs="Times New Roman" w:eastAsia="Times New Roman" w:hAnsi="Times New Roman"/>
                <w:sz w:val="10"/>
                <w:szCs w:val="10"/>
                <w:b w:val="1"/>
                <w:bCs w:val="1"/>
                <w:color w:val="auto"/>
                <w:w w:val="91"/>
              </w:rPr>
              <w:t>Amount</w:t>
            </w:r>
          </w:p>
        </w:tc>
        <w:tc>
          <w:tcPr>
            <w:tcW w:w="100" w:type="dxa"/>
            <w:vAlign w:val="bottom"/>
          </w:tcPr>
          <w:p>
            <w:pPr>
              <w:spacing w:after="0"/>
              <w:rPr>
                <w:sz w:val="8"/>
                <w:szCs w:val="8"/>
                <w:color w:val="auto"/>
              </w:rPr>
            </w:pPr>
          </w:p>
        </w:tc>
        <w:tc>
          <w:tcPr>
            <w:tcW w:w="620" w:type="dxa"/>
            <w:vAlign w:val="bottom"/>
            <w:tcBorders>
              <w:top w:val="single" w:sz="8" w:color="auto"/>
            </w:tcBorders>
            <w:gridSpan w:val="2"/>
          </w:tcPr>
          <w:p>
            <w:pPr>
              <w:jc w:val="right"/>
              <w:ind w:right="200"/>
              <w:spacing w:after="0" w:line="92" w:lineRule="exact"/>
              <w:rPr>
                <w:sz w:val="20"/>
                <w:szCs w:val="20"/>
                <w:color w:val="auto"/>
              </w:rPr>
            </w:pPr>
            <w:r>
              <w:rPr>
                <w:rFonts w:ascii="Times New Roman" w:cs="Times New Roman" w:eastAsia="Times New Roman" w:hAnsi="Times New Roman"/>
                <w:sz w:val="10"/>
                <w:szCs w:val="10"/>
                <w:b w:val="1"/>
                <w:bCs w:val="1"/>
                <w:color w:val="auto"/>
              </w:rPr>
              <w:t>Shares</w:t>
            </w:r>
          </w:p>
        </w:tc>
        <w:tc>
          <w:tcPr>
            <w:tcW w:w="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gridSpan w:val="2"/>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w w:val="96"/>
              </w:rPr>
              <w:t>Amount</w:t>
            </w:r>
          </w:p>
        </w:tc>
        <w:tc>
          <w:tcPr>
            <w:tcW w:w="100" w:type="dxa"/>
            <w:vAlign w:val="bottom"/>
          </w:tcPr>
          <w:p>
            <w:pPr>
              <w:spacing w:after="0"/>
              <w:rPr>
                <w:sz w:val="8"/>
                <w:szCs w:val="8"/>
                <w:color w:val="auto"/>
              </w:rPr>
            </w:pPr>
          </w:p>
        </w:tc>
        <w:tc>
          <w:tcPr>
            <w:tcW w:w="580" w:type="dxa"/>
            <w:vAlign w:val="bottom"/>
            <w:tcBorders>
              <w:top w:val="single" w:sz="8" w:color="auto"/>
            </w:tcBorders>
            <w:gridSpan w:val="2"/>
          </w:tcPr>
          <w:p>
            <w:pPr>
              <w:jc w:val="right"/>
              <w:ind w:right="180"/>
              <w:spacing w:after="0" w:line="92" w:lineRule="exact"/>
              <w:rPr>
                <w:sz w:val="20"/>
                <w:szCs w:val="20"/>
                <w:color w:val="auto"/>
              </w:rPr>
            </w:pPr>
            <w:r>
              <w:rPr>
                <w:rFonts w:ascii="Times New Roman" w:cs="Times New Roman" w:eastAsia="Times New Roman" w:hAnsi="Times New Roman"/>
                <w:sz w:val="10"/>
                <w:szCs w:val="10"/>
                <w:b w:val="1"/>
                <w:bCs w:val="1"/>
                <w:color w:val="auto"/>
              </w:rPr>
              <w:t>Shares</w:t>
            </w:r>
          </w:p>
        </w:tc>
        <w:tc>
          <w:tcPr>
            <w:tcW w:w="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gridSpan w:val="2"/>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w w:val="96"/>
              </w:rPr>
              <w:t>Amount</w:t>
            </w:r>
          </w:p>
        </w:tc>
        <w:tc>
          <w:tcPr>
            <w:tcW w:w="100" w:type="dxa"/>
            <w:vAlign w:val="bottom"/>
          </w:tcPr>
          <w:p>
            <w:pPr>
              <w:spacing w:after="0"/>
              <w:rPr>
                <w:sz w:val="8"/>
                <w:szCs w:val="8"/>
                <w:color w:val="auto"/>
              </w:rPr>
            </w:pPr>
          </w:p>
        </w:tc>
        <w:tc>
          <w:tcPr>
            <w:tcW w:w="680" w:type="dxa"/>
            <w:vAlign w:val="bottom"/>
            <w:tcBorders>
              <w:top w:val="single" w:sz="8" w:color="auto"/>
            </w:tcBorders>
            <w:gridSpan w:val="2"/>
          </w:tcPr>
          <w:p>
            <w:pPr>
              <w:jc w:val="right"/>
              <w:ind w:right="240"/>
              <w:spacing w:after="0" w:line="92" w:lineRule="exact"/>
              <w:rPr>
                <w:sz w:val="20"/>
                <w:szCs w:val="20"/>
                <w:color w:val="auto"/>
              </w:rPr>
            </w:pPr>
            <w:r>
              <w:rPr>
                <w:rFonts w:ascii="Times New Roman" w:cs="Times New Roman" w:eastAsia="Times New Roman" w:hAnsi="Times New Roman"/>
                <w:sz w:val="10"/>
                <w:szCs w:val="10"/>
                <w:b w:val="1"/>
                <w:bCs w:val="1"/>
                <w:color w:val="auto"/>
              </w:rPr>
              <w:t>Shares</w:t>
            </w:r>
          </w:p>
        </w:tc>
        <w:tc>
          <w:tcPr>
            <w:tcW w:w="360" w:type="dxa"/>
            <w:vAlign w:val="bottom"/>
            <w:tcBorders>
              <w:top w:val="single" w:sz="8" w:color="auto"/>
            </w:tcBorders>
            <w:gridSpan w:val="3"/>
          </w:tcPr>
          <w:p>
            <w:pPr>
              <w:ind w:left="20"/>
              <w:spacing w:after="0" w:line="92" w:lineRule="exact"/>
              <w:rPr>
                <w:sz w:val="20"/>
                <w:szCs w:val="20"/>
                <w:color w:val="auto"/>
              </w:rPr>
            </w:pPr>
            <w:r>
              <w:rPr>
                <w:rFonts w:ascii="Times New Roman" w:cs="Times New Roman" w:eastAsia="Times New Roman" w:hAnsi="Times New Roman"/>
                <w:sz w:val="10"/>
                <w:szCs w:val="10"/>
                <w:b w:val="1"/>
                <w:bCs w:val="1"/>
                <w:color w:val="auto"/>
                <w:w w:val="91"/>
              </w:rPr>
              <w:t>Amount</w:t>
            </w:r>
          </w:p>
        </w:tc>
        <w:tc>
          <w:tcPr>
            <w:tcW w:w="120" w:type="dxa"/>
            <w:vAlign w:val="bottom"/>
          </w:tcPr>
          <w:p>
            <w:pPr>
              <w:spacing w:after="0"/>
              <w:rPr>
                <w:sz w:val="8"/>
                <w:szCs w:val="8"/>
                <w:color w:val="auto"/>
              </w:rPr>
            </w:pPr>
          </w:p>
        </w:tc>
        <w:tc>
          <w:tcPr>
            <w:tcW w:w="660" w:type="dxa"/>
            <w:vAlign w:val="bottom"/>
            <w:tcBorders>
              <w:top w:val="single" w:sz="8" w:color="auto"/>
            </w:tcBorders>
            <w:gridSpan w:val="2"/>
          </w:tcPr>
          <w:p>
            <w:pPr>
              <w:jc w:val="right"/>
              <w:ind w:right="240"/>
              <w:spacing w:after="0" w:line="92" w:lineRule="exact"/>
              <w:rPr>
                <w:sz w:val="20"/>
                <w:szCs w:val="20"/>
                <w:color w:val="auto"/>
              </w:rPr>
            </w:pPr>
            <w:r>
              <w:rPr>
                <w:rFonts w:ascii="Times New Roman" w:cs="Times New Roman" w:eastAsia="Times New Roman" w:hAnsi="Times New Roman"/>
                <w:sz w:val="10"/>
                <w:szCs w:val="10"/>
                <w:b w:val="1"/>
                <w:bCs w:val="1"/>
                <w:color w:val="auto"/>
              </w:rPr>
              <w:t>Shares</w:t>
            </w:r>
          </w:p>
        </w:tc>
        <w:tc>
          <w:tcPr>
            <w:tcW w:w="360" w:type="dxa"/>
            <w:vAlign w:val="bottom"/>
            <w:tcBorders>
              <w:top w:val="single" w:sz="8" w:color="auto"/>
            </w:tcBorders>
            <w:gridSpan w:val="3"/>
          </w:tcPr>
          <w:p>
            <w:pPr>
              <w:ind w:left="20"/>
              <w:spacing w:after="0" w:line="92" w:lineRule="exact"/>
              <w:rPr>
                <w:sz w:val="20"/>
                <w:szCs w:val="20"/>
                <w:color w:val="auto"/>
              </w:rPr>
            </w:pPr>
            <w:r>
              <w:rPr>
                <w:rFonts w:ascii="Times New Roman" w:cs="Times New Roman" w:eastAsia="Times New Roman" w:hAnsi="Times New Roman"/>
                <w:sz w:val="10"/>
                <w:szCs w:val="10"/>
                <w:b w:val="1"/>
                <w:bCs w:val="1"/>
                <w:color w:val="auto"/>
                <w:w w:val="91"/>
              </w:rPr>
              <w:t>Amount</w:t>
            </w:r>
          </w:p>
        </w:tc>
        <w:tc>
          <w:tcPr>
            <w:tcW w:w="1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gridSpan w:val="2"/>
          </w:tcPr>
          <w:p>
            <w:pPr>
              <w:ind w:left="80"/>
              <w:spacing w:after="0" w:line="92" w:lineRule="exact"/>
              <w:rPr>
                <w:sz w:val="20"/>
                <w:szCs w:val="20"/>
                <w:color w:val="auto"/>
              </w:rPr>
            </w:pPr>
            <w:r>
              <w:rPr>
                <w:rFonts w:ascii="Times New Roman" w:cs="Times New Roman" w:eastAsia="Times New Roman" w:hAnsi="Times New Roman"/>
                <w:sz w:val="10"/>
                <w:szCs w:val="10"/>
                <w:b w:val="1"/>
                <w:bCs w:val="1"/>
                <w:color w:val="auto"/>
              </w:rPr>
              <w:t>Shares</w:t>
            </w:r>
          </w:p>
        </w:tc>
        <w:tc>
          <w:tcPr>
            <w:tcW w:w="340" w:type="dxa"/>
            <w:vAlign w:val="bottom"/>
            <w:tcBorders>
              <w:top w:val="single" w:sz="8" w:color="auto"/>
            </w:tcBorders>
            <w:gridSpan w:val="2"/>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w w:val="85"/>
              </w:rPr>
              <w:t>Amount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ind w:left="20"/>
              <w:spacing w:after="0" w:line="92" w:lineRule="exact"/>
              <w:rPr>
                <w:sz w:val="20"/>
                <w:szCs w:val="20"/>
                <w:color w:val="auto"/>
              </w:rPr>
            </w:pPr>
            <w:r>
              <w:rPr>
                <w:rFonts w:ascii="Times New Roman" w:cs="Times New Roman" w:eastAsia="Times New Roman" w:hAnsi="Times New Roman"/>
                <w:sz w:val="10"/>
                <w:szCs w:val="10"/>
                <w:b w:val="1"/>
                <w:bCs w:val="1"/>
                <w:color w:val="auto"/>
              </w:rPr>
              <w:t>capital</w:t>
            </w:r>
          </w:p>
        </w:tc>
        <w:tc>
          <w:tcPr>
            <w:tcW w:w="620" w:type="dxa"/>
            <w:vAlign w:val="bottom"/>
            <w:gridSpan w:val="4"/>
          </w:tcPr>
          <w:p>
            <w:pPr>
              <w:ind w:left="20"/>
              <w:spacing w:after="0" w:line="92"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w w:val="89"/>
              </w:rPr>
              <w:t>stock</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80" w:type="dxa"/>
            <w:vAlign w:val="bottom"/>
            <w:tcBorders>
              <w:top w:val="single" w:sz="8" w:color="CCEEFF"/>
            </w:tcBorders>
            <w:shd w:val="clear" w:color="auto" w:fill="CCEEFF"/>
          </w:tcPr>
          <w:p>
            <w:pPr>
              <w:spacing w:after="0" w:line="114" w:lineRule="exact"/>
              <w:rPr>
                <w:sz w:val="20"/>
                <w:szCs w:val="20"/>
                <w:color w:val="auto"/>
              </w:rPr>
            </w:pPr>
            <w:r>
              <w:rPr>
                <w:rFonts w:ascii="Times New Roman" w:cs="Times New Roman" w:eastAsia="Times New Roman" w:hAnsi="Times New Roman"/>
                <w:sz w:val="11"/>
                <w:szCs w:val="11"/>
                <w:b w:val="1"/>
                <w:bCs w:val="1"/>
                <w:color w:val="auto"/>
              </w:rPr>
              <w:t>Balance at January 1, 2021 (as</w:t>
            </w: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previously reported)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133,216,940</w:t>
            </w:r>
          </w:p>
        </w:tc>
        <w:tc>
          <w:tcPr>
            <w:tcW w:w="100" w:type="dxa"/>
            <w:vAlign w:val="bottom"/>
            <w:shd w:val="clear" w:color="auto" w:fill="CCEEFF"/>
          </w:tcPr>
          <w:p>
            <w:pPr>
              <w:spacing w:after="0"/>
              <w:rPr>
                <w:sz w:val="12"/>
                <w:szCs w:val="12"/>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$ 9,881</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13,326,050</w:t>
            </w:r>
          </w:p>
        </w:tc>
        <w:tc>
          <w:tcPr>
            <w:tcW w:w="6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$ 49,675</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3,991,610</w:t>
            </w:r>
          </w:p>
        </w:tc>
        <w:tc>
          <w:tcPr>
            <w:tcW w:w="6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$ 12,617</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100,223,194</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0.1</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   $</w:t>
            </w: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5,493</w:t>
            </w:r>
          </w:p>
        </w:tc>
        <w:tc>
          <w:tcPr>
            <w:tcW w:w="8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(14,764)</w:t>
            </w: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1"/>
                <w:szCs w:val="11"/>
                <w:color w:val="auto"/>
              </w:rPr>
              <w:t>Retroactive application of</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recapitalization</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w w:val="99"/>
              </w:rPr>
              <w:t>(133,216,940)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w w:val="93"/>
              </w:rPr>
              <w:t>(9,881)</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(13,326,050)</w:t>
            </w:r>
          </w:p>
        </w:tc>
        <w:tc>
          <w:tcPr>
            <w:tcW w:w="540" w:type="dxa"/>
            <w:vAlign w:val="bottom"/>
            <w:gridSpan w:val="4"/>
          </w:tcPr>
          <w:p>
            <w:pPr>
              <w:jc w:val="right"/>
              <w:ind w:right="60"/>
              <w:spacing w:after="0"/>
              <w:rPr>
                <w:sz w:val="20"/>
                <w:szCs w:val="20"/>
                <w:color w:val="auto"/>
              </w:rPr>
            </w:pPr>
            <w:r>
              <w:rPr>
                <w:rFonts w:ascii="Times New Roman" w:cs="Times New Roman" w:eastAsia="Times New Roman" w:hAnsi="Times New Roman"/>
                <w:sz w:val="11"/>
                <w:szCs w:val="11"/>
                <w:color w:val="auto"/>
              </w:rPr>
              <w:t>(49,675)</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(3,991,610)</w:t>
            </w:r>
          </w:p>
        </w:tc>
        <w:tc>
          <w:tcPr>
            <w:tcW w:w="540" w:type="dxa"/>
            <w:vAlign w:val="bottom"/>
            <w:gridSpan w:val="4"/>
          </w:tcPr>
          <w:p>
            <w:pPr>
              <w:jc w:val="right"/>
              <w:ind w:right="80"/>
              <w:spacing w:after="0"/>
              <w:rPr>
                <w:sz w:val="20"/>
                <w:szCs w:val="20"/>
                <w:color w:val="auto"/>
              </w:rPr>
            </w:pPr>
            <w:r>
              <w:rPr>
                <w:rFonts w:ascii="Times New Roman" w:cs="Times New Roman" w:eastAsia="Times New Roman" w:hAnsi="Times New Roman"/>
                <w:sz w:val="11"/>
                <w:szCs w:val="11"/>
                <w:color w:val="auto"/>
              </w:rPr>
              <w:t>(12,617)</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99"/>
              </w:rPr>
              <w:t>(100,223,194)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(0.1)</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8"/>
              </w:rPr>
              <w:t>291,948,352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2"/>
              </w:rPr>
              <w:t>48,450,639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72,139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at January 1, 2021 (as</w:t>
            </w: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adjusted)</w:t>
            </w:r>
          </w:p>
        </w:tc>
        <w:tc>
          <w:tcPr>
            <w:tcW w:w="700" w:type="dxa"/>
            <w:vAlign w:val="bottom"/>
            <w:gridSpan w:val="2"/>
            <w:shd w:val="clear" w:color="auto" w:fill="CCEEFF"/>
          </w:tcPr>
          <w:p>
            <w:pPr>
              <w:jc w:val="center"/>
              <w:ind w:left="227"/>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680" w:type="dxa"/>
            <w:vAlign w:val="bottom"/>
            <w:gridSpan w:val="2"/>
            <w:shd w:val="clear" w:color="auto" w:fill="CCEEFF"/>
          </w:tcPr>
          <w:p>
            <w:pPr>
              <w:jc w:val="center"/>
              <w:ind w:left="267"/>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291,948,352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w w:val="92"/>
              </w:rPr>
              <w:t>48,450,639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77,632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(14,764)</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 for</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stock option exercises</w:t>
            </w:r>
          </w:p>
        </w:tc>
        <w:tc>
          <w:tcPr>
            <w:tcW w:w="700" w:type="dxa"/>
            <w:vAlign w:val="bottom"/>
            <w:gridSpan w:val="2"/>
          </w:tcPr>
          <w:p>
            <w:pPr>
              <w:jc w:val="center"/>
              <w:ind w:left="227"/>
              <w:spacing w:after="0"/>
              <w:rPr>
                <w:sz w:val="20"/>
                <w:szCs w:val="20"/>
                <w:color w:val="auto"/>
              </w:rPr>
            </w:pPr>
            <w:r>
              <w:rPr>
                <w:rFonts w:ascii="Times New Roman" w:cs="Times New Roman" w:eastAsia="Times New Roman" w:hAnsi="Times New Roman"/>
                <w:sz w:val="11"/>
                <w:szCs w:val="11"/>
                <w:color w:val="auto"/>
                <w:w w:val="90"/>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w w:val="90"/>
              </w:rPr>
              <w:t>—</w:t>
            </w:r>
          </w:p>
        </w:tc>
        <w:tc>
          <w:tcPr>
            <w:tcW w:w="680" w:type="dxa"/>
            <w:vAlign w:val="bottom"/>
            <w:gridSpan w:val="2"/>
          </w:tcPr>
          <w:p>
            <w:pPr>
              <w:jc w:val="center"/>
              <w:ind w:left="267"/>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1,427,875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Stockholder loans interest</w:t>
            </w:r>
          </w:p>
        </w:tc>
        <w:tc>
          <w:tcPr>
            <w:tcW w:w="700" w:type="dxa"/>
            <w:vAlign w:val="bottom"/>
            <w:gridSpan w:val="2"/>
            <w:shd w:val="clear" w:color="auto" w:fill="CCEEFF"/>
          </w:tcPr>
          <w:p>
            <w:pPr>
              <w:jc w:val="center"/>
              <w:ind w:left="227"/>
              <w:spacing w:after="0"/>
              <w:rPr>
                <w:sz w:val="20"/>
                <w:szCs w:val="20"/>
                <w:color w:val="auto"/>
              </w:rPr>
            </w:pPr>
            <w:r>
              <w:rPr>
                <w:rFonts w:ascii="Times New Roman" w:cs="Times New Roman" w:eastAsia="Times New Roman" w:hAnsi="Times New Roman"/>
                <w:sz w:val="11"/>
                <w:szCs w:val="11"/>
                <w:color w:val="auto"/>
                <w:w w:val="90"/>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w w:val="90"/>
              </w:rPr>
              <w:t>—</w:t>
            </w:r>
          </w:p>
        </w:tc>
        <w:tc>
          <w:tcPr>
            <w:tcW w:w="680" w:type="dxa"/>
            <w:vAlign w:val="bottom"/>
            <w:gridSpan w:val="2"/>
            <w:shd w:val="clear" w:color="auto" w:fill="CCEEFF"/>
          </w:tcPr>
          <w:p>
            <w:pPr>
              <w:jc w:val="center"/>
              <w:ind w:left="267"/>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(68)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1"/>
                <w:szCs w:val="11"/>
                <w:color w:val="auto"/>
              </w:rPr>
              <w:t>Stock-based compensation</w:t>
            </w:r>
          </w:p>
        </w:tc>
        <w:tc>
          <w:tcPr>
            <w:tcW w:w="700" w:type="dxa"/>
            <w:vAlign w:val="bottom"/>
            <w:gridSpan w:val="2"/>
          </w:tcPr>
          <w:p>
            <w:pPr>
              <w:jc w:val="center"/>
              <w:ind w:left="227"/>
              <w:spacing w:after="0"/>
              <w:rPr>
                <w:sz w:val="20"/>
                <w:szCs w:val="20"/>
                <w:color w:val="auto"/>
              </w:rPr>
            </w:pPr>
            <w:r>
              <w:rPr>
                <w:rFonts w:ascii="Times New Roman" w:cs="Times New Roman" w:eastAsia="Times New Roman" w:hAnsi="Times New Roman"/>
                <w:sz w:val="11"/>
                <w:szCs w:val="11"/>
                <w:color w:val="auto"/>
                <w:w w:val="90"/>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w w:val="90"/>
              </w:rPr>
              <w:t>—</w:t>
            </w:r>
          </w:p>
        </w:tc>
        <w:tc>
          <w:tcPr>
            <w:tcW w:w="680" w:type="dxa"/>
            <w:vAlign w:val="bottom"/>
            <w:gridSpan w:val="2"/>
          </w:tcPr>
          <w:p>
            <w:pPr>
              <w:jc w:val="center"/>
              <w:ind w:left="267"/>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600" w:type="dxa"/>
            <w:vAlign w:val="bottom"/>
            <w:tcBorders>
              <w:bottom w:val="single" w:sz="8" w:color="auto"/>
            </w:tcBorders>
            <w:shd w:val="clear" w:color="auto" w:fill="CCEEFF"/>
          </w:tcPr>
          <w:p>
            <w:pPr>
              <w:jc w:val="center"/>
              <w:ind w:left="327"/>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center"/>
              <w:ind w:left="347"/>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3"/>
        </w:trPr>
        <w:tc>
          <w:tcPr>
            <w:tcW w:w="16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Balance at March 31, 2021</w:t>
            </w:r>
          </w:p>
        </w:tc>
        <w:tc>
          <w:tcPr>
            <w:tcW w:w="700" w:type="dxa"/>
            <w:vAlign w:val="bottom"/>
            <w:gridSpan w:val="2"/>
          </w:tcPr>
          <w:p>
            <w:pPr>
              <w:jc w:val="center"/>
              <w:ind w:left="227"/>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gridSpan w:val="2"/>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gridSpan w:val="2"/>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680" w:type="dxa"/>
            <w:vAlign w:val="bottom"/>
            <w:gridSpan w:val="2"/>
          </w:tcPr>
          <w:p>
            <w:pPr>
              <w:jc w:val="center"/>
              <w:ind w:left="267"/>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293,376,227</w:t>
            </w:r>
          </w:p>
        </w:tc>
        <w:tc>
          <w:tcPr>
            <w:tcW w:w="80" w:type="dxa"/>
            <w:vAlign w:val="bottom"/>
          </w:tcPr>
          <w:p>
            <w:pPr>
              <w:spacing w:after="0"/>
              <w:rPr>
                <w:sz w:val="11"/>
                <w:szCs w:val="11"/>
                <w:color w:val="auto"/>
              </w:rPr>
            </w:pP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29</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92"/>
              </w:rPr>
              <w:t>48,450,639</w:t>
            </w:r>
          </w:p>
        </w:tc>
        <w:tc>
          <w:tcPr>
            <w:tcW w:w="100" w:type="dxa"/>
            <w:vAlign w:val="bottom"/>
          </w:tcPr>
          <w:p>
            <w:pPr>
              <w:spacing w:after="0"/>
              <w:rPr>
                <w:sz w:val="11"/>
                <w:szCs w:val="11"/>
                <w:color w:val="auto"/>
              </w:rPr>
            </w:pPr>
          </w:p>
        </w:tc>
        <w:tc>
          <w:tcPr>
            <w:tcW w:w="100" w:type="dxa"/>
            <w:vAlign w:val="bottom"/>
          </w:tcPr>
          <w:p>
            <w:pPr>
              <w:jc w:val="right"/>
              <w:ind w:right="2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79,921</w:t>
            </w:r>
          </w:p>
        </w:tc>
        <w:tc>
          <w:tcPr>
            <w:tcW w:w="80" w:type="dxa"/>
            <w:vAlign w:val="bottom"/>
          </w:tcPr>
          <w:p>
            <w:pPr>
              <w:spacing w:after="0"/>
              <w:rPr>
                <w:sz w:val="11"/>
                <w:szCs w:val="11"/>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(14,832) $</w:t>
            </w: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See accompanying notes to the condensed consolidated financial statements.</w:t>
      </w:r>
    </w:p>
    <w:p>
      <w:pPr>
        <w:spacing w:after="0" w:line="10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360"/>
          </w:cols>
          <w:pgMar w:left="300" w:top="399"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179705</wp:posOffset>
            </wp:positionV>
            <wp:extent cx="7204075" cy="577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4075" cy="57785"/>
                    </a:xfrm>
                    <a:prstGeom prst="rect">
                      <a:avLst/>
                    </a:prstGeom>
                    <a:noFill/>
                  </pic:spPr>
                </pic:pic>
              </a:graphicData>
            </a:graphic>
          </wp:anchor>
        </w:drawing>
        <w:t>Table of Contents</w:t>
      </w:r>
    </w:p>
    <w:p>
      <w:pPr>
        <w:spacing w:after="0" w:line="2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Dave Inc. and Subsidiaries</w:t>
      </w:r>
    </w:p>
    <w:p>
      <w:pPr>
        <w:spacing w:after="0" w:line="1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76"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0"/>
          <w:szCs w:val="10"/>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4845050</wp:posOffset>
            </wp:positionH>
            <wp:positionV relativeFrom="paragraph">
              <wp:posOffset>10160</wp:posOffset>
            </wp:positionV>
            <wp:extent cx="134239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42390" cy="6350"/>
                    </a:xfrm>
                    <a:prstGeom prst="rect">
                      <a:avLst/>
                    </a:prstGeom>
                    <a:noFill/>
                  </pic:spPr>
                </pic:pic>
              </a:graphicData>
            </a:graphic>
          </wp:anchor>
        </w:drawing>
      </w:r>
    </w:p>
    <w:p>
      <w:pPr>
        <w:ind w:left="794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2022</w:t>
      </w:r>
      <w:r>
        <w:rPr>
          <w:sz w:val="20"/>
          <w:szCs w:val="20"/>
          <w:color w:val="auto"/>
        </w:rPr>
        <w:tab/>
      </w:r>
      <w:r>
        <w:rPr>
          <w:rFonts w:ascii="Times New Roman" w:cs="Times New Roman" w:eastAsia="Times New Roman" w:hAnsi="Times New Roman"/>
          <w:sz w:val="11"/>
          <w:szCs w:val="11"/>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4845050</wp:posOffset>
            </wp:positionH>
            <wp:positionV relativeFrom="paragraph">
              <wp:posOffset>-2540</wp:posOffset>
            </wp:positionV>
            <wp:extent cx="134239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42390" cy="6350"/>
                    </a:xfrm>
                    <a:prstGeom prst="rect">
                      <a:avLst/>
                    </a:prstGeom>
                    <a:noFill/>
                  </pic:spPr>
                </pic:pic>
              </a:graphicData>
            </a:graphic>
          </wp:anchor>
        </w:drawing>
      </w:r>
    </w:p>
    <w:p>
      <w:pPr>
        <w:jc w:val="right"/>
        <w:ind w:right="539"/>
        <w:spacing w:after="0"/>
        <w:tabs>
          <w:tab w:leader="none" w:pos="600" w:val="left"/>
        </w:tabs>
        <w:rPr>
          <w:sz w:val="20"/>
          <w:szCs w:val="20"/>
          <w:color w:val="auto"/>
        </w:rPr>
      </w:pPr>
      <w:r>
        <w:rPr>
          <w:rFonts w:ascii="Times New Roman" w:cs="Times New Roman" w:eastAsia="Times New Roman" w:hAnsi="Times New Roman"/>
          <w:sz w:val="11"/>
          <w:szCs w:val="11"/>
          <w:b w:val="1"/>
          <w:bCs w:val="1"/>
          <w:color w:val="auto"/>
        </w:rPr>
        <w:t>(As Restated)</w:t>
      </w:r>
      <w:r>
        <w:rPr>
          <w:sz w:val="20"/>
          <w:szCs w:val="20"/>
          <w:color w:val="auto"/>
        </w:rPr>
        <w:tab/>
      </w:r>
      <w:r>
        <w:rPr>
          <w:rFonts w:ascii="Times New Roman" w:cs="Times New Roman" w:eastAsia="Times New Roman" w:hAnsi="Times New Roman"/>
          <w:sz w:val="10"/>
          <w:szCs w:val="10"/>
          <w:b w:val="1"/>
          <w:bCs w:val="1"/>
          <w:color w:val="auto"/>
        </w:rPr>
        <w:t>(As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-1270</wp:posOffset>
            </wp:positionV>
            <wp:extent cx="5291455" cy="97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91455" cy="97155"/>
                    </a:xfrm>
                    <a:prstGeom prst="rect">
                      <a:avLst/>
                    </a:prstGeom>
                    <a:noFill/>
                  </pic:spPr>
                </pic:pic>
              </a:graphicData>
            </a:graphic>
          </wp:anchor>
        </w:drawing>
      </w:r>
    </w:p>
    <w:p>
      <w:pPr>
        <w:ind w:left="1480"/>
        <w:spacing w:after="0"/>
        <w:rPr>
          <w:sz w:val="20"/>
          <w:szCs w:val="20"/>
          <w:color w:val="auto"/>
        </w:rPr>
      </w:pPr>
      <w:r>
        <w:rPr>
          <w:rFonts w:ascii="Times New Roman" w:cs="Times New Roman" w:eastAsia="Times New Roman" w:hAnsi="Times New Roman"/>
          <w:sz w:val="12"/>
          <w:szCs w:val="12"/>
          <w:b w:val="1"/>
          <w:bCs w:val="1"/>
          <w:color w:val="auto"/>
        </w:rPr>
        <w:t>Operating activities</w:t>
      </w:r>
    </w:p>
    <w:p>
      <w:pPr>
        <w:sectPr>
          <w:pgSz w:w="11900" w:h="16838" w:orient="portrait"/>
          <w:cols w:equalWidth="0" w:num="1">
            <w:col w:w="10159"/>
          </w:cols>
          <w:pgMar w:left="300" w:top="562" w:right="1440" w:bottom="1440" w:gutter="0" w:footer="0" w:header="0"/>
        </w:sectPr>
      </w:pPr>
    </w:p>
    <w:p>
      <w:pPr>
        <w:spacing w:after="0" w:line="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color w:val="auto"/>
        </w:rPr>
        <w:t>Net (loss) income</w:t>
      </w:r>
    </w:p>
    <w:p>
      <w:pPr>
        <w:spacing w:after="0" w:line="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b w:val="1"/>
          <w:bCs w:val="1"/>
          <w:color w:val="auto"/>
        </w:rPr>
        <w:t>Adjustments to reconcile net (loss) income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-78740</wp:posOffset>
            </wp:positionV>
            <wp:extent cx="5291455" cy="97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91455" cy="97155"/>
                    </a:xfrm>
                    <a:prstGeom prst="rect">
                      <a:avLst/>
                    </a:prstGeom>
                    <a:noFill/>
                  </pic:spPr>
                </pic:pic>
              </a:graphicData>
            </a:graphic>
          </wp:anchor>
        </w:drawing>
      </w:r>
    </w:p>
    <w:p>
      <w:pPr>
        <w:spacing w:after="0" w:line="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Depreciation and amortization</w:t>
      </w:r>
    </w:p>
    <w:p>
      <w:pPr>
        <w:spacing w:after="0" w:line="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Provision for unrecoverable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-83820</wp:posOffset>
            </wp:positionV>
            <wp:extent cx="5291455" cy="97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91455" cy="9715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2"/>
          <w:szCs w:val="12"/>
          <w:color w:val="auto"/>
        </w:rPr>
        <w:t>Changes in fair value of derivative assets</w:t>
      </w:r>
    </w:p>
    <w:p>
      <w:pPr>
        <w:spacing w:after="0" w:line="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Changes in fair value of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-83820</wp:posOffset>
            </wp:positionV>
            <wp:extent cx="5291455" cy="97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91455" cy="9715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2"/>
          <w:szCs w:val="12"/>
          <w:color w:val="auto"/>
        </w:rPr>
        <w:t>Changes in fair value of earnout liabilities</w:t>
      </w:r>
    </w:p>
    <w:p>
      <w:pPr>
        <w:spacing w:after="0" w:line="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-83820</wp:posOffset>
            </wp:positionV>
            <wp:extent cx="5291455" cy="97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91455" cy="9715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2"/>
          <w:szCs w:val="12"/>
          <w:color w:val="auto"/>
        </w:rPr>
        <w:t>Non-cash interest</w:t>
      </w:r>
    </w:p>
    <w:p>
      <w:pPr>
        <w:spacing w:after="0" w:line="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Non-cash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-83820</wp:posOffset>
            </wp:positionV>
            <wp:extent cx="5291455" cy="97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91455" cy="9715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2"/>
          <w:szCs w:val="12"/>
          <w:color w:val="auto"/>
        </w:rPr>
        <w:t>Changes in fair value of marketable securities</w:t>
      </w:r>
    </w:p>
    <w:p>
      <w:pPr>
        <w:spacing w:after="0" w:line="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b w:val="1"/>
          <w:bCs w:val="1"/>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-83820</wp:posOffset>
            </wp:positionV>
            <wp:extent cx="5291455" cy="97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91455" cy="9715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2"/>
          <w:szCs w:val="12"/>
          <w:color w:val="auto"/>
        </w:rPr>
        <w:t>Member advances, service revenue</w:t>
      </w:r>
    </w:p>
    <w:p>
      <w:pPr>
        <w:spacing w:after="0" w:line="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Prepaid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-83820</wp:posOffset>
            </wp:positionV>
            <wp:extent cx="5291455" cy="97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91455" cy="9715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2"/>
          <w:szCs w:val="12"/>
          <w:color w:val="auto"/>
        </w:rPr>
        <w:t>Prepaid expenses and other current assets</w:t>
      </w:r>
    </w:p>
    <w:p>
      <w:pPr>
        <w:spacing w:after="0" w:line="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-83820</wp:posOffset>
            </wp:positionV>
            <wp:extent cx="5291455" cy="971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91455" cy="9715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2"/>
          <w:szCs w:val="12"/>
          <w:color w:val="auto"/>
        </w:rPr>
        <w:t>Accrued expenses</w:t>
      </w:r>
    </w:p>
    <w:p>
      <w:pPr>
        <w:spacing w:after="0" w:line="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-83820</wp:posOffset>
            </wp:positionV>
            <wp:extent cx="5291455" cy="971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91455" cy="9715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2"/>
          <w:szCs w:val="12"/>
          <w:color w:val="auto"/>
        </w:rPr>
        <w:t>Legal settlement accrual</w:t>
      </w:r>
    </w:p>
    <w:p>
      <w:pPr>
        <w:spacing w:after="0" w:line="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-83820</wp:posOffset>
            </wp:positionV>
            <wp:extent cx="5291455" cy="971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91455" cy="9715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2"/>
          <w:szCs w:val="12"/>
          <w:color w:val="auto"/>
        </w:rPr>
        <w:t>Other non-current liabilities</w:t>
      </w:r>
    </w:p>
    <w:p>
      <w:pPr>
        <w:spacing w:after="0" w:line="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Interest payable,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-83820</wp:posOffset>
            </wp:positionV>
            <wp:extent cx="5291455" cy="971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91455" cy="971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b w:val="1"/>
          <w:bCs w:val="1"/>
          <w:color w:val="auto"/>
        </w:rPr>
        <w:t>Net cash used in operating activities</w:t>
      </w:r>
    </w:p>
    <w:p>
      <w:pPr>
        <w:spacing w:after="0" w:line="3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-78740</wp:posOffset>
            </wp:positionV>
            <wp:extent cx="5291455" cy="971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91455" cy="97155"/>
                    </a:xfrm>
                    <a:prstGeom prst="rect">
                      <a:avLst/>
                    </a:prstGeom>
                    <a:noFill/>
                  </pic:spPr>
                </pic:pic>
              </a:graphicData>
            </a:graphic>
          </wp:anchor>
        </w:drawing>
      </w:r>
    </w:p>
    <w:p>
      <w:pPr>
        <w:spacing w:after="0" w:line="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Payments for internally developed software costs</w:t>
      </w:r>
    </w:p>
    <w:p>
      <w:pPr>
        <w:spacing w:after="0" w:line="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Purchase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-83820</wp:posOffset>
            </wp:positionV>
            <wp:extent cx="5291455" cy="971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91455" cy="9715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2"/>
          <w:szCs w:val="12"/>
          <w:color w:val="auto"/>
        </w:rPr>
        <w:t>Net disbursements and collections of Member advances</w:t>
      </w:r>
    </w:p>
    <w:p>
      <w:pPr>
        <w:spacing w:after="0" w:line="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Purchase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-83820</wp:posOffset>
            </wp:positionV>
            <wp:extent cx="5291455" cy="971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91455" cy="9715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2"/>
          <w:szCs w:val="12"/>
          <w:color w:val="auto"/>
        </w:rPr>
        <w:t>Sale of marketable securities</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b w:val="1"/>
          <w:bCs w:val="1"/>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-78740</wp:posOffset>
            </wp:positionV>
            <wp:extent cx="5291455" cy="971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91455" cy="97155"/>
                    </a:xfrm>
                    <a:prstGeom prst="rect">
                      <a:avLst/>
                    </a:prstGeom>
                    <a:noFill/>
                  </pic:spPr>
                </pic:pic>
              </a:graphicData>
            </a:graphic>
          </wp:anchor>
        </w:drawing>
      </w:r>
    </w:p>
    <w:p>
      <w:pPr>
        <w:spacing w:after="0" w:line="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b w:val="1"/>
          <w:bCs w:val="1"/>
          <w:color w:val="auto"/>
        </w:rPr>
        <w:t>Financing activities</w:t>
      </w:r>
    </w:p>
    <w:p>
      <w:pPr>
        <w:spacing w:after="0" w:line="2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Repayment on 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-83820</wp:posOffset>
            </wp:positionV>
            <wp:extent cx="5291455" cy="971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91455" cy="9715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2"/>
          <w:szCs w:val="12"/>
          <w:color w:val="auto"/>
        </w:rPr>
        <w:t>Proceeds from PIPE offering</w:t>
      </w:r>
    </w:p>
    <w:p>
      <w:pPr>
        <w:spacing w:after="0" w:line="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Proceeds from escrow account, net of redemptions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-83820</wp:posOffset>
            </wp:positionV>
            <wp:extent cx="5291455" cy="971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91455" cy="9715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2"/>
          <w:szCs w:val="12"/>
          <w:color w:val="auto"/>
        </w:rPr>
        <w:t>Payment of issuance costs</w:t>
      </w:r>
    </w:p>
    <w:p>
      <w:pPr>
        <w:spacing w:after="0" w:line="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Proceeds from issuance of common stock for stock option exercises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-83820</wp:posOffset>
            </wp:positionV>
            <wp:extent cx="5291455" cy="971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91455" cy="9715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2"/>
          <w:szCs w:val="12"/>
          <w:color w:val="auto"/>
        </w:rPr>
        <w:t>Repurchase of common stock</w:t>
      </w:r>
    </w:p>
    <w:p>
      <w:pPr>
        <w:spacing w:after="0" w:line="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Proceeds from borrowings on convertible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-83820</wp:posOffset>
            </wp:positionV>
            <wp:extent cx="5291455" cy="971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91455" cy="9715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2"/>
          <w:szCs w:val="12"/>
          <w:color w:val="auto"/>
        </w:rPr>
        <w:t>Proceeds from borrowings on debt and credit facilities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(32,795)</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3,952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2,812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13,785</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3,538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5,572</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(17,146)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4,065</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2,186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(2,040)</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3,190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(63)</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(23)</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(1,618)</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22</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788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(4,847)</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(497)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2,489</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238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(1,039)</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(125)</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(321)</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(1,450)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(12,512)</w:t>
            </w:r>
          </w:p>
        </w:tc>
        <w:tc>
          <w:tcPr>
            <w:tcW w:w="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(1,680</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(2,258)</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(3,298)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(228)</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(24,967)</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4,299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(302,115)</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32,000</w:t>
            </w: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(297,568)</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4,909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—(3,910)</w:t>
      </w:r>
    </w:p>
    <w:p>
      <w:pPr>
        <w:spacing w:after="0" w:line="41" w:lineRule="exact"/>
        <w:rPr>
          <w:sz w:val="20"/>
          <w:szCs w:val="20"/>
          <w:color w:val="auto"/>
        </w:rPr>
      </w:pPr>
    </w:p>
    <w:p>
      <w:pPr>
        <w:ind w:left="460"/>
        <w:spacing w:after="0" w:line="230" w:lineRule="auto"/>
        <w:rPr>
          <w:sz w:val="20"/>
          <w:szCs w:val="20"/>
          <w:color w:val="auto"/>
        </w:rPr>
      </w:pPr>
      <w:r>
        <w:rPr>
          <w:rFonts w:ascii="Times New Roman" w:cs="Times New Roman" w:eastAsia="Times New Roman" w:hAnsi="Times New Roman"/>
          <w:sz w:val="12"/>
          <w:szCs w:val="12"/>
          <w:color w:val="auto"/>
        </w:rPr>
        <w:t>195,000—</w:t>
      </w:r>
    </w:p>
    <w:p>
      <w:pPr>
        <w:spacing w:after="0" w:line="15" w:lineRule="exact"/>
        <w:rPr>
          <w:sz w:val="20"/>
          <w:szCs w:val="20"/>
          <w:color w:val="auto"/>
        </w:rPr>
      </w:pPr>
    </w:p>
    <w:p>
      <w:pPr>
        <w:ind w:left="520"/>
        <w:spacing w:after="0" w:line="230" w:lineRule="auto"/>
        <w:rPr>
          <w:sz w:val="20"/>
          <w:szCs w:val="20"/>
          <w:color w:val="auto"/>
        </w:rPr>
      </w:pPr>
      <w:r>
        <w:rPr>
          <w:rFonts w:ascii="Times New Roman" w:cs="Times New Roman" w:eastAsia="Times New Roman" w:hAnsi="Times New Roman"/>
          <w:sz w:val="12"/>
          <w:szCs w:val="12"/>
          <w:color w:val="auto"/>
        </w:rPr>
        <w:t>29,688—</w:t>
      </w:r>
    </w:p>
    <w:p>
      <w:pPr>
        <w:spacing w:after="0" w:line="3" w:lineRule="exact"/>
        <w:rPr>
          <w:sz w:val="20"/>
          <w:szCs w:val="20"/>
          <w:color w:val="auto"/>
        </w:rPr>
      </w:pPr>
    </w:p>
    <w:p>
      <w:pPr>
        <w:ind w:left="480"/>
        <w:spacing w:after="0"/>
        <w:tabs>
          <w:tab w:leader="none" w:pos="1880" w:val="left"/>
        </w:tabs>
        <w:rPr>
          <w:sz w:val="20"/>
          <w:szCs w:val="20"/>
          <w:color w:val="auto"/>
        </w:rPr>
      </w:pPr>
      <w:r>
        <w:rPr>
          <w:rFonts w:ascii="Times New Roman" w:cs="Times New Roman" w:eastAsia="Times New Roman" w:hAnsi="Times New Roman"/>
          <w:sz w:val="12"/>
          <w:szCs w:val="12"/>
          <w:color w:val="auto"/>
        </w:rPr>
        <w:t>(22,944)</w:t>
      </w:r>
      <w:r>
        <w:rPr>
          <w:sz w:val="20"/>
          <w:szCs w:val="20"/>
          <w:color w:val="auto"/>
        </w:rPr>
        <w:tab/>
      </w:r>
      <w:r>
        <w:rPr>
          <w:rFonts w:ascii="Times New Roman" w:cs="Times New Roman" w:eastAsia="Times New Roman" w:hAnsi="Times New Roman"/>
          <w:sz w:val="12"/>
          <w:szCs w:val="12"/>
          <w:color w:val="auto"/>
        </w:rPr>
        <w:t>(120)</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138"/>
        </w:trPr>
        <w:tc>
          <w:tcPr>
            <w:tcW w:w="960" w:type="dxa"/>
            <w:vAlign w:val="bottom"/>
          </w:tcPr>
          <w:p>
            <w:pPr>
              <w:jc w:val="right"/>
              <w:ind w:right="499"/>
              <w:spacing w:after="0"/>
              <w:rPr>
                <w:sz w:val="20"/>
                <w:szCs w:val="20"/>
                <w:color w:val="auto"/>
              </w:rPr>
            </w:pPr>
            <w:r>
              <w:rPr>
                <w:rFonts w:ascii="Times New Roman" w:cs="Times New Roman" w:eastAsia="Times New Roman" w:hAnsi="Times New Roman"/>
                <w:sz w:val="12"/>
                <w:szCs w:val="12"/>
                <w:color w:val="auto"/>
              </w:rPr>
              <w:t>1,563</w:t>
            </w:r>
          </w:p>
        </w:tc>
        <w:tc>
          <w:tcPr>
            <w:tcW w:w="700" w:type="dxa"/>
            <w:vAlign w:val="bottom"/>
          </w:tcPr>
          <w:p>
            <w:pPr>
              <w:ind w:left="520"/>
              <w:spacing w:after="0"/>
              <w:rPr>
                <w:sz w:val="20"/>
                <w:szCs w:val="20"/>
                <w:color w:val="auto"/>
              </w:rPr>
            </w:pPr>
            <w:r>
              <w:rPr>
                <w:rFonts w:ascii="Times New Roman" w:cs="Times New Roman" w:eastAsia="Times New Roman" w:hAnsi="Times New Roman"/>
                <w:sz w:val="12"/>
                <w:szCs w:val="12"/>
                <w:color w:val="auto"/>
                <w:w w:val="88"/>
              </w:rPr>
              <w:t>599</w:t>
            </w:r>
          </w:p>
        </w:tc>
      </w:tr>
      <w:tr>
        <w:trPr>
          <w:trHeight w:val="153"/>
        </w:trPr>
        <w:tc>
          <w:tcPr>
            <w:tcW w:w="960" w:type="dxa"/>
            <w:vAlign w:val="bottom"/>
          </w:tcPr>
          <w:p>
            <w:pPr>
              <w:jc w:val="right"/>
              <w:ind w:right="459"/>
              <w:spacing w:after="0"/>
              <w:rPr>
                <w:sz w:val="20"/>
                <w:szCs w:val="20"/>
                <w:color w:val="auto"/>
              </w:rPr>
            </w:pPr>
            <w:r>
              <w:rPr>
                <w:rFonts w:ascii="Times New Roman" w:cs="Times New Roman" w:eastAsia="Times New Roman" w:hAnsi="Times New Roman"/>
                <w:sz w:val="12"/>
                <w:szCs w:val="12"/>
                <w:color w:val="auto"/>
              </w:rPr>
              <w:t>(1,583)</w:t>
            </w:r>
          </w:p>
        </w:tc>
        <w:tc>
          <w:tcPr>
            <w:tcW w:w="7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w:t>
            </w:r>
          </w:p>
        </w:tc>
      </w:tr>
      <w:tr>
        <w:trPr>
          <w:trHeight w:val="167"/>
        </w:trPr>
        <w:tc>
          <w:tcPr>
            <w:tcW w:w="960" w:type="dxa"/>
            <w:vAlign w:val="bottom"/>
          </w:tcPr>
          <w:p>
            <w:pPr>
              <w:jc w:val="right"/>
              <w:ind w:right="499"/>
              <w:spacing w:after="0"/>
              <w:rPr>
                <w:sz w:val="20"/>
                <w:szCs w:val="20"/>
                <w:color w:val="auto"/>
              </w:rPr>
            </w:pPr>
            <w:r>
              <w:rPr>
                <w:rFonts w:ascii="Times New Roman" w:cs="Times New Roman" w:eastAsia="Times New Roman" w:hAnsi="Times New Roman"/>
                <w:sz w:val="12"/>
                <w:szCs w:val="12"/>
                <w:color w:val="auto"/>
                <w:w w:val="97"/>
              </w:rPr>
              <w:t>100,000</w:t>
            </w:r>
          </w:p>
        </w:tc>
        <w:tc>
          <w:tcPr>
            <w:tcW w:w="7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w:t>
            </w:r>
          </w:p>
        </w:tc>
      </w:tr>
    </w:tbl>
    <w:p>
      <w:pPr>
        <w:ind w:left="660"/>
        <w:spacing w:after="0"/>
        <w:rPr>
          <w:sz w:val="20"/>
          <w:szCs w:val="20"/>
          <w:color w:val="auto"/>
        </w:rPr>
      </w:pPr>
      <w:r>
        <w:rPr>
          <w:rFonts w:ascii="Times New Roman" w:cs="Times New Roman" w:eastAsia="Times New Roman" w:hAnsi="Times New Roman"/>
          <w:sz w:val="12"/>
          <w:szCs w:val="12"/>
          <w:color w:val="auto"/>
        </w:rPr>
        <w:t>—19,000</w:t>
      </w:r>
    </w:p>
    <w:p>
      <w:pPr>
        <w:spacing w:after="0" w:line="12" w:lineRule="exact"/>
        <w:rPr>
          <w:sz w:val="20"/>
          <w:szCs w:val="20"/>
          <w:color w:val="auto"/>
        </w:rPr>
      </w:pPr>
    </w:p>
    <w:p>
      <w:pPr>
        <w:sectPr>
          <w:pgSz w:w="11900" w:h="16838" w:orient="portrait"/>
          <w:cols w:equalWidth="0" w:num="2">
            <w:col w:w="6900" w:space="720"/>
            <w:col w:w="2539"/>
          </w:cols>
          <w:pgMar w:left="300" w:top="562" w:right="1440" w:bottom="1440" w:gutter="0" w:footer="0" w:header="0"/>
          <w:type w:val="continuous"/>
        </w:sectPr>
      </w:pPr>
    </w:p>
    <w:tbl>
      <w:tblPr>
        <w:tblLayout w:type="fixed"/>
        <w:tblInd w:w="148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cash provided by financing activities</w:t>
            </w:r>
          </w:p>
        </w:tc>
        <w:tc>
          <w:tcPr>
            <w:tcW w:w="280" w:type="dxa"/>
            <w:vAlign w:val="bottom"/>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301,724</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15,569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(decrease) increase in cash and cash equivalents and restricted cash</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(8,356)</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18,798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 and restricted cash, beginning of the period</w:t>
            </w:r>
          </w:p>
        </w:tc>
        <w:tc>
          <w:tcPr>
            <w:tcW w:w="2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32,372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and restricted cash, end of the period</w:t>
            </w:r>
          </w:p>
        </w:tc>
        <w:tc>
          <w:tcPr>
            <w:tcW w:w="280" w:type="dxa"/>
            <w:vAlign w:val="bottom"/>
          </w:tcPr>
          <w:p>
            <w:pPr>
              <w:spacing w:after="0"/>
              <w:rPr>
                <w:sz w:val="13"/>
                <w:szCs w:val="13"/>
                <w:color w:val="auto"/>
              </w:rPr>
            </w:pPr>
          </w:p>
        </w:tc>
        <w:tc>
          <w:tcPr>
            <w:tcW w:w="2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24,016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23,867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58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Supplemental disclosure of non-cash investing and financing activities:</w:t>
            </w: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Conversion of convertible preferred stock to Class A common stock in connection with the reverse</w:t>
            </w:r>
          </w:p>
        </w:tc>
        <w:tc>
          <w:tcPr>
            <w:tcW w:w="520" w:type="dxa"/>
            <w:vAlign w:val="bottom"/>
            <w:gridSpan w:val="2"/>
            <w:vMerge w:val="restart"/>
          </w:tcPr>
          <w:p>
            <w:pPr>
              <w:jc w:val="right"/>
              <w:ind w:right="174"/>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2"/>
            <w:vMerge w:val="restart"/>
          </w:tcPr>
          <w:p>
            <w:pPr>
              <w:jc w:val="right"/>
              <w:ind w:right="164"/>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86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recapitalization</w:t>
            </w:r>
          </w:p>
        </w:tc>
        <w:tc>
          <w:tcPr>
            <w:tcW w:w="520" w:type="dxa"/>
            <w:vAlign w:val="bottom"/>
            <w:gridSpan w:val="2"/>
            <w:vMerge w:val="continue"/>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72,173</w:t>
            </w:r>
          </w:p>
        </w:tc>
        <w:tc>
          <w:tcPr>
            <w:tcW w:w="22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Recapitalization transaction costs liability incurred</w:t>
            </w:r>
          </w:p>
        </w:tc>
        <w:tc>
          <w:tcPr>
            <w:tcW w:w="520" w:type="dxa"/>
            <w:vAlign w:val="bottom"/>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7,500</w:t>
            </w:r>
          </w:p>
        </w:tc>
        <w:tc>
          <w:tcPr>
            <w:tcW w:w="2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Conversion of convertible notes and accrued interest to Class A common stock in connection with the reverse</w:t>
            </w:r>
          </w:p>
        </w:tc>
        <w:tc>
          <w:tcPr>
            <w:tcW w:w="520" w:type="dxa"/>
            <w:vAlign w:val="bottom"/>
            <w:gridSpan w:val="2"/>
            <w:vMerge w:val="restart"/>
          </w:tcPr>
          <w:p>
            <w:pPr>
              <w:jc w:val="right"/>
              <w:ind w:right="174"/>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2"/>
            <w:vMerge w:val="restart"/>
          </w:tcPr>
          <w:p>
            <w:pPr>
              <w:jc w:val="right"/>
              <w:ind w:right="164"/>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86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recapitalization</w:t>
            </w:r>
          </w:p>
        </w:tc>
        <w:tc>
          <w:tcPr>
            <w:tcW w:w="520" w:type="dxa"/>
            <w:vAlign w:val="bottom"/>
            <w:gridSpan w:val="2"/>
            <w:vMerge w:val="continue"/>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720</w:t>
            </w:r>
          </w:p>
        </w:tc>
        <w:tc>
          <w:tcPr>
            <w:tcW w:w="22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Conversion of B-1 Warrants to Class A common stock in connection with the reverse recapitalization</w:t>
            </w:r>
          </w:p>
        </w:tc>
        <w:tc>
          <w:tcPr>
            <w:tcW w:w="520" w:type="dxa"/>
            <w:vAlign w:val="bottom"/>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3,365</w:t>
            </w:r>
          </w:p>
        </w:tc>
        <w:tc>
          <w:tcPr>
            <w:tcW w:w="2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Discharge of PIPE promissory note in connection with the reverse recapitalization</w:t>
            </w:r>
          </w:p>
        </w:tc>
        <w:tc>
          <w:tcPr>
            <w:tcW w:w="520" w:type="dxa"/>
            <w:vAlign w:val="bottom"/>
            <w:gridSpan w:val="2"/>
          </w:tcPr>
          <w:p>
            <w:pPr>
              <w:jc w:val="right"/>
              <w:ind w:right="174"/>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15,000</w:t>
            </w:r>
          </w:p>
        </w:tc>
        <w:tc>
          <w:tcPr>
            <w:tcW w:w="220" w:type="dxa"/>
            <w:vAlign w:val="bottom"/>
          </w:tcPr>
          <w:p>
            <w:pPr>
              <w:spacing w:after="0"/>
              <w:rPr>
                <w:sz w:val="13"/>
                <w:szCs w:val="13"/>
                <w:color w:val="auto"/>
              </w:rPr>
            </w:pPr>
          </w:p>
        </w:tc>
        <w:tc>
          <w:tcPr>
            <w:tcW w:w="460" w:type="dxa"/>
            <w:vAlign w:val="bottom"/>
            <w:gridSpan w:val="2"/>
          </w:tcPr>
          <w:p>
            <w:pPr>
              <w:jc w:val="right"/>
              <w:ind w:right="164"/>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Supplemental disclosure of cash (received) paid for:</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Income taxes</w:t>
            </w:r>
          </w:p>
        </w:tc>
        <w:tc>
          <w:tcPr>
            <w:tcW w:w="520" w:type="dxa"/>
            <w:vAlign w:val="bottom"/>
            <w:gridSpan w:val="2"/>
          </w:tcPr>
          <w:p>
            <w:pPr>
              <w:jc w:val="right"/>
              <w:ind w:right="174"/>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w:t>
            </w:r>
          </w:p>
        </w:tc>
        <w:tc>
          <w:tcPr>
            <w:tcW w:w="460" w:type="dxa"/>
            <w:vAlign w:val="bottom"/>
            <w:gridSpan w:val="2"/>
          </w:tcPr>
          <w:p>
            <w:pPr>
              <w:jc w:val="right"/>
              <w:ind w:right="164"/>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(776)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Interest</w:t>
            </w:r>
          </w:p>
        </w:tc>
        <w:tc>
          <w:tcPr>
            <w:tcW w:w="520" w:type="dxa"/>
            <w:vAlign w:val="bottom"/>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1,392</w:t>
            </w:r>
          </w:p>
        </w:tc>
        <w:tc>
          <w:tcPr>
            <w:tcW w:w="2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provides a reconciliation of cash and cash equivalents, and restricted cash reported within the</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condensed consolidated balance sheet with the same as shown in the condensed consolidated statement of cash</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flows.</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520" w:type="dxa"/>
            <w:vAlign w:val="bottom"/>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23,569</w:t>
            </w:r>
          </w:p>
        </w:tc>
        <w:tc>
          <w:tcPr>
            <w:tcW w:w="2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23,438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2"/>
                <w:szCs w:val="12"/>
                <w:color w:val="auto"/>
              </w:rPr>
              <w:t>Restricted cash</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cash, cash equivalents, and restricted cash, end of period</w:t>
            </w:r>
          </w:p>
        </w:tc>
        <w:tc>
          <w:tcPr>
            <w:tcW w:w="2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24,016</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23,867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See accompanying notes to the condensed consolidated financial statements.</w:t>
      </w:r>
    </w:p>
    <w:p>
      <w:pPr>
        <w:spacing w:after="0" w:line="1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562" w:right="1440"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Note 1 Organization and Nature of Business</w:t>
      </w:r>
    </w:p>
    <w:p>
      <w:pPr>
        <w:spacing w:after="0" w:line="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88" w:lineRule="exact"/>
        <w:rPr>
          <w:sz w:val="20"/>
          <w:szCs w:val="20"/>
          <w:color w:val="auto"/>
        </w:rPr>
      </w:pPr>
    </w:p>
    <w:p>
      <w:pPr>
        <w:ind w:left="1480" w:right="359"/>
        <w:spacing w:after="0" w:line="250" w:lineRule="auto"/>
        <w:rPr>
          <w:sz w:val="20"/>
          <w:szCs w:val="20"/>
          <w:color w:val="auto"/>
        </w:rPr>
      </w:pPr>
      <w:r>
        <w:rPr>
          <w:rFonts w:ascii="Times New Roman" w:cs="Times New Roman" w:eastAsia="Times New Roman" w:hAnsi="Times New Roman"/>
          <w:sz w:val="14"/>
          <w:szCs w:val="14"/>
          <w:color w:val="auto"/>
        </w:rPr>
        <w:t>Dave Inc. (“Dave” or the “Company”), a Delaware corporation, with headquarters located in West Hollywood, California, is a financial services company. Dave was originally incorporated in the State of Delaware on January 14, 2021 as a special purpose acquisition company under the name VPC Impact Acquisition Holdings III, Inc. (“VPCC”) and formed for the purpose of effecting a merger, capital stock exchange, asset acquisition, stock purchase, reorganization or similar business combination with one or more business.</w:t>
      </w:r>
    </w:p>
    <w:p>
      <w:pPr>
        <w:spacing w:after="0" w:line="146" w:lineRule="exact"/>
        <w:rPr>
          <w:sz w:val="20"/>
          <w:szCs w:val="20"/>
          <w:color w:val="auto"/>
        </w:rPr>
      </w:pPr>
    </w:p>
    <w:p>
      <w:pPr>
        <w:ind w:left="1480" w:right="479"/>
        <w:spacing w:after="0" w:line="248" w:lineRule="auto"/>
        <w:rPr>
          <w:sz w:val="20"/>
          <w:szCs w:val="20"/>
          <w:color w:val="auto"/>
        </w:rPr>
      </w:pPr>
      <w:r>
        <w:rPr>
          <w:rFonts w:ascii="Times New Roman" w:cs="Times New Roman" w:eastAsia="Times New Roman" w:hAnsi="Times New Roman"/>
          <w:sz w:val="14"/>
          <w:szCs w:val="14"/>
          <w:color w:val="auto"/>
        </w:rPr>
        <w:t>Dave offers a suite of innovative financial products aimed at helping Members improve their financial health. The Company’s budgeting tool helps Members manage their upcoming bills to avoid overspending. To help Members avoid punitive overdraft fees and access short-term liquidity, Dave offers cash advances through its flagship 0% interest ExtraCash product. Dave also helps Members generate extra income for spending or emergencies through Dave’s Side Hustle product, where Dave presents Members with supplemental work opportunities. Through Dave Banking, the Company provides a modern checking account experience with valuable tools for building long-term financial health.</w:t>
      </w:r>
    </w:p>
    <w:p>
      <w:pPr>
        <w:spacing w:after="0" w:line="2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Insights:</w:t>
      </w:r>
    </w:p>
    <w:p>
      <w:pPr>
        <w:spacing w:after="0" w:line="86" w:lineRule="exact"/>
        <w:rPr>
          <w:sz w:val="20"/>
          <w:szCs w:val="20"/>
          <w:color w:val="auto"/>
        </w:rPr>
      </w:pPr>
    </w:p>
    <w:p>
      <w:pPr>
        <w:ind w:left="1480" w:right="419"/>
        <w:spacing w:after="0" w:line="254" w:lineRule="auto"/>
        <w:rPr>
          <w:sz w:val="20"/>
          <w:szCs w:val="20"/>
          <w:color w:val="auto"/>
        </w:rPr>
      </w:pPr>
      <w:r>
        <w:rPr>
          <w:rFonts w:ascii="Times New Roman" w:cs="Times New Roman" w:eastAsia="Times New Roman" w:hAnsi="Times New Roman"/>
          <w:sz w:val="14"/>
          <w:szCs w:val="14"/>
          <w:color w:val="auto"/>
        </w:rPr>
        <w:t>As spending and earning dynamics have become more complex over time, the Company offers a personal financial management tool to support Members with budgeting, wherever someone banks. These insights help people to manage their income and expenses between paychecks, helping them to spend and save in a smarter way and avoid liquidity jams that may cause them to overdraft.</w:t>
      </w:r>
    </w:p>
    <w:p>
      <w:pPr>
        <w:spacing w:after="0" w:line="2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ExtraCash:</w:t>
      </w:r>
    </w:p>
    <w:p>
      <w:pPr>
        <w:spacing w:after="0" w:line="86" w:lineRule="exact"/>
        <w:rPr>
          <w:sz w:val="20"/>
          <w:szCs w:val="20"/>
          <w:color w:val="auto"/>
        </w:rPr>
      </w:pPr>
    </w:p>
    <w:p>
      <w:pPr>
        <w:ind w:left="1480" w:right="439"/>
        <w:spacing w:after="0" w:line="248" w:lineRule="auto"/>
        <w:rPr>
          <w:sz w:val="20"/>
          <w:szCs w:val="20"/>
          <w:color w:val="auto"/>
        </w:rPr>
      </w:pPr>
      <w:r>
        <w:rPr>
          <w:rFonts w:ascii="Times New Roman" w:cs="Times New Roman" w:eastAsia="Times New Roman" w:hAnsi="Times New Roman"/>
          <w:sz w:val="14"/>
          <w:szCs w:val="14"/>
          <w:color w:val="auto"/>
        </w:rPr>
        <w:t>Many Americans are often unable to maintain a positive balance between paychecks, driving a reliance on overdraft, payday loans, auto title loans and other forms of expensive credit to put food on the table, gas in their car or pay for unexpected emergencies. For example, traditional banks charge up to $34 for access to as little as $5 of overdraft, whereas many others in the financial services sector don’t allow for overdraft at all. Dave invented a free overdraft and short-term credit alternative called ExtraCash, which allows Members to advance funds to their account and avoid a fee altogether. Members may receive an advance of up to $250.</w:t>
      </w:r>
    </w:p>
    <w:p>
      <w:pPr>
        <w:spacing w:after="0" w:line="2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Side Hustle:</w:t>
      </w:r>
    </w:p>
    <w:p>
      <w:pPr>
        <w:spacing w:after="0" w:line="86" w:lineRule="exact"/>
        <w:rPr>
          <w:sz w:val="20"/>
          <w:szCs w:val="20"/>
          <w:color w:val="auto"/>
        </w:rPr>
      </w:pPr>
    </w:p>
    <w:p>
      <w:pPr>
        <w:ind w:left="1480" w:right="719"/>
        <w:spacing w:after="0" w:line="254" w:lineRule="auto"/>
        <w:rPr>
          <w:sz w:val="20"/>
          <w:szCs w:val="20"/>
          <w:color w:val="auto"/>
        </w:rPr>
      </w:pPr>
      <w:r>
        <w:rPr>
          <w:rFonts w:ascii="Times New Roman" w:cs="Times New Roman" w:eastAsia="Times New Roman" w:hAnsi="Times New Roman"/>
          <w:sz w:val="14"/>
          <w:szCs w:val="14"/>
          <w:color w:val="auto"/>
        </w:rPr>
        <w:t>Dave seeks to help Members improve their financial health by presenting new job opportunities to them. Through Dave’s partnership with leading employers Members can quickly submit applications and improve their income with flexible employment. Members have generated more than $157 million of new income through applications submitted using Dave’s Side Hustle product since it was launched in 2018.</w:t>
      </w:r>
    </w:p>
    <w:p>
      <w:pPr>
        <w:spacing w:after="0" w:line="2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Dave Banking:</w:t>
      </w:r>
    </w:p>
    <w:p>
      <w:pPr>
        <w:spacing w:after="0" w:line="86" w:lineRule="exact"/>
        <w:rPr>
          <w:sz w:val="20"/>
          <w:szCs w:val="20"/>
          <w:color w:val="auto"/>
        </w:rPr>
      </w:pPr>
    </w:p>
    <w:p>
      <w:pPr>
        <w:ind w:left="1480" w:right="419"/>
        <w:spacing w:after="0" w:line="316" w:lineRule="auto"/>
        <w:rPr>
          <w:sz w:val="20"/>
          <w:szCs w:val="20"/>
          <w:color w:val="auto"/>
        </w:rPr>
      </w:pPr>
      <w:r>
        <w:rPr>
          <w:rFonts w:ascii="Times New Roman" w:cs="Times New Roman" w:eastAsia="Times New Roman" w:hAnsi="Times New Roman"/>
          <w:sz w:val="12"/>
          <w:szCs w:val="12"/>
          <w:color w:val="auto"/>
        </w:rPr>
        <w:t>Dave offers a full-service digital checking account through its partnership with Evolve Bank and Trust. (“Evolve”), an Arkansas-based, nationally chartered bank owned by Evolve Bancorp Inc. The Company does not have overdraft and minimum balance fees, we allow for early paycheck payment and help Members build credit with their rent and utility payments. Dave Banking Members also have access to Insights and higher ExtraCash limits.</w:t>
      </w:r>
    </w:p>
    <w:p>
      <w:pPr>
        <w:spacing w:after="0" w:line="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99"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Dave Inc.</w:t>
      </w:r>
    </w:p>
    <w:p>
      <w:pPr>
        <w:spacing w:after="0" w:line="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Notes to the Unaudited Condensed Consolidated Financial Statements</w:t>
      </w:r>
    </w:p>
    <w:p>
      <w:pPr>
        <w:spacing w:after="0" w:line="2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Business Combination</w:t>
      </w:r>
    </w:p>
    <w:p>
      <w:pPr>
        <w:spacing w:after="0" w:line="88" w:lineRule="exact"/>
        <w:rPr>
          <w:sz w:val="20"/>
          <w:szCs w:val="20"/>
          <w:color w:val="auto"/>
        </w:rPr>
      </w:pPr>
    </w:p>
    <w:p>
      <w:pPr>
        <w:ind w:left="1480" w:right="379"/>
        <w:spacing w:after="0" w:line="248" w:lineRule="auto"/>
        <w:rPr>
          <w:sz w:val="20"/>
          <w:szCs w:val="20"/>
          <w:color w:val="auto"/>
        </w:rPr>
      </w:pPr>
      <w:r>
        <w:rPr>
          <w:rFonts w:ascii="Times New Roman" w:cs="Times New Roman" w:eastAsia="Times New Roman" w:hAnsi="Times New Roman"/>
          <w:sz w:val="14"/>
          <w:szCs w:val="14"/>
          <w:color w:val="auto"/>
        </w:rPr>
        <w:t>On January 5, 2022 (the “Closing Date”), the Company consummated the previously announced transaction (pursuant to that certain Agreement and Plan of Merger, dated June 7, 2021 (the “Business Combination Agreement”), by and among Dave Inc. (prior to the Mergers (as defined below), hereinafter referred to as “Legacy Dave”), VPCC, Bear Merger Company I Inc., a Delaware corporation and a direct, wholly owned Subsidiaries of VPCC (“First Merger Sub”), and Bear Merger Company II LLC, a Delaware limited liability company and a direct wholly owned Subsidiaries of VPCC (“Second Merger Sub”).</w:t>
      </w:r>
    </w:p>
    <w:p>
      <w:pPr>
        <w:spacing w:after="0" w:line="149" w:lineRule="exact"/>
        <w:rPr>
          <w:sz w:val="20"/>
          <w:szCs w:val="20"/>
          <w:color w:val="auto"/>
        </w:rPr>
      </w:pPr>
    </w:p>
    <w:p>
      <w:pPr>
        <w:ind w:left="1480" w:right="359"/>
        <w:spacing w:after="0" w:line="247" w:lineRule="auto"/>
        <w:rPr>
          <w:sz w:val="20"/>
          <w:szCs w:val="20"/>
          <w:color w:val="auto"/>
        </w:rPr>
      </w:pPr>
      <w:r>
        <w:rPr>
          <w:rFonts w:ascii="Times New Roman" w:cs="Times New Roman" w:eastAsia="Times New Roman" w:hAnsi="Times New Roman"/>
          <w:sz w:val="14"/>
          <w:szCs w:val="14"/>
          <w:color w:val="auto"/>
        </w:rPr>
        <w:t>On January 5, 2022, pursuant to the Business Combination Agreement, First Merger Sub merged with and into Legacy Dave (the “First Merger”), with Legacy Dave surviving the First Merger as a wholly owned subsidiary of VPCC (such company, in its capacity as the surviving corporation of the First Merger, the “Surviving Corporation”), immediately followed by the Surviving Corporation merging with and into Second Merger Sub (the “Second Merger”, the Second Merger together with the First Merger, the “Mergers” and the Mergers together with the other transactions contemplated by the Business Combination Agreement, the “Business Combination” or the “Transactions”), with Second Merger Sub (such entity, following the Second Merger, the “Surviving Entity”) surviving the Second Merger as a wholly owned subsidiary of VPCC. Following the Mergers, “VPC Impact Acquisition Holdings III, Inc.” was renamed “Dave Inc.” and the Surviving Entity was renamed “Dave Operating LLC”.</w:t>
      </w:r>
    </w:p>
    <w:p>
      <w:pPr>
        <w:spacing w:after="0" w:line="147" w:lineRule="exact"/>
        <w:rPr>
          <w:sz w:val="20"/>
          <w:szCs w:val="20"/>
          <w:color w:val="auto"/>
        </w:rPr>
      </w:pPr>
    </w:p>
    <w:p>
      <w:pPr>
        <w:ind w:left="1480" w:right="399"/>
        <w:spacing w:after="0" w:line="250" w:lineRule="auto"/>
        <w:rPr>
          <w:sz w:val="20"/>
          <w:szCs w:val="20"/>
          <w:color w:val="auto"/>
        </w:rPr>
      </w:pPr>
      <w:r>
        <w:rPr>
          <w:rFonts w:ascii="Times New Roman" w:cs="Times New Roman" w:eastAsia="Times New Roman" w:hAnsi="Times New Roman"/>
          <w:sz w:val="14"/>
          <w:szCs w:val="14"/>
          <w:color w:val="auto"/>
        </w:rPr>
        <w:t>On January 5, 2022, the holders of (a) Legacy Dave capital stock and (b) Legacy Dave’s options to purchase Legacy Dave capital stock pursuant to Legacy Dave’s stock plan (the “Legacy Dave Options”), received aggregate merger consideration, consisting of 327,255,618 shares of Class A common stock of the Company, par value $0.0001 per share (the “Class A Common Stock”) and 48,450,639 shares of Class V common stock of the Company, par value $0.0001 per share (the “Class V Common Stock”, and together with the Class A Common Stock, the “Common Stock”).</w:t>
      </w:r>
    </w:p>
    <w:p>
      <w:pPr>
        <w:spacing w:after="0" w:line="146" w:lineRule="exact"/>
        <w:rPr>
          <w:sz w:val="20"/>
          <w:szCs w:val="20"/>
          <w:color w:val="auto"/>
        </w:rPr>
      </w:pPr>
    </w:p>
    <w:p>
      <w:pPr>
        <w:ind w:left="1480" w:right="399"/>
        <w:spacing w:after="0" w:line="246" w:lineRule="auto"/>
        <w:rPr>
          <w:sz w:val="20"/>
          <w:szCs w:val="20"/>
          <w:color w:val="auto"/>
        </w:rPr>
      </w:pPr>
      <w:r>
        <w:rPr>
          <w:rFonts w:ascii="Times New Roman" w:cs="Times New Roman" w:eastAsia="Times New Roman" w:hAnsi="Times New Roman"/>
          <w:sz w:val="14"/>
          <w:szCs w:val="14"/>
          <w:color w:val="auto"/>
        </w:rPr>
        <w:t>The Company’s Class A Common Stock is now listed on the Nasdaq Global Market under the symbol “DAVE”, and warrants to purchase the Class A Common Stock at an exercise price of $11.50 per share are listed on Nasdaq under the symbol “DAVEW”. The audited financial statements included in Dave’s Annual Report on Form 10-K filed with the SEC on March 25, 2022 are those of VPCC prior to the consummation of the Business Combination and the name change. The audited financial statements of Legacy Dave are included in Form 8-K/A filed with the SEC on March 25, 2022 prior to the consummation of the Business Combination and the name change. Prior to the Business Combination, VPCC neither engaged in any operations nor generated any revenue. Until the Business Combination, based on VPCC’s business activities, VPCC was a “shell company” as defined under the Securities Exchange Act of 1934, as amended (the “Exchange Act”). The audited Consolidated Financial Statements as of and for the years ended December 31, 2021 and 2020 for Legacy Dave were included in Exhibit 99.3 of Amendment No. 1 to the Current Report on Form 8-K (the “Form 8-K/A”) filed with the Securities and Exchange Commission (“SEC”) on March 25, 2022.</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COVID-19</w:t>
      </w:r>
    </w:p>
    <w:p>
      <w:pPr>
        <w:spacing w:after="0" w:line="88" w:lineRule="exact"/>
        <w:rPr>
          <w:sz w:val="20"/>
          <w:szCs w:val="20"/>
          <w:color w:val="auto"/>
        </w:rPr>
      </w:pPr>
    </w:p>
    <w:p>
      <w:pPr>
        <w:ind w:left="1480" w:right="379"/>
        <w:spacing w:after="0" w:line="247" w:lineRule="auto"/>
        <w:rPr>
          <w:sz w:val="20"/>
          <w:szCs w:val="20"/>
          <w:color w:val="auto"/>
        </w:rPr>
      </w:pPr>
      <w:r>
        <w:rPr>
          <w:rFonts w:ascii="Times New Roman" w:cs="Times New Roman" w:eastAsia="Times New Roman" w:hAnsi="Times New Roman"/>
          <w:sz w:val="14"/>
          <w:szCs w:val="14"/>
          <w:color w:val="auto"/>
        </w:rPr>
        <w:t>There are many uncertainties regarding the current global pandemic involving a novel strain of coronavirus (“COVID-19”), and the Company continues to closely monitor the impact of the pandemic on all aspects of the business, including how it has and may in the future impact Members, employees, suppliers, vendors, and business partners. The duration and magnitude of the continuing effects of COVID-19 on Members remain uncertain and dependent on various factors, including the continued severity and transmission rate of the virus, new variants of the virus, the nature of and duration for which preventive measures remain in place, the extent and effectiveness of containment and mitigation efforts, including vaccination programs, and the type of stimulus measures and other policy responses that the U.S. government may further adopt.</w:t>
      </w:r>
    </w:p>
    <w:p>
      <w:pPr>
        <w:spacing w:after="0" w:line="150" w:lineRule="exact"/>
        <w:rPr>
          <w:sz w:val="20"/>
          <w:szCs w:val="20"/>
          <w:color w:val="auto"/>
        </w:rPr>
      </w:pPr>
    </w:p>
    <w:p>
      <w:pPr>
        <w:ind w:left="1480" w:right="399"/>
        <w:spacing w:after="0" w:line="295" w:lineRule="auto"/>
        <w:rPr>
          <w:sz w:val="20"/>
          <w:szCs w:val="20"/>
          <w:color w:val="auto"/>
        </w:rPr>
      </w:pPr>
      <w:r>
        <w:rPr>
          <w:rFonts w:ascii="Times New Roman" w:cs="Times New Roman" w:eastAsia="Times New Roman" w:hAnsi="Times New Roman"/>
          <w:sz w:val="12"/>
          <w:szCs w:val="12"/>
          <w:color w:val="auto"/>
        </w:rPr>
        <w:t>Beginning in March 2020, Dave’s business and operations were disrupted by the conditions caused by COVID-19, which adversely affected Members’ spending levels and disposable income. Governmental actions such as the Coronavirus Aid, Relief, and Economic Security Act (“CARES Act”) helped mitigate the effects of COVID-19 on Members. In particular, stimulus funds and enhanced unemployment benefits provided under the CARES Act created additional financial support for Members; however, the overall economic conditions and increased levels of unemployment may negatively impact the creditworthiness of Members and could impact the credit risk on the Company’s Advance business. The Company actively monitors the performance of its Advance portfolio and will continue to assess the impact of the COVID-19 pandemic. At the onset of the pandemic, the Company made some underwriting modifications in response and intend to make additional adjustments to the Company’s risk management policies as necessary.</w:t>
      </w:r>
    </w:p>
    <w:p>
      <w:pPr>
        <w:spacing w:after="0" w:line="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99"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Dave Inc.</w:t>
      </w:r>
    </w:p>
    <w:p>
      <w:pPr>
        <w:spacing w:after="0" w:line="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Notes to the Unaudited Condensed Consolidated Financial Statements</w:t>
      </w:r>
    </w:p>
    <w:p>
      <w:pPr>
        <w:spacing w:after="0" w:line="9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Note 2 Restatement of Previously-Issued Financial Statements</w:t>
      </w:r>
    </w:p>
    <w:p>
      <w:pPr>
        <w:spacing w:after="0" w:line="88" w:lineRule="exact"/>
        <w:rPr>
          <w:sz w:val="20"/>
          <w:szCs w:val="20"/>
          <w:color w:val="auto"/>
        </w:rPr>
      </w:pPr>
    </w:p>
    <w:p>
      <w:pPr>
        <w:ind w:left="1480" w:right="419"/>
        <w:spacing w:after="0" w:line="250" w:lineRule="auto"/>
        <w:rPr>
          <w:sz w:val="20"/>
          <w:szCs w:val="20"/>
          <w:color w:val="auto"/>
        </w:rPr>
      </w:pPr>
      <w:r>
        <w:rPr>
          <w:rFonts w:ascii="Times New Roman" w:cs="Times New Roman" w:eastAsia="Times New Roman" w:hAnsi="Times New Roman"/>
          <w:sz w:val="14"/>
          <w:szCs w:val="14"/>
          <w:color w:val="auto"/>
        </w:rPr>
        <w:t>In connection with the preparation of the Company’s June 30, 2022 unaudited condensed consolidated financial statements, management became aware of errors in the condensed consolidated balance sheets as of March 31, 2022, condensed consolidated statements of operations for the three months ended March 31, 2022, condensed consolidated statement of stockholders’ equity at March 31, 2022 and condensed consolidated statements of cash flows for the three months ended March 31, 2022 and 2021.</w:t>
      </w:r>
    </w:p>
    <w:p>
      <w:pPr>
        <w:spacing w:after="0" w:line="146" w:lineRule="exact"/>
        <w:rPr>
          <w:sz w:val="20"/>
          <w:szCs w:val="20"/>
          <w:color w:val="auto"/>
        </w:rPr>
      </w:pPr>
    </w:p>
    <w:p>
      <w:pPr>
        <w:ind w:left="1480" w:right="479"/>
        <w:spacing w:after="0" w:line="264" w:lineRule="auto"/>
        <w:rPr>
          <w:sz w:val="20"/>
          <w:szCs w:val="20"/>
          <w:color w:val="auto"/>
        </w:rPr>
      </w:pPr>
      <w:r>
        <w:rPr>
          <w:rFonts w:ascii="Times New Roman" w:cs="Times New Roman" w:eastAsia="Times New Roman" w:hAnsi="Times New Roman"/>
          <w:sz w:val="14"/>
          <w:szCs w:val="14"/>
          <w:color w:val="auto"/>
        </w:rPr>
        <w:t>Based on the internal investigation, the audit committee and management became aware of two errors. The first error was the classification of the cash flows related to the disbursements and collections of the Member advances and the second error was the classification of the Earnout Shares.</w:t>
      </w:r>
    </w:p>
    <w:p>
      <w:pPr>
        <w:spacing w:after="0" w:line="1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The following is a discussion of the accounting adjustments that were made to the Company’s previously issued financial statements:</w:t>
      </w:r>
    </w:p>
    <w:p>
      <w:pPr>
        <w:spacing w:after="0" w:line="2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Member Advances, service revenue/Net disbursements and collections of Member advances</w:t>
      </w:r>
    </w:p>
    <w:p>
      <w:pPr>
        <w:spacing w:after="0" w:line="86" w:lineRule="exact"/>
        <w:rPr>
          <w:sz w:val="20"/>
          <w:szCs w:val="20"/>
          <w:color w:val="auto"/>
        </w:rPr>
      </w:pPr>
    </w:p>
    <w:p>
      <w:pPr>
        <w:ind w:left="1480" w:right="439"/>
        <w:spacing w:after="0" w:line="247" w:lineRule="auto"/>
        <w:rPr>
          <w:sz w:val="20"/>
          <w:szCs w:val="20"/>
          <w:color w:val="auto"/>
        </w:rPr>
      </w:pPr>
      <w:r>
        <w:rPr>
          <w:rFonts w:ascii="Times New Roman" w:cs="Times New Roman" w:eastAsia="Times New Roman" w:hAnsi="Times New Roman"/>
          <w:sz w:val="14"/>
          <w:szCs w:val="14"/>
          <w:color w:val="auto"/>
        </w:rPr>
        <w:t>The Company previously presented cash flow from Member advances, which includes disbursements, collections and service revenues, as operating activities. The Company identified that the disbursements and collections of Member advances should be part of investing activities while revenues are part of operating activities. The Company corrected this error by reclassifying the net disbursements and collections portion of the cash flows to investing activities under “Net disbursements and collections of Member advances” in the condensed consolidated statements of cash flows. The Company also updated the financial line item for the service revenue portion from “Member advances” in operating activities to “Member advances, service revenue”. This error only impacts the condensed consolidated statements of cash flows.</w:t>
      </w:r>
    </w:p>
    <w:p>
      <w:pPr>
        <w:spacing w:after="0" w:line="2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Earnout liabilities</w:t>
      </w:r>
    </w:p>
    <w:p>
      <w:pPr>
        <w:spacing w:after="0" w:line="86" w:lineRule="exact"/>
        <w:rPr>
          <w:sz w:val="20"/>
          <w:szCs w:val="20"/>
          <w:color w:val="auto"/>
        </w:rPr>
      </w:pPr>
    </w:p>
    <w:p>
      <w:pPr>
        <w:ind w:left="1480" w:right="439"/>
        <w:spacing w:after="0" w:line="247" w:lineRule="auto"/>
        <w:rPr>
          <w:sz w:val="20"/>
          <w:szCs w:val="20"/>
          <w:color w:val="auto"/>
        </w:rPr>
      </w:pPr>
      <w:r>
        <w:rPr>
          <w:rFonts w:ascii="Times New Roman" w:cs="Times New Roman" w:eastAsia="Times New Roman" w:hAnsi="Times New Roman"/>
          <w:sz w:val="14"/>
          <w:szCs w:val="14"/>
          <w:color w:val="auto"/>
        </w:rPr>
        <w:t>The Company previously recognized the Earnout Shares from the Merger Agreement as stockholders’ equity upon its initial recognition on January 5, 2022. Management determined that it did not take into account certain information available in assessing the classification of the Earnout Shares which resulted in improper classification of the Earnout Shares in stockholders’ equity. The Company corrected this error by reclassifying the amounts previously under “Class A common stock” and “Additional paid in capital” to non-current liabilities under “Earnout Liabilities” at fair value. Additionally, any associated gain or loss, as a result of the change in the fair value at each reporting period, was recognized in profit and loss under “Changes in fair value of earnout liabilities”.</w:t>
      </w:r>
    </w:p>
    <w:p>
      <w:pPr>
        <w:spacing w:after="0" w:line="150" w:lineRule="exact"/>
        <w:rPr>
          <w:sz w:val="20"/>
          <w:szCs w:val="20"/>
          <w:color w:val="auto"/>
        </w:rPr>
      </w:pPr>
    </w:p>
    <w:p>
      <w:pPr>
        <w:jc w:val="both"/>
        <w:ind w:left="1480" w:right="359"/>
        <w:spacing w:after="0" w:line="254" w:lineRule="auto"/>
        <w:rPr>
          <w:sz w:val="20"/>
          <w:szCs w:val="20"/>
          <w:color w:val="auto"/>
        </w:rPr>
      </w:pPr>
      <w:r>
        <w:rPr>
          <w:rFonts w:ascii="Times New Roman" w:cs="Times New Roman" w:eastAsia="Times New Roman" w:hAnsi="Times New Roman"/>
          <w:sz w:val="14"/>
          <w:szCs w:val="14"/>
          <w:color w:val="auto"/>
        </w:rPr>
        <w:t>The following table presents the combined impact of all changes, as described above, to the applicable line items in the condensed consolidated financial statements to the Company’s previously reported condensed consolidated financial statements as of and for the three months ended March 31, 2022 and 2021:</w:t>
      </w:r>
    </w:p>
    <w:p>
      <w:pPr>
        <w:sectPr>
          <w:pgSz w:w="11900" w:h="16838" w:orient="portrait"/>
          <w:cols w:equalWidth="0" w:num="1">
            <w:col w:w="10159"/>
          </w:cols>
          <w:pgMar w:left="300" w:top="399" w:right="1440" w:bottom="0" w:gutter="0" w:footer="0" w:header="0"/>
        </w:sectPr>
      </w:pPr>
    </w:p>
    <w:p>
      <w:pPr>
        <w:spacing w:after="0" w:line="200" w:lineRule="exact"/>
        <w:rPr>
          <w:sz w:val="20"/>
          <w:szCs w:val="20"/>
          <w:color w:val="auto"/>
        </w:rPr>
      </w:pPr>
    </w:p>
    <w:p>
      <w:pPr>
        <w:spacing w:after="0" w:line="30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1362710</wp:posOffset>
            </wp:positionH>
            <wp:positionV relativeFrom="paragraph">
              <wp:posOffset>-90805</wp:posOffset>
            </wp:positionV>
            <wp:extent cx="4441825" cy="1035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441825" cy="103505"/>
                    </a:xfrm>
                    <a:prstGeom prst="rect">
                      <a:avLst/>
                    </a:prstGeom>
                    <a:noFill/>
                  </pic:spPr>
                </pic:pic>
              </a:graphicData>
            </a:graphic>
          </wp:anchor>
        </w:drawing>
      </w:r>
    </w:p>
    <w:p>
      <w:pPr>
        <w:ind w:left="214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p>
      <w:pPr>
        <w:spacing w:after="0" w:line="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Earnout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1362710</wp:posOffset>
            </wp:positionH>
            <wp:positionV relativeFrom="paragraph">
              <wp:posOffset>-100965</wp:posOffset>
            </wp:positionV>
            <wp:extent cx="4441825" cy="1035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441825" cy="103505"/>
                    </a:xfrm>
                    <a:prstGeom prst="rect">
                      <a:avLst/>
                    </a:prstGeom>
                    <a:noFill/>
                  </pic:spPr>
                </pic:pic>
              </a:graphicData>
            </a:graphic>
          </wp:anchor>
        </w:drawing>
      </w:r>
    </w:p>
    <w:p>
      <w:pPr>
        <w:ind w:left="2420"/>
        <w:spacing w:after="0"/>
        <w:rPr>
          <w:sz w:val="20"/>
          <w:szCs w:val="20"/>
          <w:color w:val="auto"/>
        </w:rPr>
      </w:pPr>
      <w:r>
        <w:rPr>
          <w:rFonts w:ascii="Times New Roman" w:cs="Times New Roman" w:eastAsia="Times New Roman" w:hAnsi="Times New Roman"/>
          <w:sz w:val="14"/>
          <w:szCs w:val="14"/>
          <w:color w:val="auto"/>
        </w:rPr>
        <w:t>Total liabilities</w:t>
      </w:r>
    </w:p>
    <w:p>
      <w:pPr>
        <w:spacing w:after="0" w:line="6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1362710</wp:posOffset>
            </wp:positionH>
            <wp:positionV relativeFrom="paragraph">
              <wp:posOffset>-90805</wp:posOffset>
            </wp:positionV>
            <wp:extent cx="4441825" cy="1035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441825" cy="103505"/>
                    </a:xfrm>
                    <a:prstGeom prst="rect">
                      <a:avLst/>
                    </a:prstGeom>
                    <a:noFill/>
                  </pic:spPr>
                </pic:pic>
              </a:graphicData>
            </a:graphic>
          </wp:anchor>
        </w:drawing>
      </w:r>
    </w:p>
    <w:p>
      <w:pPr>
        <w:ind w:left="2420"/>
        <w:spacing w:after="0"/>
        <w:rPr>
          <w:sz w:val="20"/>
          <w:szCs w:val="20"/>
          <w:color w:val="auto"/>
        </w:rPr>
      </w:pPr>
      <w:r>
        <w:rPr>
          <w:rFonts w:ascii="Times New Roman" w:cs="Times New Roman" w:eastAsia="Times New Roman" w:hAnsi="Times New Roman"/>
          <w:sz w:val="14"/>
          <w:szCs w:val="14"/>
          <w:color w:val="auto"/>
        </w:rPr>
        <w:t>Additional paid-in capital</w:t>
      </w:r>
    </w:p>
    <w:p>
      <w:pPr>
        <w:spacing w:after="0" w:line="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1362710</wp:posOffset>
            </wp:positionH>
            <wp:positionV relativeFrom="paragraph">
              <wp:posOffset>-100965</wp:posOffset>
            </wp:positionV>
            <wp:extent cx="4441825" cy="1035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441825" cy="103505"/>
                    </a:xfrm>
                    <a:prstGeom prst="rect">
                      <a:avLst/>
                    </a:prstGeom>
                    <a:noFill/>
                  </pic:spPr>
                </pic:pic>
              </a:graphicData>
            </a:graphic>
          </wp:anchor>
        </w:drawing>
      </w:r>
    </w:p>
    <w:p>
      <w:pPr>
        <w:ind w:left="2420"/>
        <w:spacing w:after="0"/>
        <w:rPr>
          <w:sz w:val="20"/>
          <w:szCs w:val="20"/>
          <w:color w:val="auto"/>
        </w:rPr>
      </w:pPr>
      <w:r>
        <w:rPr>
          <w:rFonts w:ascii="Times New Roman" w:cs="Times New Roman" w:eastAsia="Times New Roman" w:hAnsi="Times New Roman"/>
          <w:sz w:val="14"/>
          <w:szCs w:val="14"/>
          <w:color w:val="auto"/>
        </w:rPr>
        <w:t>Total stockholders’ equity</w:t>
      </w:r>
    </w:p>
    <w:p>
      <w:pPr>
        <w:spacing w:after="0" w:line="38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1362710</wp:posOffset>
            </wp:positionH>
            <wp:positionV relativeFrom="paragraph">
              <wp:posOffset>-90805</wp:posOffset>
            </wp:positionV>
            <wp:extent cx="4441825" cy="1104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441825" cy="110490"/>
                    </a:xfrm>
                    <a:prstGeom prst="rect">
                      <a:avLst/>
                    </a:prstGeom>
                    <a:noFill/>
                  </pic:spPr>
                </pic:pic>
              </a:graphicData>
            </a:graphic>
          </wp:anchor>
        </w:drawing>
      </w:r>
    </w:p>
    <w:p>
      <w:pPr>
        <w:ind w:left="2140"/>
        <w:spacing w:after="0"/>
        <w:rPr>
          <w:sz w:val="20"/>
          <w:szCs w:val="20"/>
          <w:color w:val="auto"/>
        </w:rPr>
      </w:pPr>
      <w:r>
        <w:rPr>
          <w:rFonts w:ascii="Times New Roman" w:cs="Times New Roman" w:eastAsia="Times New Roman" w:hAnsi="Times New Roman"/>
          <w:sz w:val="14"/>
          <w:szCs w:val="14"/>
          <w:b w:val="1"/>
          <w:bCs w:val="1"/>
          <w:color w:val="auto"/>
        </w:rPr>
        <w:t>Other (income) expenses:</w:t>
      </w:r>
    </w:p>
    <w:p>
      <w:pPr>
        <w:spacing w:after="0" w:line="1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Changes in fair value of earnout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1362710</wp:posOffset>
            </wp:positionH>
            <wp:positionV relativeFrom="paragraph">
              <wp:posOffset>-100965</wp:posOffset>
            </wp:positionV>
            <wp:extent cx="4441825" cy="1035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441825" cy="103505"/>
                    </a:xfrm>
                    <a:prstGeom prst="rect">
                      <a:avLst/>
                    </a:prstGeom>
                    <a:noFill/>
                  </pic:spPr>
                </pic:pic>
              </a:graphicData>
            </a:graphic>
          </wp:anchor>
        </w:drawing>
      </w:r>
    </w:p>
    <w:p>
      <w:pPr>
        <w:ind w:left="2420"/>
        <w:spacing w:after="0"/>
        <w:rPr>
          <w:sz w:val="20"/>
          <w:szCs w:val="20"/>
          <w:color w:val="auto"/>
        </w:rPr>
      </w:pPr>
      <w:r>
        <w:rPr>
          <w:rFonts w:ascii="Times New Roman" w:cs="Times New Roman" w:eastAsia="Times New Roman" w:hAnsi="Times New Roman"/>
          <w:sz w:val="14"/>
          <w:szCs w:val="14"/>
          <w:color w:val="auto"/>
        </w:rPr>
        <w:t>Total other (income) expense, net</w:t>
      </w:r>
    </w:p>
    <w:p>
      <w:pPr>
        <w:spacing w:after="0" w:line="2" w:lineRule="exact"/>
        <w:rPr>
          <w:sz w:val="20"/>
          <w:szCs w:val="20"/>
          <w:color w:val="auto"/>
        </w:rPr>
      </w:pPr>
    </w:p>
    <w:p>
      <w:pPr>
        <w:ind w:left="2420"/>
        <w:spacing w:after="0" w:line="247" w:lineRule="auto"/>
        <w:rPr>
          <w:sz w:val="20"/>
          <w:szCs w:val="20"/>
          <w:color w:val="auto"/>
        </w:rPr>
      </w:pPr>
      <w:r>
        <w:rPr>
          <w:rFonts w:ascii="Times New Roman" w:cs="Times New Roman" w:eastAsia="Times New Roman" w:hAnsi="Times New Roman"/>
          <w:sz w:val="14"/>
          <w:szCs w:val="14"/>
          <w:color w:val="auto"/>
        </w:rPr>
        <w:t>Net (loss) income before provision (benefit) for income taxes Net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1362710</wp:posOffset>
            </wp:positionH>
            <wp:positionV relativeFrom="paragraph">
              <wp:posOffset>-209550</wp:posOffset>
            </wp:positionV>
            <wp:extent cx="4441825" cy="1035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441825" cy="103505"/>
                    </a:xfrm>
                    <a:prstGeom prst="rect">
                      <a:avLst/>
                    </a:prstGeom>
                    <a:noFill/>
                  </pic:spPr>
                </pic:pic>
              </a:graphicData>
            </a:graphic>
          </wp:anchor>
        </w:drawing>
      </w:r>
    </w:p>
    <w:p>
      <w:pPr>
        <w:spacing w:after="0" w:line="35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1362710</wp:posOffset>
            </wp:positionH>
            <wp:positionV relativeFrom="paragraph">
              <wp:posOffset>-90805</wp:posOffset>
            </wp:positionV>
            <wp:extent cx="4441825" cy="1104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441825" cy="110490"/>
                    </a:xfrm>
                    <a:prstGeom prst="rect">
                      <a:avLst/>
                    </a:prstGeom>
                    <a:noFill/>
                  </pic:spPr>
                </pic:pic>
              </a:graphicData>
            </a:graphic>
          </wp:anchor>
        </w:drawing>
      </w:r>
    </w:p>
    <w:p>
      <w:pPr>
        <w:ind w:left="2420"/>
        <w:spacing w:after="0"/>
        <w:rPr>
          <w:sz w:val="20"/>
          <w:szCs w:val="20"/>
          <w:color w:val="auto"/>
        </w:rPr>
      </w:pPr>
      <w:r>
        <w:rPr>
          <w:rFonts w:ascii="Times New Roman" w:cs="Times New Roman" w:eastAsia="Times New Roman" w:hAnsi="Times New Roman"/>
          <w:sz w:val="14"/>
          <w:szCs w:val="14"/>
          <w:color w:val="auto"/>
        </w:rPr>
        <w:t>Class A Common Stock Shares</w:t>
      </w:r>
    </w:p>
    <w:p>
      <w:pPr>
        <w:spacing w:after="0" w:line="1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Class A Common Stock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1362710</wp:posOffset>
            </wp:positionH>
            <wp:positionV relativeFrom="paragraph">
              <wp:posOffset>-100965</wp:posOffset>
            </wp:positionV>
            <wp:extent cx="4441825" cy="1035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441825" cy="103505"/>
                    </a:xfrm>
                    <a:prstGeom prst="rect">
                      <a:avLst/>
                    </a:prstGeom>
                    <a:noFill/>
                  </pic:spPr>
                </pic:pic>
              </a:graphicData>
            </a:graphic>
          </wp:anchor>
        </w:drawing>
      </w:r>
    </w:p>
    <w:p>
      <w:pPr>
        <w:ind w:left="2420"/>
        <w:spacing w:after="0"/>
        <w:rPr>
          <w:sz w:val="20"/>
          <w:szCs w:val="20"/>
          <w:color w:val="auto"/>
        </w:rPr>
      </w:pPr>
      <w:r>
        <w:rPr>
          <w:rFonts w:ascii="Times New Roman" w:cs="Times New Roman" w:eastAsia="Times New Roman" w:hAnsi="Times New Roman"/>
          <w:sz w:val="14"/>
          <w:szCs w:val="14"/>
          <w:color w:val="auto"/>
        </w:rPr>
        <w:t>Additional paid-in capital</w:t>
      </w:r>
    </w:p>
    <w:p>
      <w:pPr>
        <w:spacing w:after="0" w:line="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1362710</wp:posOffset>
            </wp:positionH>
            <wp:positionV relativeFrom="paragraph">
              <wp:posOffset>-100965</wp:posOffset>
            </wp:positionV>
            <wp:extent cx="4441825" cy="1035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441825" cy="103505"/>
                    </a:xfrm>
                    <a:prstGeom prst="rect">
                      <a:avLst/>
                    </a:prstGeom>
                    <a:noFill/>
                  </pic:spPr>
                </pic:pic>
              </a:graphicData>
            </a:graphic>
          </wp:anchor>
        </w:drawing>
      </w:r>
    </w:p>
    <w:p>
      <w:pPr>
        <w:ind w:left="2420"/>
        <w:spacing w:after="0"/>
        <w:rPr>
          <w:sz w:val="20"/>
          <w:szCs w:val="20"/>
          <w:color w:val="auto"/>
        </w:rPr>
      </w:pPr>
      <w:r>
        <w:rPr>
          <w:rFonts w:ascii="Times New Roman" w:cs="Times New Roman" w:eastAsia="Times New Roman" w:hAnsi="Times New Roman"/>
          <w:sz w:val="14"/>
          <w:szCs w:val="14"/>
          <w:color w:val="auto"/>
        </w:rPr>
        <w:t>Total stockholders’ equity</w:t>
      </w:r>
    </w:p>
    <w:p>
      <w:pPr>
        <w:spacing w:after="0" w:line="38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1362710</wp:posOffset>
            </wp:positionH>
            <wp:positionV relativeFrom="paragraph">
              <wp:posOffset>-90805</wp:posOffset>
            </wp:positionV>
            <wp:extent cx="4441825" cy="1104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441825" cy="110490"/>
                    </a:xfrm>
                    <a:prstGeom prst="rect">
                      <a:avLst/>
                    </a:prstGeom>
                    <a:noFill/>
                  </pic:spPr>
                </pic:pic>
              </a:graphicData>
            </a:graphic>
          </wp:anchor>
        </w:drawing>
      </w:r>
    </w:p>
    <w:p>
      <w:pPr>
        <w:ind w:left="2140"/>
        <w:spacing w:after="0"/>
        <w:rPr>
          <w:sz w:val="20"/>
          <w:szCs w:val="20"/>
          <w:color w:val="auto"/>
        </w:rPr>
      </w:pPr>
      <w:r>
        <w:rPr>
          <w:rFonts w:ascii="Times New Roman" w:cs="Times New Roman" w:eastAsia="Times New Roman" w:hAnsi="Times New Roman"/>
          <w:sz w:val="14"/>
          <w:szCs w:val="14"/>
          <w:b w:val="1"/>
          <w:bCs w:val="1"/>
          <w:color w:val="auto"/>
        </w:rPr>
        <w:t>Operating activities</w:t>
      </w:r>
    </w:p>
    <w:p>
      <w:pPr>
        <w:spacing w:after="0" w:line="1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Net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1362710</wp:posOffset>
            </wp:positionH>
            <wp:positionV relativeFrom="paragraph">
              <wp:posOffset>-100965</wp:posOffset>
            </wp:positionV>
            <wp:extent cx="4441825" cy="1035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441825" cy="103505"/>
                    </a:xfrm>
                    <a:prstGeom prst="rect">
                      <a:avLst/>
                    </a:prstGeom>
                    <a:noFill/>
                  </pic:spPr>
                </pic:pic>
              </a:graphicData>
            </a:graphic>
          </wp:anchor>
        </w:drawing>
      </w:r>
    </w:p>
    <w:p>
      <w:pPr>
        <w:ind w:left="2420"/>
        <w:spacing w:after="0"/>
        <w:rPr>
          <w:sz w:val="20"/>
          <w:szCs w:val="20"/>
          <w:color w:val="auto"/>
        </w:rPr>
      </w:pPr>
      <w:r>
        <w:rPr>
          <w:rFonts w:ascii="Times New Roman" w:cs="Times New Roman" w:eastAsia="Times New Roman" w:hAnsi="Times New Roman"/>
          <w:sz w:val="14"/>
          <w:szCs w:val="14"/>
          <w:color w:val="auto"/>
        </w:rPr>
        <w:t>Changes in fair value of earnout liabilities</w:t>
      </w:r>
    </w:p>
    <w:p>
      <w:pPr>
        <w:spacing w:after="0" w:line="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Member advances, service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1362710</wp:posOffset>
            </wp:positionH>
            <wp:positionV relativeFrom="paragraph">
              <wp:posOffset>-100965</wp:posOffset>
            </wp:positionV>
            <wp:extent cx="4441825" cy="1035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441825" cy="103505"/>
                    </a:xfrm>
                    <a:prstGeom prst="rect">
                      <a:avLst/>
                    </a:prstGeom>
                    <a:noFill/>
                  </pic:spPr>
                </pic:pic>
              </a:graphicData>
            </a:graphic>
          </wp:anchor>
        </w:drawing>
      </w:r>
    </w:p>
    <w:p>
      <w:pPr>
        <w:ind w:left="242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p>
      <w:pPr>
        <w:spacing w:after="0" w:line="6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1362710</wp:posOffset>
            </wp:positionH>
            <wp:positionV relativeFrom="paragraph">
              <wp:posOffset>-90805</wp:posOffset>
            </wp:positionV>
            <wp:extent cx="4441825" cy="1035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441825" cy="103505"/>
                    </a:xfrm>
                    <a:prstGeom prst="rect">
                      <a:avLst/>
                    </a:prstGeom>
                    <a:noFill/>
                  </pic:spPr>
                </pic:pic>
              </a:graphicData>
            </a:graphic>
          </wp:anchor>
        </w:drawing>
      </w:r>
    </w:p>
    <w:p>
      <w:pPr>
        <w:ind w:left="2420"/>
        <w:spacing w:after="0"/>
        <w:rPr>
          <w:sz w:val="20"/>
          <w:szCs w:val="20"/>
          <w:color w:val="auto"/>
        </w:rPr>
      </w:pPr>
      <w:r>
        <w:rPr>
          <w:rFonts w:ascii="Times New Roman" w:cs="Times New Roman" w:eastAsia="Times New Roman" w:hAnsi="Times New Roman"/>
          <w:sz w:val="14"/>
          <w:szCs w:val="14"/>
          <w:color w:val="auto"/>
        </w:rPr>
        <w:t>Net disbursements and collections of Member advances</w:t>
      </w:r>
    </w:p>
    <w:p>
      <w:pPr>
        <w:spacing w:after="0" w:line="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1362710</wp:posOffset>
            </wp:positionH>
            <wp:positionV relativeFrom="paragraph">
              <wp:posOffset>-100965</wp:posOffset>
            </wp:positionV>
            <wp:extent cx="4441825" cy="1035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441825" cy="103505"/>
                    </a:xfrm>
                    <a:prstGeom prst="rect">
                      <a:avLst/>
                    </a:prstGeom>
                    <a:noFill/>
                  </pic:spPr>
                </pic:pic>
              </a:graphicData>
            </a:graphic>
          </wp:anchor>
        </w:drawing>
      </w:r>
    </w:p>
    <w:p>
      <w:pPr>
        <w:spacing w:after="0" w:line="36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1362710</wp:posOffset>
            </wp:positionH>
            <wp:positionV relativeFrom="paragraph">
              <wp:posOffset>-90805</wp:posOffset>
            </wp:positionV>
            <wp:extent cx="4441825" cy="1104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441825" cy="110490"/>
                    </a:xfrm>
                    <a:prstGeom prst="rect">
                      <a:avLst/>
                    </a:prstGeom>
                    <a:noFill/>
                  </pic:spPr>
                </pic:pic>
              </a:graphicData>
            </a:graphic>
          </wp:anchor>
        </w:drawing>
      </w:r>
    </w:p>
    <w:p>
      <w:pPr>
        <w:ind w:left="2140"/>
        <w:spacing w:after="0"/>
        <w:rPr>
          <w:sz w:val="20"/>
          <w:szCs w:val="20"/>
          <w:color w:val="auto"/>
        </w:rPr>
      </w:pPr>
      <w:r>
        <w:rPr>
          <w:rFonts w:ascii="Times New Roman" w:cs="Times New Roman" w:eastAsia="Times New Roman" w:hAnsi="Times New Roman"/>
          <w:sz w:val="14"/>
          <w:szCs w:val="14"/>
          <w:b w:val="1"/>
          <w:bCs w:val="1"/>
          <w:color w:val="auto"/>
        </w:rPr>
        <w:t>Operating activities</w:t>
      </w:r>
    </w:p>
    <w:p>
      <w:pPr>
        <w:spacing w:after="0" w:line="1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Member advances, service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1362710</wp:posOffset>
            </wp:positionH>
            <wp:positionV relativeFrom="paragraph">
              <wp:posOffset>-100965</wp:posOffset>
            </wp:positionV>
            <wp:extent cx="4441825" cy="1035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441825" cy="103505"/>
                    </a:xfrm>
                    <a:prstGeom prst="rect">
                      <a:avLst/>
                    </a:prstGeom>
                    <a:noFill/>
                  </pic:spPr>
                </pic:pic>
              </a:graphicData>
            </a:graphic>
          </wp:anchor>
        </w:drawing>
      </w:r>
    </w:p>
    <w:p>
      <w:pPr>
        <w:ind w:left="242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p>
      <w:pPr>
        <w:spacing w:after="0" w:line="6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1362710</wp:posOffset>
            </wp:positionH>
            <wp:positionV relativeFrom="paragraph">
              <wp:posOffset>-90805</wp:posOffset>
            </wp:positionV>
            <wp:extent cx="4441825" cy="1035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441825" cy="103505"/>
                    </a:xfrm>
                    <a:prstGeom prst="rect">
                      <a:avLst/>
                    </a:prstGeom>
                    <a:noFill/>
                  </pic:spPr>
                </pic:pic>
              </a:graphicData>
            </a:graphic>
          </wp:anchor>
        </w:drawing>
      </w:r>
    </w:p>
    <w:p>
      <w:pPr>
        <w:ind w:left="2420"/>
        <w:spacing w:after="0"/>
        <w:rPr>
          <w:sz w:val="20"/>
          <w:szCs w:val="20"/>
          <w:color w:val="auto"/>
        </w:rPr>
      </w:pPr>
      <w:r>
        <w:rPr>
          <w:rFonts w:ascii="Times New Roman" w:cs="Times New Roman" w:eastAsia="Times New Roman" w:hAnsi="Times New Roman"/>
          <w:sz w:val="14"/>
          <w:szCs w:val="14"/>
          <w:color w:val="auto"/>
        </w:rPr>
        <w:t>Net disbursements and collections of Member advances</w:t>
      </w:r>
    </w:p>
    <w:p>
      <w:pPr>
        <w:spacing w:after="0" w:line="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1362710</wp:posOffset>
            </wp:positionH>
            <wp:positionV relativeFrom="paragraph">
              <wp:posOffset>-100965</wp:posOffset>
            </wp:positionV>
            <wp:extent cx="4441825" cy="1035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441825" cy="103505"/>
                    </a:xfrm>
                    <a:prstGeom prst="rect">
                      <a:avLst/>
                    </a:prstGeom>
                    <a:noFill/>
                  </pic:spPr>
                </pic:pic>
              </a:graphicData>
            </a:graphic>
          </wp:anchor>
        </w:drawing>
      </w:r>
    </w:p>
    <w:p>
      <w:pPr>
        <w:spacing w:after="0" w:line="21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Note 3 Summary of Significant Accounting Policies</w:t>
      </w:r>
    </w:p>
    <w:p>
      <w:pPr>
        <w:spacing w:after="0" w:line="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b w:val="1"/>
          <w:bCs w:val="1"/>
          <w:color w:val="auto"/>
        </w:rPr>
        <w:t>As of March 31, 2022</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83"/>
        </w:trPr>
        <w:tc>
          <w:tcPr>
            <w:tcW w:w="140" w:type="dxa"/>
            <w:vAlign w:val="bottom"/>
            <w:tcBorders>
              <w:top w:val="single" w:sz="8" w:color="auto"/>
            </w:tcBorders>
          </w:tcPr>
          <w:p>
            <w:pPr>
              <w:spacing w:after="0"/>
              <w:rPr>
                <w:sz w:val="7"/>
                <w:szCs w:val="7"/>
                <w:color w:val="auto"/>
              </w:rPr>
            </w:pPr>
          </w:p>
        </w:tc>
        <w:tc>
          <w:tcPr>
            <w:tcW w:w="800" w:type="dxa"/>
            <w:vAlign w:val="bottom"/>
            <w:tcBorders>
              <w:top w:val="single" w:sz="8" w:color="auto"/>
            </w:tcBorders>
            <w:gridSpan w:val="2"/>
          </w:tcPr>
          <w:p>
            <w:pPr>
              <w:jc w:val="right"/>
              <w:ind w:right="520"/>
              <w:spacing w:after="0" w:line="84" w:lineRule="exact"/>
              <w:rPr>
                <w:sz w:val="20"/>
                <w:szCs w:val="20"/>
                <w:color w:val="auto"/>
              </w:rPr>
            </w:pPr>
            <w:r>
              <w:rPr>
                <w:rFonts w:ascii="Times New Roman" w:cs="Times New Roman" w:eastAsia="Times New Roman" w:hAnsi="Times New Roman"/>
                <w:sz w:val="9"/>
                <w:szCs w:val="9"/>
                <w:b w:val="1"/>
                <w:bCs w:val="1"/>
                <w:color w:val="auto"/>
              </w:rPr>
              <w:t>As</w:t>
            </w:r>
          </w:p>
        </w:tc>
        <w:tc>
          <w:tcPr>
            <w:tcW w:w="7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Adjustment</w:t>
            </w:r>
          </w:p>
        </w:tc>
        <w:tc>
          <w:tcPr>
            <w:tcW w:w="220" w:type="dxa"/>
            <w:vAlign w:val="bottom"/>
            <w:tcBorders>
              <w:top w:val="single" w:sz="8" w:color="auto"/>
            </w:tcBorders>
            <w:vMerge w:val="restart"/>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vMerge w:val="restart"/>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w w:val="96"/>
              </w:rPr>
              <w:t>As Restated</w:t>
            </w:r>
          </w:p>
        </w:tc>
        <w:tc>
          <w:tcPr>
            <w:tcW w:w="4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w w:val="95"/>
              </w:rPr>
              <w:t>Reported</w:t>
            </w:r>
          </w:p>
        </w:tc>
        <w:tc>
          <w:tcPr>
            <w:tcW w:w="220" w:type="dxa"/>
            <w:vAlign w:val="bottom"/>
          </w:tcPr>
          <w:p>
            <w:pPr>
              <w:spacing w:after="0"/>
              <w:rPr>
                <w:sz w:val="11"/>
                <w:szCs w:val="11"/>
                <w:color w:val="auto"/>
              </w:rPr>
            </w:pPr>
          </w:p>
        </w:tc>
        <w:tc>
          <w:tcPr>
            <w:tcW w:w="700" w:type="dxa"/>
            <w:vAlign w:val="bottom"/>
            <w:tcBorders>
              <w:bottom w:val="single" w:sz="8" w:color="auto"/>
            </w:tcBorders>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7,642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213,334</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7,642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220,976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7"/>
        </w:trPr>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242,135</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(9,682)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232,453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(67,732)</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2,040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(65,692)</w:t>
            </w:r>
          </w:p>
        </w:tc>
        <w:tc>
          <w:tcPr>
            <w:tcW w:w="0" w:type="dxa"/>
            <w:vAlign w:val="bottom"/>
          </w:tcPr>
          <w:p>
            <w:pPr>
              <w:spacing w:after="0"/>
              <w:rPr>
                <w:sz w:val="1"/>
                <w:szCs w:val="1"/>
                <w:color w:val="auto"/>
              </w:rPr>
            </w:pPr>
          </w:p>
        </w:tc>
      </w:tr>
      <w:tr>
        <w:trPr>
          <w:trHeight w:val="175"/>
        </w:trPr>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174,440</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(7,642)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166,798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40" w:type="dxa"/>
            <w:vAlign w:val="bottom"/>
          </w:tcPr>
          <w:p>
            <w:pPr>
              <w:spacing w:after="0"/>
              <w:rPr>
                <w:sz w:val="24"/>
                <w:szCs w:val="24"/>
                <w:color w:val="auto"/>
              </w:rPr>
            </w:pPr>
          </w:p>
        </w:tc>
        <w:tc>
          <w:tcPr>
            <w:tcW w:w="2560" w:type="dxa"/>
            <w:vAlign w:val="bottom"/>
            <w:gridSpan w:val="8"/>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 2022</w:t>
            </w:r>
          </w:p>
        </w:tc>
        <w:tc>
          <w:tcPr>
            <w:tcW w:w="0" w:type="dxa"/>
            <w:vAlign w:val="bottom"/>
          </w:tcPr>
          <w:p>
            <w:pPr>
              <w:spacing w:after="0"/>
              <w:rPr>
                <w:sz w:val="1"/>
                <w:szCs w:val="1"/>
                <w:color w:val="auto"/>
              </w:rPr>
            </w:pPr>
          </w:p>
        </w:tc>
      </w:tr>
      <w:tr>
        <w:trPr>
          <w:trHeight w:val="103"/>
        </w:trPr>
        <w:tc>
          <w:tcPr>
            <w:tcW w:w="720" w:type="dxa"/>
            <w:vAlign w:val="bottom"/>
            <w:tcBorders>
              <w:top w:val="single" w:sz="8" w:color="auto"/>
              <w:bottom w:val="single" w:sz="8" w:color="auto"/>
            </w:tcBorders>
            <w:gridSpan w:val="2"/>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As Reported</w:t>
            </w:r>
          </w:p>
        </w:tc>
        <w:tc>
          <w:tcPr>
            <w:tcW w:w="220" w:type="dxa"/>
            <w:vAlign w:val="bottom"/>
            <w:tcBorders>
              <w:top w:val="single" w:sz="8" w:color="auto"/>
            </w:tcBorders>
          </w:tcPr>
          <w:p>
            <w:pPr>
              <w:spacing w:after="0"/>
              <w:rPr>
                <w:sz w:val="8"/>
                <w:szCs w:val="8"/>
                <w:color w:val="auto"/>
              </w:rPr>
            </w:pPr>
          </w:p>
        </w:tc>
        <w:tc>
          <w:tcPr>
            <w:tcW w:w="700" w:type="dxa"/>
            <w:vAlign w:val="bottom"/>
            <w:tcBorders>
              <w:top w:val="single" w:sz="8" w:color="auto"/>
              <w:bottom w:val="single" w:sz="8" w:color="auto"/>
            </w:tcBorders>
            <w:gridSpan w:val="2"/>
          </w:tcPr>
          <w:p>
            <w:pPr>
              <w:ind w:left="80"/>
              <w:spacing w:after="0" w:line="103" w:lineRule="exact"/>
              <w:rPr>
                <w:sz w:val="20"/>
                <w:szCs w:val="20"/>
                <w:color w:val="auto"/>
              </w:rPr>
            </w:pPr>
            <w:r>
              <w:rPr>
                <w:rFonts w:ascii="Times New Roman" w:cs="Times New Roman" w:eastAsia="Times New Roman" w:hAnsi="Times New Roman"/>
                <w:sz w:val="11"/>
                <w:szCs w:val="11"/>
                <w:b w:val="1"/>
                <w:bCs w:val="1"/>
                <w:color w:val="auto"/>
              </w:rPr>
              <w:t>Adjustment</w:t>
            </w:r>
          </w:p>
        </w:tc>
        <w:tc>
          <w:tcPr>
            <w:tcW w:w="22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right"/>
              <w:ind w:right="54"/>
              <w:spacing w:after="0" w:line="103" w:lineRule="exact"/>
              <w:rPr>
                <w:sz w:val="20"/>
                <w:szCs w:val="20"/>
                <w:color w:val="auto"/>
              </w:rPr>
            </w:pPr>
            <w:r>
              <w:rPr>
                <w:rFonts w:ascii="Times New Roman" w:cs="Times New Roman" w:eastAsia="Times New Roman" w:hAnsi="Times New Roman"/>
                <w:sz w:val="11"/>
                <w:szCs w:val="11"/>
                <w:b w:val="1"/>
                <w:bCs w:val="1"/>
                <w:color w:val="auto"/>
                <w:w w:val="96"/>
              </w:rPr>
              <w:t>As Restated</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8"/>
        </w:trPr>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(2,040)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63"/>
        </w:trPr>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12,140</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(2,040)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10,100</w:t>
            </w:r>
          </w:p>
        </w:tc>
        <w:tc>
          <w:tcPr>
            <w:tcW w:w="0" w:type="dxa"/>
            <w:vAlign w:val="bottom"/>
          </w:tcPr>
          <w:p>
            <w:pPr>
              <w:spacing w:after="0"/>
              <w:rPr>
                <w:sz w:val="1"/>
                <w:szCs w:val="1"/>
                <w:color w:val="auto"/>
              </w:rPr>
            </w:pPr>
          </w:p>
        </w:tc>
      </w:tr>
      <w:tr>
        <w:trPr>
          <w:trHeight w:val="163"/>
        </w:trPr>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(34,813)</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2,040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(32,773)</w:t>
            </w:r>
          </w:p>
        </w:tc>
        <w:tc>
          <w:tcPr>
            <w:tcW w:w="0" w:type="dxa"/>
            <w:vAlign w:val="bottom"/>
          </w:tcPr>
          <w:p>
            <w:pPr>
              <w:spacing w:after="0"/>
              <w:rPr>
                <w:sz w:val="1"/>
                <w:szCs w:val="1"/>
                <w:color w:val="auto"/>
              </w:rPr>
            </w:pPr>
          </w:p>
        </w:tc>
      </w:tr>
      <w:tr>
        <w:trPr>
          <w:trHeight w:val="175"/>
        </w:trPr>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(34,835)</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2,040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(32,795)</w:t>
            </w:r>
          </w:p>
        </w:tc>
        <w:tc>
          <w:tcPr>
            <w:tcW w:w="0" w:type="dxa"/>
            <w:vAlign w:val="bottom"/>
          </w:tcPr>
          <w:p>
            <w:pPr>
              <w:spacing w:after="0"/>
              <w:rPr>
                <w:sz w:val="1"/>
                <w:szCs w:val="1"/>
                <w:color w:val="auto"/>
              </w:rPr>
            </w:pPr>
          </w:p>
        </w:tc>
      </w:tr>
      <w:tr>
        <w:trPr>
          <w:trHeight w:val="277"/>
        </w:trPr>
        <w:tc>
          <w:tcPr>
            <w:tcW w:w="140" w:type="dxa"/>
            <w:vAlign w:val="bottom"/>
          </w:tcPr>
          <w:p>
            <w:pPr>
              <w:spacing w:after="0"/>
              <w:rPr>
                <w:sz w:val="24"/>
                <w:szCs w:val="24"/>
                <w:color w:val="auto"/>
              </w:rPr>
            </w:pPr>
          </w:p>
        </w:tc>
        <w:tc>
          <w:tcPr>
            <w:tcW w:w="2560" w:type="dxa"/>
            <w:vAlign w:val="bottom"/>
            <w:gridSpan w:val="8"/>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 2022</w:t>
            </w:r>
          </w:p>
        </w:tc>
        <w:tc>
          <w:tcPr>
            <w:tcW w:w="0" w:type="dxa"/>
            <w:vAlign w:val="bottom"/>
          </w:tcPr>
          <w:p>
            <w:pPr>
              <w:spacing w:after="0"/>
              <w:rPr>
                <w:sz w:val="1"/>
                <w:szCs w:val="1"/>
                <w:color w:val="auto"/>
              </w:rPr>
            </w:pPr>
          </w:p>
        </w:tc>
      </w:tr>
      <w:tr>
        <w:trPr>
          <w:trHeight w:val="103"/>
        </w:trPr>
        <w:tc>
          <w:tcPr>
            <w:tcW w:w="720" w:type="dxa"/>
            <w:vAlign w:val="bottom"/>
            <w:tcBorders>
              <w:top w:val="single" w:sz="8" w:color="auto"/>
              <w:bottom w:val="single" w:sz="8" w:color="auto"/>
            </w:tcBorders>
            <w:gridSpan w:val="2"/>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As Reported</w:t>
            </w:r>
          </w:p>
        </w:tc>
        <w:tc>
          <w:tcPr>
            <w:tcW w:w="220" w:type="dxa"/>
            <w:vAlign w:val="bottom"/>
            <w:tcBorders>
              <w:top w:val="single" w:sz="8" w:color="auto"/>
            </w:tcBorders>
          </w:tcPr>
          <w:p>
            <w:pPr>
              <w:spacing w:after="0"/>
              <w:rPr>
                <w:sz w:val="8"/>
                <w:szCs w:val="8"/>
                <w:color w:val="auto"/>
              </w:rPr>
            </w:pPr>
          </w:p>
        </w:tc>
        <w:tc>
          <w:tcPr>
            <w:tcW w:w="700" w:type="dxa"/>
            <w:vAlign w:val="bottom"/>
            <w:tcBorders>
              <w:top w:val="single" w:sz="8" w:color="auto"/>
              <w:bottom w:val="single" w:sz="8" w:color="auto"/>
            </w:tcBorders>
            <w:gridSpan w:val="2"/>
          </w:tcPr>
          <w:p>
            <w:pPr>
              <w:ind w:left="80"/>
              <w:spacing w:after="0" w:line="103" w:lineRule="exact"/>
              <w:rPr>
                <w:sz w:val="20"/>
                <w:szCs w:val="20"/>
                <w:color w:val="auto"/>
              </w:rPr>
            </w:pPr>
            <w:r>
              <w:rPr>
                <w:rFonts w:ascii="Times New Roman" w:cs="Times New Roman" w:eastAsia="Times New Roman" w:hAnsi="Times New Roman"/>
                <w:sz w:val="11"/>
                <w:szCs w:val="11"/>
                <w:b w:val="1"/>
                <w:bCs w:val="1"/>
                <w:color w:val="auto"/>
              </w:rPr>
              <w:t>Adjustment</w:t>
            </w:r>
          </w:p>
        </w:tc>
        <w:tc>
          <w:tcPr>
            <w:tcW w:w="22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right"/>
              <w:ind w:right="54"/>
              <w:spacing w:after="0" w:line="103" w:lineRule="exact"/>
              <w:rPr>
                <w:sz w:val="20"/>
                <w:szCs w:val="20"/>
                <w:color w:val="auto"/>
              </w:rPr>
            </w:pPr>
            <w:r>
              <w:rPr>
                <w:rFonts w:ascii="Times New Roman" w:cs="Times New Roman" w:eastAsia="Times New Roman" w:hAnsi="Times New Roman"/>
                <w:sz w:val="11"/>
                <w:szCs w:val="11"/>
                <w:b w:val="1"/>
                <w:bCs w:val="1"/>
                <w:color w:val="auto"/>
                <w:w w:val="96"/>
              </w:rPr>
              <w:t>As Restated</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$24,245,822</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$(1,586,037)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4"/>
              </w:rPr>
              <w:t>322,659,785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20" w:type="dxa"/>
            <w:vAlign w:val="bottom"/>
          </w:tcPr>
          <w:p>
            <w:pPr>
              <w:spacing w:after="0"/>
              <w:rPr>
                <w:sz w:val="14"/>
                <w:szCs w:val="14"/>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242,135</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(9,682)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232,453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67,732</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(2,040)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65,692</w:t>
            </w:r>
          </w:p>
        </w:tc>
        <w:tc>
          <w:tcPr>
            <w:tcW w:w="0" w:type="dxa"/>
            <w:vAlign w:val="bottom"/>
          </w:tcPr>
          <w:p>
            <w:pPr>
              <w:spacing w:after="0"/>
              <w:rPr>
                <w:sz w:val="1"/>
                <w:szCs w:val="1"/>
                <w:color w:val="auto"/>
              </w:rPr>
            </w:pPr>
          </w:p>
        </w:tc>
      </w:tr>
      <w:tr>
        <w:trPr>
          <w:trHeight w:val="175"/>
        </w:trPr>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174,440</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(7,642)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166,798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40" w:type="dxa"/>
            <w:vAlign w:val="bottom"/>
          </w:tcPr>
          <w:p>
            <w:pPr>
              <w:spacing w:after="0"/>
              <w:rPr>
                <w:sz w:val="24"/>
                <w:szCs w:val="24"/>
                <w:color w:val="auto"/>
              </w:rPr>
            </w:pPr>
          </w:p>
        </w:tc>
        <w:tc>
          <w:tcPr>
            <w:tcW w:w="2560" w:type="dxa"/>
            <w:vAlign w:val="bottom"/>
            <w:gridSpan w:val="8"/>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 2022</w:t>
            </w:r>
          </w:p>
        </w:tc>
        <w:tc>
          <w:tcPr>
            <w:tcW w:w="0" w:type="dxa"/>
            <w:vAlign w:val="bottom"/>
          </w:tcPr>
          <w:p>
            <w:pPr>
              <w:spacing w:after="0"/>
              <w:rPr>
                <w:sz w:val="1"/>
                <w:szCs w:val="1"/>
                <w:color w:val="auto"/>
              </w:rPr>
            </w:pPr>
          </w:p>
        </w:tc>
      </w:tr>
      <w:tr>
        <w:trPr>
          <w:trHeight w:val="103"/>
        </w:trPr>
        <w:tc>
          <w:tcPr>
            <w:tcW w:w="720" w:type="dxa"/>
            <w:vAlign w:val="bottom"/>
            <w:tcBorders>
              <w:top w:val="single" w:sz="8" w:color="auto"/>
              <w:bottom w:val="single" w:sz="8" w:color="auto"/>
            </w:tcBorders>
            <w:gridSpan w:val="2"/>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As Reported</w:t>
            </w:r>
          </w:p>
        </w:tc>
        <w:tc>
          <w:tcPr>
            <w:tcW w:w="220" w:type="dxa"/>
            <w:vAlign w:val="bottom"/>
            <w:tcBorders>
              <w:top w:val="single" w:sz="8" w:color="auto"/>
            </w:tcBorders>
          </w:tcPr>
          <w:p>
            <w:pPr>
              <w:spacing w:after="0"/>
              <w:rPr>
                <w:sz w:val="8"/>
                <w:szCs w:val="8"/>
                <w:color w:val="auto"/>
              </w:rPr>
            </w:pPr>
          </w:p>
        </w:tc>
        <w:tc>
          <w:tcPr>
            <w:tcW w:w="700" w:type="dxa"/>
            <w:vAlign w:val="bottom"/>
            <w:tcBorders>
              <w:top w:val="single" w:sz="8" w:color="auto"/>
              <w:bottom w:val="single" w:sz="8" w:color="auto"/>
            </w:tcBorders>
            <w:gridSpan w:val="2"/>
          </w:tcPr>
          <w:p>
            <w:pPr>
              <w:ind w:left="80"/>
              <w:spacing w:after="0" w:line="103" w:lineRule="exact"/>
              <w:rPr>
                <w:sz w:val="20"/>
                <w:szCs w:val="20"/>
                <w:color w:val="auto"/>
              </w:rPr>
            </w:pPr>
            <w:r>
              <w:rPr>
                <w:rFonts w:ascii="Times New Roman" w:cs="Times New Roman" w:eastAsia="Times New Roman" w:hAnsi="Times New Roman"/>
                <w:sz w:val="11"/>
                <w:szCs w:val="11"/>
                <w:b w:val="1"/>
                <w:bCs w:val="1"/>
                <w:color w:val="auto"/>
              </w:rPr>
              <w:t>Adjustment</w:t>
            </w:r>
          </w:p>
        </w:tc>
        <w:tc>
          <w:tcPr>
            <w:tcW w:w="22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right"/>
              <w:ind w:right="54"/>
              <w:spacing w:after="0" w:line="103" w:lineRule="exact"/>
              <w:rPr>
                <w:sz w:val="20"/>
                <w:szCs w:val="20"/>
                <w:color w:val="auto"/>
              </w:rPr>
            </w:pPr>
            <w:r>
              <w:rPr>
                <w:rFonts w:ascii="Times New Roman" w:cs="Times New Roman" w:eastAsia="Times New Roman" w:hAnsi="Times New Roman"/>
                <w:sz w:val="11"/>
                <w:szCs w:val="11"/>
                <w:b w:val="1"/>
                <w:bCs w:val="1"/>
                <w:color w:val="auto"/>
                <w:w w:val="96"/>
              </w:rPr>
              <w:t>As Restated</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8"/>
        </w:trPr>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(34,835)</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2,040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(32,795)</w:t>
            </w:r>
          </w:p>
        </w:tc>
        <w:tc>
          <w:tcPr>
            <w:tcW w:w="0" w:type="dxa"/>
            <w:vAlign w:val="bottom"/>
          </w:tcPr>
          <w:p>
            <w:pPr>
              <w:spacing w:after="0"/>
              <w:rPr>
                <w:sz w:val="1"/>
                <w:szCs w:val="1"/>
                <w:color w:val="auto"/>
              </w:rPr>
            </w:pPr>
          </w:p>
        </w:tc>
      </w:tr>
      <w:tr>
        <w:trPr>
          <w:trHeight w:val="163"/>
        </w:trPr>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(2,040)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63"/>
        </w:trPr>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(26,585)</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24,967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(1,618)</w:t>
            </w:r>
          </w:p>
        </w:tc>
        <w:tc>
          <w:tcPr>
            <w:tcW w:w="0" w:type="dxa"/>
            <w:vAlign w:val="bottom"/>
          </w:tcPr>
          <w:p>
            <w:pPr>
              <w:spacing w:after="0"/>
              <w:rPr>
                <w:sz w:val="1"/>
                <w:szCs w:val="1"/>
                <w:color w:val="auto"/>
              </w:rPr>
            </w:pPr>
          </w:p>
        </w:tc>
      </w:tr>
      <w:tr>
        <w:trPr>
          <w:trHeight w:val="175"/>
        </w:trPr>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(37,479)</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24,967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(12,512)</w:t>
            </w:r>
          </w:p>
        </w:tc>
        <w:tc>
          <w:tcPr>
            <w:tcW w:w="0" w:type="dxa"/>
            <w:vAlign w:val="bottom"/>
          </w:tcPr>
          <w:p>
            <w:pPr>
              <w:spacing w:after="0"/>
              <w:rPr>
                <w:sz w:val="1"/>
                <w:szCs w:val="1"/>
                <w:color w:val="auto"/>
              </w:rPr>
            </w:pPr>
          </w:p>
        </w:tc>
      </w:tr>
      <w:tr>
        <w:trPr>
          <w:trHeight w:val="397"/>
        </w:trPr>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(24,967)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(24,967)</w:t>
            </w:r>
          </w:p>
        </w:tc>
        <w:tc>
          <w:tcPr>
            <w:tcW w:w="0" w:type="dxa"/>
            <w:vAlign w:val="bottom"/>
          </w:tcPr>
          <w:p>
            <w:pPr>
              <w:spacing w:after="0"/>
              <w:rPr>
                <w:sz w:val="1"/>
                <w:szCs w:val="1"/>
                <w:color w:val="auto"/>
              </w:rPr>
            </w:pPr>
          </w:p>
        </w:tc>
      </w:tr>
      <w:tr>
        <w:trPr>
          <w:trHeight w:val="175"/>
        </w:trPr>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(272,601)</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(24,967)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(297,568)</w:t>
            </w:r>
          </w:p>
        </w:tc>
        <w:tc>
          <w:tcPr>
            <w:tcW w:w="0" w:type="dxa"/>
            <w:vAlign w:val="bottom"/>
          </w:tcPr>
          <w:p>
            <w:pPr>
              <w:spacing w:after="0"/>
              <w:rPr>
                <w:sz w:val="1"/>
                <w:szCs w:val="1"/>
                <w:color w:val="auto"/>
              </w:rPr>
            </w:pPr>
          </w:p>
        </w:tc>
      </w:tr>
      <w:tr>
        <w:trPr>
          <w:trHeight w:val="277"/>
        </w:trPr>
        <w:tc>
          <w:tcPr>
            <w:tcW w:w="140" w:type="dxa"/>
            <w:vAlign w:val="bottom"/>
          </w:tcPr>
          <w:p>
            <w:pPr>
              <w:spacing w:after="0"/>
              <w:rPr>
                <w:sz w:val="24"/>
                <w:szCs w:val="24"/>
                <w:color w:val="auto"/>
              </w:rPr>
            </w:pPr>
          </w:p>
        </w:tc>
        <w:tc>
          <w:tcPr>
            <w:tcW w:w="2560" w:type="dxa"/>
            <w:vAlign w:val="bottom"/>
            <w:gridSpan w:val="8"/>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 2021</w:t>
            </w:r>
          </w:p>
        </w:tc>
        <w:tc>
          <w:tcPr>
            <w:tcW w:w="0" w:type="dxa"/>
            <w:vAlign w:val="bottom"/>
          </w:tcPr>
          <w:p>
            <w:pPr>
              <w:spacing w:after="0"/>
              <w:rPr>
                <w:sz w:val="1"/>
                <w:szCs w:val="1"/>
                <w:color w:val="auto"/>
              </w:rPr>
            </w:pPr>
          </w:p>
        </w:tc>
      </w:tr>
      <w:tr>
        <w:trPr>
          <w:trHeight w:val="103"/>
        </w:trPr>
        <w:tc>
          <w:tcPr>
            <w:tcW w:w="720" w:type="dxa"/>
            <w:vAlign w:val="bottom"/>
            <w:tcBorders>
              <w:top w:val="single" w:sz="8" w:color="auto"/>
              <w:bottom w:val="single" w:sz="8" w:color="auto"/>
            </w:tcBorders>
            <w:gridSpan w:val="2"/>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As Reported</w:t>
            </w:r>
          </w:p>
        </w:tc>
        <w:tc>
          <w:tcPr>
            <w:tcW w:w="220" w:type="dxa"/>
            <w:vAlign w:val="bottom"/>
            <w:tcBorders>
              <w:top w:val="single" w:sz="8" w:color="auto"/>
            </w:tcBorders>
          </w:tcPr>
          <w:p>
            <w:pPr>
              <w:spacing w:after="0"/>
              <w:rPr>
                <w:sz w:val="8"/>
                <w:szCs w:val="8"/>
                <w:color w:val="auto"/>
              </w:rPr>
            </w:pPr>
          </w:p>
        </w:tc>
        <w:tc>
          <w:tcPr>
            <w:tcW w:w="700" w:type="dxa"/>
            <w:vAlign w:val="bottom"/>
            <w:tcBorders>
              <w:top w:val="single" w:sz="8" w:color="auto"/>
              <w:bottom w:val="single" w:sz="8" w:color="auto"/>
            </w:tcBorders>
            <w:gridSpan w:val="2"/>
          </w:tcPr>
          <w:p>
            <w:pPr>
              <w:ind w:left="80"/>
              <w:spacing w:after="0" w:line="103" w:lineRule="exact"/>
              <w:rPr>
                <w:sz w:val="20"/>
                <w:szCs w:val="20"/>
                <w:color w:val="auto"/>
              </w:rPr>
            </w:pPr>
            <w:r>
              <w:rPr>
                <w:rFonts w:ascii="Times New Roman" w:cs="Times New Roman" w:eastAsia="Times New Roman" w:hAnsi="Times New Roman"/>
                <w:sz w:val="11"/>
                <w:szCs w:val="11"/>
                <w:b w:val="1"/>
                <w:bCs w:val="1"/>
                <w:color w:val="auto"/>
              </w:rPr>
              <w:t>Adjustment</w:t>
            </w:r>
          </w:p>
        </w:tc>
        <w:tc>
          <w:tcPr>
            <w:tcW w:w="22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right"/>
              <w:ind w:right="54"/>
              <w:spacing w:after="0" w:line="103" w:lineRule="exact"/>
              <w:rPr>
                <w:sz w:val="20"/>
                <w:szCs w:val="20"/>
                <w:color w:val="auto"/>
              </w:rPr>
            </w:pPr>
            <w:r>
              <w:rPr>
                <w:rFonts w:ascii="Times New Roman" w:cs="Times New Roman" w:eastAsia="Times New Roman" w:hAnsi="Times New Roman"/>
                <w:sz w:val="11"/>
                <w:szCs w:val="11"/>
                <w:b w:val="1"/>
                <w:bCs w:val="1"/>
                <w:color w:val="auto"/>
                <w:w w:val="96"/>
              </w:rPr>
              <w:t>As Restated</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8"/>
        </w:trPr>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4,987</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(4,299)</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688</w:t>
            </w:r>
          </w:p>
        </w:tc>
        <w:tc>
          <w:tcPr>
            <w:tcW w:w="0" w:type="dxa"/>
            <w:vAlign w:val="bottom"/>
          </w:tcPr>
          <w:p>
            <w:pPr>
              <w:spacing w:after="0"/>
              <w:rPr>
                <w:sz w:val="1"/>
                <w:szCs w:val="1"/>
                <w:color w:val="auto"/>
              </w:rPr>
            </w:pPr>
          </w:p>
        </w:tc>
      </w:tr>
      <w:tr>
        <w:trPr>
          <w:trHeight w:val="175"/>
        </w:trPr>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2,619</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(4,299)</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0" w:type="dxa"/>
            <w:vAlign w:val="bottom"/>
          </w:tcPr>
          <w:p>
            <w:pPr>
              <w:spacing w:after="0"/>
              <w:rPr>
                <w:sz w:val="1"/>
                <w:szCs w:val="1"/>
                <w:color w:val="auto"/>
              </w:rPr>
            </w:pPr>
          </w:p>
        </w:tc>
      </w:tr>
      <w:tr>
        <w:trPr>
          <w:trHeight w:val="397"/>
        </w:trPr>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4,299</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610</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4,299</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23" w:lineRule="exact"/>
        <w:rPr>
          <w:sz w:val="20"/>
          <w:szCs w:val="20"/>
          <w:color w:val="auto"/>
        </w:rPr>
      </w:pPr>
    </w:p>
    <w:p>
      <w:pPr>
        <w:sectPr>
          <w:pgSz w:w="11900" w:h="16838" w:orient="portrait"/>
          <w:cols w:equalWidth="0" w:num="2">
            <w:col w:w="5760" w:space="640"/>
            <w:col w:w="3759"/>
          </w:cols>
          <w:pgMar w:left="300" w:top="399" w:right="1440" w:bottom="0" w:gutter="0" w:footer="0" w:header="0"/>
          <w:type w:val="continuous"/>
        </w:sectPr>
      </w:pPr>
    </w:p>
    <w:p>
      <w:pPr>
        <w:ind w:left="1480" w:right="599"/>
        <w:spacing w:after="0" w:line="264" w:lineRule="auto"/>
        <w:rPr>
          <w:sz w:val="20"/>
          <w:szCs w:val="20"/>
          <w:color w:val="auto"/>
        </w:rPr>
      </w:pPr>
      <w:r>
        <w:rPr>
          <w:rFonts w:ascii="Times New Roman" w:cs="Times New Roman" w:eastAsia="Times New Roman" w:hAnsi="Times New Roman"/>
          <w:sz w:val="14"/>
          <w:szCs w:val="14"/>
          <w:color w:val="auto"/>
        </w:rPr>
        <w:t>These unaudited condensed consolidated financial statements have been prepared in accordance with accounting principles generally accepted in the United States of America (“U.S. GAAP”) for interim financial information and are unaudited.</w:t>
      </w:r>
    </w:p>
    <w:p>
      <w:pPr>
        <w:spacing w:after="0" w:line="136" w:lineRule="exact"/>
        <w:rPr>
          <w:sz w:val="20"/>
          <w:szCs w:val="20"/>
          <w:color w:val="auto"/>
        </w:rPr>
      </w:pPr>
    </w:p>
    <w:p>
      <w:pPr>
        <w:ind w:left="1480" w:right="759"/>
        <w:spacing w:after="0" w:line="349" w:lineRule="auto"/>
        <w:rPr>
          <w:sz w:val="20"/>
          <w:szCs w:val="20"/>
          <w:color w:val="auto"/>
        </w:rPr>
      </w:pPr>
      <w:r>
        <w:rPr>
          <w:rFonts w:ascii="Times New Roman" w:cs="Times New Roman" w:eastAsia="Times New Roman" w:hAnsi="Times New Roman"/>
          <w:sz w:val="12"/>
          <w:szCs w:val="12"/>
          <w:color w:val="auto"/>
        </w:rPr>
        <w:t>These unaudited condensed consolidated financial statements do not include all disclosures that are normally included in annual audited financial statements prepared in accordance with U.S. GAAP and should be read in conjunction with the Company’s consolidated financial statements.</w:t>
      </w:r>
    </w:p>
    <w:p>
      <w:pPr>
        <w:sectPr>
          <w:pgSz w:w="11900" w:h="16838" w:orient="portrait"/>
          <w:cols w:equalWidth="0" w:num="1">
            <w:col w:w="10159"/>
          </w:cols>
          <w:pgMar w:left="300" w:top="399" w:right="1440" w:bottom="0" w:gutter="0" w:footer="0" w:header="0"/>
          <w:type w:val="continuous"/>
        </w:sectPr>
      </w:pPr>
    </w:p>
    <w:bookmarkStart w:id="12" w:name="page13"/>
    <w:bookmarkEnd w:id="12"/>
    <w:p>
      <w:pPr>
        <w:ind w:left="340" w:right="479"/>
        <w:spacing w:after="0" w:line="295" w:lineRule="auto"/>
        <w:rPr>
          <w:sz w:val="20"/>
          <w:szCs w:val="20"/>
          <w:color w:val="auto"/>
        </w:rPr>
      </w:pPr>
      <w:r>
        <w:rPr>
          <w:rFonts w:ascii="Times New Roman" w:cs="Times New Roman" w:eastAsia="Times New Roman" w:hAnsi="Times New Roman"/>
          <w:sz w:val="12"/>
          <w:szCs w:val="12"/>
          <w:color w:val="auto"/>
        </w:rPr>
        <w:t>The accompanying unaudited (a) condensed consolidated balance sheet as of December 31, 2021, which has been derived from audited financial statements, and (b) the unaudited interim condensed financial statements have been prepared in accordance pursuant to the rules and regulations of the Securities and Exchange Commission (“SEC”) regarding interim financial reporting. Certain information and note disclosures normally included in annual financial statements prepared in accordance with U.S. GAAP have been condensed or omitted pursuant to those rules and regulations, although the Company believes that the disclosures made are adequate to make the information not misleading. Therefore, it is suggested that these unaudited condensed consolidated financial statements should be read in conjunction with the consolidated financial statements and notes included in the Company’s Current Report on Forms 10-K and 8-K/A, both dated March 24, 2022, that were filed with the Securities and Exchange Commission.</w:t>
      </w:r>
    </w:p>
    <w:p>
      <w:pPr>
        <w:spacing w:after="0" w:line="120" w:lineRule="exact"/>
        <w:rPr>
          <w:sz w:val="20"/>
          <w:szCs w:val="20"/>
          <w:color w:val="auto"/>
        </w:rPr>
      </w:pPr>
    </w:p>
    <w:p>
      <w:pPr>
        <w:ind w:left="340" w:right="559"/>
        <w:spacing w:after="0" w:line="250" w:lineRule="auto"/>
        <w:rPr>
          <w:sz w:val="20"/>
          <w:szCs w:val="20"/>
          <w:color w:val="auto"/>
        </w:rPr>
      </w:pPr>
      <w:r>
        <w:rPr>
          <w:rFonts w:ascii="Times New Roman" w:cs="Times New Roman" w:eastAsia="Times New Roman" w:hAnsi="Times New Roman"/>
          <w:sz w:val="14"/>
          <w:szCs w:val="14"/>
          <w:color w:val="auto"/>
        </w:rPr>
        <w:t>In the opinion of the Company, in addition to the adjustments to record the business combination (the “Business Combination”) between VPCC and Legacy Dave, the accompanying unaudited condensed consolidated financial statements reflect all normal recurring adjustments necessary to present fairly the financial position, results of operations, comprehensive loss, cash flows, and stockholders’ equity for the interim periods, but are not necessarily indicative of the results to be anticipated for the full year 2022 or any future period.</w:t>
      </w:r>
    </w:p>
    <w:p>
      <w:pPr>
        <w:spacing w:after="0" w:line="146" w:lineRule="exact"/>
        <w:rPr>
          <w:sz w:val="20"/>
          <w:szCs w:val="20"/>
          <w:color w:val="auto"/>
        </w:rPr>
      </w:pPr>
    </w:p>
    <w:p>
      <w:pPr>
        <w:ind w:left="340" w:right="359"/>
        <w:spacing w:after="0" w:line="297" w:lineRule="auto"/>
        <w:rPr>
          <w:sz w:val="20"/>
          <w:szCs w:val="20"/>
          <w:color w:val="auto"/>
        </w:rPr>
      </w:pPr>
      <w:r>
        <w:rPr>
          <w:rFonts w:ascii="Times New Roman" w:cs="Times New Roman" w:eastAsia="Times New Roman" w:hAnsi="Times New Roman"/>
          <w:sz w:val="12"/>
          <w:szCs w:val="12"/>
          <w:color w:val="auto"/>
        </w:rPr>
        <w:t>Subsequent events are events or transactions that occur after the condensed consolidated balance sheet date, but before condensed consolidated financial statements are available to be issued. The Company recognizes in the condensed consolidated financial statements the effects of all subsequent events that provide additional evidence about conditions that existed at the date of the condensed consolidated balance sheet, including the estimates inherent in the process of preparing the condensed consolidated financial statements. The Company’s condensed consolidated financial statements do not recognize subsequent events that provide evidence about conditions that did not exist at the date of the condensed consolidated balance sheet but arose after the condensed consolidated balance sheet date and before the condensed consolidated financial statements were available to be issued.</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Retroactive Application of Reverse Recapitalization</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 xml:space="preserve">As discussed further in </w:t>
      </w:r>
      <w:r>
        <w:rPr>
          <w:rFonts w:ascii="Times New Roman" w:cs="Times New Roman" w:eastAsia="Times New Roman" w:hAnsi="Times New Roman"/>
          <w:sz w:val="14"/>
          <w:szCs w:val="14"/>
          <w:i w:val="1"/>
          <w:iCs w:val="1"/>
          <w:color w:val="auto"/>
        </w:rPr>
        <w:t>Note 4 The Reverse Recapitalization and Related Transactions</w:t>
      </w:r>
      <w:r>
        <w:rPr>
          <w:rFonts w:ascii="Times New Roman" w:cs="Times New Roman" w:eastAsia="Times New Roman" w:hAnsi="Times New Roman"/>
          <w:sz w:val="14"/>
          <w:szCs w:val="14"/>
          <w:color w:val="auto"/>
        </w:rPr>
        <w:t>, the Business Combination is accounted for as a reverse</w:t>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recapitalization of equity structure. Pursuant to U.S. GAAP, the Company recasts its Consolidated Statements of Stockholders’ Equity from</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December 31, 2020 to the Closing Date, the total stockholder’s equity within the Company’s Consolidated Balance Sheet as of December 31, 2021 and</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weighted average outstanding shares basic and diluted for the year ended December 31, 2021 by applying the recapitalization retroactively.</w:t>
      </w:r>
    </w:p>
    <w:p>
      <w:pPr>
        <w:spacing w:after="0" w:line="154" w:lineRule="exact"/>
        <w:rPr>
          <w:sz w:val="20"/>
          <w:szCs w:val="20"/>
          <w:color w:val="auto"/>
        </w:rPr>
      </w:pPr>
    </w:p>
    <w:p>
      <w:pPr>
        <w:ind w:left="340" w:right="479"/>
        <w:spacing w:after="0" w:line="264" w:lineRule="auto"/>
        <w:rPr>
          <w:sz w:val="20"/>
          <w:szCs w:val="20"/>
          <w:color w:val="auto"/>
        </w:rPr>
      </w:pPr>
      <w:r>
        <w:rPr>
          <w:rFonts w:ascii="Times New Roman" w:cs="Times New Roman" w:eastAsia="Times New Roman" w:hAnsi="Times New Roman"/>
          <w:sz w:val="14"/>
          <w:szCs w:val="14"/>
          <w:color w:val="auto"/>
        </w:rPr>
        <w:t>In addition, the Company recasts the stock class and issued and outstanding number of shares, exercise prices of options and warrants for each balance sheet period presented in these Condensed Consolidated Financial Statements and the accompanying notes.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Retroactive Application of Reverse Recapitalization to the Condensed Consolidated Statements of Stockholders’ Equity</w:t>
      </w:r>
    </w:p>
    <w:p>
      <w:pPr>
        <w:spacing w:after="0" w:line="86" w:lineRule="exact"/>
        <w:rPr>
          <w:sz w:val="20"/>
          <w:szCs w:val="20"/>
          <w:color w:val="auto"/>
        </w:rPr>
      </w:pPr>
    </w:p>
    <w:p>
      <w:pPr>
        <w:ind w:left="340" w:right="379"/>
        <w:spacing w:after="0" w:line="246" w:lineRule="auto"/>
        <w:rPr>
          <w:sz w:val="20"/>
          <w:szCs w:val="20"/>
          <w:color w:val="auto"/>
        </w:rPr>
      </w:pPr>
      <w:r>
        <w:rPr>
          <w:rFonts w:ascii="Times New Roman" w:cs="Times New Roman" w:eastAsia="Times New Roman" w:hAnsi="Times New Roman"/>
          <w:sz w:val="14"/>
          <w:szCs w:val="14"/>
          <w:color w:val="auto"/>
        </w:rPr>
        <w:t>Pursuant to the terms of the Business Combination Agreement, as part of the Closing, all of the issued and outstanding Series A preferred stock Legacy Dave were automatically converted into Legacy Dave common stock at a 1:1 ratio and Series B-1 and Series B-2 convertible preferred stock of Legacy Dave were automatically converted into Legacy Dave common stock at a 1:1.033076 ratio, which were all converted again, along with all other issued and outstanding common stock of Legacy Dave, into 342,649,141 shares of Class A Common Stock and Class V Common Stock at an exchange ratio of 1.354387513 (the “Exchange Ratio”). Additionally, each of the Company’s options that were outstanding immediately prior to the closing of the Business Combination remained outstanding and converted into options for Class A Common Stock and Class V Common Stock equal to the number of the Company’s Common Stock, subject to such options multiplied by the Exchange Ratio at an exercise price per share equal to the current exercise price per share for such options divided by the Exchange Ratio, with the aggregate amount of shares of Class A Common Stock and Class V Common Stock issuable upon exercise of such options to be 32,078,481.</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127"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Dave Inc.</w:t>
      </w:r>
    </w:p>
    <w:p>
      <w:pPr>
        <w:spacing w:after="0" w:line="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Notes to the Unaudited Condensed Consolidated Financial Statements</w:t>
      </w:r>
    </w:p>
    <w:p>
      <w:pPr>
        <w:spacing w:after="0" w:line="10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Retroactive Application of Reverse Recapitalization to the Condensed Consolidated Statements of Operations</w:t>
      </w:r>
    </w:p>
    <w:p>
      <w:pPr>
        <w:spacing w:after="0" w:line="86" w:lineRule="exact"/>
        <w:rPr>
          <w:sz w:val="20"/>
          <w:szCs w:val="20"/>
          <w:color w:val="auto"/>
        </w:rPr>
      </w:pPr>
    </w:p>
    <w:p>
      <w:pPr>
        <w:ind w:left="1480" w:right="399"/>
        <w:spacing w:after="0" w:line="250" w:lineRule="auto"/>
        <w:rPr>
          <w:sz w:val="20"/>
          <w:szCs w:val="20"/>
          <w:color w:val="auto"/>
        </w:rPr>
      </w:pPr>
      <w:r>
        <w:rPr>
          <w:rFonts w:ascii="Times New Roman" w:cs="Times New Roman" w:eastAsia="Times New Roman" w:hAnsi="Times New Roman"/>
          <w:sz w:val="14"/>
          <w:szCs w:val="14"/>
          <w:color w:val="auto"/>
        </w:rPr>
        <w:t>Furthermore, based on the retroactive application of the reverse recapitalization to the Company’s Condensed Consolidated Statements of Stockholders’ Equity, the Company recalculated the weighted average shares for the year ended December 31, 2021. The basic and diluted weighted-average Legacy Dave Common Stock were retroactively converted to Class A Common Stock and Class V Common Stock using the Exchange Ratio to conform to the recast period (see Note 3, Net (Loss) Income Per Share Attributable to Stockholders, for additional information).</w:t>
      </w:r>
    </w:p>
    <w:p>
      <w:pPr>
        <w:spacing w:after="0" w:line="2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Retroactive Application of Reverse Recapitalization to the Condensed Consolidated Balance Sheets</w:t>
      </w:r>
    </w:p>
    <w:p>
      <w:pPr>
        <w:spacing w:after="0" w:line="86" w:lineRule="exact"/>
        <w:rPr>
          <w:sz w:val="20"/>
          <w:szCs w:val="20"/>
          <w:color w:val="auto"/>
        </w:rPr>
      </w:pPr>
    </w:p>
    <w:p>
      <w:pPr>
        <w:ind w:left="1480" w:right="439"/>
        <w:spacing w:after="0" w:line="250" w:lineRule="auto"/>
        <w:rPr>
          <w:sz w:val="20"/>
          <w:szCs w:val="20"/>
          <w:color w:val="auto"/>
        </w:rPr>
      </w:pPr>
      <w:r>
        <w:rPr>
          <w:rFonts w:ascii="Times New Roman" w:cs="Times New Roman" w:eastAsia="Times New Roman" w:hAnsi="Times New Roman"/>
          <w:sz w:val="14"/>
          <w:szCs w:val="14"/>
          <w:color w:val="auto"/>
        </w:rPr>
        <w:t>Finally, to conform to the retroactive application of recapitalization to the Company’s Condensed Consolidated Statements of Stockholders’ Equity, the Company reclassified the $9,881 of Legacy Dave Series A convertible preferred stock, $49,675 of Legacy Dave Series B-1 convertible preferred stock, and the $12,617 of Legacy Dave Series B-2 convertible preferred stock to the additional paid-in capital (“APIC”), less amounts attributable to the par value of the common stock as recast, as of December 31, 2021.</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Principles of Consolidation</w:t>
      </w:r>
    </w:p>
    <w:p>
      <w:pPr>
        <w:spacing w:after="0" w:line="88" w:lineRule="exact"/>
        <w:rPr>
          <w:sz w:val="20"/>
          <w:szCs w:val="20"/>
          <w:color w:val="auto"/>
        </w:rPr>
      </w:pPr>
    </w:p>
    <w:p>
      <w:pPr>
        <w:ind w:left="1480" w:right="519"/>
        <w:spacing w:after="0" w:line="254" w:lineRule="auto"/>
        <w:rPr>
          <w:sz w:val="20"/>
          <w:szCs w:val="20"/>
          <w:color w:val="auto"/>
        </w:rPr>
      </w:pPr>
      <w:r>
        <w:rPr>
          <w:rFonts w:ascii="Times New Roman" w:cs="Times New Roman" w:eastAsia="Times New Roman" w:hAnsi="Times New Roman"/>
          <w:sz w:val="14"/>
          <w:szCs w:val="14"/>
          <w:color w:val="auto"/>
        </w:rPr>
        <w:t>The Company consolidates financial statements of all entities in which the Company has a controlling financial interest, including the accounts of any Variable Interest Entity in which the Company has a controlling financial interest and for which it is the primary beneficiary. All intercompany transactions and balances have been eliminated upon consolidation.</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Variable Interest Entities</w:t>
      </w:r>
    </w:p>
    <w:p>
      <w:pPr>
        <w:spacing w:after="0" w:line="88" w:lineRule="exact"/>
        <w:rPr>
          <w:sz w:val="20"/>
          <w:szCs w:val="20"/>
          <w:color w:val="auto"/>
        </w:rPr>
      </w:pPr>
    </w:p>
    <w:p>
      <w:pPr>
        <w:ind w:left="1480" w:right="639"/>
        <w:spacing w:after="0" w:line="316" w:lineRule="auto"/>
        <w:rPr>
          <w:sz w:val="20"/>
          <w:szCs w:val="20"/>
          <w:color w:val="auto"/>
        </w:rPr>
      </w:pPr>
      <w:r>
        <w:rPr>
          <w:rFonts w:ascii="Times New Roman" w:cs="Times New Roman" w:eastAsia="Times New Roman" w:hAnsi="Times New Roman"/>
          <w:sz w:val="12"/>
          <w:szCs w:val="12"/>
          <w:color w:val="auto"/>
        </w:rPr>
        <w:t>The Company is considered the primary beneficiary of Dave OD, as it has the power over the activities that most significantly impact the economic performance of Dave OD and has the obligation to absorb expected losses and the right to receive expected benefits that could be significant, in accordance with accounting guidance. As a result, the Company consolidated Dave OD and all intercompany accounts have been eliminated.</w:t>
      </w:r>
    </w:p>
    <w:p>
      <w:pPr>
        <w:spacing w:after="0" w:line="109" w:lineRule="exact"/>
        <w:rPr>
          <w:sz w:val="20"/>
          <w:szCs w:val="20"/>
          <w:color w:val="auto"/>
        </w:rPr>
      </w:pPr>
    </w:p>
    <w:p>
      <w:pPr>
        <w:ind w:left="1480" w:right="639"/>
        <w:spacing w:after="0" w:line="264" w:lineRule="auto"/>
        <w:rPr>
          <w:sz w:val="20"/>
          <w:szCs w:val="20"/>
          <w:color w:val="auto"/>
        </w:rPr>
      </w:pPr>
      <w:r>
        <w:rPr>
          <w:rFonts w:ascii="Times New Roman" w:cs="Times New Roman" w:eastAsia="Times New Roman" w:hAnsi="Times New Roman"/>
          <w:sz w:val="14"/>
          <w:szCs w:val="14"/>
          <w:color w:val="auto"/>
        </w:rPr>
        <w:t>The carrying value of Dave OD’s assets and liabilities, after elimination of any intercompany transactions and balances, in the unaudited condensed consolidated balance sheet as of March 31, 2022, are as follows:</w:t>
      </w:r>
    </w:p>
    <w:p>
      <w:pPr>
        <w:spacing w:after="0" w:line="159"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$15,484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860" w:type="dxa"/>
            <w:vAlign w:val="bottom"/>
          </w:tcPr>
          <w:p>
            <w:pPr>
              <w:ind w:left="240"/>
              <w:spacing w:after="0" w:line="151" w:lineRule="exact"/>
              <w:rPr>
                <w:sz w:val="20"/>
                <w:szCs w:val="20"/>
                <w:color w:val="auto"/>
              </w:rPr>
            </w:pPr>
            <w:r>
              <w:rPr>
                <w:rFonts w:ascii="Times New Roman" w:cs="Times New Roman" w:eastAsia="Times New Roman" w:hAnsi="Times New Roman"/>
                <w:sz w:val="14"/>
                <w:szCs w:val="14"/>
                <w:color w:val="auto"/>
              </w:rPr>
              <w:t>Member advances, net of allowance for unrecoverable advances of $1,827 as of</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March 31, 2022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46,977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Debt and credit facility commitment fee, current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Debt facility commitment fee, long-term</w:t>
            </w:r>
          </w:p>
        </w:tc>
        <w:tc>
          <w:tcPr>
            <w:tcW w:w="28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62,936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8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Credit facility</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Debt facility</w:t>
            </w:r>
          </w:p>
        </w:tc>
        <w:tc>
          <w:tcPr>
            <w:tcW w:w="28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35,000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55,000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4880" w:type="dxa"/>
            <w:vAlign w:val="bottom"/>
            <w:gridSpan w:val="2"/>
          </w:tcPr>
          <w:p>
            <w:pPr>
              <w:jc w:val="right"/>
              <w:ind w:right="1912"/>
              <w:spacing w:after="0"/>
              <w:rPr>
                <w:sz w:val="20"/>
                <w:szCs w:val="20"/>
                <w:color w:val="auto"/>
              </w:rPr>
            </w:pPr>
            <w:r>
              <w:rPr>
                <w:rFonts w:ascii="Times New Roman" w:cs="Times New Roman" w:eastAsia="Times New Roman" w:hAnsi="Times New Roman"/>
                <w:sz w:val="14"/>
                <w:szCs w:val="14"/>
                <w:color w:val="auto"/>
              </w:rPr>
              <w:t>13</w:t>
            </w:r>
          </w:p>
        </w:tc>
        <w:tc>
          <w:tcPr>
            <w:tcW w:w="280" w:type="dxa"/>
            <w:vAlign w:val="bottom"/>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9"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Dave Inc.</w:t>
      </w:r>
    </w:p>
    <w:p>
      <w:pPr>
        <w:spacing w:after="0" w:line="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Notes to the Unaudited Condensed Consolidated Financial Statements</w:t>
      </w:r>
    </w:p>
    <w:p>
      <w:pPr>
        <w:spacing w:after="0" w:line="9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88" w:lineRule="exact"/>
        <w:rPr>
          <w:sz w:val="20"/>
          <w:szCs w:val="20"/>
          <w:color w:val="auto"/>
        </w:rPr>
      </w:pPr>
    </w:p>
    <w:p>
      <w:pPr>
        <w:ind w:left="1480" w:right="399"/>
        <w:spacing w:after="0" w:line="246" w:lineRule="auto"/>
        <w:rPr>
          <w:sz w:val="20"/>
          <w:szCs w:val="20"/>
          <w:color w:val="auto"/>
        </w:rPr>
      </w:pPr>
      <w:r>
        <w:rPr>
          <w:rFonts w:ascii="Times New Roman" w:cs="Times New Roman" w:eastAsia="Times New Roman" w:hAnsi="Times New Roman"/>
          <w:sz w:val="14"/>
          <w:szCs w:val="14"/>
          <w:color w:val="auto"/>
        </w:rPr>
        <w:t>The preparation of these condensed consolidated financial statements requires the Company to make estimates and assumptions that affect the reported amounts of assets and liabilities and the disclosure of contingent assets and liabilities as of the date of the condensed consolidated financial statements, as well as the reported revenues and expenses incurred during the reporting periods. The Company’s estimates are based on its historical experience and on various other factors that the Company believes are reasonable under the circumstances, the results of which form the basis for making judgments about the carrying value of assets and liabilities that are not readily apparent from other sources. The Company’s critical accounting estimates and assumptions are evaluated on an ongoing basis including those related to the: (i) allowance for unrecoverable advances; (ii) realization of tax assets and estimates of tax liabilities; (iii) valuation of equity securities; (iv) fair value of derivatives; (v) valuation of note payable and (vi) fair value of warrant liabilities. Actual results may differ from these estimates under different assumptions or conditions.</w:t>
      </w:r>
    </w:p>
    <w:p>
      <w:pPr>
        <w:spacing w:after="0" w:line="2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Service Based Revenue, Net:</w:t>
      </w:r>
    </w:p>
    <w:p>
      <w:pPr>
        <w:spacing w:after="0" w:line="84" w:lineRule="exact"/>
        <w:rPr>
          <w:sz w:val="20"/>
          <w:szCs w:val="20"/>
          <w:color w:val="auto"/>
        </w:rPr>
      </w:pPr>
    </w:p>
    <w:p>
      <w:pPr>
        <w:jc w:val="both"/>
        <w:ind w:left="1480" w:right="439"/>
        <w:spacing w:after="0" w:line="254" w:lineRule="auto"/>
        <w:rPr>
          <w:sz w:val="20"/>
          <w:szCs w:val="20"/>
          <w:color w:val="auto"/>
        </w:rPr>
      </w:pPr>
      <w:r>
        <w:rPr>
          <w:rFonts w:ascii="Times New Roman" w:cs="Times New Roman" w:eastAsia="Times New Roman" w:hAnsi="Times New Roman"/>
          <w:sz w:val="14"/>
          <w:szCs w:val="14"/>
          <w:color w:val="auto"/>
        </w:rPr>
        <w:t>Service based revenue, net primarily consists of tips, express processing fees, and subscriptions charged to Members, net of processor costs associated with advance disbursements. Member advances are treated as financial receivables under Accounting Standards Codification (“ASC”) 310 Receivables (“ASC 310”).</w:t>
      </w:r>
    </w:p>
    <w:p>
      <w:pPr>
        <w:spacing w:after="0" w:line="142" w:lineRule="exact"/>
        <w:rPr>
          <w:sz w:val="20"/>
          <w:szCs w:val="20"/>
          <w:color w:val="auto"/>
        </w:rPr>
      </w:pPr>
    </w:p>
    <w:p>
      <w:pPr>
        <w:ind w:left="1480" w:right="499"/>
        <w:spacing w:after="0" w:line="264" w:lineRule="auto"/>
        <w:rPr>
          <w:sz w:val="20"/>
          <w:szCs w:val="20"/>
          <w:color w:val="auto"/>
        </w:rPr>
      </w:pPr>
      <w:r>
        <w:rPr>
          <w:rFonts w:ascii="Times New Roman" w:cs="Times New Roman" w:eastAsia="Times New Roman" w:hAnsi="Times New Roman"/>
          <w:sz w:val="14"/>
          <w:szCs w:val="14"/>
          <w:color w:val="auto"/>
        </w:rPr>
        <w:t>The Company encourages but does not contractually require its Members who receive a cash advance to leave a discretionary tip. The Company treats tips as an adjustment of yield to the advances and are recognized over the average term of advances.</w:t>
      </w:r>
    </w:p>
    <w:p>
      <w:pPr>
        <w:spacing w:after="0" w:line="136" w:lineRule="exact"/>
        <w:rPr>
          <w:sz w:val="20"/>
          <w:szCs w:val="20"/>
          <w:color w:val="auto"/>
        </w:rPr>
      </w:pPr>
    </w:p>
    <w:p>
      <w:pPr>
        <w:ind w:left="1480" w:right="559"/>
        <w:spacing w:after="0" w:line="254" w:lineRule="auto"/>
        <w:rPr>
          <w:sz w:val="20"/>
          <w:szCs w:val="20"/>
          <w:color w:val="auto"/>
        </w:rPr>
      </w:pPr>
      <w:r>
        <w:rPr>
          <w:rFonts w:ascii="Times New Roman" w:cs="Times New Roman" w:eastAsia="Times New Roman" w:hAnsi="Times New Roman"/>
          <w:sz w:val="14"/>
          <w:szCs w:val="14"/>
          <w:color w:val="auto"/>
        </w:rPr>
        <w:t>Express processing fees apply when a Member requests an expedited cash advance. At the Member’s election, the Company expedites the funding of advance funds within eight hours, as opposed to the customary three business days, of the advance request. Express fees are nonrefundable loan origination fees and are recognized as revenues over the expected contractual term of the advance.</w:t>
      </w:r>
    </w:p>
    <w:p>
      <w:pPr>
        <w:spacing w:after="0" w:line="142" w:lineRule="exact"/>
        <w:rPr>
          <w:sz w:val="20"/>
          <w:szCs w:val="20"/>
          <w:color w:val="auto"/>
        </w:rPr>
      </w:pPr>
    </w:p>
    <w:p>
      <w:pPr>
        <w:ind w:left="1480" w:right="399"/>
        <w:spacing w:after="0" w:line="254" w:lineRule="auto"/>
        <w:rPr>
          <w:sz w:val="20"/>
          <w:szCs w:val="20"/>
          <w:color w:val="auto"/>
        </w:rPr>
      </w:pPr>
      <w:r>
        <w:rPr>
          <w:rFonts w:ascii="Times New Roman" w:cs="Times New Roman" w:eastAsia="Times New Roman" w:hAnsi="Times New Roman"/>
          <w:sz w:val="14"/>
          <w:szCs w:val="14"/>
          <w:color w:val="auto"/>
        </w:rPr>
        <w:t>Costs incurred by the Company to fund cash advances are treated as direct loan origination costs. These direct loan origination costs are netted against advance-related income over the expected contractual term of the advance. Direct origination costs recognized as a reduction of advance-related income during the periods ended March 31, 2022 and 2021, was $0.9 million and $0.9 million, respectively.</w:t>
      </w:r>
    </w:p>
    <w:p>
      <w:pPr>
        <w:spacing w:after="0" w:line="140" w:lineRule="exact"/>
        <w:rPr>
          <w:sz w:val="20"/>
          <w:szCs w:val="20"/>
          <w:color w:val="auto"/>
        </w:rPr>
      </w:pPr>
    </w:p>
    <w:p>
      <w:pPr>
        <w:ind w:left="1480" w:right="399"/>
        <w:spacing w:after="0" w:line="291" w:lineRule="auto"/>
        <w:rPr>
          <w:sz w:val="20"/>
          <w:szCs w:val="20"/>
          <w:color w:val="auto"/>
        </w:rPr>
      </w:pPr>
      <w:r>
        <w:rPr>
          <w:rFonts w:ascii="Times New Roman" w:cs="Times New Roman" w:eastAsia="Times New Roman" w:hAnsi="Times New Roman"/>
          <w:sz w:val="12"/>
          <w:szCs w:val="12"/>
          <w:color w:val="auto"/>
        </w:rPr>
        <w:t xml:space="preserve">The Company accounts for subscriptions in accordance with ASC 606, </w:t>
      </w:r>
      <w:r>
        <w:rPr>
          <w:rFonts w:ascii="Times New Roman" w:cs="Times New Roman" w:eastAsia="Times New Roman" w:hAnsi="Times New Roman"/>
          <w:sz w:val="12"/>
          <w:szCs w:val="12"/>
          <w:i w:val="1"/>
          <w:iCs w:val="1"/>
          <w:color w:val="auto"/>
        </w:rPr>
        <w:t>Revenue from Contracts with Customers</w:t>
      </w:r>
      <w:r>
        <w:rPr>
          <w:rFonts w:ascii="Times New Roman" w:cs="Times New Roman" w:eastAsia="Times New Roman" w:hAnsi="Times New Roman"/>
          <w:sz w:val="12"/>
          <w:szCs w:val="12"/>
          <w:color w:val="auto"/>
        </w:rPr>
        <w:t xml:space="preserve"> (“ASC 606”). Under ASC 606, the Company must identify the contract with a Member, identify the performance obligations in the contract, determine the transaction price, allocate the transaction price to the performance obligations in the contract, and recognize revenue when (or as) the Company satisfies the performance obligations. The Company’s primary sources of revenue are derived from fees earned on advances, and other financial instruments that are not within the scope of ASC 606. The Company has evaluated the nature of its contracts with Members and determined that further disaggregation of revenue from contracts with Members into categories beyond what is presented in the condensed consolidated statements of operations was not necessary. For revenue sources that are within the scope of Topic 606, the Company fully satisfies its performance obligations and recognizes revenue in the period it is earned as services are rendered. Transaction prices are typically fixed, charged on a periodic basis or based on activity. Because performance obligations are satisfied as services are rendered and the transaction prices are fixed, there is little judgment involved in applying ASC 606 that significantly affects the determination of the amount and timing of revenue from contracts with the Company’s Members. Sources of revenue from contracts with Members that are in the scope of ASC 606 include subscription fees, lead generation fees, and reward program fees.</w:t>
      </w:r>
    </w:p>
    <w:p>
      <w:pPr>
        <w:spacing w:after="0" w:line="290" w:lineRule="exact"/>
        <w:rPr>
          <w:sz w:val="20"/>
          <w:szCs w:val="20"/>
          <w:color w:val="auto"/>
        </w:rPr>
      </w:pPr>
    </w:p>
    <w:p>
      <w:pPr>
        <w:jc w:val="both"/>
        <w:ind w:left="1480" w:right="439"/>
        <w:spacing w:after="0" w:line="316" w:lineRule="auto"/>
        <w:rPr>
          <w:sz w:val="20"/>
          <w:szCs w:val="20"/>
          <w:color w:val="auto"/>
        </w:rPr>
      </w:pPr>
      <w:r>
        <w:rPr>
          <w:rFonts w:ascii="Times New Roman" w:cs="Times New Roman" w:eastAsia="Times New Roman" w:hAnsi="Times New Roman"/>
          <w:sz w:val="12"/>
          <w:szCs w:val="12"/>
          <w:color w:val="auto"/>
        </w:rPr>
        <w:t>Subscription fees of $1 are received on a monthly basis from Members who subscribe to the Company’s application. The Company continually fulfills its obligation to each Member over the subscription term. The series of distinct services represents a single performance obligation that is satisfied over time. The Company recognizes revenue ratably as the Member receives and consumes the benefits of the platform throughout the contract period.</w:t>
      </w:r>
    </w:p>
    <w:p>
      <w:pPr>
        <w:spacing w:after="0" w:line="109" w:lineRule="exact"/>
        <w:rPr>
          <w:sz w:val="20"/>
          <w:szCs w:val="20"/>
          <w:color w:val="auto"/>
        </w:rPr>
      </w:pPr>
    </w:p>
    <w:p>
      <w:pPr>
        <w:ind w:left="1480" w:right="479"/>
        <w:spacing w:after="0" w:line="254" w:lineRule="auto"/>
        <w:rPr>
          <w:sz w:val="20"/>
          <w:szCs w:val="20"/>
          <w:color w:val="auto"/>
        </w:rPr>
      </w:pPr>
      <w:r>
        <w:rPr>
          <w:rFonts w:ascii="Times New Roman" w:cs="Times New Roman" w:eastAsia="Times New Roman" w:hAnsi="Times New Roman"/>
          <w:sz w:val="14"/>
          <w:szCs w:val="14"/>
          <w:color w:val="auto"/>
        </w:rPr>
        <w:t>Price concessions granted to Members who have insufficient funds when subscription fees are due are forms of variable consideration under the Company’s contracts with Members. For price concessions, the Company has elected, as an accounting policy, to account for price concessions for the month at the end of the reporting month based on the actual amounts of concessions granted as the impact.</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99"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Dave Inc.</w:t>
      </w:r>
    </w:p>
    <w:p>
      <w:pPr>
        <w:spacing w:after="0" w:line="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Notes to the Unaudited Condensed Consolidated Financial Statements</w:t>
      </w:r>
    </w:p>
    <w:p>
      <w:pPr>
        <w:spacing w:after="0" w:line="103" w:lineRule="exact"/>
        <w:rPr>
          <w:sz w:val="20"/>
          <w:szCs w:val="20"/>
          <w:color w:val="auto"/>
        </w:rPr>
      </w:pPr>
    </w:p>
    <w:p>
      <w:pPr>
        <w:ind w:left="1480" w:right="379"/>
        <w:spacing w:after="0" w:line="248" w:lineRule="auto"/>
        <w:rPr>
          <w:sz w:val="20"/>
          <w:szCs w:val="20"/>
          <w:color w:val="auto"/>
        </w:rPr>
      </w:pPr>
      <w:r>
        <w:rPr>
          <w:rFonts w:ascii="Times New Roman" w:cs="Times New Roman" w:eastAsia="Times New Roman" w:hAnsi="Times New Roman"/>
          <w:sz w:val="14"/>
          <w:szCs w:val="14"/>
          <w:color w:val="auto"/>
        </w:rPr>
        <w:t>Service based revenue also consists of lead generation fees from the Company’s Side Hustle advertising partners. The Company is entitled to receive these lead generation fees when Members use the application to sign up for jobs with the Company’s various partners. Lead generation contracts contain a single performance obligation. Lead generation revenue is recognized at a point in time upon satisfaction and completion of the single performance obligation. The Company also receives cash monthly as part of a rewards program for those Dave debit card Members who choose to spend funds with selected vendors.</w:t>
      </w:r>
    </w:p>
    <w:p>
      <w:pPr>
        <w:spacing w:after="0" w:line="14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color w:val="auto"/>
        </w:rPr>
        <w:t>The cash received by the Company is recorded as unearned revenue and recognized as revenue as the subscription credits are earned by the Members.</w:t>
      </w:r>
    </w:p>
    <w:p>
      <w:pPr>
        <w:spacing w:after="0" w:line="27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Transaction Based Revenue, Net:</w:t>
      </w:r>
    </w:p>
    <w:p>
      <w:pPr>
        <w:spacing w:after="0" w:line="84" w:lineRule="exact"/>
        <w:rPr>
          <w:sz w:val="20"/>
          <w:szCs w:val="20"/>
          <w:color w:val="auto"/>
        </w:rPr>
      </w:pPr>
    </w:p>
    <w:p>
      <w:pPr>
        <w:ind w:left="1480" w:right="539"/>
        <w:spacing w:after="0" w:line="254" w:lineRule="auto"/>
        <w:rPr>
          <w:sz w:val="20"/>
          <w:szCs w:val="20"/>
          <w:color w:val="auto"/>
        </w:rPr>
      </w:pPr>
      <w:r>
        <w:rPr>
          <w:rFonts w:ascii="Times New Roman" w:cs="Times New Roman" w:eastAsia="Times New Roman" w:hAnsi="Times New Roman"/>
          <w:sz w:val="14"/>
          <w:szCs w:val="14"/>
          <w:color w:val="auto"/>
        </w:rPr>
        <w:t>Transaction based revenue, net primarily consists of interchange and ATM revenues from Dave’s Checking Product, net of ATM-related fees, and are recognized at the point in time the transactions occur, as the performance obligation is satisfied. ATM-related fees recognized as a reduction of transaction based revenue during the periods ended March 31, 2022 and 2021, were $0.1 million and $0.2 million, respectively.</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Processing and Servicing Fees</w:t>
      </w:r>
    </w:p>
    <w:p>
      <w:pPr>
        <w:spacing w:after="0" w:line="88" w:lineRule="exact"/>
        <w:rPr>
          <w:sz w:val="20"/>
          <w:szCs w:val="20"/>
          <w:color w:val="auto"/>
        </w:rPr>
      </w:pPr>
    </w:p>
    <w:p>
      <w:pPr>
        <w:jc w:val="both"/>
        <w:ind w:left="1480" w:right="459"/>
        <w:spacing w:after="0" w:line="316" w:lineRule="auto"/>
        <w:rPr>
          <w:sz w:val="20"/>
          <w:szCs w:val="20"/>
          <w:color w:val="auto"/>
        </w:rPr>
      </w:pPr>
      <w:r>
        <w:rPr>
          <w:rFonts w:ascii="Times New Roman" w:cs="Times New Roman" w:eastAsia="Times New Roman" w:hAnsi="Times New Roman"/>
          <w:sz w:val="12"/>
          <w:szCs w:val="12"/>
          <w:color w:val="auto"/>
        </w:rPr>
        <w:t>Processor fees consist of fees paid to the Company’s processors for the recovery of advances, tips, processing fees, and subscriptions. These expenses also include fees paid for services to connect Member’s bank accounts to the Company’s application. Except for processing and service fees associated with advance disbursements, which are recorded net against revenue, all other processing and service fees are expensed as incurred.</w:t>
      </w:r>
    </w:p>
    <w:p>
      <w:pPr>
        <w:spacing w:after="0" w:line="18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Company classifies all highly liquid instruments with an original maturity of three months or less as cash equivalents.</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Restricted Cash</w:t>
      </w:r>
    </w:p>
    <w:p>
      <w:pPr>
        <w:spacing w:after="0" w:line="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Restricted cash primarily represents cash held at financial institutions that is pledged as collateral for specific accounts that may become overdrawn.</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Marketable Securities</w:t>
      </w:r>
    </w:p>
    <w:p>
      <w:pPr>
        <w:spacing w:after="0" w:line="88" w:lineRule="exact"/>
        <w:rPr>
          <w:sz w:val="20"/>
          <w:szCs w:val="20"/>
          <w:color w:val="auto"/>
        </w:rPr>
      </w:pPr>
    </w:p>
    <w:p>
      <w:pPr>
        <w:ind w:left="1480" w:right="519"/>
        <w:spacing w:after="0" w:line="264" w:lineRule="auto"/>
        <w:rPr>
          <w:sz w:val="20"/>
          <w:szCs w:val="20"/>
          <w:color w:val="auto"/>
        </w:rPr>
      </w:pPr>
      <w:r>
        <w:rPr>
          <w:rFonts w:ascii="Times New Roman" w:cs="Times New Roman" w:eastAsia="Times New Roman" w:hAnsi="Times New Roman"/>
          <w:sz w:val="14"/>
          <w:szCs w:val="14"/>
          <w:color w:val="auto"/>
        </w:rPr>
        <w:t>Marketable securities consist of a money market mutual fund. The fair value of marketable securities is determined by quoted prices in active markets and changes in fair value are recorded in other (income) expense in the consolidated statements of operations.</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Member Advances</w:t>
      </w:r>
    </w:p>
    <w:p>
      <w:pPr>
        <w:spacing w:after="0" w:line="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color w:val="auto"/>
        </w:rPr>
        <w:t>Member advances include non-recourse cash advances, fees, and tips, net of certain direct origination costs and allowance for unrecoverable advances.</w:t>
      </w:r>
    </w:p>
    <w:p>
      <w:pPr>
        <w:spacing w:after="0" w:line="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Management’s intent is to hold advances until maturity or payoff. Members’ cash advances are treated as financial receivables under ASC 310.</w:t>
      </w:r>
    </w:p>
    <w:p>
      <w:pPr>
        <w:spacing w:after="0" w:line="154" w:lineRule="exact"/>
        <w:rPr>
          <w:sz w:val="20"/>
          <w:szCs w:val="20"/>
          <w:color w:val="auto"/>
        </w:rPr>
      </w:pPr>
    </w:p>
    <w:p>
      <w:pPr>
        <w:ind w:left="1480" w:right="459"/>
        <w:spacing w:after="0" w:line="254" w:lineRule="auto"/>
        <w:rPr>
          <w:sz w:val="20"/>
          <w:szCs w:val="20"/>
          <w:color w:val="auto"/>
        </w:rPr>
      </w:pPr>
      <w:r>
        <w:rPr>
          <w:rFonts w:ascii="Times New Roman" w:cs="Times New Roman" w:eastAsia="Times New Roman" w:hAnsi="Times New Roman"/>
          <w:sz w:val="14"/>
          <w:szCs w:val="14"/>
          <w:color w:val="auto"/>
        </w:rPr>
        <w:t>Advances to Members are not interest-bearing. The Company recognizes these advances at the advanced amount and does not use discounting techniques to determine present value of advances due to their short-term average maturity. The consequent discount impact under the imputed interest rate method does not result in a significant impact to the consolidated financial statements.</w:t>
      </w:r>
    </w:p>
    <w:p>
      <w:pPr>
        <w:spacing w:after="0" w:line="14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Company does not provide modifications to advances.</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Allowance for Unrecoverable Advances</w:t>
      </w:r>
    </w:p>
    <w:p>
      <w:pPr>
        <w:spacing w:after="0" w:line="88" w:lineRule="exact"/>
        <w:rPr>
          <w:sz w:val="20"/>
          <w:szCs w:val="20"/>
          <w:color w:val="auto"/>
        </w:rPr>
      </w:pPr>
    </w:p>
    <w:p>
      <w:pPr>
        <w:ind w:left="1480" w:right="339"/>
        <w:spacing w:after="0" w:line="248" w:lineRule="auto"/>
        <w:rPr>
          <w:sz w:val="20"/>
          <w:szCs w:val="20"/>
          <w:color w:val="auto"/>
        </w:rPr>
      </w:pPr>
      <w:r>
        <w:rPr>
          <w:rFonts w:ascii="Times New Roman" w:cs="Times New Roman" w:eastAsia="Times New Roman" w:hAnsi="Times New Roman"/>
          <w:sz w:val="14"/>
          <w:szCs w:val="14"/>
          <w:color w:val="auto"/>
        </w:rPr>
        <w:t>The Company maintains an allowance for unrecoverable advances at a level estimated to be adequate to absorb credit losses inherent in outstanding Member advances. Management currently estimates the allowance balance required using historical loss and collections experience, and, if relevant, the nature and volume of the portfolio, economic conditions, and other factors. Interpretations of past cash recovery patterns and projections of future economic conditions involve a high degree of subjectivity. Changes to the allowance have a direct impact on the provision for unrecoverable advances in the condensed consolidated statements of operations.</w:t>
      </w:r>
    </w:p>
    <w:p>
      <w:pPr>
        <w:spacing w:after="0" w:line="149" w:lineRule="exact"/>
        <w:rPr>
          <w:sz w:val="20"/>
          <w:szCs w:val="20"/>
          <w:color w:val="auto"/>
        </w:rPr>
      </w:pPr>
    </w:p>
    <w:p>
      <w:pPr>
        <w:ind w:left="1480" w:right="399"/>
        <w:spacing w:after="0" w:line="248" w:lineRule="auto"/>
        <w:rPr>
          <w:sz w:val="20"/>
          <w:szCs w:val="20"/>
          <w:color w:val="auto"/>
        </w:rPr>
      </w:pPr>
      <w:r>
        <w:rPr>
          <w:rFonts w:ascii="Times New Roman" w:cs="Times New Roman" w:eastAsia="Times New Roman" w:hAnsi="Times New Roman"/>
          <w:sz w:val="14"/>
          <w:szCs w:val="14"/>
          <w:color w:val="auto"/>
        </w:rPr>
        <w:t>The Company considers advances over 120 days past due or which become uncollectible based on information available to the Company as impaired. All impaired advances are deemed uncollectible and subsequently written-off and are a direct reduction to the allowance for unrecoverable advances. Subsequent recoveries of Member advances written-off, if any, are recorded as a reduction to Member advances when collected, resulting in a reduction to the allowance for unrecoverable advances and a corresponding reduction to the provision for unrecoverable advances expense in the condensed consolidated statements of operations.</w:t>
      </w:r>
    </w:p>
    <w:p>
      <w:pPr>
        <w:spacing w:after="0" w:line="2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Internally Developed Software</w:t>
      </w:r>
    </w:p>
    <w:p>
      <w:pPr>
        <w:spacing w:after="0" w:line="88" w:lineRule="exact"/>
        <w:rPr>
          <w:sz w:val="20"/>
          <w:szCs w:val="20"/>
          <w:color w:val="auto"/>
        </w:rPr>
      </w:pPr>
    </w:p>
    <w:p>
      <w:pPr>
        <w:ind w:left="1480" w:right="399"/>
        <w:spacing w:after="0" w:line="247" w:lineRule="auto"/>
        <w:rPr>
          <w:sz w:val="20"/>
          <w:szCs w:val="20"/>
          <w:color w:val="auto"/>
        </w:rPr>
      </w:pPr>
      <w:r>
        <w:rPr>
          <w:rFonts w:ascii="Times New Roman" w:cs="Times New Roman" w:eastAsia="Times New Roman" w:hAnsi="Times New Roman"/>
          <w:sz w:val="14"/>
          <w:szCs w:val="14"/>
          <w:color w:val="auto"/>
        </w:rPr>
        <w:t>Internally developed software is capitalized when preliminary development efforts are successfully completed, management has authorized and committed project funding, it is probable that the project will be completed, and the software will be used as intended. Capitalized costs consist of salaries and other compensation costs for employees incurred for time spent on upgrades and enhancements to add functionality to the software and fees paid to third-party consultants who are directly involved in development efforts. These capitalized costs are included on the condensed consolidated balance sheets as intangible assets, net. Other costs are expensed as incurred and included within Other general and administrative expenses in the condensed consolidated statements of operations. Capitalized costs for the three month periods ended March 31, 2022 and 2021, were approximately $2.3 million and $1.1 million, respectively.</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99"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Dave Inc.</w:t>
      </w:r>
    </w:p>
    <w:p>
      <w:pPr>
        <w:spacing w:after="0" w:line="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Notes to the Unaudited Condensed Consolidated Financial Statements</w:t>
      </w:r>
    </w:p>
    <w:p>
      <w:pPr>
        <w:spacing w:after="0" w:line="103" w:lineRule="exact"/>
        <w:rPr>
          <w:sz w:val="20"/>
          <w:szCs w:val="20"/>
          <w:color w:val="auto"/>
        </w:rPr>
      </w:pPr>
    </w:p>
    <w:p>
      <w:pPr>
        <w:jc w:val="both"/>
        <w:ind w:left="1480" w:right="439"/>
        <w:spacing w:after="0" w:line="254" w:lineRule="auto"/>
        <w:rPr>
          <w:sz w:val="20"/>
          <w:szCs w:val="20"/>
          <w:color w:val="auto"/>
        </w:rPr>
      </w:pPr>
      <w:r>
        <w:rPr>
          <w:rFonts w:ascii="Times New Roman" w:cs="Times New Roman" w:eastAsia="Times New Roman" w:hAnsi="Times New Roman"/>
          <w:sz w:val="14"/>
          <w:szCs w:val="14"/>
          <w:color w:val="auto"/>
        </w:rPr>
        <w:t>Amortization of internally developed software commences when the software is ready for its intended use (i.e., after all substantial testing is complete). Internally developed software is amortized over its estimated useful life of 3 years. Amortization expense for the three month periods ended March 31, 2022 and 2021, was approximately $1.0 and $0.6 million, respectively.</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Property and Equipment</w:t>
      </w:r>
    </w:p>
    <w:p>
      <w:pPr>
        <w:spacing w:after="0" w:line="88" w:lineRule="exact"/>
        <w:rPr>
          <w:sz w:val="20"/>
          <w:szCs w:val="20"/>
          <w:color w:val="auto"/>
        </w:rPr>
      </w:pPr>
    </w:p>
    <w:p>
      <w:pPr>
        <w:ind w:left="1480" w:right="379"/>
        <w:spacing w:after="0" w:line="254" w:lineRule="auto"/>
        <w:rPr>
          <w:sz w:val="20"/>
          <w:szCs w:val="20"/>
          <w:color w:val="auto"/>
        </w:rPr>
      </w:pPr>
      <w:r>
        <w:rPr>
          <w:rFonts w:ascii="Times New Roman" w:cs="Times New Roman" w:eastAsia="Times New Roman" w:hAnsi="Times New Roman"/>
          <w:sz w:val="14"/>
          <w:szCs w:val="14"/>
          <w:color w:val="auto"/>
        </w:rPr>
        <w:t>Property and equipment are stated at cost less accumulated depreciation. Property and equipment are recorded at cost and depreciated over the estimated useful lives ranging from 3 to 7 years using the straight-line method. Maintenance and repair costs are charged to operations as incurred and included within other operating expenses in the consolidated statements of operations.</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Impairment of Long-Lived Assets</w:t>
      </w:r>
    </w:p>
    <w:p>
      <w:pPr>
        <w:spacing w:after="0" w:line="88" w:lineRule="exact"/>
        <w:rPr>
          <w:sz w:val="20"/>
          <w:szCs w:val="20"/>
          <w:color w:val="auto"/>
        </w:rPr>
      </w:pPr>
    </w:p>
    <w:p>
      <w:pPr>
        <w:ind w:left="1480" w:right="399"/>
        <w:spacing w:after="0" w:line="305" w:lineRule="auto"/>
        <w:rPr>
          <w:sz w:val="20"/>
          <w:szCs w:val="20"/>
          <w:color w:val="auto"/>
        </w:rPr>
      </w:pPr>
      <w:r>
        <w:rPr>
          <w:rFonts w:ascii="Times New Roman" w:cs="Times New Roman" w:eastAsia="Times New Roman" w:hAnsi="Times New Roman"/>
          <w:sz w:val="12"/>
          <w:szCs w:val="12"/>
          <w:color w:val="auto"/>
        </w:rPr>
        <w:t>The Company assesses the impairment of long-lived assets, primarily property and equipment and amortizable intangible assets, whenever events or changes in business circumstances indicate that carrying amounts of the assets may not be fully recoverable. If the sum of the expected undiscounted future cash flows from an asset is less than the carrying amount of the asset, the Company estimates the fair value of the assets. The Company measures the loss as the amount by which the carrying amount exceeds its fair value calculated using the present value of estimated net future cash flows.</w:t>
      </w:r>
    </w:p>
    <w:p>
      <w:pPr>
        <w:spacing w:after="0" w:line="19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88" w:lineRule="exact"/>
        <w:rPr>
          <w:sz w:val="20"/>
          <w:szCs w:val="20"/>
          <w:color w:val="auto"/>
        </w:rPr>
      </w:pPr>
    </w:p>
    <w:p>
      <w:pPr>
        <w:ind w:left="1480" w:right="419"/>
        <w:spacing w:after="0" w:line="247" w:lineRule="auto"/>
        <w:rPr>
          <w:sz w:val="20"/>
          <w:szCs w:val="20"/>
          <w:color w:val="auto"/>
        </w:rPr>
      </w:pPr>
      <w:r>
        <w:rPr>
          <w:rFonts w:ascii="Times New Roman" w:cs="Times New Roman" w:eastAsia="Times New Roman" w:hAnsi="Times New Roman"/>
          <w:sz w:val="14"/>
          <w:szCs w:val="14"/>
          <w:color w:val="auto"/>
        </w:rPr>
        <w:t>The Company reviewed the terms of warrants to purchase its Common Stock to determine whether warrants should be classified as liabilities or stockholders’ equity in its condensed consolidated balance sheet. In order for a warrant to be classified in stockholders’ equity, the warrant must be (a) indexed to the Company’s equity and (b) meet the conditions for equity classification in Accounting Standards Codification (“ASC”) Subtopic 815-40, Derivatives and Hedging – Contracts in an Entity’s Own Equity. As the warrants do not meet the conditions for equity classification, they are carried on the consolidated balance sheet as warrant liabilities measured at fair value, with subsequent changes in the fair value of the warrant recorded in the statement of operations as change in fair value of warrants in other income (expense).</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Fair Value of Financial Instruments</w:t>
      </w:r>
    </w:p>
    <w:p>
      <w:pPr>
        <w:spacing w:after="0" w:line="86" w:lineRule="exact"/>
        <w:rPr>
          <w:sz w:val="20"/>
          <w:szCs w:val="20"/>
          <w:color w:val="auto"/>
        </w:rPr>
      </w:pPr>
    </w:p>
    <w:p>
      <w:pPr>
        <w:ind w:left="1480" w:right="359"/>
        <w:spacing w:after="0" w:line="292" w:lineRule="auto"/>
        <w:rPr>
          <w:sz w:val="20"/>
          <w:szCs w:val="20"/>
          <w:color w:val="auto"/>
        </w:rPr>
      </w:pPr>
      <w:r>
        <w:rPr>
          <w:rFonts w:ascii="Times New Roman" w:cs="Times New Roman" w:eastAsia="Times New Roman" w:hAnsi="Times New Roman"/>
          <w:sz w:val="12"/>
          <w:szCs w:val="12"/>
          <w:color w:val="auto"/>
        </w:rPr>
        <w:t xml:space="preserve">ASC 820, </w:t>
      </w:r>
      <w:r>
        <w:rPr>
          <w:rFonts w:ascii="Times New Roman" w:cs="Times New Roman" w:eastAsia="Times New Roman" w:hAnsi="Times New Roman"/>
          <w:sz w:val="12"/>
          <w:szCs w:val="12"/>
          <w:i w:val="1"/>
          <w:iCs w:val="1"/>
          <w:color w:val="auto"/>
        </w:rPr>
        <w:t>Fair Value Measurement</w:t>
      </w:r>
      <w:r>
        <w:rPr>
          <w:rFonts w:ascii="Times New Roman" w:cs="Times New Roman" w:eastAsia="Times New Roman" w:hAnsi="Times New Roman"/>
          <w:sz w:val="12"/>
          <w:szCs w:val="12"/>
          <w:color w:val="auto"/>
        </w:rPr>
        <w:t xml:space="preserve"> (“ASC 820”), provides a single definition of fair value and a common framework for measuring fair value as well as disclosure requirements for fair value measurements used in financial statements. Under ASC 820, fair value is determined based upon the exit price that would be received by a company to sell an asset or paid by a company to transfer a liability in an orderly transaction between market participants, exclusive of any transaction costs. Fair value measurements are determined by either the principal market or the most advantageous market. The principal market is the market with the greatest level of activity and volume for the asset or liability. Absent a principal market to measure fair value, the Company uses the most advantageous market, which is the market from which the Company would receive the highest selling price for the asset or pay the lowest price to settle the liability, after considering transaction costs. However, when using the most advantageous market, transaction costs are only considered to determine which market is the most advantageous and these costs are then excluded when applying a fair value measurement. ASC 820 creates a three-level hierarchy to prioritize the inputs used in the valuation techniques to derive fair values. The basis for fair value measurements for each level within the hierarchy is described below, with Level 1 having the highest priority and Level 3 having the lowest.</w:t>
      </w:r>
    </w:p>
    <w:p>
      <w:pPr>
        <w:spacing w:after="0" w:line="28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Level 1—Quoted prices in active markets for identical assets or liabilities.</w:t>
      </w:r>
    </w:p>
    <w:p>
      <w:pPr>
        <w:spacing w:after="0" w:line="84" w:lineRule="exact"/>
        <w:rPr>
          <w:sz w:val="20"/>
          <w:szCs w:val="20"/>
          <w:color w:val="auto"/>
        </w:rPr>
      </w:pPr>
    </w:p>
    <w:p>
      <w:pPr>
        <w:jc w:val="both"/>
        <w:ind w:left="1820" w:right="659"/>
        <w:spacing w:after="0" w:line="254" w:lineRule="auto"/>
        <w:rPr>
          <w:sz w:val="20"/>
          <w:szCs w:val="20"/>
          <w:color w:val="auto"/>
        </w:rPr>
      </w:pPr>
      <w:r>
        <w:rPr>
          <w:rFonts w:ascii="Times New Roman" w:cs="Times New Roman" w:eastAsia="Times New Roman" w:hAnsi="Times New Roman"/>
          <w:sz w:val="14"/>
          <w:szCs w:val="14"/>
          <w:color w:val="auto"/>
        </w:rPr>
        <w:t>Level 2—Observable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spacing w:after="0" w:line="6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Level 3—Valuations are based on inputs that are unobservable and significant to the overall fair value measurement of the assets or liabilities.</w:t>
      </w:r>
    </w:p>
    <w:p>
      <w:pPr>
        <w:spacing w:after="0" w:line="1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Inputs reflect management’s best estimate of what market participants would use in pricing the asset or liability at the measurement date.</w:t>
      </w:r>
    </w:p>
    <w:p>
      <w:pPr>
        <w:spacing w:after="0" w:line="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Consideration is given to the risk inherent in the valuation technique and the risk inherent in the inputs to the model.</w:t>
      </w:r>
    </w:p>
    <w:p>
      <w:pPr>
        <w:spacing w:after="0" w:line="1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99"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Dave Inc.</w:t>
      </w:r>
    </w:p>
    <w:p>
      <w:pPr>
        <w:spacing w:after="0" w:line="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Notes to the Unaudited Condensed Consolidated Financial Statements</w:t>
      </w:r>
    </w:p>
    <w:p>
      <w:pPr>
        <w:spacing w:after="0" w:line="103" w:lineRule="exact"/>
        <w:rPr>
          <w:sz w:val="20"/>
          <w:szCs w:val="20"/>
          <w:color w:val="auto"/>
        </w:rPr>
      </w:pPr>
    </w:p>
    <w:p>
      <w:pPr>
        <w:jc w:val="both"/>
        <w:ind w:left="1480" w:right="599"/>
        <w:spacing w:after="0" w:line="254" w:lineRule="auto"/>
        <w:rPr>
          <w:sz w:val="20"/>
          <w:szCs w:val="20"/>
          <w:color w:val="auto"/>
        </w:rPr>
      </w:pPr>
      <w:r>
        <w:rPr>
          <w:rFonts w:ascii="Times New Roman" w:cs="Times New Roman" w:eastAsia="Times New Roman" w:hAnsi="Times New Roman"/>
          <w:sz w:val="14"/>
          <w:szCs w:val="14"/>
          <w:color w:val="auto"/>
        </w:rPr>
        <w:t>Following are the major categories of assets and liabilities measured at fair value on a recurring basis as of March 31, 2022 and December 31, 2021, using quoted prices in active markets for identical assets (Level 1), significant other observable inputs (Level 2), and significant unobservable inputs (Level 3) (in thousands):</w:t>
      </w:r>
    </w:p>
    <w:p>
      <w:pPr>
        <w:spacing w:after="0" w:line="157" w:lineRule="exact"/>
        <w:rPr>
          <w:sz w:val="20"/>
          <w:szCs w:val="20"/>
          <w:color w:val="auto"/>
        </w:rPr>
      </w:pPr>
    </w:p>
    <w:tbl>
      <w:tblPr>
        <w:tblLayout w:type="fixed"/>
        <w:tblInd w:w="1820" w:type="dxa"/>
        <w:tblCellMar>
          <w:top w:w="0" w:type="dxa"/>
          <w:left w:w="0" w:type="dxa"/>
          <w:bottom w:w="0" w:type="dxa"/>
          <w:right w:w="0" w:type="dxa"/>
        </w:tblCellMar>
      </w:tblPr>
      <w:tr>
        <w:trPr>
          <w:trHeight w:val="151"/>
        </w:trPr>
        <w:tc>
          <w:tcPr>
            <w:tcW w:w="502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March 31, 2022 (as Restated)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w w:val="94"/>
              </w:rPr>
              <w:t>Level 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40" w:type="dxa"/>
            <w:vAlign w:val="bottom"/>
            <w:tcBorders>
              <w:top w:val="single" w:sz="8" w:color="auto"/>
            </w:tcBorders>
            <w:gridSpan w:val="2"/>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Assets</w:t>
            </w:r>
          </w:p>
        </w:tc>
        <w:tc>
          <w:tcPr>
            <w:tcW w:w="36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00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Marketable securities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2"/>
              </w:rPr>
              <w:t>278,265</w:t>
            </w:r>
          </w:p>
        </w:tc>
        <w:tc>
          <w:tcPr>
            <w:tcW w:w="60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278,265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278,265</w:t>
            </w:r>
          </w:p>
        </w:tc>
        <w:tc>
          <w:tcPr>
            <w:tcW w:w="6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278,265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Liabilities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0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0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Warrant liabilities—public warrants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9,294</w:t>
            </w:r>
          </w:p>
        </w:tc>
        <w:tc>
          <w:tcPr>
            <w:tcW w:w="6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00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Warrant liabilities—private placement warrants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0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Earnout liabilities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20" w:type="dxa"/>
            <w:vAlign w:val="bottom"/>
            <w:gridSpan w:val="4"/>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502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w w:val="94"/>
              </w:rPr>
              <w:t>Level 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6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4"/>
        </w:trPr>
        <w:tc>
          <w:tcPr>
            <w:tcW w:w="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Assets</w:t>
            </w:r>
          </w:p>
        </w:tc>
        <w:tc>
          <w:tcPr>
            <w:tcW w:w="460" w:type="dxa"/>
            <w:vAlign w:val="bottom"/>
            <w:tcBorders>
              <w:top w:val="single" w:sz="8" w:color="CCEEFF"/>
            </w:tcBorders>
            <w:shd w:val="clear" w:color="auto" w:fill="CCEEFF"/>
          </w:tcPr>
          <w:p>
            <w:pPr>
              <w:spacing w:after="0"/>
              <w:rPr>
                <w:sz w:val="11"/>
                <w:szCs w:val="11"/>
                <w:color w:val="auto"/>
              </w:rPr>
            </w:pPr>
          </w:p>
        </w:tc>
        <w:tc>
          <w:tcPr>
            <w:tcW w:w="36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00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Marketable securities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8,226</w:t>
            </w:r>
          </w:p>
        </w:tc>
        <w:tc>
          <w:tcPr>
            <w:tcW w:w="60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0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Derivative asset on loans to stockholders</w:t>
            </w: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35,253</w:t>
            </w:r>
          </w:p>
        </w:tc>
        <w:tc>
          <w:tcPr>
            <w:tcW w:w="2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35,253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0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8,226</w:t>
            </w:r>
          </w:p>
        </w:tc>
        <w:tc>
          <w:tcPr>
            <w:tcW w:w="260" w:type="dxa"/>
            <w:vAlign w:val="bottom"/>
          </w:tcPr>
          <w:p>
            <w:pPr>
              <w:spacing w:after="0"/>
              <w:rPr>
                <w:sz w:val="14"/>
                <w:szCs w:val="14"/>
                <w:color w:val="auto"/>
              </w:rPr>
            </w:pPr>
          </w:p>
        </w:tc>
        <w:tc>
          <w:tcPr>
            <w:tcW w:w="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7"/>
              </w:rPr>
              <w:t>$ —</w:t>
            </w:r>
          </w:p>
        </w:tc>
        <w:tc>
          <w:tcPr>
            <w:tcW w:w="26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35,253</w:t>
            </w:r>
          </w:p>
        </w:tc>
        <w:tc>
          <w:tcPr>
            <w:tcW w:w="26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43,479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5000" w:type="dxa"/>
            <w:vAlign w:val="bottom"/>
            <w:gridSpan w:val="3"/>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Liabilities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00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Warrant liability</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0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Note payable</w:t>
            </w: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15,051</w:t>
            </w:r>
          </w:p>
        </w:tc>
        <w:tc>
          <w:tcPr>
            <w:tcW w:w="2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0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7"/>
              </w:rPr>
              <w:t>$ —</w:t>
            </w:r>
          </w:p>
        </w:tc>
        <w:tc>
          <w:tcPr>
            <w:tcW w:w="26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18,777</w:t>
            </w:r>
          </w:p>
        </w:tc>
        <w:tc>
          <w:tcPr>
            <w:tcW w:w="26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18,777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Company had no assets and liabilities measured at fair value on a non-recurring basis as of March 31, 2022 and December 31, 2021.</w:t>
      </w:r>
    </w:p>
    <w:p>
      <w:pPr>
        <w:spacing w:after="0" w:line="166" w:lineRule="exact"/>
        <w:rPr>
          <w:sz w:val="20"/>
          <w:szCs w:val="20"/>
          <w:color w:val="auto"/>
        </w:rPr>
      </w:pPr>
    </w:p>
    <w:p>
      <w:pPr>
        <w:jc w:val="both"/>
        <w:ind w:left="1480" w:right="359"/>
        <w:spacing w:after="0" w:line="254" w:lineRule="auto"/>
        <w:rPr>
          <w:sz w:val="20"/>
          <w:szCs w:val="20"/>
          <w:color w:val="auto"/>
        </w:rPr>
      </w:pPr>
      <w:r>
        <w:rPr>
          <w:rFonts w:ascii="Times New Roman" w:cs="Times New Roman" w:eastAsia="Times New Roman" w:hAnsi="Times New Roman"/>
          <w:sz w:val="14"/>
          <w:szCs w:val="14"/>
          <w:color w:val="auto"/>
        </w:rPr>
        <w:t>The Company also has financial instruments not measured at fair value. The Company has evaluated cash and cash equivalents, Member advances, net, restricted cash, accounts payable, and accrued expenses, and believes the carrying value approximates the fair value due to the short-term nature of these balances. The fair value of the debt facility, convertible debt, and line of credit approximate their carrying values.</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Marketable Securities:</w:t>
      </w:r>
    </w:p>
    <w:p>
      <w:pPr>
        <w:spacing w:after="0" w:line="84" w:lineRule="exact"/>
        <w:rPr>
          <w:sz w:val="20"/>
          <w:szCs w:val="20"/>
          <w:color w:val="auto"/>
        </w:rPr>
      </w:pPr>
    </w:p>
    <w:p>
      <w:pPr>
        <w:ind w:left="1480" w:right="619"/>
        <w:spacing w:after="0" w:line="254" w:lineRule="auto"/>
        <w:rPr>
          <w:sz w:val="20"/>
          <w:szCs w:val="20"/>
          <w:color w:val="auto"/>
        </w:rPr>
      </w:pPr>
      <w:r>
        <w:rPr>
          <w:rFonts w:ascii="Times New Roman" w:cs="Times New Roman" w:eastAsia="Times New Roman" w:hAnsi="Times New Roman"/>
          <w:sz w:val="14"/>
          <w:szCs w:val="14"/>
          <w:color w:val="auto"/>
        </w:rPr>
        <w:t>The Company evaluated the quoted market prices in active markets for its marketable securities and has classified its securities as Level 1. The Company’s investments in marketable securities are exposed to price fluctuations. The fair value measurements for the securities are based upon the quoted prices of similar items in active markets multiplied by the number of securities owned.</w:t>
      </w:r>
    </w:p>
    <w:p>
      <w:pPr>
        <w:spacing w:after="0" w:line="14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Derivative Asset Related to Loans to Stockholders:</w:t>
      </w:r>
    </w:p>
    <w:p>
      <w:pPr>
        <w:spacing w:after="0" w:line="84" w:lineRule="exact"/>
        <w:rPr>
          <w:sz w:val="20"/>
          <w:szCs w:val="20"/>
          <w:color w:val="auto"/>
        </w:rPr>
      </w:pPr>
    </w:p>
    <w:p>
      <w:pPr>
        <w:ind w:left="1480" w:right="399"/>
        <w:spacing w:after="0" w:line="289" w:lineRule="auto"/>
        <w:rPr>
          <w:sz w:val="20"/>
          <w:szCs w:val="20"/>
          <w:color w:val="auto"/>
        </w:rPr>
      </w:pPr>
      <w:r>
        <w:rPr>
          <w:rFonts w:ascii="Times New Roman" w:cs="Times New Roman" w:eastAsia="Times New Roman" w:hAnsi="Times New Roman"/>
          <w:sz w:val="12"/>
          <w:szCs w:val="12"/>
          <w:color w:val="auto"/>
        </w:rPr>
        <w:t xml:space="preserve">In relation to certain loans to stockholders, the Company purchased call options which grant the Company the right to acquire a fixed number of the Company’s Common Stock, held by such stockholders over the exercise period (four years). However, the exercise price per share is not fixed. The approximate $3.273 exercise price per share increases by a nominal amount of approximately $0.005 for each month that lapses from the call option issuance date. As of the date of the Business Combination, the exercise price per share was approximately $3.42. The Company understands that this variability in the exercise price of the call option is tied to the passage of time, which is not an input to the fair value of the Company’s shares per ASC 815, </w:t>
      </w:r>
      <w:r>
        <w:rPr>
          <w:rFonts w:ascii="Times New Roman" w:cs="Times New Roman" w:eastAsia="Times New Roman" w:hAnsi="Times New Roman"/>
          <w:sz w:val="12"/>
          <w:szCs w:val="12"/>
          <w:i w:val="1"/>
          <w:iCs w:val="1"/>
          <w:color w:val="auto"/>
        </w:rPr>
        <w:t>Derivatives and Hedging</w:t>
      </w:r>
      <w:r>
        <w:rPr>
          <w:rFonts w:ascii="Times New Roman" w:cs="Times New Roman" w:eastAsia="Times New Roman" w:hAnsi="Times New Roman"/>
          <w:sz w:val="12"/>
          <w:szCs w:val="12"/>
          <w:color w:val="auto"/>
        </w:rPr>
        <w:t xml:space="preserve"> (“ASC 815”). Therefore, the Company does not believe the call option meets the scope exception under ASC 815. As the scope exception is not met, the call option is accounted for as a derivative instrument. Accordingly, the call option was measured at fair value and presented as a derivative asset on loans to stockholders on the Company’s condensed consolidated balance sheets. Interest earned on the non-recourse promissory notes was reported as interest income and changes in the fair value of the call option were reported as other income or expense in the period incurred. The call option was measured at fair value at the end of each reporting period with change in fair value recorded in earnings. The fair value of the call option as of March 31, 2022 and December 31, 2021, was approximately $0 and $35.3 million, respectively. Upon consummation of the business combination in January 2022, all of the call options related to the Loans to Stockholders were exercised, settling the derivative asset on Loans to Stockholders of $29.7 million and the contra-equity Loans to Stockholders of $15.2 million with APIC being the offsetting entry.</w:t>
      </w:r>
    </w:p>
    <w:p>
      <w:pPr>
        <w:spacing w:after="0" w:line="2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99"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Dave Inc.</w:t>
      </w:r>
    </w:p>
    <w:p>
      <w:pPr>
        <w:spacing w:after="0" w:line="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Notes to the Unaudited Condensed Consolidated Financial Statements</w:t>
      </w:r>
    </w:p>
    <w:p>
      <w:pPr>
        <w:spacing w:after="0" w:line="10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A roll-forward of the Level 3 derivative asset on loans to stockholders is as follows (dollars in thousands):</w:t>
      </w:r>
    </w:p>
    <w:p>
      <w:pPr>
        <w:spacing w:after="0" w:line="199" w:lineRule="exact"/>
        <w:rPr>
          <w:sz w:val="20"/>
          <w:szCs w:val="20"/>
          <w:color w:val="auto"/>
        </w:rPr>
      </w:pPr>
    </w:p>
    <w:tbl>
      <w:tblPr>
        <w:tblLayout w:type="fixed"/>
        <w:tblInd w:w="282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Opening value at January 1, 2021</w:t>
            </w:r>
          </w:p>
        </w:tc>
        <w:tc>
          <w:tcPr>
            <w:tcW w:w="1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Amendment to loan to stockholder</w:t>
            </w:r>
          </w:p>
        </w:tc>
        <w:tc>
          <w:tcPr>
            <w:tcW w:w="15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during the year</w:t>
            </w:r>
          </w:p>
        </w:tc>
        <w:tc>
          <w:tcPr>
            <w:tcW w:w="1560" w:type="dxa"/>
            <w:vAlign w:val="bottom"/>
            <w:tcBorders>
              <w:right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34,791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Ending value at December 31, 2021</w:t>
            </w:r>
          </w:p>
        </w:tc>
        <w:tc>
          <w:tcPr>
            <w:tcW w:w="15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35,253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during the period</w:t>
            </w:r>
          </w:p>
        </w:tc>
        <w:tc>
          <w:tcPr>
            <w:tcW w:w="1560" w:type="dxa"/>
            <w:vAlign w:val="bottom"/>
            <w:tcBorders>
              <w:right w:val="single" w:sz="8" w:color="CCEEFF"/>
            </w:tcBorders>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(5,572)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Exercise of call option</w:t>
            </w:r>
          </w:p>
        </w:tc>
        <w:tc>
          <w:tcPr>
            <w:tcW w:w="156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6"/>
              </w:rPr>
              <w:t>(29,681)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Ending value at March 31, 2022</w:t>
            </w:r>
          </w:p>
        </w:tc>
        <w:tc>
          <w:tcPr>
            <w:tcW w:w="1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480" w:right="399"/>
        <w:spacing w:after="0" w:line="254" w:lineRule="auto"/>
        <w:rPr>
          <w:sz w:val="20"/>
          <w:szCs w:val="20"/>
          <w:color w:val="auto"/>
        </w:rPr>
      </w:pPr>
      <w:r>
        <w:rPr>
          <w:rFonts w:ascii="Times New Roman" w:cs="Times New Roman" w:eastAsia="Times New Roman" w:hAnsi="Times New Roman"/>
          <w:sz w:val="14"/>
          <w:szCs w:val="14"/>
          <w:color w:val="auto"/>
        </w:rPr>
        <w:t>The Company used a probability-weighted expected return method (“PWERM”) to weight the indicated call options value determined under the binomial option pricing model to determine the fair value of the call options. The following table presents the assumptions used to value the call options for the year ended December 31, 2021:</w:t>
      </w:r>
    </w:p>
    <w:p>
      <w:pPr>
        <w:spacing w:after="0" w:line="176" w:lineRule="exact"/>
        <w:rPr>
          <w:sz w:val="20"/>
          <w:szCs w:val="20"/>
          <w:color w:val="auto"/>
        </w:rPr>
      </w:pPr>
    </w:p>
    <w:tbl>
      <w:tblPr>
        <w:tblLayout w:type="fixed"/>
        <w:tblInd w:w="2820" w:type="dxa"/>
        <w:tblCellMar>
          <w:top w:w="0" w:type="dxa"/>
          <w:left w:w="0" w:type="dxa"/>
          <w:bottom w:w="0" w:type="dxa"/>
          <w:right w:w="0" w:type="dxa"/>
        </w:tblCellMar>
      </w:tblPr>
      <w:tr>
        <w:trPr>
          <w:trHeight w:val="16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r>
      <w:tr>
        <w:trPr>
          <w:trHeight w:val="163"/>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2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6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Remaining term</w:t>
            </w:r>
          </w:p>
        </w:tc>
        <w:tc>
          <w:tcPr>
            <w:tcW w:w="25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3.0 Years</w:t>
            </w:r>
          </w:p>
        </w:tc>
      </w:tr>
    </w:tbl>
    <w:p>
      <w:pPr>
        <w:spacing w:after="0" w:line="15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Warrant Liability Related to Debt Facility:</w:t>
      </w:r>
    </w:p>
    <w:p>
      <w:pPr>
        <w:spacing w:after="0" w:line="82" w:lineRule="exact"/>
        <w:rPr>
          <w:sz w:val="20"/>
          <w:szCs w:val="20"/>
          <w:color w:val="auto"/>
        </w:rPr>
      </w:pPr>
    </w:p>
    <w:p>
      <w:pPr>
        <w:ind w:left="1480" w:right="439"/>
        <w:spacing w:after="0" w:line="290" w:lineRule="auto"/>
        <w:rPr>
          <w:sz w:val="20"/>
          <w:szCs w:val="20"/>
          <w:color w:val="auto"/>
        </w:rPr>
      </w:pPr>
      <w:r>
        <w:rPr>
          <w:rFonts w:ascii="Times New Roman" w:cs="Times New Roman" w:eastAsia="Times New Roman" w:hAnsi="Times New Roman"/>
          <w:sz w:val="12"/>
          <w:szCs w:val="12"/>
          <w:color w:val="auto"/>
        </w:rPr>
        <w:t xml:space="preserve">As discussed further in Note 14, </w:t>
      </w:r>
      <w:r>
        <w:rPr>
          <w:rFonts w:ascii="Times New Roman" w:cs="Times New Roman" w:eastAsia="Times New Roman" w:hAnsi="Times New Roman"/>
          <w:sz w:val="12"/>
          <w:szCs w:val="12"/>
          <w:i w:val="1"/>
          <w:iCs w:val="1"/>
          <w:color w:val="auto"/>
        </w:rPr>
        <w:t>Debit and Credit Facility</w:t>
      </w:r>
      <w:r>
        <w:rPr>
          <w:rFonts w:ascii="Times New Roman" w:cs="Times New Roman" w:eastAsia="Times New Roman" w:hAnsi="Times New Roman"/>
          <w:sz w:val="12"/>
          <w:szCs w:val="12"/>
          <w:color w:val="auto"/>
        </w:rPr>
        <w:t>, in January 2021, the Company issued warrants contemporaneously with a debt facility that met the definition of a derivative under ASC 815. This warrant liability was initially recorded as a liability at fair value, with the offsetting entry recorded as a loan commitment fees asset. The derivative liability was subsequently recorded at fair value at each reporting period, with changes in fair value reflected in earnings. The gain related to the change in fair value of the warrant liability in the three months ended March 31, 2022, was</w:t>
      </w:r>
    </w:p>
    <w:p>
      <w:pPr>
        <w:spacing w:after="0" w:line="1" w:lineRule="exact"/>
        <w:rPr>
          <w:sz w:val="20"/>
          <w:szCs w:val="20"/>
          <w:color w:val="auto"/>
        </w:rPr>
      </w:pPr>
    </w:p>
    <w:p>
      <w:pPr>
        <w:ind w:left="1480" w:right="559"/>
        <w:spacing w:after="0" w:line="245" w:lineRule="auto"/>
        <w:rPr>
          <w:sz w:val="20"/>
          <w:szCs w:val="20"/>
          <w:color w:val="auto"/>
        </w:rPr>
      </w:pPr>
      <w:r>
        <w:rPr>
          <w:rFonts w:ascii="Times New Roman" w:cs="Times New Roman" w:eastAsia="Times New Roman" w:hAnsi="Times New Roman"/>
          <w:sz w:val="14"/>
          <w:szCs w:val="14"/>
          <w:color w:val="auto"/>
        </w:rPr>
        <w:t>$0.4 million, which is presented within changes in fair value of warrant liability in the condensed consolidated statements of operations. Immediately prior to the close of the Business Combination, all, or 1,664,394 of the vested warrants were exercised and net settled for 450,841 shares of Legacy Dave’s Class A Common Stock pursuant to the terms of the Business Combination.</w:t>
      </w:r>
    </w:p>
    <w:p>
      <w:pPr>
        <w:spacing w:after="0" w:line="23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A roll-forward of the Level 3 warrant liability is as follows (dollars in thousands):</w:t>
      </w:r>
    </w:p>
    <w:p>
      <w:pPr>
        <w:spacing w:after="0" w:line="199" w:lineRule="exact"/>
        <w:rPr>
          <w:sz w:val="20"/>
          <w:szCs w:val="20"/>
          <w:color w:val="auto"/>
        </w:rPr>
      </w:pPr>
    </w:p>
    <w:tbl>
      <w:tblPr>
        <w:tblLayout w:type="fixed"/>
        <w:tblInd w:w="282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Opening value at January 1, 2021</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3"/>
        </w:trPr>
        <w:tc>
          <w:tcPr>
            <w:tcW w:w="2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Initial fair value at the original issuance date</w:t>
            </w:r>
          </w:p>
        </w:tc>
        <w:tc>
          <w:tcPr>
            <w:tcW w:w="2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during the year</w:t>
            </w:r>
          </w:p>
        </w:tc>
        <w:tc>
          <w:tcPr>
            <w:tcW w:w="25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w:t>
            </w:r>
          </w:p>
        </w:tc>
        <w:tc>
          <w:tcPr>
            <w:tcW w:w="80" w:type="dxa"/>
            <w:vAlign w:val="bottom"/>
            <w:shd w:val="clear" w:color="auto" w:fill="CCEEFF"/>
          </w:tcPr>
          <w:p>
            <w:pPr>
              <w:spacing w:after="0"/>
              <w:rPr>
                <w:sz w:val="14"/>
                <w:szCs w:val="14"/>
                <w:color w:val="auto"/>
              </w:rPr>
            </w:pPr>
          </w:p>
        </w:tc>
      </w:tr>
      <w:tr>
        <w:trPr>
          <w:trHeight w:val="164"/>
        </w:trPr>
        <w:tc>
          <w:tcPr>
            <w:tcW w:w="2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Ending value at December 31, 2021</w:t>
            </w:r>
          </w:p>
        </w:tc>
        <w:tc>
          <w:tcPr>
            <w:tcW w:w="2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3,726</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during the year</w:t>
            </w:r>
          </w:p>
        </w:tc>
        <w:tc>
          <w:tcPr>
            <w:tcW w:w="2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(361)</w:t>
            </w:r>
          </w:p>
        </w:tc>
      </w:tr>
      <w:tr>
        <w:trPr>
          <w:trHeight w:val="164"/>
        </w:trPr>
        <w:tc>
          <w:tcPr>
            <w:tcW w:w="2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Exercise of warrant</w:t>
            </w:r>
          </w:p>
        </w:tc>
        <w:tc>
          <w:tcPr>
            <w:tcW w:w="2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2"/>
              </w:rPr>
              <w:t>(3,365)</w:t>
            </w:r>
          </w:p>
        </w:tc>
      </w:tr>
      <w:tr>
        <w:trPr>
          <w:trHeight w:val="163"/>
        </w:trPr>
        <w:tc>
          <w:tcPr>
            <w:tcW w:w="20" w:type="dxa"/>
            <w:vAlign w:val="bottom"/>
          </w:tcPr>
          <w:p>
            <w:pPr>
              <w:spacing w:after="0"/>
              <w:rPr>
                <w:sz w:val="14"/>
                <w:szCs w:val="14"/>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Ending value at March 31, 2022</w:t>
            </w:r>
          </w:p>
        </w:tc>
        <w:tc>
          <w:tcPr>
            <w:tcW w:w="2560" w:type="dxa"/>
            <w:vAlign w:val="bottom"/>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4"/>
                <w:szCs w:val="14"/>
                <w:color w:val="auto"/>
              </w:rPr>
            </w:pPr>
          </w:p>
        </w:tc>
      </w:tr>
      <w:tr>
        <w:trPr>
          <w:trHeight w:val="275"/>
        </w:trPr>
        <w:tc>
          <w:tcPr>
            <w:tcW w:w="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560" w:type="dxa"/>
            <w:vAlign w:val="bottom"/>
          </w:tcPr>
          <w:p>
            <w:pPr>
              <w:jc w:val="right"/>
              <w:ind w:right="2172"/>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ectPr>
          <w:pgSz w:w="11900" w:h="16838" w:orient="portrait"/>
          <w:cols w:equalWidth="0" w:num="1">
            <w:col w:w="10159"/>
          </w:cols>
          <w:pgMar w:left="300" w:top="399"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Dave Inc.</w:t>
      </w:r>
    </w:p>
    <w:p>
      <w:pPr>
        <w:spacing w:after="0" w:line="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Notes to the Unaudited Condensed Consolidated Financial Statements</w:t>
      </w:r>
    </w:p>
    <w:p>
      <w:pPr>
        <w:spacing w:after="0" w:line="103" w:lineRule="exact"/>
        <w:rPr>
          <w:sz w:val="20"/>
          <w:szCs w:val="20"/>
          <w:color w:val="auto"/>
        </w:rPr>
      </w:pPr>
    </w:p>
    <w:p>
      <w:pPr>
        <w:ind w:left="1480" w:right="459"/>
        <w:spacing w:after="0" w:line="349" w:lineRule="auto"/>
        <w:rPr>
          <w:sz w:val="20"/>
          <w:szCs w:val="20"/>
          <w:color w:val="auto"/>
        </w:rPr>
      </w:pPr>
      <w:r>
        <w:rPr>
          <w:rFonts w:ascii="Times New Roman" w:cs="Times New Roman" w:eastAsia="Times New Roman" w:hAnsi="Times New Roman"/>
          <w:sz w:val="12"/>
          <w:szCs w:val="12"/>
          <w:color w:val="auto"/>
        </w:rPr>
        <w:t>The Company used a PWERM to weight the indicated warrant liability value determined under the binomial option pricing model to determine the fair value of the warrant liability. The following table presents the assumptions used to value the warrant liability for the year ended December 31, 2021:</w:t>
      </w:r>
    </w:p>
    <w:p>
      <w:pPr>
        <w:spacing w:after="0" w:line="122" w:lineRule="exact"/>
        <w:rPr>
          <w:sz w:val="20"/>
          <w:szCs w:val="20"/>
          <w:color w:val="auto"/>
        </w:rPr>
      </w:pPr>
    </w:p>
    <w:tbl>
      <w:tblPr>
        <w:tblLayout w:type="fixed"/>
        <w:tblInd w:w="2820" w:type="dxa"/>
        <w:tblCellMar>
          <w:top w:w="0" w:type="dxa"/>
          <w:left w:w="0" w:type="dxa"/>
          <w:bottom w:w="0" w:type="dxa"/>
          <w:right w:w="0" w:type="dxa"/>
        </w:tblCellMar>
      </w:tblPr>
      <w:tr>
        <w:trPr>
          <w:trHeight w:val="16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r>
      <w:tr>
        <w:trPr>
          <w:trHeight w:val="163"/>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2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0.1-0.6%</w:t>
            </w:r>
          </w:p>
        </w:tc>
      </w:tr>
      <w:tr>
        <w:trPr>
          <w:trHeight w:val="16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Remaining term</w:t>
            </w:r>
          </w:p>
        </w:tc>
        <w:tc>
          <w:tcPr>
            <w:tcW w:w="27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0.0 - 1.5 Years</w:t>
            </w:r>
          </w:p>
        </w:tc>
      </w:tr>
    </w:tbl>
    <w:p>
      <w:pPr>
        <w:spacing w:after="0" w:line="15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Note Payable:</w:t>
      </w:r>
    </w:p>
    <w:p>
      <w:pPr>
        <w:spacing w:after="0" w:line="82" w:lineRule="exact"/>
        <w:rPr>
          <w:sz w:val="20"/>
          <w:szCs w:val="20"/>
          <w:color w:val="auto"/>
        </w:rPr>
      </w:pPr>
    </w:p>
    <w:p>
      <w:pPr>
        <w:ind w:left="1480" w:right="359"/>
        <w:spacing w:after="0" w:line="246" w:lineRule="auto"/>
        <w:rPr>
          <w:sz w:val="20"/>
          <w:szCs w:val="20"/>
          <w:color w:val="auto"/>
        </w:rPr>
      </w:pPr>
      <w:r>
        <w:rPr>
          <w:rFonts w:ascii="Times New Roman" w:cs="Times New Roman" w:eastAsia="Times New Roman" w:hAnsi="Times New Roman"/>
          <w:sz w:val="14"/>
          <w:szCs w:val="14"/>
          <w:color w:val="auto"/>
        </w:rPr>
        <w:t xml:space="preserve">As discussed in Note 12, </w:t>
      </w:r>
      <w:r>
        <w:rPr>
          <w:rFonts w:ascii="Times New Roman" w:cs="Times New Roman" w:eastAsia="Times New Roman" w:hAnsi="Times New Roman"/>
          <w:sz w:val="14"/>
          <w:szCs w:val="14"/>
          <w:i w:val="1"/>
          <w:iCs w:val="1"/>
          <w:color w:val="auto"/>
        </w:rPr>
        <w:t>Notes Payable</w:t>
      </w:r>
      <w:r>
        <w:rPr>
          <w:rFonts w:ascii="Times New Roman" w:cs="Times New Roman" w:eastAsia="Times New Roman" w:hAnsi="Times New Roman"/>
          <w:sz w:val="14"/>
          <w:szCs w:val="14"/>
          <w:color w:val="auto"/>
        </w:rPr>
        <w:t xml:space="preserve">, the Company has elected to measure the note payable at fair value using the fair value option of ASC 825-10. The Company identified an embedded derivative related to a convertible feature in its promissory note and in accordance with ASC 815-15-25-1 criterion (b), since the Company has elected to apply the fair value option to the debt embedded features will not be separated from the debt host. The note payable is carried on the Company’s unaudited condensed consolidated balance sheet as a current liability estimated at fair value with changes in fair value reflected in earnings. The Company recorded an unrealized gain of approximately $0.1 million related to the change in fair value of the promissory note for the three months ended March 31, 2022. Upon the Closing of the Business Combination, the promissory note was automatically discharged upon the Company’s issuance of 1,500,000 shares of Class A Common Stock to Alameda Research. The closing of the note payable occurred immediately prior to the closing date of the Business Combination. Refer to </w:t>
      </w:r>
      <w:r>
        <w:rPr>
          <w:rFonts w:ascii="Times New Roman" w:cs="Times New Roman" w:eastAsia="Times New Roman" w:hAnsi="Times New Roman"/>
          <w:sz w:val="14"/>
          <w:szCs w:val="14"/>
          <w:i w:val="1"/>
          <w:iCs w:val="1"/>
          <w:color w:val="auto"/>
        </w:rPr>
        <w:t>Note 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The Reverse Recapitalization and Related Transactions</w:t>
      </w:r>
      <w:r>
        <w:rPr>
          <w:rFonts w:ascii="Times New Roman" w:cs="Times New Roman" w:eastAsia="Times New Roman" w:hAnsi="Times New Roman"/>
          <w:sz w:val="14"/>
          <w:szCs w:val="14"/>
          <w:color w:val="auto"/>
        </w:rPr>
        <w:t xml:space="preserve"> for further details on the closing of the note payable</w:t>
      </w:r>
      <w:r>
        <w:rPr>
          <w:rFonts w:ascii="Times New Roman" w:cs="Times New Roman" w:eastAsia="Times New Roman" w:hAnsi="Times New Roman"/>
          <w:sz w:val="14"/>
          <w:szCs w:val="14"/>
          <w:b w:val="1"/>
          <w:bCs w:val="1"/>
          <w:color w:val="auto"/>
        </w:rPr>
        <w:t>.</w:t>
      </w:r>
    </w:p>
    <w:p>
      <w:pPr>
        <w:spacing w:after="0" w:line="233" w:lineRule="exact"/>
        <w:rPr>
          <w:sz w:val="20"/>
          <w:szCs w:val="20"/>
          <w:color w:val="auto"/>
        </w:rPr>
      </w:pPr>
    </w:p>
    <w:tbl>
      <w:tblPr>
        <w:tblLayout w:type="fixed"/>
        <w:tblInd w:w="1480" w:type="dxa"/>
        <w:tblCellMar>
          <w:top w:w="0" w:type="dxa"/>
          <w:left w:w="0" w:type="dxa"/>
          <w:bottom w:w="0" w:type="dxa"/>
          <w:right w:w="0" w:type="dxa"/>
        </w:tblCellMar>
      </w:tblPr>
      <w:tr>
        <w:trPr>
          <w:trHeight w:val="175"/>
        </w:trPr>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roll-forward of the Level 3 promissory note is as follows (dollars in thousands):</w:t>
            </w: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340" w:type="dxa"/>
            <w:vAlign w:val="bottom"/>
            <w:vMerge w:val="restart"/>
          </w:tcPr>
          <w:p>
            <w:pPr>
              <w:spacing w:after="0"/>
              <w:rPr>
                <w:sz w:val="16"/>
                <w:szCs w:val="16"/>
                <w:color w:val="auto"/>
              </w:rPr>
            </w:pPr>
          </w:p>
        </w:tc>
        <w:tc>
          <w:tcPr>
            <w:tcW w:w="4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340" w:type="dxa"/>
            <w:vAlign w:val="bottom"/>
            <w:vMerge w:val="continue"/>
          </w:tcPr>
          <w:p>
            <w:pPr>
              <w:spacing w:after="0"/>
              <w:rPr>
                <w:sz w:val="14"/>
                <w:szCs w:val="14"/>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Opening value at January 1, 2021</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3"/>
        </w:trPr>
        <w:tc>
          <w:tcPr>
            <w:tcW w:w="134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Fair value at issuance</w:t>
            </w: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340" w:type="dxa"/>
            <w:vAlign w:val="bottom"/>
          </w:tcPr>
          <w:p>
            <w:pPr>
              <w:spacing w:after="0"/>
              <w:rPr>
                <w:sz w:val="14"/>
                <w:szCs w:val="14"/>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during the year</w:t>
            </w:r>
          </w:p>
        </w:tc>
        <w:tc>
          <w:tcPr>
            <w:tcW w:w="880" w:type="dxa"/>
            <w:vAlign w:val="bottom"/>
            <w:tcBorders>
              <w:right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600" w:type="dxa"/>
            <w:vAlign w:val="bottom"/>
            <w:gridSpan w:val="2"/>
          </w:tcPr>
          <w:p>
            <w:pPr>
              <w:ind w:left="1340"/>
              <w:spacing w:after="0"/>
              <w:rPr>
                <w:sz w:val="20"/>
                <w:szCs w:val="20"/>
                <w:color w:val="auto"/>
              </w:rPr>
            </w:pPr>
            <w:r>
              <w:rPr>
                <w:rFonts w:ascii="Times New Roman" w:cs="Times New Roman" w:eastAsia="Times New Roman" w:hAnsi="Times New Roman"/>
                <w:sz w:val="14"/>
                <w:szCs w:val="14"/>
                <w:b w:val="1"/>
                <w:bCs w:val="1"/>
                <w:color w:val="auto"/>
              </w:rPr>
              <w:t>Ending value at December 31, 2021</w:t>
            </w: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15,051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340" w:type="dxa"/>
            <w:vAlign w:val="bottom"/>
          </w:tcPr>
          <w:p>
            <w:pPr>
              <w:spacing w:after="0"/>
              <w:rPr>
                <w:sz w:val="14"/>
                <w:szCs w:val="14"/>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during the year</w:t>
            </w:r>
          </w:p>
        </w:tc>
        <w:tc>
          <w:tcPr>
            <w:tcW w:w="880" w:type="dxa"/>
            <w:vAlign w:val="bottom"/>
            <w:tcBorders>
              <w:right w:val="single" w:sz="8" w:color="CCEEFF"/>
            </w:tcBorders>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63"/>
        </w:trPr>
        <w:tc>
          <w:tcPr>
            <w:tcW w:w="134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Discharge of obligation through the issuance of Common Stock</w:t>
            </w:r>
          </w:p>
        </w:tc>
        <w:tc>
          <w:tcPr>
            <w:tcW w:w="88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6"/>
              </w:rPr>
              <w:t>(15,000)</w:t>
            </w:r>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340" w:type="dxa"/>
            <w:vAlign w:val="bottom"/>
            <w:vMerge w:val="continue"/>
          </w:tcPr>
          <w:p>
            <w:pPr>
              <w:spacing w:after="0"/>
              <w:rPr>
                <w:sz w:val="14"/>
                <w:szCs w:val="14"/>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Ending value at March 31, 2022</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Public Warrants:</w:t>
      </w:r>
    </w:p>
    <w:p>
      <w:pPr>
        <w:spacing w:after="0" w:line="166" w:lineRule="exact"/>
        <w:rPr>
          <w:sz w:val="20"/>
          <w:szCs w:val="20"/>
          <w:color w:val="auto"/>
        </w:rPr>
      </w:pPr>
    </w:p>
    <w:p>
      <w:pPr>
        <w:ind w:left="1480" w:right="359"/>
        <w:spacing w:after="0" w:line="246" w:lineRule="auto"/>
        <w:rPr>
          <w:sz w:val="20"/>
          <w:szCs w:val="20"/>
          <w:color w:val="auto"/>
        </w:rPr>
      </w:pPr>
      <w:r>
        <w:rPr>
          <w:rFonts w:ascii="Times New Roman" w:cs="Times New Roman" w:eastAsia="Times New Roman" w:hAnsi="Times New Roman"/>
          <w:sz w:val="14"/>
          <w:szCs w:val="14"/>
          <w:color w:val="auto"/>
        </w:rPr>
        <w:t>As discussed further in Note 13, Warrant Liabilities, in January 2022, upon completion of the Business Combination, public warrants were automatically converted to warrants to purchase Common Stock of the Company. These public warrants met the definition of a derivative under ASC 815, and due to the terms of the warrants, were required to be liability classified. This warrant liability was initially recorded as a liability at fair value, with the offsetting entry recorded as a non-cash expense within the statement of operations. The derivative liability was subsequently recorded at fair value at each reporting period, with changes in fair value reflected in earnings. The loss related to the change in fair value of the public warrant liability in the three months ended March 31, 2022, was approximately $1.7 million, which is presented within changes in fair value of public warrant liability in the condensed consolidated statements of operations. A rollfoward table is not necessary here as these Level 1 public warrants have quoted prices in active markets for identical assets or liabilities.</w:t>
      </w:r>
    </w:p>
    <w:p>
      <w:pPr>
        <w:spacing w:after="0" w:line="9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99"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Dave Inc.</w:t>
      </w:r>
    </w:p>
    <w:p>
      <w:pPr>
        <w:spacing w:after="0" w:line="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Notes to the Unaudited Condensed Consolidated Financial Statements</w:t>
      </w:r>
    </w:p>
    <w:p>
      <w:pPr>
        <w:spacing w:after="0" w:line="10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Private Warrants:</w:t>
      </w:r>
    </w:p>
    <w:p>
      <w:pPr>
        <w:spacing w:after="0" w:line="82" w:lineRule="exact"/>
        <w:rPr>
          <w:sz w:val="20"/>
          <w:szCs w:val="20"/>
          <w:color w:val="auto"/>
        </w:rPr>
      </w:pPr>
    </w:p>
    <w:p>
      <w:pPr>
        <w:ind w:left="1480" w:right="399"/>
        <w:spacing w:after="0" w:line="247" w:lineRule="auto"/>
        <w:rPr>
          <w:sz w:val="20"/>
          <w:szCs w:val="20"/>
          <w:color w:val="auto"/>
        </w:rPr>
      </w:pPr>
      <w:r>
        <w:rPr>
          <w:rFonts w:ascii="Times New Roman" w:cs="Times New Roman" w:eastAsia="Times New Roman" w:hAnsi="Times New Roman"/>
          <w:sz w:val="14"/>
          <w:szCs w:val="14"/>
          <w:color w:val="auto"/>
        </w:rPr>
        <w:t xml:space="preserve">As discussed further in Note 13, </w:t>
      </w:r>
      <w:r>
        <w:rPr>
          <w:rFonts w:ascii="Times New Roman" w:cs="Times New Roman" w:eastAsia="Times New Roman" w:hAnsi="Times New Roman"/>
          <w:sz w:val="14"/>
          <w:szCs w:val="14"/>
          <w:i w:val="1"/>
          <w:iCs w:val="1"/>
          <w:color w:val="auto"/>
        </w:rPr>
        <w:t>Warrant Liabilities</w:t>
      </w:r>
      <w:r>
        <w:rPr>
          <w:rFonts w:ascii="Times New Roman" w:cs="Times New Roman" w:eastAsia="Times New Roman" w:hAnsi="Times New Roman"/>
          <w:sz w:val="14"/>
          <w:szCs w:val="14"/>
          <w:color w:val="auto"/>
        </w:rPr>
        <w:t>, in January 2022, upon completion of the Business Combination, private warrants were automatically converted to warrants to purchase Common Stock of the Company. These private warrants met the definition of a derivative under ASC 815, and due to the terms of the warrants, were required to be liability classified. This warrant liability was initially recorded as a liability at fair value, with the offsetting entry recorded as a non-cash expense within the statement of operations. The derivative liability was subsequently recorded at fair value at each reporting period, with changes in fair value reflected in earnings. The loss related to the change in fair value of the private warrant liability in the three months ended March 31, 2022, was approximately $2.8 million, which is presented within changes in fair value of private warrant liability in the condensed consolidated statements of operations.</w:t>
      </w:r>
    </w:p>
    <w:p>
      <w:pPr>
        <w:spacing w:after="0" w:line="149" w:lineRule="exact"/>
        <w:rPr>
          <w:sz w:val="20"/>
          <w:szCs w:val="20"/>
          <w:color w:val="auto"/>
        </w:rPr>
      </w:pPr>
    </w:p>
    <w:tbl>
      <w:tblPr>
        <w:tblLayout w:type="fixed"/>
        <w:tblInd w:w="1480" w:type="dxa"/>
        <w:tblCellMar>
          <w:top w:w="0" w:type="dxa"/>
          <w:left w:w="0" w:type="dxa"/>
          <w:bottom w:w="0" w:type="dxa"/>
          <w:right w:w="0" w:type="dxa"/>
        </w:tblCellMar>
      </w:tblPr>
      <w:tr>
        <w:trPr>
          <w:trHeight w:val="175"/>
        </w:trPr>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roll-forward of the Level 3 private warrant liability is as follows (dollars in thousands):</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340" w:type="dxa"/>
            <w:vAlign w:val="bottom"/>
            <w:vMerge w:val="restart"/>
          </w:tcPr>
          <w:p>
            <w:pPr>
              <w:spacing w:after="0"/>
              <w:rPr>
                <w:sz w:val="16"/>
                <w:szCs w:val="16"/>
                <w:color w:val="auto"/>
              </w:rPr>
            </w:pPr>
          </w:p>
        </w:tc>
        <w:tc>
          <w:tcPr>
            <w:tcW w:w="4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340" w:type="dxa"/>
            <w:vAlign w:val="bottom"/>
            <w:vMerge w:val="continue"/>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Opening value at January 1, 2022</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3"/>
        </w:trPr>
        <w:tc>
          <w:tcPr>
            <w:tcW w:w="134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Initial fair value at the merger date</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340" w:type="dxa"/>
            <w:vAlign w:val="bottom"/>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during the period</w:t>
            </w: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560" w:type="dxa"/>
            <w:vAlign w:val="bottom"/>
            <w:gridSpan w:val="2"/>
          </w:tcPr>
          <w:p>
            <w:pPr>
              <w:ind w:left="1340"/>
              <w:spacing w:after="0"/>
              <w:rPr>
                <w:sz w:val="20"/>
                <w:szCs w:val="20"/>
                <w:color w:val="auto"/>
              </w:rPr>
            </w:pPr>
            <w:r>
              <w:rPr>
                <w:rFonts w:ascii="Times New Roman" w:cs="Times New Roman" w:eastAsia="Times New Roman" w:hAnsi="Times New Roman"/>
                <w:sz w:val="14"/>
                <w:szCs w:val="14"/>
                <w:b w:val="1"/>
                <w:bCs w:val="1"/>
                <w:color w:val="auto"/>
              </w:rPr>
              <w:t>Ending value at March 31, 2022</w:t>
            </w:r>
          </w:p>
        </w:tc>
        <w:tc>
          <w:tcPr>
            <w:tcW w:w="6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9,426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34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95"/>
              </w:rPr>
              <w:t>March 31, 2022</w:t>
            </w:r>
          </w:p>
        </w:tc>
        <w:tc>
          <w:tcPr>
            <w:tcW w:w="0" w:type="dxa"/>
            <w:vAlign w:val="bottom"/>
          </w:tcPr>
          <w:p>
            <w:pPr>
              <w:spacing w:after="0"/>
              <w:rPr>
                <w:sz w:val="1"/>
                <w:szCs w:val="1"/>
                <w:color w:val="auto"/>
              </w:rPr>
            </w:pPr>
          </w:p>
        </w:tc>
      </w:tr>
      <w:tr>
        <w:trPr>
          <w:trHeight w:val="154"/>
        </w:trPr>
        <w:tc>
          <w:tcPr>
            <w:tcW w:w="1340" w:type="dxa"/>
            <w:vAlign w:val="bottom"/>
          </w:tcPr>
          <w:p>
            <w:pPr>
              <w:spacing w:after="0"/>
              <w:rPr>
                <w:sz w:val="13"/>
                <w:szCs w:val="13"/>
                <w:color w:val="auto"/>
              </w:rPr>
            </w:pPr>
          </w:p>
        </w:tc>
        <w:tc>
          <w:tcPr>
            <w:tcW w:w="422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Exercise Price</w:t>
            </w:r>
          </w:p>
        </w:tc>
        <w:tc>
          <w:tcPr>
            <w:tcW w:w="68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11.50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34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340" w:type="dxa"/>
            <w:vAlign w:val="bottom"/>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34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Remaining term</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4.76 years</w:t>
            </w:r>
          </w:p>
        </w:tc>
        <w:tc>
          <w:tcPr>
            <w:tcW w:w="0" w:type="dxa"/>
            <w:vAlign w:val="bottom"/>
          </w:tcPr>
          <w:p>
            <w:pPr>
              <w:spacing w:after="0"/>
              <w:rPr>
                <w:sz w:val="1"/>
                <w:szCs w:val="1"/>
                <w:color w:val="auto"/>
              </w:rPr>
            </w:pPr>
          </w:p>
        </w:tc>
      </w:tr>
      <w:tr>
        <w:trPr>
          <w:trHeight w:val="163"/>
        </w:trPr>
        <w:tc>
          <w:tcPr>
            <w:tcW w:w="1340" w:type="dxa"/>
            <w:vAlign w:val="bottom"/>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Earnout Shares Liability (Restated):</w:t>
      </w:r>
    </w:p>
    <w:p>
      <w:pPr>
        <w:spacing w:after="0" w:line="84" w:lineRule="exact"/>
        <w:rPr>
          <w:sz w:val="20"/>
          <w:szCs w:val="20"/>
          <w:color w:val="auto"/>
        </w:rPr>
      </w:pPr>
    </w:p>
    <w:p>
      <w:pPr>
        <w:ind w:left="1480" w:right="359"/>
        <w:spacing w:after="0" w:line="247" w:lineRule="auto"/>
        <w:rPr>
          <w:sz w:val="20"/>
          <w:szCs w:val="20"/>
          <w:color w:val="auto"/>
        </w:rPr>
      </w:pPr>
      <w:r>
        <w:rPr>
          <w:rFonts w:ascii="Times New Roman" w:cs="Times New Roman" w:eastAsia="Times New Roman" w:hAnsi="Times New Roman"/>
          <w:sz w:val="14"/>
          <w:szCs w:val="14"/>
          <w:color w:val="auto"/>
        </w:rPr>
        <w:t>As discussed further in Note 4, The Reverse Recapitalization and Related Transactions, as part of the recapitalization, 1,586,037 shares of Class A Common Stock held by founders of VPCC are subject to forfeiture if the vesting condition is not met over the five year term following the Closing Date. These Earnout Shares were initially recorded as a liability at fair value of $9.7 million and subsequently recorded at fair value at each reporting period, with changes in fair value reflected in earnings. The gain related to the change in fair value of the Earnout Shares liabilities in the three months ended March 31, 2022 was approximately $2.0 million which is presented within changes in fair value of earnout liabilities in the condensed consolidated statements of operations.</w:t>
      </w:r>
    </w:p>
    <w:p>
      <w:pPr>
        <w:spacing w:after="0" w:line="150" w:lineRule="exact"/>
        <w:rPr>
          <w:sz w:val="20"/>
          <w:szCs w:val="20"/>
          <w:color w:val="auto"/>
        </w:rPr>
      </w:pPr>
    </w:p>
    <w:tbl>
      <w:tblPr>
        <w:tblLayout w:type="fixed"/>
        <w:tblInd w:w="1480" w:type="dxa"/>
        <w:tblCellMar>
          <w:top w:w="0" w:type="dxa"/>
          <w:left w:w="0" w:type="dxa"/>
          <w:bottom w:w="0" w:type="dxa"/>
          <w:right w:w="0" w:type="dxa"/>
        </w:tblCellMar>
      </w:tblPr>
      <w:tr>
        <w:trPr>
          <w:trHeight w:val="175"/>
        </w:trPr>
        <w:tc>
          <w:tcPr>
            <w:tcW w:w="6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roll-forward of the Level 3 Earnout Shares liabilities is as follows (dollars in thousands):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340" w:type="dxa"/>
            <w:vAlign w:val="bottom"/>
            <w:vMerge w:val="restart"/>
          </w:tcPr>
          <w:p>
            <w:pPr>
              <w:spacing w:after="0"/>
              <w:rPr>
                <w:sz w:val="16"/>
                <w:szCs w:val="16"/>
                <w:color w:val="auto"/>
              </w:rPr>
            </w:pPr>
          </w:p>
        </w:tc>
        <w:tc>
          <w:tcPr>
            <w:tcW w:w="5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340" w:type="dxa"/>
            <w:vAlign w:val="bottom"/>
            <w:vMerge w:val="continue"/>
          </w:tcPr>
          <w:p>
            <w:pPr>
              <w:spacing w:after="0"/>
              <w:rPr>
                <w:sz w:val="14"/>
                <w:szCs w:val="14"/>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Opening value at January 1, 2022</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1340" w:type="dxa"/>
            <w:vAlign w:val="bottom"/>
          </w:tcPr>
          <w:p>
            <w:pPr>
              <w:spacing w:after="0"/>
              <w:rPr>
                <w:sz w:val="14"/>
                <w:szCs w:val="14"/>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Initial fair value at the merger date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340" w:type="dxa"/>
            <w:vAlign w:val="bottom"/>
          </w:tcPr>
          <w:p>
            <w:pPr>
              <w:spacing w:after="0"/>
              <w:rPr>
                <w:sz w:val="14"/>
                <w:szCs w:val="14"/>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during the period</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2"/>
              </w:rPr>
              <w:t>(2,040)</w:t>
            </w:r>
          </w:p>
        </w:tc>
        <w:tc>
          <w:tcPr>
            <w:tcW w:w="0" w:type="dxa"/>
            <w:vAlign w:val="bottom"/>
          </w:tcPr>
          <w:p>
            <w:pPr>
              <w:spacing w:after="0"/>
              <w:rPr>
                <w:sz w:val="1"/>
                <w:szCs w:val="1"/>
                <w:color w:val="auto"/>
              </w:rPr>
            </w:pPr>
          </w:p>
        </w:tc>
      </w:tr>
      <w:tr>
        <w:trPr>
          <w:trHeight w:val="164"/>
        </w:trPr>
        <w:tc>
          <w:tcPr>
            <w:tcW w:w="648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Ending value at March 31, 2022</w:t>
            </w: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480" w:right="679"/>
        <w:spacing w:after="0" w:line="264" w:lineRule="auto"/>
        <w:rPr>
          <w:sz w:val="20"/>
          <w:szCs w:val="20"/>
          <w:color w:val="auto"/>
        </w:rPr>
      </w:pPr>
      <w:r>
        <w:rPr>
          <w:rFonts w:ascii="Times New Roman" w:cs="Times New Roman" w:eastAsia="Times New Roman" w:hAnsi="Times New Roman"/>
          <w:sz w:val="14"/>
          <w:szCs w:val="14"/>
          <w:color w:val="auto"/>
        </w:rPr>
        <w:t>The Company used a Monte Carlo Simulation Method to determine the fair value of the Earnout Shares liabilities. The following table presents the assumptions used to value the Earnout Shares liability for the period ended March 31, 2022:</w:t>
      </w:r>
    </w:p>
    <w:p>
      <w:pPr>
        <w:spacing w:after="0" w:line="150" w:lineRule="exact"/>
        <w:rPr>
          <w:sz w:val="20"/>
          <w:szCs w:val="20"/>
          <w:color w:val="auto"/>
        </w:rPr>
      </w:pPr>
    </w:p>
    <w:tbl>
      <w:tblPr>
        <w:tblLayout w:type="fixed"/>
        <w:tblInd w:w="2820" w:type="dxa"/>
        <w:tblCellMar>
          <w:top w:w="0" w:type="dxa"/>
          <w:left w:w="0" w:type="dxa"/>
          <w:bottom w:w="0" w:type="dxa"/>
          <w:right w:w="0" w:type="dxa"/>
        </w:tblCellMar>
      </w:tblPr>
      <w:tr>
        <w:trPr>
          <w:trHeight w:val="131"/>
        </w:trPr>
        <w:tc>
          <w:tcPr>
            <w:tcW w:w="3040" w:type="dxa"/>
            <w:vAlign w:val="bottom"/>
          </w:tcPr>
          <w:p>
            <w:pPr>
              <w:spacing w:after="0"/>
              <w:rPr>
                <w:sz w:val="11"/>
                <w:szCs w:val="11"/>
                <w:color w:val="auto"/>
              </w:rPr>
            </w:pPr>
          </w:p>
        </w:tc>
        <w:tc>
          <w:tcPr>
            <w:tcW w:w="2620" w:type="dxa"/>
            <w:vAlign w:val="bottom"/>
            <w:gridSpan w:val="4"/>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March 31, 2022</w:t>
            </w:r>
          </w:p>
        </w:tc>
      </w:tr>
      <w:tr>
        <w:trPr>
          <w:trHeight w:val="154"/>
        </w:trPr>
        <w:tc>
          <w:tcPr>
            <w:tcW w:w="304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Exercise Price</w:t>
            </w:r>
          </w:p>
        </w:tc>
        <w:tc>
          <w:tcPr>
            <w:tcW w:w="18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11.50</w:t>
            </w:r>
          </w:p>
        </w:tc>
        <w:tc>
          <w:tcPr>
            <w:tcW w:w="40" w:type="dxa"/>
            <w:vAlign w:val="bottom"/>
            <w:tcBorders>
              <w:top w:val="single" w:sz="8" w:color="CCEEFF"/>
            </w:tcBorders>
            <w:shd w:val="clear" w:color="auto" w:fill="CCEEFF"/>
          </w:tcPr>
          <w:p>
            <w:pPr>
              <w:spacing w:after="0"/>
              <w:rPr>
                <w:sz w:val="13"/>
                <w:szCs w:val="13"/>
                <w:color w:val="auto"/>
              </w:rPr>
            </w:pPr>
          </w:p>
        </w:tc>
      </w:tr>
      <w:tr>
        <w:trPr>
          <w:trHeight w:val="163"/>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40" w:type="dxa"/>
            <w:vAlign w:val="bottom"/>
          </w:tcPr>
          <w:p>
            <w:pPr>
              <w:spacing w:after="0"/>
              <w:rPr>
                <w:sz w:val="14"/>
                <w:szCs w:val="14"/>
                <w:color w:val="auto"/>
              </w:rPr>
            </w:pPr>
          </w:p>
        </w:tc>
      </w:tr>
      <w:tr>
        <w:trPr>
          <w:trHeight w:val="163"/>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40" w:type="dxa"/>
            <w:vAlign w:val="bottom"/>
            <w:shd w:val="clear" w:color="auto" w:fill="CCEEFF"/>
          </w:tcPr>
          <w:p>
            <w:pPr>
              <w:spacing w:after="0"/>
              <w:rPr>
                <w:sz w:val="14"/>
                <w:szCs w:val="14"/>
                <w:color w:val="auto"/>
              </w:rPr>
            </w:pPr>
          </w:p>
        </w:tc>
      </w:tr>
      <w:tr>
        <w:trPr>
          <w:trHeight w:val="163"/>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Remaining term</w:t>
            </w: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3.18 years</w:t>
            </w:r>
          </w:p>
        </w:tc>
      </w:tr>
      <w:tr>
        <w:trPr>
          <w:trHeight w:val="163"/>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40" w:type="dxa"/>
            <w:vAlign w:val="bottom"/>
            <w:shd w:val="clear" w:color="auto" w:fill="CCEEFF"/>
          </w:tcPr>
          <w:p>
            <w:pPr>
              <w:spacing w:after="0"/>
              <w:rPr>
                <w:sz w:val="14"/>
                <w:szCs w:val="14"/>
                <w:color w:val="auto"/>
              </w:rPr>
            </w:pPr>
          </w:p>
        </w:tc>
      </w:tr>
    </w:tbl>
    <w:p>
      <w:pPr>
        <w:spacing w:after="0" w:line="151" w:lineRule="exact"/>
        <w:rPr>
          <w:sz w:val="20"/>
          <w:szCs w:val="20"/>
          <w:color w:val="auto"/>
        </w:rPr>
      </w:pPr>
    </w:p>
    <w:p>
      <w:pPr>
        <w:ind w:left="1480" w:right="659"/>
        <w:spacing w:after="0" w:line="264" w:lineRule="auto"/>
        <w:rPr>
          <w:sz w:val="20"/>
          <w:szCs w:val="20"/>
          <w:color w:val="auto"/>
        </w:rPr>
      </w:pPr>
      <w:r>
        <w:rPr>
          <w:rFonts w:ascii="Times New Roman" w:cs="Times New Roman" w:eastAsia="Times New Roman" w:hAnsi="Times New Roman"/>
          <w:sz w:val="14"/>
          <w:szCs w:val="14"/>
          <w:color w:val="auto"/>
        </w:rPr>
        <w:t>There were no other assets or liabilities that were required to be measured at fair value on a recurring basis as of March 31, 2022 and December 31, 2021.</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Fair Value of Common Stock</w:t>
      </w:r>
    </w:p>
    <w:p>
      <w:pPr>
        <w:spacing w:after="0" w:line="88" w:lineRule="exact"/>
        <w:rPr>
          <w:sz w:val="20"/>
          <w:szCs w:val="20"/>
          <w:color w:val="auto"/>
        </w:rPr>
      </w:pPr>
    </w:p>
    <w:p>
      <w:pPr>
        <w:ind w:left="1480" w:right="379"/>
        <w:spacing w:after="0" w:line="248" w:lineRule="auto"/>
        <w:rPr>
          <w:sz w:val="20"/>
          <w:szCs w:val="20"/>
          <w:color w:val="auto"/>
        </w:rPr>
      </w:pPr>
      <w:r>
        <w:rPr>
          <w:rFonts w:ascii="Times New Roman" w:cs="Times New Roman" w:eastAsia="Times New Roman" w:hAnsi="Times New Roman"/>
          <w:sz w:val="14"/>
          <w:szCs w:val="14"/>
          <w:color w:val="auto"/>
        </w:rPr>
        <w:t>Up until the Closing of the Business Combination in which the Company became publicly traded on Nasdaq, the Company was required to estimate the fair value of the Common Stock underlying the Company’s share-based awards. The fair value of the Common Stock underlying the Company’s stock-based awards was determined, in each case, based on a valuation model as discussed further below, and was approved by the Company’s Board of Directors. The Company’s Board of Directors intends all stock options granted to be exercisable at a price per share not less than the fair value per share of the ordinary share underlying those stock options on the date of grant.</w:t>
      </w:r>
    </w:p>
    <w:p>
      <w:pPr>
        <w:spacing w:after="0" w:line="149" w:lineRule="exact"/>
        <w:rPr>
          <w:sz w:val="20"/>
          <w:szCs w:val="20"/>
          <w:color w:val="auto"/>
        </w:rPr>
      </w:pPr>
    </w:p>
    <w:p>
      <w:pPr>
        <w:ind w:left="1480" w:right="479"/>
        <w:spacing w:after="0" w:line="250" w:lineRule="auto"/>
        <w:rPr>
          <w:sz w:val="20"/>
          <w:szCs w:val="20"/>
          <w:color w:val="auto"/>
        </w:rPr>
      </w:pPr>
      <w:r>
        <w:rPr>
          <w:rFonts w:ascii="Times New Roman" w:cs="Times New Roman" w:eastAsia="Times New Roman" w:hAnsi="Times New Roman"/>
          <w:sz w:val="14"/>
          <w:szCs w:val="14"/>
          <w:color w:val="auto"/>
        </w:rPr>
        <w:t>In the absence of a public market for the Common Stock prior to the date of the Business Combination, the valuation of the Common Stock was determined using a market approach, income approach, and subject company transaction method. The allocation of equity value was determined using the option pricing method. The valuation was performed in accordance with the guidelines outlined in the American Institute of Certified Public Accountants Practice Guide, Valuation of Privately Held Company Equity Securities Issued as Compensation.</w:t>
      </w:r>
    </w:p>
    <w:p>
      <w:pPr>
        <w:spacing w:after="0" w:line="1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Company considered various objective and subjective factors to determine the fair value of its Common Stock as of each grant date, including:</w:t>
      </w:r>
    </w:p>
    <w:p>
      <w:pPr>
        <w:spacing w:after="0" w:line="94" w:lineRule="exact"/>
        <w:rPr>
          <w:sz w:val="20"/>
          <w:szCs w:val="20"/>
          <w:color w:val="auto"/>
        </w:rPr>
      </w:pPr>
    </w:p>
    <w:p>
      <w:pPr>
        <w:ind w:left="2220" w:hanging="416"/>
        <w:spacing w:after="0"/>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Historical financial performance;</w:t>
      </w:r>
    </w:p>
    <w:p>
      <w:pPr>
        <w:spacing w:after="0" w:line="94" w:lineRule="exact"/>
        <w:rPr>
          <w:rFonts w:ascii="Times New Roman" w:cs="Times New Roman" w:eastAsia="Times New Roman" w:hAnsi="Times New Roman"/>
          <w:sz w:val="14"/>
          <w:szCs w:val="14"/>
          <w:color w:val="auto"/>
        </w:rPr>
      </w:pPr>
    </w:p>
    <w:p>
      <w:pPr>
        <w:ind w:left="2220" w:hanging="416"/>
        <w:spacing w:after="0"/>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business strategy;</w:t>
      </w:r>
    </w:p>
    <w:p>
      <w:pPr>
        <w:spacing w:after="0" w:line="94" w:lineRule="exact"/>
        <w:rPr>
          <w:rFonts w:ascii="Times New Roman" w:cs="Times New Roman" w:eastAsia="Times New Roman" w:hAnsi="Times New Roman"/>
          <w:sz w:val="14"/>
          <w:szCs w:val="14"/>
          <w:color w:val="auto"/>
        </w:rPr>
      </w:pPr>
    </w:p>
    <w:p>
      <w:pPr>
        <w:ind w:left="2220" w:hanging="416"/>
        <w:spacing w:after="0"/>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Industry information, such as external market conditions and trends;</w:t>
      </w:r>
    </w:p>
    <w:p>
      <w:pPr>
        <w:spacing w:after="0" w:line="94" w:lineRule="exact"/>
        <w:rPr>
          <w:rFonts w:ascii="Times New Roman" w:cs="Times New Roman" w:eastAsia="Times New Roman" w:hAnsi="Times New Roman"/>
          <w:sz w:val="14"/>
          <w:szCs w:val="14"/>
          <w:color w:val="auto"/>
        </w:rPr>
      </w:pPr>
    </w:p>
    <w:p>
      <w:pPr>
        <w:ind w:left="2220" w:hanging="416"/>
        <w:spacing w:after="0"/>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marketability of the Common Stock;</w:t>
      </w:r>
    </w:p>
    <w:p>
      <w:pPr>
        <w:spacing w:after="0" w:line="94" w:lineRule="exact"/>
        <w:rPr>
          <w:rFonts w:ascii="Times New Roman" w:cs="Times New Roman" w:eastAsia="Times New Roman" w:hAnsi="Times New Roman"/>
          <w:sz w:val="14"/>
          <w:szCs w:val="14"/>
          <w:color w:val="auto"/>
        </w:rPr>
      </w:pPr>
    </w:p>
    <w:p>
      <w:pPr>
        <w:ind w:left="2220" w:right="639" w:hanging="416"/>
        <w:spacing w:after="0" w:line="264" w:lineRule="auto"/>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Likelihood of achieving a liquidity event, such as an initial public offering, special-purpose acquisition company (“SPAC”) merger, or strategic sale given prevailing market conditions and the nature and history of the Company’s business;</w:t>
      </w:r>
    </w:p>
    <w:p>
      <w:pPr>
        <w:sectPr>
          <w:pgSz w:w="11900" w:h="16838" w:orient="portrait"/>
          <w:cols w:equalWidth="0" w:num="1">
            <w:col w:w="10159"/>
          </w:cols>
          <w:pgMar w:left="300" w:top="399" w:right="1440" w:bottom="1440" w:gutter="0" w:footer="0" w:header="0"/>
        </w:sectPr>
      </w:pP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99" w:right="1440"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Dave Inc.</w:t>
      </w:r>
    </w:p>
    <w:p>
      <w:pPr>
        <w:spacing w:after="0" w:line="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Notes to the Unaudited Condensed Consolidated Financial Statements</w:t>
      </w:r>
    </w:p>
    <w:p>
      <w:pPr>
        <w:spacing w:after="0" w:line="103" w:lineRule="exact"/>
        <w:rPr>
          <w:sz w:val="20"/>
          <w:szCs w:val="20"/>
          <w:color w:val="auto"/>
        </w:rPr>
      </w:pPr>
    </w:p>
    <w:p>
      <w:pPr>
        <w:ind w:left="2220" w:hanging="334"/>
        <w:spacing w:after="0"/>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Prices, privileges, powers, preferences, and rights of the convertible preferred stock relative to those of the Common Stock;</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Forecasted cash flow projections for the Company;</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Publicly traded price of the SPAC;</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Primary preferred stock financings and secondary common stock transactions of the Company’s equity securities;</w:t>
      </w:r>
    </w:p>
    <w:p>
      <w:pPr>
        <w:spacing w:after="0" w:line="94" w:lineRule="exact"/>
        <w:rPr>
          <w:rFonts w:ascii="Times New Roman" w:cs="Times New Roman" w:eastAsia="Times New Roman" w:hAnsi="Times New Roman"/>
          <w:sz w:val="14"/>
          <w:szCs w:val="14"/>
          <w:color w:val="auto"/>
        </w:rPr>
      </w:pPr>
    </w:p>
    <w:p>
      <w:pPr>
        <w:ind w:left="2220" w:right="679" w:hanging="334"/>
        <w:spacing w:after="0" w:line="264" w:lineRule="auto"/>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marketability/illiquidity of the common stock underlying the Company’s stock-based awards involving securities in a private company; and</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Macroeconomic conditions.</w:t>
      </w:r>
    </w:p>
    <w:p>
      <w:pPr>
        <w:spacing w:after="0" w:line="166" w:lineRule="exact"/>
        <w:rPr>
          <w:sz w:val="20"/>
          <w:szCs w:val="20"/>
          <w:color w:val="auto"/>
        </w:rPr>
      </w:pPr>
    </w:p>
    <w:p>
      <w:pPr>
        <w:ind w:left="1480" w:right="439"/>
        <w:spacing w:after="0" w:line="250" w:lineRule="auto"/>
        <w:rPr>
          <w:sz w:val="20"/>
          <w:szCs w:val="20"/>
          <w:color w:val="auto"/>
        </w:rPr>
      </w:pPr>
      <w:r>
        <w:rPr>
          <w:rFonts w:ascii="Times New Roman" w:cs="Times New Roman" w:eastAsia="Times New Roman" w:hAnsi="Times New Roman"/>
          <w:sz w:val="14"/>
          <w:szCs w:val="14"/>
          <w:color w:val="auto"/>
        </w:rPr>
        <w:t>The assumptions underlying these valuations represented management’s best estimate, which involved inherent uncertainties and the application of management’s judgment. The probability of a liquidity event and the derived discount rate are significant assumptions used to estimate the fair value of the Common Stock. If the Company had used different assumptions or estimates, the fair value of the Common Stock and the Company’s stock-based compensation expense could have been materially different.</w:t>
      </w:r>
    </w:p>
    <w:p>
      <w:pPr>
        <w:spacing w:after="0" w:line="146" w:lineRule="exact"/>
        <w:rPr>
          <w:sz w:val="20"/>
          <w:szCs w:val="20"/>
          <w:color w:val="auto"/>
        </w:rPr>
      </w:pPr>
    </w:p>
    <w:p>
      <w:pPr>
        <w:ind w:left="1480" w:right="359"/>
        <w:spacing w:after="0" w:line="254" w:lineRule="auto"/>
        <w:rPr>
          <w:sz w:val="20"/>
          <w:szCs w:val="20"/>
          <w:color w:val="auto"/>
        </w:rPr>
      </w:pPr>
      <w:r>
        <w:rPr>
          <w:rFonts w:ascii="Times New Roman" w:cs="Times New Roman" w:eastAsia="Times New Roman" w:hAnsi="Times New Roman"/>
          <w:sz w:val="14"/>
          <w:szCs w:val="14"/>
          <w:color w:val="auto"/>
        </w:rPr>
        <w:t>During 2019 and 2020, the Company’s estimated fair value of its Common Stock remained relatively consistent, fluctuating between $0.935 per share as of August 5, 2019 (“August 2019 Valuation”), and $0.981 per share as of August 30, 2020 (“August 2020 Valuation”). The August 2019 Valuation and August 2020 Valuation utilized the income and market approaches in estimating the fair value.</w:t>
      </w:r>
    </w:p>
    <w:p>
      <w:pPr>
        <w:spacing w:after="0" w:line="142" w:lineRule="exact"/>
        <w:rPr>
          <w:sz w:val="20"/>
          <w:szCs w:val="20"/>
          <w:color w:val="auto"/>
        </w:rPr>
      </w:pPr>
    </w:p>
    <w:p>
      <w:pPr>
        <w:ind w:left="1480" w:right="359"/>
        <w:spacing w:after="0" w:line="248" w:lineRule="auto"/>
        <w:rPr>
          <w:sz w:val="20"/>
          <w:szCs w:val="20"/>
          <w:color w:val="auto"/>
        </w:rPr>
      </w:pPr>
      <w:r>
        <w:rPr>
          <w:rFonts w:ascii="Times New Roman" w:cs="Times New Roman" w:eastAsia="Times New Roman" w:hAnsi="Times New Roman"/>
          <w:sz w:val="14"/>
          <w:szCs w:val="14"/>
          <w:color w:val="auto"/>
        </w:rPr>
        <w:t>The fair value of the Company’s common stock was estimated to be $0.935 per share as of August 5, 2019 (“August 2019 Valuation”) and $0.981 per share as of August 30, 2020 (“August 2020 Valuation”). In 2021, the Company’s management team first contemplated a SPAC Transaction, which was incorporated in the June 7, 2021 valuation that resulted in a fair value for Dave’s common stock of $8.67 per share (“June 2021 Valuation”). The SPAC Transaction was considered in the subsequent valuation performed as of October 6, 2021 that resulted in a fair value for Dave’s common stock of $10.80 per share (“October 2021 Valuation”).</w:t>
      </w:r>
    </w:p>
    <w:p>
      <w:pPr>
        <w:spacing w:after="0" w:line="149" w:lineRule="exact"/>
        <w:rPr>
          <w:sz w:val="20"/>
          <w:szCs w:val="20"/>
          <w:color w:val="auto"/>
        </w:rPr>
      </w:pPr>
    </w:p>
    <w:p>
      <w:pPr>
        <w:ind w:left="1480" w:right="399"/>
        <w:spacing w:after="0" w:line="246" w:lineRule="auto"/>
        <w:rPr>
          <w:sz w:val="20"/>
          <w:szCs w:val="20"/>
          <w:color w:val="auto"/>
        </w:rPr>
      </w:pPr>
      <w:r>
        <w:rPr>
          <w:rFonts w:ascii="Times New Roman" w:cs="Times New Roman" w:eastAsia="Times New Roman" w:hAnsi="Times New Roman"/>
          <w:sz w:val="14"/>
          <w:szCs w:val="14"/>
          <w:color w:val="auto"/>
        </w:rPr>
        <w:t>The August 2019 Valuation and August 2020 Valuations were completed prior to the contemplation of the Business Combination, and at the time of these valuations management did not expect a near-term exit. The August 2019 Valuation was performed at the time of the close of Dave’s Series B-1 and B-2 preferred equity financings (“Series B Financing”). Since no near-term exit was expected, the August 2019 Valuation was performed using the market approach, specifically the subject company transaction method was performed using a single option pricing model (“OPM”) as the allocation method. As a result, the fair value of the Company’s common stock was inferred from the Series B Financing. The August 2020 Valuation was performed using the market approach, specifically the guideline public company method (“GPCM”) and used a single OPM as the allocation methodology. The GPCM was performed by first considering the Series B Financing’s implied revenue multiple from the August 2019 valuation report, and then was adjusted based on changes in the guideline public company’s multiples since the Series B Financing occurred, with consideration for adjustments based on the Company’s comparative operational performance between the periods.</w:t>
      </w:r>
    </w:p>
    <w:p>
      <w:pPr>
        <w:spacing w:after="0" w:line="149" w:lineRule="exact"/>
        <w:rPr>
          <w:sz w:val="20"/>
          <w:szCs w:val="20"/>
          <w:color w:val="auto"/>
        </w:rPr>
      </w:pPr>
    </w:p>
    <w:p>
      <w:pPr>
        <w:ind w:left="1480" w:right="359"/>
        <w:spacing w:after="0" w:line="246" w:lineRule="auto"/>
        <w:rPr>
          <w:sz w:val="20"/>
          <w:szCs w:val="20"/>
          <w:color w:val="auto"/>
        </w:rPr>
      </w:pPr>
      <w:r>
        <w:rPr>
          <w:rFonts w:ascii="Times New Roman" w:cs="Times New Roman" w:eastAsia="Times New Roman" w:hAnsi="Times New Roman"/>
          <w:sz w:val="14"/>
          <w:szCs w:val="14"/>
          <w:color w:val="auto"/>
        </w:rPr>
        <w:t>The June 2021 Valuation and October 2021 Valuation both used the hybrid method, wherein a PWERM incorporated an expected near-term SPAC exit scenario as well as an OPM. The OPM was used to model the value of common stock in a delayed exit/stay private scenario. Total equity values for each scenario management identified were estimated as of the measurement date. The delayed exit/stay private scenario total equity value was estimated using the discounted cash flow method under the income approach and the GPCM under the market approach. The total equity value in the SPAC Transaction scenario included in the June 2021 Valuation was determined based on the expected Business Combination pre-money valuation. The common stock price per share in the SPAC Transaction scenario included in the October 2021 Valuation was determined based on the publicly traded price of the SPAC as of the valuation date. Management’s estimated probability for each scenario occurring at each valuation date was applied to the respective scenario’s indicated common stock value to arrive at the estimated fair value of common stock.</w:t>
      </w:r>
    </w:p>
    <w:p>
      <w:pPr>
        <w:spacing w:after="0" w:line="9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99" w:right="1440" w:bottom="1440" w:gutter="0" w:footer="0" w:header="0"/>
        </w:sectPr>
      </w:pPr>
    </w:p>
    <w:bookmarkStart w:id="22" w:name="page23"/>
    <w:bookmarkEnd w:id="22"/>
    <w:p>
      <w:pPr>
        <w:spacing w:after="0" w:line="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4075" cy="450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Dave Inc.</w:t>
      </w:r>
    </w:p>
    <w:p>
      <w:pPr>
        <w:spacing w:after="0" w:line="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Notes to the Unaudited Condensed Consolidated Financial Statements</w:t>
      </w:r>
    </w:p>
    <w:p>
      <w:pPr>
        <w:spacing w:after="0" w:line="103" w:lineRule="exact"/>
        <w:rPr>
          <w:sz w:val="20"/>
          <w:szCs w:val="20"/>
          <w:color w:val="auto"/>
        </w:rPr>
      </w:pPr>
    </w:p>
    <w:p>
      <w:pPr>
        <w:ind w:left="1480" w:right="359"/>
        <w:spacing w:after="0" w:line="244" w:lineRule="auto"/>
        <w:rPr>
          <w:sz w:val="20"/>
          <w:szCs w:val="20"/>
          <w:color w:val="auto"/>
        </w:rPr>
      </w:pPr>
      <w:r>
        <w:rPr>
          <w:rFonts w:ascii="Times New Roman" w:cs="Times New Roman" w:eastAsia="Times New Roman" w:hAnsi="Times New Roman"/>
          <w:sz w:val="14"/>
          <w:szCs w:val="14"/>
          <w:color w:val="auto"/>
        </w:rPr>
        <w:t>The increase in the fair value of the Company’s common stock between the August 2019 and August 2020 Valuations, and the June 2021 Valuation and the October 2021 Valuation was predominantly due to the Company’s progress towards completing the Business Combination that was not known or knowable at the earlier valuation dates. As previously discussed, the August 2019 Valuation utilized the Series B financing to determine the value of common stock in a single OPM. The August 2020 Valuation relied upon the GPCM with valuation multiples selected considering the implied multiples at the time of the Series B Financing, with appropriate adjustments to the multiples to account for changes in the Company’s financial and operational performance as well as to reflect changes in the guideline public companies’ multiples and comparative performance, from the close of the Series B financing to the August 2020 valuation date. In early 2021, the Company first contemplated a SPAC Transaction and began taking the necessary steps to prepare for a business combination with VPCC. The necessary steps undertaken to prepare for the Business Combination included meeting with VPCC and investment bankers, discussing timing expectations, and negotiating the preliminary letter of intent with VPCC. As ongoing negotiations related to the Business Combination reflected an increased likelihood of a near-term exit transaction and/or liquidity event, the valuation of Dave’s equity as of the June 2021 Valuation took into consideration the indicated equity value implied by the negotiations as well as the uncertainty inherent in the future key milestones including execution of the Business Combination Agreement and VPCC’s shareholder vote. Similarly, the increase in the common stock value to $10.80 per share in the October 2021 Valuation resulted primarily from an increase in the probability of the near-term SPAC Transaction closing and an increase in the value of common stock in that scenario due to the passage of time and an increase in the SPAC’s publicly traded price as compared to the SPAC Transaction’s negotiated pre-money valuation. As a result, the increase in Dave’s common stock fair value between the valuation dates resulted directly from both the increase in the pre-money valuation and acceleration of the timing of an exit, from the Series B Financing to the Business Combination.</w:t>
      </w:r>
    </w:p>
    <w:p>
      <w:pPr>
        <w:spacing w:after="0" w:line="23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Concentration of Risk</w:t>
      </w:r>
    </w:p>
    <w:p>
      <w:pPr>
        <w:spacing w:after="0" w:line="88" w:lineRule="exact"/>
        <w:rPr>
          <w:sz w:val="20"/>
          <w:szCs w:val="20"/>
          <w:color w:val="auto"/>
        </w:rPr>
      </w:pPr>
    </w:p>
    <w:p>
      <w:pPr>
        <w:ind w:left="1480" w:right="379"/>
        <w:spacing w:after="0" w:line="247" w:lineRule="auto"/>
        <w:rPr>
          <w:sz w:val="20"/>
          <w:szCs w:val="20"/>
          <w:color w:val="auto"/>
        </w:rPr>
      </w:pPr>
      <w:r>
        <w:rPr>
          <w:rFonts w:ascii="Times New Roman" w:cs="Times New Roman" w:eastAsia="Times New Roman" w:hAnsi="Times New Roman"/>
          <w:sz w:val="14"/>
          <w:szCs w:val="14"/>
          <w:color w:val="auto"/>
        </w:rPr>
        <w:t>Financial instruments, which potentially subject the Company to concentrations of credit risk, principally consist of cash and cash equivalents, restricted cash, Member cash advances, and accounts receivable. The Company’s cash and cash equivalents and restricted cash in excess of the Federal Deposit Insurance Corporation (“FDIC”) insured limits were approximately $23.5 million at March 31, 2022 and $31.9 million at December 31, 2021, respectively. The Company’s payment processors also collect cash on the Company’s behalf and will hold these cash balances temporarily until they are settled the next business day. Also, the Company does not believe its marketable securities are exposed to any significant credit risk due to the quality and nature of the securities in which the money is held. Pursuant to the Company’s internal investment policy, investments must be rated A-1/P-1 or better by Standard and Poor’s Rating Service and Moody’s Investors Service at the time of purchase.</w:t>
      </w:r>
    </w:p>
    <w:p>
      <w:pPr>
        <w:spacing w:after="0" w:line="14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 Member individually exceeded 10% or more of the Company’s Member cash advances balances as of December 31, 2021 and 2020.</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ASC 842, Leases (“ASC 842”) requires lessees to recognize most leases on the consolidated balance sheet with a corresponding right-of-</w:t>
      </w:r>
    </w:p>
    <w:p>
      <w:pPr>
        <w:spacing w:after="0" w:line="14" w:lineRule="exact"/>
        <w:rPr>
          <w:sz w:val="20"/>
          <w:szCs w:val="20"/>
          <w:color w:val="auto"/>
        </w:rPr>
      </w:pPr>
    </w:p>
    <w:p>
      <w:pPr>
        <w:ind w:left="1480" w:right="439"/>
        <w:spacing w:after="0" w:line="298" w:lineRule="auto"/>
        <w:rPr>
          <w:sz w:val="20"/>
          <w:szCs w:val="20"/>
          <w:color w:val="auto"/>
        </w:rPr>
      </w:pPr>
      <w:r>
        <w:rPr>
          <w:rFonts w:ascii="Times New Roman" w:cs="Times New Roman" w:eastAsia="Times New Roman" w:hAnsi="Times New Roman"/>
          <w:sz w:val="12"/>
          <w:szCs w:val="12"/>
          <w:color w:val="auto"/>
        </w:rPr>
        <w:t>use asset. Right-of-use assets represent the Company’s right to use an underlying asset for the lease term and lease liabilities represent the Company’s obligation to make lease payments arising from the lease. Right-of-use assets and lease liabilities are recognized at the lease commencement date based on the estimated present value of fixed lease payments over the lease term. Leases are classified as financing or operating which will drive the expense recognition pattern. Lease payments on short-term leases are recognized as expense on a straight-line basis over the lease term.</w:t>
      </w:r>
    </w:p>
    <w:p>
      <w:pPr>
        <w:spacing w:after="0" w:line="120" w:lineRule="exact"/>
        <w:rPr>
          <w:sz w:val="20"/>
          <w:szCs w:val="20"/>
          <w:color w:val="auto"/>
        </w:rPr>
      </w:pPr>
    </w:p>
    <w:p>
      <w:pPr>
        <w:ind w:left="1480" w:right="499"/>
        <w:spacing w:after="0" w:line="248" w:lineRule="auto"/>
        <w:rPr>
          <w:sz w:val="20"/>
          <w:szCs w:val="20"/>
          <w:color w:val="auto"/>
        </w:rPr>
      </w:pPr>
      <w:r>
        <w:rPr>
          <w:rFonts w:ascii="Times New Roman" w:cs="Times New Roman" w:eastAsia="Times New Roman" w:hAnsi="Times New Roman"/>
          <w:sz w:val="14"/>
          <w:szCs w:val="14"/>
          <w:color w:val="auto"/>
        </w:rPr>
        <w:t>The Company leases office space under three separate leases, all of which are considered operating leases. One lease includes the option to renew and the exercise of the renewal option is at the Company’s sole discretion. Options to extend or terminate a lease are considered as part of calculating the lease term to the extent that the option is reasonably certain of exercise. The leases do not include the options to purchase the leased property. The depreciable life of assets and leasehold improvements are limited by the expected lease term. Covenants imposed by the leases include letters of credit required to be obtained by the lessee.</w:t>
      </w:r>
    </w:p>
    <w:p>
      <w:pPr>
        <w:spacing w:after="0" w:line="149" w:lineRule="exact"/>
        <w:rPr>
          <w:sz w:val="20"/>
          <w:szCs w:val="20"/>
          <w:color w:val="auto"/>
        </w:rPr>
      </w:pPr>
    </w:p>
    <w:p>
      <w:pPr>
        <w:ind w:left="1480" w:right="459"/>
        <w:spacing w:after="0" w:line="250" w:lineRule="auto"/>
        <w:rPr>
          <w:sz w:val="20"/>
          <w:szCs w:val="20"/>
          <w:color w:val="auto"/>
        </w:rPr>
      </w:pPr>
      <w:r>
        <w:rPr>
          <w:rFonts w:ascii="Times New Roman" w:cs="Times New Roman" w:eastAsia="Times New Roman" w:hAnsi="Times New Roman"/>
          <w:sz w:val="14"/>
          <w:szCs w:val="14"/>
          <w:color w:val="auto"/>
        </w:rPr>
        <w:t>The incremental borrowing rate (“IBR”) represents the rate of interest the Company would expect to pay on a collateralized basis to borrow an amount equal to the lease payments under similar terms. When determinable, the Company uses the rate implicit in the lease to determine the present value of lease payments. As the Company’s leases do not provide an implicit rate, the Company uses its incremental borrowing rate based on the information available at the lease commencement date in determining the present value of lease payments.</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Loans to Stockholders</w:t>
      </w:r>
    </w:p>
    <w:p>
      <w:pPr>
        <w:spacing w:after="0" w:line="88" w:lineRule="exact"/>
        <w:rPr>
          <w:sz w:val="20"/>
          <w:szCs w:val="20"/>
          <w:color w:val="auto"/>
        </w:rPr>
      </w:pPr>
    </w:p>
    <w:p>
      <w:pPr>
        <w:ind w:left="1480" w:right="379"/>
        <w:spacing w:after="0" w:line="247" w:lineRule="auto"/>
        <w:rPr>
          <w:sz w:val="20"/>
          <w:szCs w:val="20"/>
          <w:color w:val="auto"/>
        </w:rPr>
      </w:pPr>
      <w:r>
        <w:rPr>
          <w:rFonts w:ascii="Times New Roman" w:cs="Times New Roman" w:eastAsia="Times New Roman" w:hAnsi="Times New Roman"/>
          <w:sz w:val="14"/>
          <w:szCs w:val="14"/>
          <w:color w:val="auto"/>
        </w:rPr>
        <w:t>In 2019, the Company entered into loan, pledge, and option agreements with various employees, who are also stockholders, to provide those employees cash in exchange for non-recourse promissory notes and call options, which allow the Company to acquire shares held by these stockholders. Following ASC 310, the Company recorded the note as a reduction to shareholders’ equity and will do so until it is repaid, or the associated call option is exercised and the Company reacquires the collateralized shares. Interest earned and accrued on the notes also increases this contra-equity account balance. Upon consummation of the Business Combination in January 2022, all of the call options related to the Loans to Stockholders were exercised and the related loans were settled.</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Stock Option Awards:</w:t>
      </w:r>
    </w:p>
    <w:p>
      <w:pPr>
        <w:spacing w:after="0" w:line="88" w:lineRule="exact"/>
        <w:rPr>
          <w:sz w:val="20"/>
          <w:szCs w:val="20"/>
          <w:color w:val="auto"/>
        </w:rPr>
      </w:pPr>
    </w:p>
    <w:p>
      <w:pPr>
        <w:ind w:left="1480" w:right="359"/>
        <w:spacing w:after="0" w:line="297" w:lineRule="auto"/>
        <w:rPr>
          <w:sz w:val="20"/>
          <w:szCs w:val="20"/>
          <w:color w:val="auto"/>
        </w:rPr>
      </w:pPr>
      <w:r>
        <w:rPr>
          <w:rFonts w:ascii="Times New Roman" w:cs="Times New Roman" w:eastAsia="Times New Roman" w:hAnsi="Times New Roman"/>
          <w:sz w:val="12"/>
          <w:szCs w:val="12"/>
          <w:color w:val="auto"/>
        </w:rPr>
        <w:t>ASC 718, Compensation-Stock Compensation (“ASC 718”), requires the estimate of the fair value of all stock-based payments to employees, including grants of stock options, to be recognized in the statement of operations over the requisite service period. Under ASC 718, employee option grants are generally valued at the grant date and those valuations do not change once they have been established. The fair value of each option award is estimated on the grant date using the Black-Scholes Option Pricing Model. As allowed by ASC 718, the Company’s estimate of expected volatility is based on its peer company average volatilities, including industry, stage of life cycle, size, and financial leverage. The risk-free rate for periods within the contractual life of the option is based on the U.S. Treasury yield curve in effect at the time of grant valuation. The Company recognizes forfeitures as they occur.</w:t>
      </w:r>
    </w:p>
    <w:p>
      <w:pPr>
        <w:spacing w:after="0" w:line="19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Restricted Stock Awards:</w:t>
      </w:r>
    </w:p>
    <w:p>
      <w:pPr>
        <w:spacing w:after="0" w:line="88" w:lineRule="exact"/>
        <w:rPr>
          <w:sz w:val="20"/>
          <w:szCs w:val="20"/>
          <w:color w:val="auto"/>
        </w:rPr>
      </w:pPr>
    </w:p>
    <w:p>
      <w:pPr>
        <w:ind w:left="1480" w:right="419"/>
        <w:spacing w:after="0" w:line="295" w:lineRule="auto"/>
        <w:rPr>
          <w:sz w:val="20"/>
          <w:szCs w:val="20"/>
          <w:color w:val="auto"/>
        </w:rPr>
      </w:pPr>
      <w:r>
        <w:rPr>
          <w:rFonts w:ascii="Times New Roman" w:cs="Times New Roman" w:eastAsia="Times New Roman" w:hAnsi="Times New Roman"/>
          <w:sz w:val="12"/>
          <w:szCs w:val="12"/>
          <w:color w:val="auto"/>
        </w:rPr>
        <w:t>Restricted stock awards (“RSAs”) are valued on the grant date and the fair value of the RSAs is equal to the estimated fair value of the Company’s Common Stock on the grant date. This compensation cost is recognized over the requisite service period. When the requisite service period begins prior to the grant date (because the service inception date occurs prior to the grant date), the Company is required to begin recognizing compensation cost before there is a measurement date (i.e., the grant date). The service inception date is the beginning of the requisite service period. If the service inception date precedes the grant date, accrual of compensation cost for periods before the grant date shall be based on the fair value of the award at the reporting date. In the period in which the grant is approved, cumulative compensation cost is adjusted to reflect the cumulative effect of the compensation cost based on fair value at the grant date rather than the service inception date. The Company recognizes forfeitures as they occur.</w:t>
      </w:r>
    </w:p>
    <w:p>
      <w:pPr>
        <w:spacing w:after="0" w:line="19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RSAs Issued to Non-Employees:</w:t>
      </w:r>
    </w:p>
    <w:p>
      <w:pPr>
        <w:spacing w:after="0" w:line="88" w:lineRule="exact"/>
        <w:rPr>
          <w:sz w:val="20"/>
          <w:szCs w:val="20"/>
          <w:color w:val="auto"/>
        </w:rPr>
      </w:pPr>
    </w:p>
    <w:p>
      <w:pPr>
        <w:ind w:left="1480" w:right="559"/>
        <w:spacing w:after="0" w:line="254" w:lineRule="auto"/>
        <w:rPr>
          <w:sz w:val="20"/>
          <w:szCs w:val="20"/>
          <w:color w:val="auto"/>
        </w:rPr>
      </w:pPr>
      <w:r>
        <w:rPr>
          <w:rFonts w:ascii="Times New Roman" w:cs="Times New Roman" w:eastAsia="Times New Roman" w:hAnsi="Times New Roman"/>
          <w:sz w:val="14"/>
          <w:szCs w:val="14"/>
          <w:color w:val="auto"/>
        </w:rPr>
        <w:t>The Company issues shares of restricted stock to consultants for various advisory and consulting-related services. The Company recognized this expense, measured as the estimated value of the shares issued, as a component of stock-based compensation expense, presented within compensation and benefits in the consolidated statements of operations.</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Advertising Costs</w:t>
      </w:r>
    </w:p>
    <w:p>
      <w:pPr>
        <w:spacing w:after="0" w:line="88" w:lineRule="exact"/>
        <w:rPr>
          <w:sz w:val="20"/>
          <w:szCs w:val="20"/>
          <w:color w:val="auto"/>
        </w:rPr>
      </w:pPr>
    </w:p>
    <w:p>
      <w:pPr>
        <w:jc w:val="both"/>
        <w:ind w:left="1480" w:right="379"/>
        <w:spacing w:after="0" w:line="264" w:lineRule="auto"/>
        <w:rPr>
          <w:sz w:val="20"/>
          <w:szCs w:val="20"/>
          <w:color w:val="auto"/>
        </w:rPr>
      </w:pPr>
      <w:r>
        <w:rPr>
          <w:rFonts w:ascii="Times New Roman" w:cs="Times New Roman" w:eastAsia="Times New Roman" w:hAnsi="Times New Roman"/>
          <w:sz w:val="14"/>
          <w:szCs w:val="14"/>
          <w:color w:val="auto"/>
        </w:rPr>
        <w:t>Advertising costs are expensed as incurred. Advertising expense for the three months ended March 31, 2022 and 2021, was approximately $12.2 million and $14.0 million, respectively, and is presented within advertising and marketing in the condensed consolidated statements of operations.</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86" w:lineRule="exact"/>
        <w:rPr>
          <w:sz w:val="20"/>
          <w:szCs w:val="20"/>
          <w:color w:val="auto"/>
        </w:rPr>
      </w:pPr>
    </w:p>
    <w:p>
      <w:pPr>
        <w:jc w:val="both"/>
        <w:ind w:left="1480" w:right="399"/>
        <w:spacing w:after="0" w:line="318" w:lineRule="auto"/>
        <w:rPr>
          <w:sz w:val="20"/>
          <w:szCs w:val="20"/>
          <w:color w:val="auto"/>
        </w:rPr>
      </w:pPr>
      <w:r>
        <w:rPr>
          <w:rFonts w:ascii="Times New Roman" w:cs="Times New Roman" w:eastAsia="Times New Roman" w:hAnsi="Times New Roman"/>
          <w:sz w:val="12"/>
          <w:szCs w:val="12"/>
          <w:color w:val="auto"/>
        </w:rPr>
        <w:t xml:space="preserve">The Company follows ASC 740, </w:t>
      </w:r>
      <w:r>
        <w:rPr>
          <w:rFonts w:ascii="Times New Roman" w:cs="Times New Roman" w:eastAsia="Times New Roman" w:hAnsi="Times New Roman"/>
          <w:sz w:val="12"/>
          <w:szCs w:val="12"/>
          <w:i w:val="1"/>
          <w:iCs w:val="1"/>
          <w:color w:val="auto"/>
        </w:rPr>
        <w:t>Income Taxes</w:t>
      </w:r>
      <w:r>
        <w:rPr>
          <w:rFonts w:ascii="Times New Roman" w:cs="Times New Roman" w:eastAsia="Times New Roman" w:hAnsi="Times New Roman"/>
          <w:sz w:val="12"/>
          <w:szCs w:val="12"/>
          <w:color w:val="auto"/>
        </w:rPr>
        <w:t xml:space="preserve"> (“ASC 740”), which requires recognition of deferred tax assets and liabilities for the expected future tax consequences of events that have been included in the financial statements or tax returns. Under this method, deferred tax assets and liabilities are based on the differences between the financial statement and tax basis of assets and liabilities using enacted tax rates in effect for the year in which the</w:t>
      </w:r>
    </w:p>
    <w:p>
      <w:pPr>
        <w:sectPr>
          <w:pgSz w:w="11900" w:h="16928" w:orient="portrait"/>
          <w:cols w:equalWidth="0" w:num="1">
            <w:col w:w="10159"/>
          </w:cols>
          <w:pgMar w:left="300" w:top="399" w:right="1440" w:bottom="0" w:gutter="0" w:footer="0" w:header="0"/>
        </w:sectPr>
      </w:pPr>
    </w:p>
    <w:bookmarkStart w:id="23" w:name="page24"/>
    <w:bookmarkEnd w:id="23"/>
    <w:p>
      <w:pPr>
        <w:ind w:left="340" w:right="1379"/>
        <w:spacing w:after="0" w:line="264" w:lineRule="auto"/>
        <w:rPr>
          <w:sz w:val="20"/>
          <w:szCs w:val="20"/>
          <w:color w:val="auto"/>
        </w:rPr>
      </w:pPr>
      <w:r>
        <w:rPr>
          <w:rFonts w:ascii="Times New Roman" w:cs="Times New Roman" w:eastAsia="Times New Roman" w:hAnsi="Times New Roman"/>
          <w:sz w:val="14"/>
          <w:szCs w:val="14"/>
          <w:color w:val="auto"/>
        </w:rPr>
        <w:t>differences are expected to reverse. Deferred tax assets are reduced by a valuation allowance to the extent management concludes it is more-likely-than-not that the asset will not be realized.</w:t>
      </w:r>
    </w:p>
    <w:p>
      <w:pPr>
        <w:spacing w:after="0" w:line="136" w:lineRule="exact"/>
        <w:rPr>
          <w:sz w:val="20"/>
          <w:szCs w:val="20"/>
          <w:color w:val="auto"/>
        </w:rPr>
      </w:pPr>
    </w:p>
    <w:p>
      <w:pPr>
        <w:ind w:left="340" w:right="399"/>
        <w:spacing w:after="0" w:line="248" w:lineRule="auto"/>
        <w:rPr>
          <w:sz w:val="20"/>
          <w:szCs w:val="20"/>
          <w:color w:val="auto"/>
        </w:rPr>
      </w:pPr>
      <w:r>
        <w:rPr>
          <w:rFonts w:ascii="Times New Roman" w:cs="Times New Roman" w:eastAsia="Times New Roman" w:hAnsi="Times New Roman"/>
          <w:sz w:val="14"/>
          <w:szCs w:val="14"/>
          <w:color w:val="auto"/>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on examination, including compromise settlements. For tax positions not meeting the more-likely-than-not threshold, no tax benefit is recorded. The Company has estimated approximately $0.5 million of uncertain tax positions as of both March 31, 2022 and December 31, 2021, related to state income taxes and research tax credits.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127"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Dave Inc.</w:t>
      </w:r>
    </w:p>
    <w:p>
      <w:pPr>
        <w:spacing w:after="0" w:line="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Notes to the Unaudited Condensed Consolidated Financial Statements</w:t>
      </w:r>
    </w:p>
    <w:p>
      <w:pPr>
        <w:spacing w:after="0" w:line="103" w:lineRule="exact"/>
        <w:rPr>
          <w:sz w:val="20"/>
          <w:szCs w:val="20"/>
          <w:color w:val="auto"/>
        </w:rPr>
      </w:pPr>
    </w:p>
    <w:p>
      <w:pPr>
        <w:ind w:left="1480" w:right="459"/>
        <w:spacing w:after="0" w:line="250" w:lineRule="auto"/>
        <w:rPr>
          <w:sz w:val="20"/>
          <w:szCs w:val="20"/>
          <w:color w:val="auto"/>
        </w:rPr>
      </w:pPr>
      <w:r>
        <w:rPr>
          <w:rFonts w:ascii="Times New Roman" w:cs="Times New Roman" w:eastAsia="Times New Roman" w:hAnsi="Times New Roman"/>
          <w:sz w:val="14"/>
          <w:szCs w:val="14"/>
          <w:color w:val="auto"/>
        </w:rPr>
        <w:t>The Company’s policy is to recognize interest expense and penalties accrued on any unrecognized tax benefits as a component of income tax expense within the statement of operations. The Company recognized approximately $0.001 million and $0.002 million of interest expense and penalties as a component of income tax expense during the three months ended March 31, 2022 and 2021, respectively. There was approximately $0.008 million and $0.007 million of accrued interest expense and penalties as of March 31, 2022 and December 31, 2021, respectively.</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Segment Information</w:t>
      </w:r>
    </w:p>
    <w:p>
      <w:pPr>
        <w:spacing w:after="0" w:line="88" w:lineRule="exact"/>
        <w:rPr>
          <w:sz w:val="20"/>
          <w:szCs w:val="20"/>
          <w:color w:val="auto"/>
        </w:rPr>
      </w:pPr>
    </w:p>
    <w:p>
      <w:pPr>
        <w:ind w:left="1480" w:right="499"/>
        <w:spacing w:after="0" w:line="300" w:lineRule="auto"/>
        <w:rPr>
          <w:sz w:val="20"/>
          <w:szCs w:val="20"/>
          <w:color w:val="auto"/>
        </w:rPr>
      </w:pPr>
      <w:r>
        <w:rPr>
          <w:rFonts w:ascii="Times New Roman" w:cs="Times New Roman" w:eastAsia="Times New Roman" w:hAnsi="Times New Roman"/>
          <w:sz w:val="12"/>
          <w:szCs w:val="12"/>
          <w:color w:val="auto"/>
        </w:rPr>
        <w:t>The Company determines its operating segments based on how its chief operating decision makers manage operations, make operating decisions, and evaluate operating performance. The Company has determined that the Chief Operating Decision Maker (“CODM”) is a joint role shared by the Chief Executive Officer and Chief Financial Officer. Based upon the way the CODM reviews financial information and makes operating decisions and considering that the CODM reviews financial information on a consolidated basis for purposes of allocating resources and evaluating financial performance, the service-based and transaction-based operations constitute a single operating segment and one reportable segment.</w:t>
      </w:r>
    </w:p>
    <w:p>
      <w:pPr>
        <w:spacing w:after="0" w:line="19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Net (Loss) Income Per Share Attributable to Stockholders</w:t>
      </w:r>
    </w:p>
    <w:p>
      <w:pPr>
        <w:spacing w:after="0" w:line="88" w:lineRule="exact"/>
        <w:rPr>
          <w:sz w:val="20"/>
          <w:szCs w:val="20"/>
          <w:color w:val="auto"/>
        </w:rPr>
      </w:pPr>
    </w:p>
    <w:p>
      <w:pPr>
        <w:ind w:left="1480" w:right="459"/>
        <w:spacing w:after="0" w:line="264" w:lineRule="auto"/>
        <w:rPr>
          <w:sz w:val="20"/>
          <w:szCs w:val="20"/>
          <w:color w:val="auto"/>
        </w:rPr>
      </w:pPr>
      <w:r>
        <w:rPr>
          <w:rFonts w:ascii="Times New Roman" w:cs="Times New Roman" w:eastAsia="Times New Roman" w:hAnsi="Times New Roman"/>
          <w:sz w:val="14"/>
          <w:szCs w:val="14"/>
          <w:color w:val="auto"/>
        </w:rPr>
        <w:t>The Company has two classes of participating securities (Class A Common Stock and Class V Common Stock) issued and outstanding as of March 31, 2022.</w:t>
      </w:r>
    </w:p>
    <w:p>
      <w:pPr>
        <w:spacing w:after="0" w:line="136" w:lineRule="exact"/>
        <w:rPr>
          <w:sz w:val="20"/>
          <w:szCs w:val="20"/>
          <w:color w:val="auto"/>
        </w:rPr>
      </w:pPr>
    </w:p>
    <w:p>
      <w:pPr>
        <w:ind w:left="1480" w:right="459"/>
        <w:spacing w:after="0" w:line="246" w:lineRule="auto"/>
        <w:rPr>
          <w:sz w:val="20"/>
          <w:szCs w:val="20"/>
          <w:color w:val="auto"/>
        </w:rPr>
      </w:pPr>
      <w:r>
        <w:rPr>
          <w:rFonts w:ascii="Times New Roman" w:cs="Times New Roman" w:eastAsia="Times New Roman" w:hAnsi="Times New Roman"/>
          <w:sz w:val="14"/>
          <w:szCs w:val="14"/>
          <w:color w:val="auto"/>
        </w:rPr>
        <w:t>Prior to the consummation of the Business Combination, the Company had five classes of participating securities (Series A preferred stock, par value $0.000001 per share (“Series A Preferred Shares”), Series B-1 preferred stock, par value $0.000001 per share (“Series B-1 Preferred Shares”), and Series B-2 preferred stock, par value $0.000001 per share (“Series B-2 Preferred Shares”) and, together with the Series A Preferred Shares and the Series B-1 Preferred Shares, the “Preferred Stock”), unvested Restricted Stock Awards (“RSA”) and early exercised stock options) issued and outstanding as of March 31, 2022 and 2021. The Company used the two-class method to compute net (loss) income per common share, because it had issued multiple classes of participating securities. The two-class method requires earnings for the period to be allocated between multiple classes of participating securities based upon their respective rights to receive distributed and undistributed earnings. The Company used the two-class method to compute net (loss) income per common share. Losses are not attributed to participating securities as holders of Preferred Stock, unvested RSAs, and early exercise stock options are not contractually obligated to share in the Company’s losses.</w:t>
      </w:r>
    </w:p>
    <w:p>
      <w:pPr>
        <w:spacing w:after="0" w:line="149" w:lineRule="exact"/>
        <w:rPr>
          <w:sz w:val="20"/>
          <w:szCs w:val="20"/>
          <w:color w:val="auto"/>
        </w:rPr>
      </w:pPr>
    </w:p>
    <w:p>
      <w:pPr>
        <w:ind w:left="1480" w:right="359"/>
        <w:spacing w:after="0" w:line="316" w:lineRule="auto"/>
        <w:rPr>
          <w:sz w:val="20"/>
          <w:szCs w:val="20"/>
          <w:color w:val="auto"/>
        </w:rPr>
      </w:pPr>
      <w:r>
        <w:rPr>
          <w:rFonts w:ascii="Times New Roman" w:cs="Times New Roman" w:eastAsia="Times New Roman" w:hAnsi="Times New Roman"/>
          <w:sz w:val="12"/>
          <w:szCs w:val="12"/>
          <w:color w:val="auto"/>
        </w:rPr>
        <w:t xml:space="preserve">Basic net (loss) income attributable to holders of Common Stock per share is calculated by dividing net (loss) income attributable to holders of Common Stock by the weighted-average number of shares outstanding, excluding shares issued in relation to unvested RSAs and vested early exercise options funded by non-recourse notes (refer to Note 19 </w:t>
      </w:r>
      <w:r>
        <w:rPr>
          <w:rFonts w:ascii="Times New Roman" w:cs="Times New Roman" w:eastAsia="Times New Roman" w:hAnsi="Times New Roman"/>
          <w:sz w:val="12"/>
          <w:szCs w:val="12"/>
          <w:i w:val="1"/>
          <w:iCs w:val="1"/>
          <w:color w:val="auto"/>
        </w:rPr>
        <w:t>Related-Party Transactions</w:t>
      </w:r>
      <w:r>
        <w:rPr>
          <w:rFonts w:ascii="Times New Roman" w:cs="Times New Roman" w:eastAsia="Times New Roman" w:hAnsi="Times New Roman"/>
          <w:sz w:val="12"/>
          <w:szCs w:val="12"/>
          <w:color w:val="auto"/>
        </w:rPr>
        <w:t xml:space="preserve"> for further details on the Company’s Loans to Stockholders).</w:t>
      </w:r>
    </w:p>
    <w:p>
      <w:pPr>
        <w:spacing w:after="0" w:line="109" w:lineRule="exact"/>
        <w:rPr>
          <w:sz w:val="20"/>
          <w:szCs w:val="20"/>
          <w:color w:val="auto"/>
        </w:rPr>
      </w:pPr>
    </w:p>
    <w:p>
      <w:pPr>
        <w:ind w:left="1480" w:right="579"/>
        <w:spacing w:after="0" w:line="254" w:lineRule="auto"/>
        <w:rPr>
          <w:sz w:val="20"/>
          <w:szCs w:val="20"/>
          <w:color w:val="auto"/>
        </w:rPr>
      </w:pPr>
      <w:r>
        <w:rPr>
          <w:rFonts w:ascii="Times New Roman" w:cs="Times New Roman" w:eastAsia="Times New Roman" w:hAnsi="Times New Roman"/>
          <w:sz w:val="14"/>
          <w:szCs w:val="14"/>
          <w:color w:val="auto"/>
        </w:rPr>
        <w:t>Diluted net (loss) income per share attributable to holders of Common Stock adjusts the basic net (loss) income per share attributable to stockholders and the weighted-average number of shares outstanding for the potentially dilutive impact of stock options, warrants, and restricted stock using the treasury stock method and convertible preferred stock using the as-if-converted method.</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99"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Dave Inc.</w:t>
      </w:r>
    </w:p>
    <w:p>
      <w:pPr>
        <w:spacing w:after="0" w:line="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Notes to the Unaudited Condensed Consolidated Financial Statements</w:t>
      </w:r>
    </w:p>
    <w:p>
      <w:pPr>
        <w:spacing w:after="0" w:line="103" w:lineRule="exact"/>
        <w:rPr>
          <w:sz w:val="20"/>
          <w:szCs w:val="20"/>
          <w:color w:val="auto"/>
        </w:rPr>
      </w:pPr>
    </w:p>
    <w:p>
      <w:pPr>
        <w:ind w:left="1480" w:right="439"/>
        <w:spacing w:after="0" w:line="264" w:lineRule="auto"/>
        <w:rPr>
          <w:sz w:val="20"/>
          <w:szCs w:val="20"/>
          <w:color w:val="auto"/>
        </w:rPr>
      </w:pPr>
      <w:r>
        <w:rPr>
          <w:rFonts w:ascii="Times New Roman" w:cs="Times New Roman" w:eastAsia="Times New Roman" w:hAnsi="Times New Roman"/>
          <w:sz w:val="14"/>
          <w:szCs w:val="14"/>
          <w:color w:val="auto"/>
        </w:rPr>
        <w:t>The following table sets forth the computation of the Company’s basic and diluted net (loss) income per share attributable to holders of Common Stock (in thousands, except share data):</w:t>
      </w:r>
    </w:p>
    <w:p>
      <w:pPr>
        <w:spacing w:after="0" w:line="150" w:lineRule="exact"/>
        <w:rPr>
          <w:sz w:val="20"/>
          <w:szCs w:val="20"/>
          <w:color w:val="auto"/>
        </w:rPr>
      </w:pPr>
    </w:p>
    <w:tbl>
      <w:tblPr>
        <w:tblLayout w:type="fixed"/>
        <w:tblInd w:w="248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gridSpan w:val="6"/>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c>
          <w:tcPr>
            <w:tcW w:w="0" w:type="dxa"/>
            <w:vAlign w:val="bottom"/>
          </w:tcPr>
          <w:p>
            <w:pPr>
              <w:spacing w:after="0"/>
              <w:rPr>
                <w:sz w:val="1"/>
                <w:szCs w:val="1"/>
                <w:color w:val="auto"/>
              </w:rPr>
            </w:pPr>
          </w:p>
        </w:tc>
      </w:tr>
      <w:tr>
        <w:trPr>
          <w:trHeight w:val="103"/>
        </w:trPr>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1"/>
                <w:szCs w:val="11"/>
                <w:b w:val="1"/>
                <w:bCs w:val="1"/>
                <w:color w:val="auto"/>
              </w:rPr>
              <w:t>Numerator</w:t>
            </w:r>
          </w:p>
        </w:tc>
        <w:tc>
          <w:tcPr>
            <w:tcW w:w="3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720" w:type="dxa"/>
            <w:vAlign w:val="bottom"/>
            <w:tcBorders>
              <w:top w:val="single" w:sz="8" w:color="auto"/>
              <w:bottom w:val="single" w:sz="8" w:color="auto"/>
            </w:tcBorders>
          </w:tcPr>
          <w:p>
            <w:pPr>
              <w:jc w:val="right"/>
              <w:ind w:right="254"/>
              <w:spacing w:after="0" w:line="103" w:lineRule="exact"/>
              <w:rPr>
                <w:sz w:val="20"/>
                <w:szCs w:val="20"/>
                <w:color w:val="auto"/>
              </w:rPr>
            </w:pPr>
            <w:r>
              <w:rPr>
                <w:rFonts w:ascii="Times New Roman" w:cs="Times New Roman" w:eastAsia="Times New Roman" w:hAnsi="Times New Roman"/>
                <w:sz w:val="11"/>
                <w:szCs w:val="11"/>
                <w:b w:val="1"/>
                <w:bCs w:val="1"/>
                <w:color w:val="auto"/>
              </w:rPr>
              <w:t>2022</w:t>
            </w:r>
          </w:p>
        </w:tc>
        <w:tc>
          <w:tcPr>
            <w:tcW w:w="2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760" w:type="dxa"/>
            <w:vAlign w:val="bottom"/>
            <w:tcBorders>
              <w:top w:val="single" w:sz="8" w:color="auto"/>
              <w:bottom w:val="single" w:sz="8" w:color="auto"/>
            </w:tcBorders>
          </w:tcPr>
          <w:p>
            <w:pPr>
              <w:jc w:val="right"/>
              <w:ind w:right="273"/>
              <w:spacing w:after="0" w:line="103" w:lineRule="exact"/>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3720" w:type="dxa"/>
            <w:vAlign w:val="bottom"/>
            <w:gridSpan w:val="5"/>
            <w:vMerge w:val="continue"/>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3700" w:type="dxa"/>
            <w:vAlign w:val="bottom"/>
            <w:gridSpan w:val="4"/>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Net (loss) income</w:t>
            </w:r>
          </w:p>
        </w:tc>
        <w:tc>
          <w:tcPr>
            <w:tcW w:w="420" w:type="dxa"/>
            <w:vAlign w:val="bottom"/>
            <w:gridSpan w:val="2"/>
            <w:shd w:val="clear" w:color="auto" w:fill="CCEEFF"/>
          </w:tcPr>
          <w:p>
            <w:pPr>
              <w:jc w:val="right"/>
              <w:ind w:right="3"/>
              <w:spacing w:after="0" w:line="154"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40"/>
              <w:spacing w:after="0" w:line="154" w:lineRule="exact"/>
              <w:rPr>
                <w:sz w:val="20"/>
                <w:szCs w:val="20"/>
                <w:color w:val="auto"/>
              </w:rPr>
            </w:pPr>
            <w:r>
              <w:rPr>
                <w:rFonts w:ascii="Times New Roman" w:cs="Times New Roman" w:eastAsia="Times New Roman" w:hAnsi="Times New Roman"/>
                <w:sz w:val="14"/>
                <w:szCs w:val="14"/>
                <w:color w:val="auto"/>
              </w:rPr>
              <w:t>(32,795)</w:t>
            </w:r>
          </w:p>
        </w:tc>
        <w:tc>
          <w:tcPr>
            <w:tcW w:w="360" w:type="dxa"/>
            <w:vAlign w:val="bottom"/>
            <w:gridSpan w:val="2"/>
            <w:shd w:val="clear" w:color="auto" w:fill="CCEEFF"/>
          </w:tcPr>
          <w:p>
            <w:pPr>
              <w:jc w:val="right"/>
              <w:ind w:right="3"/>
              <w:spacing w:after="0" w:line="154"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3,952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700" w:type="dxa"/>
            <w:vAlign w:val="bottom"/>
            <w:gridSpan w:val="4"/>
          </w:tcPr>
          <w:p>
            <w:pPr>
              <w:ind w:left="260"/>
              <w:spacing w:after="0" w:line="151" w:lineRule="exact"/>
              <w:rPr>
                <w:sz w:val="20"/>
                <w:szCs w:val="20"/>
                <w:color w:val="auto"/>
              </w:rPr>
            </w:pPr>
            <w:r>
              <w:rPr>
                <w:rFonts w:ascii="Times New Roman" w:cs="Times New Roman" w:eastAsia="Times New Roman" w:hAnsi="Times New Roman"/>
                <w:sz w:val="14"/>
                <w:szCs w:val="14"/>
                <w:color w:val="auto"/>
              </w:rPr>
              <w:t>Less: noncumulative dividend to convertible preferred</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00" w:type="dxa"/>
            <w:vAlign w:val="bottom"/>
            <w:gridSpan w:val="4"/>
          </w:tcPr>
          <w:p>
            <w:pPr>
              <w:ind w:left="380"/>
              <w:spacing w:after="0"/>
              <w:rPr>
                <w:sz w:val="20"/>
                <w:szCs w:val="20"/>
                <w:color w:val="auto"/>
              </w:rPr>
            </w:pPr>
            <w:r>
              <w:rPr>
                <w:rFonts w:ascii="Times New Roman" w:cs="Times New Roman" w:eastAsia="Times New Roman" w:hAnsi="Times New Roman"/>
                <w:sz w:val="14"/>
                <w:szCs w:val="14"/>
                <w:color w:val="auto"/>
              </w:rPr>
              <w:t>stockholders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(3,952)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0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Less: undistributed earnings to participating securities</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4"/>
        </w:trPr>
        <w:tc>
          <w:tcPr>
            <w:tcW w:w="37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Net (loss) income attributed to common stockholders—basic</w:t>
            </w:r>
          </w:p>
        </w:tc>
        <w:tc>
          <w:tcPr>
            <w:tcW w:w="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(32,795)</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700" w:type="dxa"/>
            <w:vAlign w:val="bottom"/>
            <w:gridSpan w:val="4"/>
            <w:shd w:val="clear" w:color="auto" w:fill="CCEEFF"/>
          </w:tcPr>
          <w:p>
            <w:pPr>
              <w:ind w:left="260"/>
              <w:spacing w:after="0" w:line="151" w:lineRule="exact"/>
              <w:rPr>
                <w:sz w:val="20"/>
                <w:szCs w:val="20"/>
                <w:color w:val="auto"/>
              </w:rPr>
            </w:pPr>
            <w:r>
              <w:rPr>
                <w:rFonts w:ascii="Times New Roman" w:cs="Times New Roman" w:eastAsia="Times New Roman" w:hAnsi="Times New Roman"/>
                <w:sz w:val="14"/>
                <w:szCs w:val="14"/>
                <w:color w:val="auto"/>
              </w:rPr>
              <w:t>Add: undistributed earnings reallocated to common</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0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stockholders</w:t>
            </w: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4"/>
        </w:trPr>
        <w:tc>
          <w:tcPr>
            <w:tcW w:w="37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Net (loss) income attributed to common stockholders—diluted</w:t>
            </w:r>
          </w:p>
        </w:tc>
        <w:tc>
          <w:tcPr>
            <w:tcW w:w="300" w:type="dxa"/>
            <w:vAlign w:val="bottom"/>
          </w:tcPr>
          <w:p>
            <w:pPr>
              <w:spacing w:after="0"/>
              <w:rPr>
                <w:sz w:val="14"/>
                <w:szCs w:val="14"/>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(32,795)</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00" w:type="dxa"/>
            <w:vAlign w:val="bottom"/>
            <w:gridSpan w:val="4"/>
            <w:shd w:val="clear" w:color="auto" w:fill="CCEEFF"/>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Denominator</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3700" w:type="dxa"/>
            <w:vAlign w:val="bottom"/>
            <w:gridSpan w:val="4"/>
          </w:tcPr>
          <w:p>
            <w:pPr>
              <w:spacing w:after="0" w:line="154" w:lineRule="exact"/>
              <w:rPr>
                <w:sz w:val="20"/>
                <w:szCs w:val="20"/>
                <w:color w:val="auto"/>
              </w:rPr>
            </w:pPr>
            <w:r>
              <w:rPr>
                <w:rFonts w:ascii="Times New Roman" w:cs="Times New Roman" w:eastAsia="Times New Roman" w:hAnsi="Times New Roman"/>
                <w:sz w:val="14"/>
                <w:szCs w:val="14"/>
                <w:color w:val="auto"/>
              </w:rPr>
              <w:t>Weighted-average shares of common stock—basic</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w w:val="99"/>
              </w:rPr>
              <w:t>360,326,205</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133,243,614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0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Dilutive effect of convertible preferred stock</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185,833,546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0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Dilutive effect of equity incentive awards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21,833,189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shares of common stock—diluted</w:t>
            </w:r>
          </w:p>
        </w:tc>
        <w:tc>
          <w:tcPr>
            <w:tcW w:w="3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360,326,205</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340,910,349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00" w:type="dxa"/>
            <w:vAlign w:val="bottom"/>
            <w:gridSpan w:val="4"/>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Net (loss) income per share</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21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(0.09)</w:t>
            </w:r>
          </w:p>
        </w:tc>
        <w:tc>
          <w:tcPr>
            <w:tcW w:w="3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Diluted</w:t>
            </w:r>
          </w:p>
        </w:tc>
        <w:tc>
          <w:tcPr>
            <w:tcW w:w="42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(0.09)</w:t>
            </w:r>
          </w:p>
        </w:tc>
        <w:tc>
          <w:tcPr>
            <w:tcW w:w="36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480" w:right="519"/>
        <w:spacing w:after="0" w:line="264" w:lineRule="auto"/>
        <w:rPr>
          <w:sz w:val="20"/>
          <w:szCs w:val="20"/>
          <w:color w:val="auto"/>
        </w:rPr>
      </w:pPr>
      <w:r>
        <w:rPr>
          <w:rFonts w:ascii="Times New Roman" w:cs="Times New Roman" w:eastAsia="Times New Roman" w:hAnsi="Times New Roman"/>
          <w:sz w:val="14"/>
          <w:szCs w:val="14"/>
          <w:color w:val="auto"/>
        </w:rPr>
        <w:t>The following potentially dilutive shares were excluded from the computation of diluted net (loss) income per share for the periods presented because including them would have been antidilutive:</w:t>
      </w:r>
    </w:p>
    <w:p>
      <w:pPr>
        <w:spacing w:after="0" w:line="150" w:lineRule="exact"/>
        <w:rPr>
          <w:sz w:val="20"/>
          <w:szCs w:val="20"/>
          <w:color w:val="auto"/>
        </w:rPr>
      </w:pPr>
    </w:p>
    <w:tbl>
      <w:tblPr>
        <w:tblLayout w:type="fixed"/>
        <w:tblInd w:w="2480" w:type="dxa"/>
        <w:tblCellMar>
          <w:top w:w="0" w:type="dxa"/>
          <w:left w:w="0" w:type="dxa"/>
          <w:bottom w:w="0" w:type="dxa"/>
          <w:right w:w="0" w:type="dxa"/>
        </w:tblCellMar>
      </w:tblPr>
      <w:tr>
        <w:trPr>
          <w:trHeight w:val="131"/>
        </w:trPr>
        <w:tc>
          <w:tcPr>
            <w:tcW w:w="4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r>
      <w:tr>
        <w:trPr>
          <w:trHeight w:val="103"/>
        </w:trPr>
        <w:tc>
          <w:tcPr>
            <w:tcW w:w="4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Borders>
              <w:top w:val="single" w:sz="8" w:color="auto"/>
            </w:tcBorders>
          </w:tcPr>
          <w:p>
            <w:pPr>
              <w:jc w:val="right"/>
              <w:ind w:right="257"/>
              <w:spacing w:after="0" w:line="103" w:lineRule="exact"/>
              <w:rPr>
                <w:sz w:val="20"/>
                <w:szCs w:val="20"/>
                <w:color w:val="auto"/>
              </w:rPr>
            </w:pPr>
            <w:r>
              <w:rPr>
                <w:rFonts w:ascii="Times New Roman" w:cs="Times New Roman" w:eastAsia="Times New Roman" w:hAnsi="Times New Roman"/>
                <w:sz w:val="11"/>
                <w:szCs w:val="11"/>
                <w:b w:val="1"/>
                <w:bCs w:val="1"/>
                <w:color w:val="auto"/>
              </w:rPr>
              <w:t>2022</w:t>
            </w:r>
          </w:p>
        </w:tc>
        <w:tc>
          <w:tcPr>
            <w:tcW w:w="1040" w:type="dxa"/>
            <w:vAlign w:val="bottom"/>
            <w:tcBorders>
              <w:top w:val="single" w:sz="8" w:color="auto"/>
            </w:tcBorders>
            <w:gridSpan w:val="2"/>
          </w:tcPr>
          <w:p>
            <w:pPr>
              <w:jc w:val="right"/>
              <w:ind w:right="272"/>
              <w:spacing w:after="0" w:line="103" w:lineRule="exact"/>
              <w:rPr>
                <w:sz w:val="20"/>
                <w:szCs w:val="20"/>
                <w:color w:val="auto"/>
              </w:rPr>
            </w:pPr>
            <w:r>
              <w:rPr>
                <w:rFonts w:ascii="Times New Roman" w:cs="Times New Roman" w:eastAsia="Times New Roman" w:hAnsi="Times New Roman"/>
                <w:sz w:val="11"/>
                <w:szCs w:val="11"/>
                <w:b w:val="1"/>
                <w:bCs w:val="1"/>
                <w:color w:val="auto"/>
              </w:rPr>
              <w:t>2021</w:t>
            </w:r>
          </w:p>
        </w:tc>
        <w:tc>
          <w:tcPr>
            <w:tcW w:w="40" w:type="dxa"/>
            <w:vAlign w:val="bottom"/>
          </w:tcPr>
          <w:p>
            <w:pPr>
              <w:spacing w:after="0"/>
              <w:rPr>
                <w:sz w:val="8"/>
                <w:szCs w:val="8"/>
                <w:color w:val="auto"/>
              </w:rPr>
            </w:pPr>
          </w:p>
        </w:tc>
      </w:tr>
      <w:tr>
        <w:trPr>
          <w:trHeight w:val="154"/>
        </w:trPr>
        <w:tc>
          <w:tcPr>
            <w:tcW w:w="428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Equity incentive awards</w:t>
            </w:r>
          </w:p>
        </w:tc>
        <w:tc>
          <w:tcPr>
            <w:tcW w:w="1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58,275</w:t>
            </w:r>
          </w:p>
        </w:tc>
        <w:tc>
          <w:tcPr>
            <w:tcW w:w="16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ind w:right="12"/>
              <w:spacing w:after="0" w:line="154"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3"/>
                <w:szCs w:val="13"/>
                <w:color w:val="auto"/>
              </w:rPr>
            </w:pPr>
          </w:p>
        </w:tc>
      </w:tr>
      <w:tr>
        <w:trPr>
          <w:trHeight w:val="163"/>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Convertible debt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160" w:type="dxa"/>
            <w:vAlign w:val="bottom"/>
          </w:tcPr>
          <w:p>
            <w:pPr>
              <w:spacing w:after="0"/>
              <w:rPr>
                <w:sz w:val="14"/>
                <w:szCs w:val="14"/>
                <w:color w:val="auto"/>
              </w:rPr>
            </w:pPr>
          </w:p>
        </w:tc>
        <w:tc>
          <w:tcPr>
            <w:tcW w:w="9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18,048,635</w:t>
            </w:r>
          </w:p>
        </w:tc>
        <w:tc>
          <w:tcPr>
            <w:tcW w:w="40" w:type="dxa"/>
            <w:vAlign w:val="bottom"/>
            <w:shd w:val="clear" w:color="auto" w:fill="CCEEFF"/>
          </w:tcPr>
          <w:p>
            <w:pPr>
              <w:spacing w:after="0"/>
              <w:rPr>
                <w:sz w:val="14"/>
                <w:szCs w:val="14"/>
                <w:color w:val="auto"/>
              </w:rPr>
            </w:pPr>
          </w:p>
        </w:tc>
      </w:tr>
      <w:tr>
        <w:trPr>
          <w:trHeight w:val="163"/>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Series B-1 warrants</w:t>
            </w: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2,333,122</w:t>
            </w:r>
          </w:p>
        </w:tc>
        <w:tc>
          <w:tcPr>
            <w:tcW w:w="40" w:type="dxa"/>
            <w:vAlign w:val="bottom"/>
            <w:tcBorders>
              <w:bottom w:val="single" w:sz="8" w:color="CCEEFF"/>
            </w:tcBorders>
          </w:tcPr>
          <w:p>
            <w:pPr>
              <w:spacing w:after="0"/>
              <w:rPr>
                <w:sz w:val="14"/>
                <w:szCs w:val="14"/>
                <w:color w:val="auto"/>
              </w:rPr>
            </w:pPr>
          </w:p>
        </w:tc>
      </w:tr>
      <w:tr>
        <w:trPr>
          <w:trHeight w:val="16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10,058,275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20,381,757</w:t>
            </w:r>
          </w:p>
        </w:tc>
        <w:tc>
          <w:tcPr>
            <w:tcW w:w="40" w:type="dxa"/>
            <w:vAlign w:val="bottom"/>
            <w:shd w:val="clear" w:color="auto" w:fill="CCEEFF"/>
          </w:tcPr>
          <w:p>
            <w:pPr>
              <w:spacing w:after="0"/>
              <w:rPr>
                <w:sz w:val="14"/>
                <w:szCs w:val="14"/>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Recently Issued Accounting Pronouncements Not Yet Adopted:</w:t>
      </w:r>
    </w:p>
    <w:p>
      <w:pPr>
        <w:spacing w:after="0" w:line="164" w:lineRule="exact"/>
        <w:rPr>
          <w:sz w:val="20"/>
          <w:szCs w:val="20"/>
          <w:color w:val="auto"/>
        </w:rPr>
      </w:pPr>
    </w:p>
    <w:p>
      <w:pPr>
        <w:ind w:left="1480" w:right="379"/>
        <w:spacing w:after="0" w:line="291" w:lineRule="auto"/>
        <w:rPr>
          <w:sz w:val="20"/>
          <w:szCs w:val="20"/>
          <w:color w:val="auto"/>
        </w:rPr>
      </w:pPr>
      <w:r>
        <w:rPr>
          <w:rFonts w:ascii="Times New Roman" w:cs="Times New Roman" w:eastAsia="Times New Roman" w:hAnsi="Times New Roman"/>
          <w:sz w:val="12"/>
          <w:szCs w:val="12"/>
          <w:color w:val="auto"/>
        </w:rPr>
        <w:t xml:space="preserve">In June 2016, the Financial Accounting Standards Board (“FASB”) issued Accounting Standards Update (“ASU”) 2016-13, </w:t>
      </w:r>
      <w:r>
        <w:rPr>
          <w:rFonts w:ascii="Times New Roman" w:cs="Times New Roman" w:eastAsia="Times New Roman" w:hAnsi="Times New Roman"/>
          <w:sz w:val="12"/>
          <w:szCs w:val="12"/>
          <w:i w:val="1"/>
          <w:iCs w:val="1"/>
          <w:color w:val="auto"/>
        </w:rPr>
        <w:t>Financial Instruments—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Credit Losses (Topic 326): Measurement of Credit Losses on Financial Instruments </w:t>
      </w:r>
      <w:r>
        <w:rPr>
          <w:rFonts w:ascii="Times New Roman" w:cs="Times New Roman" w:eastAsia="Times New Roman" w:hAnsi="Times New Roman"/>
          <w:sz w:val="12"/>
          <w:szCs w:val="12"/>
          <w:color w:val="auto"/>
        </w:rPr>
        <w:t>(“ASU 2016-13”). ASU 2016-13 introduced a new credit loss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methodology, the Current Expected Credit Losses (“CECL”) methodology, which requires earlier recognition of credit losses, while also providing additional transparency about credit risk. The CECL methodology utilizes a lifetime “expected credit loss” measurement objective for the recognition of credit losses for loans, held-to maturity debt securities, trade receivables and other receivables measured at amortized cost at the time the financial asset is originated or acquired. Subsequent to the issuance of ASU 2016-13, the FASB issued several additional ASUs to clarify implementation guidance, provide narrow-scope improvements and provide additional disclosure guidance. In November 2019, the FASB issued an amendment making this ASU effective for public companies for the fiscal year beginning after December 15, 2019. In February 2020, the FASB issued an amendment providing a description of the measurement process for current expected credit losses. Early adoption is permitted. The Company plans to adopt the standard on January 1, 2023, provided it remains an “emerging growth company” as defined in Section 2(a) of the Securities Act of 1933, as amended. The Company is currently evaluating the impact of the adoption of this standard on its condensed consolidated financial statements and related disclosures.</w:t>
      </w:r>
    </w:p>
    <w:p>
      <w:pPr>
        <w:spacing w:after="0" w:line="2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99"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Dave Inc.</w:t>
      </w:r>
    </w:p>
    <w:p>
      <w:pPr>
        <w:spacing w:after="0" w:line="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Notes to the Unaudited Condensed Consolidated Financial Statements</w:t>
      </w:r>
    </w:p>
    <w:p>
      <w:pPr>
        <w:spacing w:after="0" w:line="101" w:lineRule="exact"/>
        <w:rPr>
          <w:sz w:val="20"/>
          <w:szCs w:val="20"/>
          <w:color w:val="auto"/>
        </w:rPr>
      </w:pPr>
    </w:p>
    <w:p>
      <w:pPr>
        <w:ind w:left="1480" w:right="439"/>
        <w:spacing w:after="0" w:line="306" w:lineRule="auto"/>
        <w:rPr>
          <w:sz w:val="20"/>
          <w:szCs w:val="20"/>
          <w:color w:val="auto"/>
        </w:rPr>
      </w:pPr>
      <w:r>
        <w:rPr>
          <w:rFonts w:ascii="Times New Roman" w:cs="Times New Roman" w:eastAsia="Times New Roman" w:hAnsi="Times New Roman"/>
          <w:sz w:val="12"/>
          <w:szCs w:val="12"/>
          <w:color w:val="auto"/>
        </w:rPr>
        <w:t xml:space="preserve">In March 2020, the FASB issued ASU No. 2020-04, </w:t>
      </w:r>
      <w:r>
        <w:rPr>
          <w:rFonts w:ascii="Times New Roman" w:cs="Times New Roman" w:eastAsia="Times New Roman" w:hAnsi="Times New Roman"/>
          <w:sz w:val="12"/>
          <w:szCs w:val="12"/>
          <w:i w:val="1"/>
          <w:iCs w:val="1"/>
          <w:color w:val="auto"/>
        </w:rPr>
        <w:t>Reference Rate Reform (Topic 848): Facilitation of the Effects of Reference Rate Reform 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Financial Reporting</w:t>
      </w:r>
      <w:r>
        <w:rPr>
          <w:rFonts w:ascii="Times New Roman" w:cs="Times New Roman" w:eastAsia="Times New Roman" w:hAnsi="Times New Roman"/>
          <w:sz w:val="12"/>
          <w:szCs w:val="12"/>
          <w:color w:val="auto"/>
        </w:rPr>
        <w:t>, which provides optional guidance for accounting for contracts, hedging relationships, and other transactions affected by reference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rate reform, if certain criteria are met. The provisions of this standard are available for election for all companies through December 31, 2022. The Company is currently evaluating the impact of the adoption of this standard on its condensed consolidated financial statements and related disclosures.</w:t>
      </w:r>
    </w:p>
    <w:p>
      <w:pPr>
        <w:spacing w:after="0" w:line="19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Recently Adopted Accounting Pronouncements:</w:t>
      </w:r>
    </w:p>
    <w:p>
      <w:pPr>
        <w:spacing w:after="0" w:line="164" w:lineRule="exact"/>
        <w:rPr>
          <w:sz w:val="20"/>
          <w:szCs w:val="20"/>
          <w:color w:val="auto"/>
        </w:rPr>
      </w:pPr>
    </w:p>
    <w:p>
      <w:pPr>
        <w:ind w:left="1480" w:right="419"/>
        <w:spacing w:after="0" w:line="247" w:lineRule="auto"/>
        <w:rPr>
          <w:sz w:val="20"/>
          <w:szCs w:val="20"/>
          <w:color w:val="auto"/>
        </w:rPr>
      </w:pPr>
      <w:r>
        <w:rPr>
          <w:rFonts w:ascii="Times New Roman" w:cs="Times New Roman" w:eastAsia="Times New Roman" w:hAnsi="Times New Roman"/>
          <w:sz w:val="14"/>
          <w:szCs w:val="14"/>
          <w:color w:val="auto"/>
        </w:rPr>
        <w:t xml:space="preserve">In December 2019, the FASB issued ASU 2019-12, </w:t>
      </w:r>
      <w:r>
        <w:rPr>
          <w:rFonts w:ascii="Times New Roman" w:cs="Times New Roman" w:eastAsia="Times New Roman" w:hAnsi="Times New Roman"/>
          <w:sz w:val="14"/>
          <w:szCs w:val="14"/>
          <w:i w:val="1"/>
          <w:iCs w:val="1"/>
          <w:color w:val="auto"/>
        </w:rPr>
        <w:t>Income Taxes (Topic 740): Simplifying the Accounting for Income Taxes</w:t>
      </w:r>
      <w:r>
        <w:rPr>
          <w:rFonts w:ascii="Times New Roman" w:cs="Times New Roman" w:eastAsia="Times New Roman" w:hAnsi="Times New Roman"/>
          <w:sz w:val="14"/>
          <w:szCs w:val="14"/>
          <w:color w:val="auto"/>
        </w:rPr>
        <w:t xml:space="preserve"> (“ASU 2019-12”), as part of its Simplification Initiative to reduce the cost and complexity in accounting for income taxes. The amendments in ASU 2019-12 remove certain exceptions related to the approach for intra-period tax allocation, the methodology for calculating income taxes in an interim period and the recognition of deferred tax liabilities for outside basis differences. ASU 2019-12 also amends other aspects of the guidance to help simplify and promote consistent application of U.S. GAAP. This ASU is effective for public companies for annual periods beginning after December 15, 2020. Early adoption is permitted. The Company adopted the standard effective January 1, 2022. The Company has evaluated the effect that the updated standard had on its internal processes, condensed consolidated financial statements, and related disclosures, and has determined that the adoption did not have a significant impact on its condensed consolidated financial statements and related disclosures.</w:t>
      </w:r>
    </w:p>
    <w:p>
      <w:pPr>
        <w:spacing w:after="0" w:line="145" w:lineRule="exact"/>
        <w:rPr>
          <w:sz w:val="20"/>
          <w:szCs w:val="20"/>
          <w:color w:val="auto"/>
        </w:rPr>
      </w:pPr>
    </w:p>
    <w:p>
      <w:pPr>
        <w:ind w:left="1480" w:right="579"/>
        <w:spacing w:after="0" w:line="296" w:lineRule="auto"/>
        <w:rPr>
          <w:sz w:val="20"/>
          <w:szCs w:val="20"/>
          <w:color w:val="auto"/>
        </w:rPr>
      </w:pPr>
      <w:r>
        <w:rPr>
          <w:rFonts w:ascii="Times New Roman" w:cs="Times New Roman" w:eastAsia="Times New Roman" w:hAnsi="Times New Roman"/>
          <w:sz w:val="12"/>
          <w:szCs w:val="12"/>
          <w:color w:val="auto"/>
        </w:rPr>
        <w:t xml:space="preserve">In August 2020, the FASB issued ASU 2020-06, </w:t>
      </w:r>
      <w:r>
        <w:rPr>
          <w:rFonts w:ascii="Times New Roman" w:cs="Times New Roman" w:eastAsia="Times New Roman" w:hAnsi="Times New Roman"/>
          <w:sz w:val="12"/>
          <w:szCs w:val="12"/>
          <w:i w:val="1"/>
          <w:iCs w:val="1"/>
          <w:color w:val="auto"/>
        </w:rPr>
        <w:t>Debt – Debt with Conversion and Other Options (Subtopic 470-20) and Derivatives and Hedging –</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Contracts in Entity’s Own Equity (Subtopic 815-40): Accounting for Convertible Instruments and Contracts in an Entity’s Own Equity</w:t>
      </w:r>
    </w:p>
    <w:p>
      <w:pPr>
        <w:ind w:left="1480" w:right="359"/>
        <w:spacing w:after="0" w:line="243" w:lineRule="auto"/>
        <w:rPr>
          <w:sz w:val="20"/>
          <w:szCs w:val="20"/>
          <w:color w:val="auto"/>
        </w:rPr>
      </w:pPr>
      <w:r>
        <w:rPr>
          <w:rFonts w:ascii="Times New Roman" w:cs="Times New Roman" w:eastAsia="Times New Roman" w:hAnsi="Times New Roman"/>
          <w:sz w:val="14"/>
          <w:szCs w:val="14"/>
          <w:color w:val="auto"/>
        </w:rPr>
        <w:t xml:space="preserve">(“ASU 2020-06”). The guidance in ASU 2020-06 simplifies the accounting for convertible debt and convertible preferred stock by removing the requirements to separately present certain conversion features in equity. In addition, the amendments in the ASU 2020-06 also simplify the guidance in ASC Subtopic 815-40, </w:t>
      </w:r>
      <w:r>
        <w:rPr>
          <w:rFonts w:ascii="Times New Roman" w:cs="Times New Roman" w:eastAsia="Times New Roman" w:hAnsi="Times New Roman"/>
          <w:sz w:val="14"/>
          <w:szCs w:val="14"/>
          <w:i w:val="1"/>
          <w:iCs w:val="1"/>
          <w:color w:val="auto"/>
        </w:rPr>
        <w:t>Derivatives and Hedging: Contracts in Entity’s Own Equity</w:t>
      </w:r>
      <w:r>
        <w:rPr>
          <w:rFonts w:ascii="Times New Roman" w:cs="Times New Roman" w:eastAsia="Times New Roman" w:hAnsi="Times New Roman"/>
          <w:sz w:val="14"/>
          <w:szCs w:val="14"/>
          <w:color w:val="auto"/>
        </w:rPr>
        <w:t>, by removing certain criteria that must be satisfied in order to classify a contract as equity, which is expected to decrease the number of freestanding instruments and embedded derivatives accounted for as assets or liabilities. Finally, the amendments revise the guidance on calculating earnings per share, requiring use of the if-converted method for all convertible instruments and rescinding an entity’s ability to rebut the presumption of share settlement for instruments that may be settled in cash or other assets. The amendments in ASU 2020-06 are effective for public companies for fiscal years beginning after December 15, 2021. The Company adopted the standard effective January 1, 2022 on a modified retrospective approach. The Company has evaluated the effect that the updated standard had on its internal processes, condensed consolidated financial statements, and related disclosures, and has determined that the adoption did not have a significant impact on its condensed consolidated financial statements and related disclosures.</w:t>
      </w:r>
    </w:p>
    <w:p>
      <w:pPr>
        <w:spacing w:after="0" w:line="153" w:lineRule="exact"/>
        <w:rPr>
          <w:sz w:val="20"/>
          <w:szCs w:val="20"/>
          <w:color w:val="auto"/>
        </w:rPr>
      </w:pPr>
    </w:p>
    <w:p>
      <w:pPr>
        <w:ind w:left="1480" w:right="379"/>
        <w:spacing w:after="0" w:line="247" w:lineRule="auto"/>
        <w:rPr>
          <w:sz w:val="20"/>
          <w:szCs w:val="20"/>
          <w:color w:val="auto"/>
        </w:rPr>
      </w:pPr>
      <w:r>
        <w:rPr>
          <w:rFonts w:ascii="Times New Roman" w:cs="Times New Roman" w:eastAsia="Times New Roman" w:hAnsi="Times New Roman"/>
          <w:sz w:val="14"/>
          <w:szCs w:val="14"/>
          <w:color w:val="auto"/>
        </w:rPr>
        <w:t xml:space="preserve">In October 2020, the FASB issued ASU 2020-10, </w:t>
      </w:r>
      <w:r>
        <w:rPr>
          <w:rFonts w:ascii="Times New Roman" w:cs="Times New Roman" w:eastAsia="Times New Roman" w:hAnsi="Times New Roman"/>
          <w:sz w:val="14"/>
          <w:szCs w:val="14"/>
          <w:i w:val="1"/>
          <w:iCs w:val="1"/>
          <w:color w:val="auto"/>
        </w:rPr>
        <w:t>Codification Improvements</w:t>
      </w:r>
      <w:r>
        <w:rPr>
          <w:rFonts w:ascii="Times New Roman" w:cs="Times New Roman" w:eastAsia="Times New Roman" w:hAnsi="Times New Roman"/>
          <w:sz w:val="14"/>
          <w:szCs w:val="14"/>
          <w:color w:val="auto"/>
        </w:rPr>
        <w:t xml:space="preserve"> (“Codification”). The update provides incremental improvements on various topics in the Codification to provide clarification, correct errors in, and simplification on a variety of topics. Among other things, the guidance includes presentation disclosures for the amount of income tax expense or benefit related to other comprehensive income. The amendments are effective for public entities in fiscal years beginning after December 15, 2020, including interim periods within those fiscal years. Early adoption is permitted. The Company adopted the standard effective January 1, 2021. The Company has evaluated the effect that the updated standard had on its internal processes, condensed consolidated financial statements, and related disclosures, and has determined that the adoption did not have a significant impact on its condensed consolidated financial statements and related disclosures.</w:t>
      </w:r>
    </w:p>
    <w:p>
      <w:pPr>
        <w:spacing w:after="0" w:line="147" w:lineRule="exact"/>
        <w:rPr>
          <w:sz w:val="20"/>
          <w:szCs w:val="20"/>
          <w:color w:val="auto"/>
        </w:rPr>
      </w:pPr>
    </w:p>
    <w:p>
      <w:pPr>
        <w:ind w:left="1480" w:right="559"/>
        <w:spacing w:after="0" w:line="247" w:lineRule="auto"/>
        <w:rPr>
          <w:sz w:val="20"/>
          <w:szCs w:val="20"/>
          <w:color w:val="auto"/>
        </w:rPr>
      </w:pPr>
      <w:r>
        <w:rPr>
          <w:rFonts w:ascii="Times New Roman" w:cs="Times New Roman" w:eastAsia="Times New Roman" w:hAnsi="Times New Roman"/>
          <w:sz w:val="14"/>
          <w:szCs w:val="14"/>
          <w:color w:val="auto"/>
        </w:rPr>
        <w:t xml:space="preserve">In May 2021, the FASB issued ASU 2021-04, </w:t>
      </w:r>
      <w:r>
        <w:rPr>
          <w:rFonts w:ascii="Times New Roman" w:cs="Times New Roman" w:eastAsia="Times New Roman" w:hAnsi="Times New Roman"/>
          <w:sz w:val="14"/>
          <w:szCs w:val="14"/>
          <w:i w:val="1"/>
          <w:iCs w:val="1"/>
          <w:color w:val="auto"/>
        </w:rPr>
        <w:t>Earnings Per Share (Topic 260), Debt-Modifications and Extinguishments (Subtopic 470-50),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Compensation-Stock Compensation (Topic 718), and Derivatives and Hedging-Contracts in Entity’s Own Equity (Subtopic 815-40), </w:t>
      </w:r>
      <w:r>
        <w:rPr>
          <w:rFonts w:ascii="Times New Roman" w:cs="Times New Roman" w:eastAsia="Times New Roman" w:hAnsi="Times New Roman"/>
          <w:sz w:val="14"/>
          <w:szCs w:val="14"/>
          <w:color w:val="auto"/>
        </w:rPr>
        <w:t>which addresses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issuer’s accounting for certain modifications or exchanges of freestanding equity-classified written call options. The amendments in this update are effective for all companies for annual periods beginning after December 15, 2021. The Company adopted the standard effective January 1, 2022. The Company has evaluated the effect that the updated standard had on its internal processes, condensed consolidated financial statements, and related disclosures, and has determined that the adoption did not have a significant impact on its condensed consolidated financial statements and related disclosures.</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99"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Dave Inc.</w:t>
      </w:r>
    </w:p>
    <w:p>
      <w:pPr>
        <w:spacing w:after="0" w:line="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Notes to the Unaudited Condensed Consolidated Financial Statements</w:t>
      </w:r>
    </w:p>
    <w:p>
      <w:pPr>
        <w:spacing w:after="0" w:line="9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Note 4 The Reverse Recapitalization and Related Transactions</w:t>
      </w:r>
    </w:p>
    <w:p>
      <w:pPr>
        <w:spacing w:after="0" w:line="88" w:lineRule="exact"/>
        <w:rPr>
          <w:sz w:val="20"/>
          <w:szCs w:val="20"/>
          <w:color w:val="auto"/>
        </w:rPr>
      </w:pPr>
    </w:p>
    <w:p>
      <w:pPr>
        <w:ind w:left="1480" w:right="459"/>
        <w:spacing w:after="0" w:line="254" w:lineRule="auto"/>
        <w:rPr>
          <w:sz w:val="20"/>
          <w:szCs w:val="20"/>
          <w:color w:val="auto"/>
        </w:rPr>
      </w:pPr>
      <w:r>
        <w:rPr>
          <w:rFonts w:ascii="Times New Roman" w:cs="Times New Roman" w:eastAsia="Times New Roman" w:hAnsi="Times New Roman"/>
          <w:sz w:val="14"/>
          <w:szCs w:val="14"/>
          <w:color w:val="auto"/>
        </w:rPr>
        <w:t>On the Closing Date, the Company consummated the previously announced mergers contemplated by the Business Combination Agreement. In connection with the closing of the Business Combination, the Company changed the name from “VPC Impact Acquisition Holdings III, Inc.” to “Dave Inc.,” and the Surviving Entity operates under the name “Dave Operating LLC.”</w:t>
      </w:r>
    </w:p>
    <w:p>
      <w:pPr>
        <w:spacing w:after="0" w:line="142" w:lineRule="exact"/>
        <w:rPr>
          <w:sz w:val="20"/>
          <w:szCs w:val="20"/>
          <w:color w:val="auto"/>
        </w:rPr>
      </w:pPr>
    </w:p>
    <w:p>
      <w:pPr>
        <w:ind w:left="1480" w:right="379"/>
        <w:spacing w:after="0" w:line="295" w:lineRule="auto"/>
        <w:rPr>
          <w:sz w:val="20"/>
          <w:szCs w:val="20"/>
          <w:color w:val="auto"/>
        </w:rPr>
      </w:pPr>
      <w:r>
        <w:rPr>
          <w:rFonts w:ascii="Times New Roman" w:cs="Times New Roman" w:eastAsia="Times New Roman" w:hAnsi="Times New Roman"/>
          <w:sz w:val="12"/>
          <w:szCs w:val="12"/>
          <w:color w:val="auto"/>
        </w:rPr>
        <w:t>Upon the consummation of the Business Combination, in accordance with the terms and conditions of the Business Combination Agreement, all issued and outstanding Legacy Dave common stock was converted into shares of Common Stock at the Exchange Ratio. At closing, VPCC transaction costs of $22.6 million were paid, which reduced the proceeds from VPCC and reduced APIC. Additionally, $5.1 million of the costs were capitalized and included within deferred issuance costs in the consolidated balance sheet for the years ended December 31, 2021, and reduced APIC at closing. The remaining $7.5 million in transaction costs were accrued for at closing. Upon closing the Business Combination, Legacy Dave received $7.0 million in cash proceeds after transactions costs of $22.6 million were paid and released from VPCC’ trust account, net of redemptions of $224.2 million. At closing, each non-redeemed outstanding share of Legacy Dave Class A common stock was converted into one share of Class A Common Stock.</w:t>
      </w:r>
    </w:p>
    <w:p>
      <w:pPr>
        <w:spacing w:after="0" w:line="120" w:lineRule="exact"/>
        <w:rPr>
          <w:sz w:val="20"/>
          <w:szCs w:val="20"/>
          <w:color w:val="auto"/>
        </w:rPr>
      </w:pPr>
    </w:p>
    <w:p>
      <w:pPr>
        <w:ind w:left="1480" w:right="459"/>
        <w:spacing w:after="0" w:line="264" w:lineRule="auto"/>
        <w:rPr>
          <w:sz w:val="20"/>
          <w:szCs w:val="20"/>
          <w:color w:val="auto"/>
        </w:rPr>
      </w:pPr>
      <w:r>
        <w:rPr>
          <w:rFonts w:ascii="Times New Roman" w:cs="Times New Roman" w:eastAsia="Times New Roman" w:hAnsi="Times New Roman"/>
          <w:sz w:val="14"/>
          <w:szCs w:val="14"/>
          <w:color w:val="auto"/>
        </w:rPr>
        <w:t>Upon consummation of the Business Combination, the shares of Legacy Dave held by Legacy Dave shareholders converted into 342,638,866 shares of Common Stock, including 294,188,227 shares of Class A Common Stock and 48,450,639 shares of Class V Common Stock.</w:t>
      </w:r>
    </w:p>
    <w:p>
      <w:pPr>
        <w:spacing w:after="0" w:line="136" w:lineRule="exact"/>
        <w:rPr>
          <w:sz w:val="20"/>
          <w:szCs w:val="20"/>
          <w:color w:val="auto"/>
        </w:rPr>
      </w:pPr>
    </w:p>
    <w:p>
      <w:pPr>
        <w:ind w:left="1480" w:right="359"/>
        <w:spacing w:after="0" w:line="246" w:lineRule="auto"/>
        <w:rPr>
          <w:sz w:val="20"/>
          <w:szCs w:val="20"/>
          <w:color w:val="auto"/>
        </w:rPr>
      </w:pPr>
      <w:r>
        <w:rPr>
          <w:rFonts w:ascii="Times New Roman" w:cs="Times New Roman" w:eastAsia="Times New Roman" w:hAnsi="Times New Roman"/>
          <w:sz w:val="14"/>
          <w:szCs w:val="14"/>
          <w:color w:val="auto"/>
        </w:rPr>
        <w:t>While the legal acquirer in the Business Combination was VPCC, for accounting and financial reporting purposes under U.S. GAAP, Legacy Dave is the accounting acquirer and the Business Combination was accounted for as a “reverse recapitalization.” A reverse recapitalization does not result in a new basis of accounting, and the financial statements of the combined entity represent the continuation of the financial statements of Legacy Dave in many respects. Under this method of accounting, VPCC was treated as the “acquired” company. Accordingly, the consolidated assets, liabilities, and results of operations of Legacy Dave became the historical consolidated financial statements of Dave, and VPCC’s assets and liabilities were consolidated with Legacy Dave’s on the Closing Date. Operations prior to the Business Combination are presented as those of Dave in reports subsequent to the Closing Date. The net assets of VPCC were recognized at their carrying value immediately prior to the closing with no goodwill or other intangible assets recorded and were as follows, net of transaction costs (in millions):</w:t>
      </w:r>
    </w:p>
    <w:p>
      <w:pPr>
        <w:spacing w:after="0" w:line="184" w:lineRule="exact"/>
        <w:rPr>
          <w:sz w:val="20"/>
          <w:szCs w:val="20"/>
          <w:color w:val="auto"/>
        </w:rPr>
      </w:pPr>
    </w:p>
    <w:tbl>
      <w:tblPr>
        <w:tblLayout w:type="fixed"/>
        <w:tblInd w:w="282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$ 202.0</w:t>
            </w:r>
          </w:p>
        </w:tc>
        <w:tc>
          <w:tcPr>
            <w:tcW w:w="80" w:type="dxa"/>
            <w:vAlign w:val="bottom"/>
            <w:shd w:val="clear" w:color="auto" w:fill="CCEEFF"/>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expenses</w:t>
            </w:r>
          </w:p>
        </w:tc>
        <w:tc>
          <w:tcPr>
            <w:tcW w:w="2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(0.2)</w:t>
            </w:r>
          </w:p>
        </w:tc>
      </w:tr>
      <w:tr>
        <w:trPr>
          <w:trHeight w:val="163"/>
        </w:trPr>
        <w:tc>
          <w:tcPr>
            <w:tcW w:w="20" w:type="dxa"/>
            <w:vAlign w:val="bottom"/>
          </w:tcPr>
          <w:p>
            <w:pPr>
              <w:spacing w:after="0"/>
              <w:rPr>
                <w:sz w:val="14"/>
                <w:szCs w:val="14"/>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Warrant liability - public</w:t>
            </w:r>
          </w:p>
        </w:tc>
        <w:tc>
          <w:tcPr>
            <w:tcW w:w="2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(7.6)</w:t>
            </w:r>
          </w:p>
        </w:tc>
      </w:tr>
      <w:tr>
        <w:trPr>
          <w:trHeight w:val="163"/>
        </w:trPr>
        <w:tc>
          <w:tcPr>
            <w:tcW w:w="20" w:type="dxa"/>
            <w:vAlign w:val="bottom"/>
          </w:tcPr>
          <w:p>
            <w:pPr>
              <w:spacing w:after="0"/>
              <w:rPr>
                <w:sz w:val="14"/>
                <w:szCs w:val="14"/>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liability - private</w:t>
            </w:r>
          </w:p>
        </w:tc>
        <w:tc>
          <w:tcPr>
            <w:tcW w:w="2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(6.7)</w:t>
            </w:r>
          </w:p>
        </w:tc>
      </w:tr>
      <w:tr>
        <w:trPr>
          <w:trHeight w:val="164"/>
        </w:trPr>
        <w:tc>
          <w:tcPr>
            <w:tcW w:w="20" w:type="dxa"/>
            <w:vAlign w:val="bottom"/>
          </w:tcPr>
          <w:p>
            <w:pPr>
              <w:spacing w:after="0"/>
              <w:rPr>
                <w:sz w:val="14"/>
                <w:szCs w:val="14"/>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Earnout liabilities (Restated)</w:t>
            </w:r>
          </w:p>
        </w:tc>
        <w:tc>
          <w:tcPr>
            <w:tcW w:w="2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(9.7)</w:t>
            </w:r>
          </w:p>
        </w:tc>
      </w:tr>
      <w:tr>
        <w:trPr>
          <w:trHeight w:val="163"/>
        </w:trPr>
        <w:tc>
          <w:tcPr>
            <w:tcW w:w="20" w:type="dxa"/>
            <w:vAlign w:val="bottom"/>
          </w:tcPr>
          <w:p>
            <w:pPr>
              <w:spacing w:after="0"/>
              <w:rPr>
                <w:sz w:val="14"/>
                <w:szCs w:val="14"/>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assets acquired</w:t>
            </w:r>
          </w:p>
        </w:tc>
        <w:tc>
          <w:tcPr>
            <w:tcW w:w="1800" w:type="dxa"/>
            <w:vAlign w:val="bottom"/>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$ 178.5</w:t>
            </w:r>
          </w:p>
        </w:tc>
        <w:tc>
          <w:tcPr>
            <w:tcW w:w="80" w:type="dxa"/>
            <w:vAlign w:val="bottom"/>
            <w:shd w:val="clear" w:color="auto" w:fill="CCEEFF"/>
          </w:tcPr>
          <w:p>
            <w:pPr>
              <w:spacing w:after="0"/>
              <w:rPr>
                <w:sz w:val="14"/>
                <w:szCs w:val="14"/>
                <w:color w:val="auto"/>
              </w:rPr>
            </w:pPr>
          </w:p>
        </w:tc>
      </w:tr>
    </w:tbl>
    <w:p>
      <w:pPr>
        <w:spacing w:after="0" w:line="161" w:lineRule="exact"/>
        <w:rPr>
          <w:sz w:val="20"/>
          <w:szCs w:val="20"/>
          <w:color w:val="auto"/>
        </w:rPr>
      </w:pPr>
    </w:p>
    <w:p>
      <w:pPr>
        <w:ind w:left="1480" w:right="399"/>
        <w:spacing w:after="0" w:line="254" w:lineRule="auto"/>
        <w:rPr>
          <w:sz w:val="20"/>
          <w:szCs w:val="20"/>
          <w:color w:val="auto"/>
        </w:rPr>
      </w:pPr>
      <w:r>
        <w:rPr>
          <w:rFonts w:ascii="Times New Roman" w:cs="Times New Roman" w:eastAsia="Times New Roman" w:hAnsi="Times New Roman"/>
          <w:sz w:val="14"/>
          <w:szCs w:val="14"/>
          <w:color w:val="auto"/>
        </w:rPr>
        <w:t>Additionally, as part of the recapitalization, 5,392,528 shares of VPCC Class A common stock held by founders of VPCC (the “Founder Holders”) were exchanged with 5,392,528 shares of Dave Class A Common Stock; 1,586,037 (or “Founder Holder Earnout Shares”) of which will be subject to forfeiture if the vesting condition is not met over the five year term following the Closing Date as follows: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99"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Dave Inc.</w:t>
      </w:r>
    </w:p>
    <w:p>
      <w:pPr>
        <w:spacing w:after="0" w:line="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Notes to the Unaudited Condensed Consolidated Financial Statements</w:t>
      </w:r>
    </w:p>
    <w:p>
      <w:pPr>
        <w:spacing w:after="0" w:line="103" w:lineRule="exact"/>
        <w:rPr>
          <w:sz w:val="20"/>
          <w:szCs w:val="20"/>
          <w:color w:val="auto"/>
        </w:rPr>
      </w:pPr>
    </w:p>
    <w:p>
      <w:pPr>
        <w:ind w:left="1480" w:right="399"/>
        <w:spacing w:after="0" w:line="250" w:lineRule="auto"/>
        <w:rPr>
          <w:sz w:val="20"/>
          <w:szCs w:val="20"/>
          <w:color w:val="auto"/>
        </w:rPr>
      </w:pPr>
      <w:r>
        <w:rPr>
          <w:rFonts w:ascii="Times New Roman" w:cs="Times New Roman" w:eastAsia="Times New Roman" w:hAnsi="Times New Roman"/>
          <w:sz w:val="14"/>
          <w:szCs w:val="14"/>
          <w:color w:val="auto"/>
        </w:rPr>
        <w:t>Sixty percent (60%) of the Founder Holder Earnout Shares (951,622 Founder Holder Earnout Shares) shall immediately become fully vested and no longer subject to forfeiture upon the occurrence of Triggering Event I, which is defined as the first date on which the Common Share Price is equal to or greater than twelve dollars and fifty cents ($12.50) after the Closing Date, but within the Earnout Period (as defined in the Business Combination Agreement); provided, that</w:t>
      </w:r>
    </w:p>
    <w:p>
      <w:pPr>
        <w:spacing w:after="0" w:line="167" w:lineRule="exact"/>
        <w:rPr>
          <w:sz w:val="20"/>
          <w:szCs w:val="20"/>
          <w:color w:val="auto"/>
        </w:rPr>
      </w:pPr>
    </w:p>
    <w:p>
      <w:pPr>
        <w:ind w:left="2220" w:right="519" w:hanging="416"/>
        <w:spacing w:after="0" w:line="254" w:lineRule="auto"/>
        <w:tabs>
          <w:tab w:leader="none" w:pos="2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 change of control pursuant to which Dave Stockholders receive, or have the right to receive, cash, securities or other property attributing a value of at least twelve dollars and fifty cents ($12.50) to each share of Class A Common Stock (as agreed in good faith by the Sponsor and the Board), then Triggering Event I shall be deemed to have occurred and;</w:t>
      </w:r>
    </w:p>
    <w:p>
      <w:pPr>
        <w:spacing w:after="0" w:line="70" w:lineRule="exact"/>
        <w:rPr>
          <w:rFonts w:ascii="Times New Roman" w:cs="Times New Roman" w:eastAsia="Times New Roman" w:hAnsi="Times New Roman"/>
          <w:sz w:val="14"/>
          <w:szCs w:val="14"/>
          <w:color w:val="auto"/>
        </w:rPr>
      </w:pPr>
    </w:p>
    <w:p>
      <w:pPr>
        <w:ind w:left="2220" w:right="719" w:hanging="416"/>
        <w:spacing w:after="0" w:line="248" w:lineRule="auto"/>
        <w:tabs>
          <w:tab w:leader="none" w:pos="2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and as often as, the number of outstanding shares of Class A Common Stock is changed by reason of any dividend, subdivision, reclassification, recapitalization, split, combination, exchange or any similar event, then the applicable Common Share Price (as defined in the Business Combination Agreement) threshold (i.e., twelve dollars and fifty cents ($12.50)) will, for all purposes of the Business Combination Agreement (and the Founder Holder Agreement), in each case be equitably adjusted to reflect such change; and</w:t>
      </w:r>
    </w:p>
    <w:p>
      <w:pPr>
        <w:spacing w:after="0" w:line="149" w:lineRule="exact"/>
        <w:rPr>
          <w:sz w:val="20"/>
          <w:szCs w:val="20"/>
          <w:color w:val="auto"/>
        </w:rPr>
      </w:pPr>
    </w:p>
    <w:p>
      <w:pPr>
        <w:jc w:val="both"/>
        <w:ind w:left="1480" w:right="459"/>
        <w:spacing w:after="0" w:line="254" w:lineRule="auto"/>
        <w:rPr>
          <w:sz w:val="20"/>
          <w:szCs w:val="20"/>
          <w:color w:val="auto"/>
        </w:rPr>
      </w:pPr>
      <w:r>
        <w:rPr>
          <w:rFonts w:ascii="Times New Roman" w:cs="Times New Roman" w:eastAsia="Times New Roman" w:hAnsi="Times New Roman"/>
          <w:sz w:val="14"/>
          <w:szCs w:val="14"/>
          <w:color w:val="auto"/>
        </w:rPr>
        <w:t>The remaining Founder Holder Earnout Shares (634,415 Founder Holder Earnout Shares) shall immediately become fully vested and no longer subject to forfeiture upon the occurrence of Triggering Event II, which is defined as the first date on which the Common Share Price is equal to or greater than fifteen dollars ($15.00) after the Closing Date, but within the Earnout Period; provided that</w:t>
      </w:r>
    </w:p>
    <w:p>
      <w:pPr>
        <w:spacing w:after="0" w:line="163" w:lineRule="exact"/>
        <w:rPr>
          <w:sz w:val="20"/>
          <w:szCs w:val="20"/>
          <w:color w:val="auto"/>
        </w:rPr>
      </w:pPr>
    </w:p>
    <w:p>
      <w:pPr>
        <w:ind w:left="2220" w:right="399" w:hanging="416"/>
        <w:spacing w:after="0" w:line="254" w:lineRule="auto"/>
        <w:tabs>
          <w:tab w:leader="none" w:pos="2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 change of control pursuant to which Dave Stockholders receive, or have the right to receive, cash, securities or other property attributing a value of at least fifteen dollars ($15.00) to each share of Class A Common Stock (as agreed in good faith by Sponsor and the Board), then Triggering Event II shall be deemed to have occurred and;</w:t>
      </w:r>
    </w:p>
    <w:p>
      <w:pPr>
        <w:spacing w:after="0" w:line="70" w:lineRule="exact"/>
        <w:rPr>
          <w:rFonts w:ascii="Times New Roman" w:cs="Times New Roman" w:eastAsia="Times New Roman" w:hAnsi="Times New Roman"/>
          <w:sz w:val="14"/>
          <w:szCs w:val="14"/>
          <w:color w:val="auto"/>
        </w:rPr>
      </w:pPr>
    </w:p>
    <w:p>
      <w:pPr>
        <w:ind w:left="2220" w:right="479" w:hanging="416"/>
        <w:spacing w:after="0" w:line="250" w:lineRule="auto"/>
        <w:tabs>
          <w:tab w:leader="none" w:pos="2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and as often as, the number of outstanding shares of Class A Common Stock is changed by reason of any dividend, subdivision, reclassification, recapitalization, split, combination, exchange or any similar event, then the applicable Common Share Price threshold (i.e., fifteen dollars ($15.00)) will, for all purposes of the Business Combination Agreement (and the Founder Holder Agreement), in each case be equitably adjusted to reflect such change.</w:t>
      </w:r>
    </w:p>
    <w:p>
      <w:pPr>
        <w:spacing w:after="0" w:line="146" w:lineRule="exact"/>
        <w:rPr>
          <w:sz w:val="20"/>
          <w:szCs w:val="20"/>
          <w:color w:val="auto"/>
        </w:rPr>
      </w:pPr>
    </w:p>
    <w:p>
      <w:pPr>
        <w:ind w:left="1480" w:right="399"/>
        <w:spacing w:after="0" w:line="250" w:lineRule="auto"/>
        <w:rPr>
          <w:sz w:val="20"/>
          <w:szCs w:val="20"/>
          <w:color w:val="auto"/>
        </w:rPr>
      </w:pPr>
      <w:r>
        <w:rPr>
          <w:rFonts w:ascii="Times New Roman" w:cs="Times New Roman" w:eastAsia="Times New Roman" w:hAnsi="Times New Roman"/>
          <w:sz w:val="14"/>
          <w:szCs w:val="14"/>
          <w:color w:val="auto"/>
        </w:rPr>
        <w:t>The Founder Holder Earnout Shares were recognized at fair value upon the closing of the Business Combination and classified as a liability. The issuance of the Founder Holder Earnout Shares will be recorded as a liability at fair value with the offsetting amount recorded within additional-paid-in-capital (“APIC”) because the Business Combination is accounted for as a reverse recapitalization. The Founder Holder Earnout Shares will be remeasured to fair value at each reporting period end with changes in fair value recorded in the Statements of Operation.</w:t>
      </w:r>
    </w:p>
    <w:p>
      <w:pPr>
        <w:spacing w:after="0" w:line="146" w:lineRule="exact"/>
        <w:rPr>
          <w:sz w:val="20"/>
          <w:szCs w:val="20"/>
          <w:color w:val="auto"/>
        </w:rPr>
      </w:pPr>
    </w:p>
    <w:p>
      <w:pPr>
        <w:ind w:left="1480" w:right="359"/>
        <w:spacing w:after="0" w:line="246" w:lineRule="auto"/>
        <w:rPr>
          <w:sz w:val="20"/>
          <w:szCs w:val="20"/>
          <w:color w:val="auto"/>
        </w:rPr>
      </w:pPr>
      <w:r>
        <w:rPr>
          <w:rFonts w:ascii="Times New Roman" w:cs="Times New Roman" w:eastAsia="Times New Roman" w:hAnsi="Times New Roman"/>
          <w:sz w:val="14"/>
          <w:szCs w:val="14"/>
          <w:color w:val="auto"/>
        </w:rPr>
        <w:t>Pursuant to the terms of the Business Combination Agreement, all of the issued and outstanding Series A, Series B-1 and Series B-2 redeemable convertible preferred stock and series A redeemable convertible preferred stock converted into 204,657,950 shares of Legacy Dave common stock immediately prior to the Business Combination. Then, as of the closing of the Business Combination, all outstanding shares of Legacy Dave common stock converted into 342,638,866 shares of Class A Common Stock and Class V Common Stock. Additionally, each of Legacy Dave options and warrants that were outstanding immediately prior to the closing of the Business Combination remained outstanding and converted into options and warrants for Dave Class A and Class V Common Stock equal to the number of the Company’s common stock, subject to such options or warrants, multiplied by the Exchange Ratio at an exercise price per share equal to the current exercise price per share for such option or warrant divided by the Exchange Ratio, with the aggregate amount of shares of Class A Common Stock and Class V Common Stock issuable upon exercise of such options and warrants to be 32,078,481.</w:t>
      </w:r>
    </w:p>
    <w:p>
      <w:pPr>
        <w:spacing w:after="0" w:line="149" w:lineRule="exact"/>
        <w:rPr>
          <w:sz w:val="20"/>
          <w:szCs w:val="20"/>
          <w:color w:val="auto"/>
        </w:rPr>
      </w:pPr>
    </w:p>
    <w:p>
      <w:pPr>
        <w:ind w:left="1480" w:right="399"/>
        <w:spacing w:after="0" w:line="250" w:lineRule="auto"/>
        <w:rPr>
          <w:sz w:val="20"/>
          <w:szCs w:val="20"/>
          <w:color w:val="auto"/>
        </w:rPr>
      </w:pPr>
      <w:r>
        <w:rPr>
          <w:rFonts w:ascii="Times New Roman" w:cs="Times New Roman" w:eastAsia="Times New Roman" w:hAnsi="Times New Roman"/>
          <w:sz w:val="14"/>
          <w:szCs w:val="14"/>
          <w:color w:val="auto"/>
        </w:rPr>
        <w:t>Concurrently with the execution of the Business Combination Agreement, VPCC entered into Subscription Agreements (the “Subscription Agreement”) with certain investors (the “Subscription Investors”) pursuant to which the Subscription Investors agreed to purchase, and the Company agreed to sell to the Subscription Investors, an aggregate of 21,000,000 shares of the Class A Common Stock for a purchase price of $10 per share, or an aggregate of $210</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99"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Dave Inc.</w:t>
      </w:r>
    </w:p>
    <w:p>
      <w:pPr>
        <w:spacing w:after="0" w:line="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Notes to the Unaudited Condensed Consolidated Financial Statements</w:t>
      </w:r>
    </w:p>
    <w:p>
      <w:pPr>
        <w:spacing w:after="0" w:line="103" w:lineRule="exact"/>
        <w:rPr>
          <w:sz w:val="20"/>
          <w:szCs w:val="20"/>
          <w:color w:val="auto"/>
        </w:rPr>
      </w:pPr>
    </w:p>
    <w:p>
      <w:pPr>
        <w:ind w:left="1480" w:right="379"/>
        <w:spacing w:after="0" w:line="296" w:lineRule="auto"/>
        <w:rPr>
          <w:sz w:val="20"/>
          <w:szCs w:val="20"/>
          <w:color w:val="auto"/>
        </w:rPr>
      </w:pPr>
      <w:r>
        <w:rPr>
          <w:rFonts w:ascii="Times New Roman" w:cs="Times New Roman" w:eastAsia="Times New Roman" w:hAnsi="Times New Roman"/>
          <w:sz w:val="12"/>
          <w:szCs w:val="12"/>
          <w:color w:val="auto"/>
        </w:rPr>
        <w:t>million in gross cash proceeds (the “PIPE Financing”). On August 17, 2021 Alameda Research, a Subscription Investor agreed to pre-fund its obligation under the original Subscription Agreement to subscribe for 1,500,000 shares of Class A Common Stock for $15.0 million of the aggregate PIPE Financing subscription amount. On August 17, 2021, Legacy Dave issued a promissory note with a principal amount of $15.0 million to Alameda Research and amended the Subscription Agreement to satisfy Alameda Research’s obligation to pay the $15.0 million purchase price under the Alameda Subscription Agreement by way of a full discharge of Legacy Dave’s obligations to pay the principal under the promissory note. Upon the closing of the Business Combination, the promissory note was automatically discharged upon the Company’s issuance of 1,500,000 shares of Class A Common Stock to Alameda Research. The closing of the private placement occurred immediately prior to the closing date.</w:t>
      </w:r>
    </w:p>
    <w:p>
      <w:pPr>
        <w:spacing w:after="0" w:line="28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number of shares of Common Stock issued immediately following the consummation of the Business Combination were as follows:</w:t>
      </w:r>
    </w:p>
    <w:p>
      <w:pPr>
        <w:spacing w:after="0" w:line="180" w:lineRule="exact"/>
        <w:rPr>
          <w:sz w:val="20"/>
          <w:szCs w:val="20"/>
          <w:color w:val="auto"/>
        </w:rPr>
      </w:pPr>
    </w:p>
    <w:tbl>
      <w:tblPr>
        <w:tblLayout w:type="fixed"/>
        <w:tblInd w:w="2480" w:type="dxa"/>
        <w:tblCellMar>
          <w:top w:w="0" w:type="dxa"/>
          <w:left w:w="0" w:type="dxa"/>
          <w:bottom w:w="0" w:type="dxa"/>
          <w:right w:w="0" w:type="dxa"/>
        </w:tblCellMar>
      </w:tblPr>
      <w:tr>
        <w:trPr>
          <w:trHeight w:val="131"/>
        </w:trPr>
        <w:tc>
          <w:tcPr>
            <w:tcW w:w="4740" w:type="dxa"/>
            <w:vAlign w:val="bottom"/>
          </w:tcPr>
          <w:p>
            <w:pPr>
              <w:spacing w:after="0"/>
              <w:rPr>
                <w:sz w:val="11"/>
                <w:szCs w:val="11"/>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Class V</w:t>
            </w:r>
          </w:p>
        </w:tc>
        <w:tc>
          <w:tcPr>
            <w:tcW w:w="0" w:type="dxa"/>
            <w:vAlign w:val="bottom"/>
          </w:tcPr>
          <w:p>
            <w:pPr>
              <w:spacing w:after="0"/>
              <w:rPr>
                <w:sz w:val="1"/>
                <w:szCs w:val="1"/>
                <w:color w:val="auto"/>
              </w:rPr>
            </w:pPr>
          </w:p>
        </w:tc>
      </w:tr>
      <w:tr>
        <w:trPr>
          <w:trHeight w:val="154"/>
        </w:trPr>
        <w:tc>
          <w:tcPr>
            <w:tcW w:w="474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Common stock outstanding on December 31, 2021</w:t>
            </w:r>
          </w:p>
        </w:tc>
        <w:tc>
          <w:tcPr>
            <w:tcW w:w="7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92,436,304</w:t>
            </w:r>
          </w:p>
        </w:tc>
        <w:tc>
          <w:tcPr>
            <w:tcW w:w="1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ind w:left="40"/>
              <w:spacing w:after="0" w:line="154" w:lineRule="exact"/>
              <w:rPr>
                <w:sz w:val="20"/>
                <w:szCs w:val="20"/>
                <w:color w:val="auto"/>
              </w:rPr>
            </w:pPr>
            <w:r>
              <w:rPr>
                <w:rFonts w:ascii="Times New Roman" w:cs="Times New Roman" w:eastAsia="Times New Roman" w:hAnsi="Times New Roman"/>
                <w:sz w:val="14"/>
                <w:szCs w:val="14"/>
                <w:color w:val="auto"/>
                <w:w w:val="95"/>
              </w:rPr>
              <w:t>48,450,639</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activity between December 31, 2021 and January 5, 2022</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Exercise of derivative asset and paydown of stockholder loans</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(6,014,250)</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4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Issuance of Class A common stock for stock option exercises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2,630,557</w:t>
            </w:r>
          </w:p>
        </w:tc>
        <w:tc>
          <w:tcPr>
            <w:tcW w:w="18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4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Repurchase of Class A common stock</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(198,505)</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 stock outstanding prior to the Business Combination</w:t>
            </w: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740" w:type="dxa"/>
            <w:vAlign w:val="bottom"/>
            <w:vMerge w:val="continue"/>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88,854,106</w:t>
            </w:r>
          </w:p>
        </w:tc>
        <w:tc>
          <w:tcPr>
            <w:tcW w:w="180" w:type="dxa"/>
            <w:vAlign w:val="bottom"/>
          </w:tcPr>
          <w:p>
            <w:pPr>
              <w:spacing w:after="0"/>
              <w:rPr>
                <w:sz w:val="12"/>
                <w:szCs w:val="12"/>
                <w:color w:val="auto"/>
              </w:rPr>
            </w:pPr>
          </w:p>
        </w:tc>
        <w:tc>
          <w:tcPr>
            <w:tcW w:w="66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w w:val="95"/>
              </w:rPr>
              <w:t>48,450,639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Conversion of preferred stock to Class A common stock</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204,657,950</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attributable to VPCC</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2,958,831</w:t>
            </w:r>
          </w:p>
        </w:tc>
        <w:tc>
          <w:tcPr>
            <w:tcW w:w="180" w:type="dxa"/>
            <w:vAlign w:val="bottom"/>
          </w:tcPr>
          <w:p>
            <w:pPr>
              <w:spacing w:after="0"/>
              <w:rPr>
                <w:sz w:val="15"/>
                <w:szCs w:val="15"/>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4"/>
        </w:trPr>
        <w:tc>
          <w:tcPr>
            <w:tcW w:w="474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Adjustment related to Reverse Recapitalization</w:t>
            </w:r>
            <w:r>
              <w:rPr>
                <w:rFonts w:ascii="Times New Roman" w:cs="Times New Roman" w:eastAsia="Times New Roman" w:hAnsi="Times New Roman"/>
                <w:sz w:val="16"/>
                <w:szCs w:val="16"/>
                <w:b w:val="1"/>
                <w:bCs w:val="1"/>
                <w:color w:val="auto"/>
                <w:vertAlign w:val="superscript"/>
              </w:rPr>
              <w:t>*</w:t>
            </w:r>
          </w:p>
        </w:tc>
        <w:tc>
          <w:tcPr>
            <w:tcW w:w="7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w w:val="99"/>
              </w:rPr>
              <w:t>207,616,781</w:t>
            </w:r>
          </w:p>
        </w:tc>
        <w:tc>
          <w:tcPr>
            <w:tcW w:w="1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ind w:left="440"/>
              <w:spacing w:after="0" w:line="154"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Founder Holder shares (Restated)</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3,806,491</w:t>
            </w:r>
          </w:p>
        </w:tc>
        <w:tc>
          <w:tcPr>
            <w:tcW w:w="18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47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Conversion of 2019 convertible notes and accrued interest to Class A common</w:t>
            </w: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225,330</w:t>
            </w: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Series B-1 preferred stock warrants, net of settlement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450,841</w:t>
            </w:r>
          </w:p>
        </w:tc>
        <w:tc>
          <w:tcPr>
            <w:tcW w:w="18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Class A common stock pursuant to the PIPE financing</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21,000,000</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 shares of common stock as of closing of Business Combination and</w:t>
            </w: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7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7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related transactions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321,953,549</w:t>
            </w:r>
          </w:p>
        </w:tc>
        <w:tc>
          <w:tcPr>
            <w:tcW w:w="180" w:type="dxa"/>
            <w:vAlign w:val="bottom"/>
          </w:tcPr>
          <w:p>
            <w:pPr>
              <w:spacing w:after="0"/>
              <w:rPr>
                <w:sz w:val="16"/>
                <w:szCs w:val="16"/>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95"/>
              </w:rPr>
              <w:t>48,450,639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1480" w:right="359" w:hanging="3"/>
        <w:spacing w:after="0" w:line="250" w:lineRule="auto"/>
        <w:tabs>
          <w:tab w:leader="none" w:pos="158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corresponding adjustment to APIC related to the reverse recapitalization was comprised of (i) $178.5 million which represents the fair value of the consideration transferred in the Business Combination, less the excess of the fair value of the shares issued over the value of the net monetary assets of VPCC, net of transaction costs and (ii) $72.2 million which represents the conversion of the convertible preferred stock into Dave Class A Common Stock.</w:t>
      </w:r>
    </w:p>
    <w:p>
      <w:pPr>
        <w:spacing w:after="0" w:line="1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There were 32,078,481 New Dave options outstanding immediately after the Business Combination.</w:t>
      </w:r>
    </w:p>
    <w:p>
      <w:pPr>
        <w:spacing w:after="0" w:line="166" w:lineRule="exact"/>
        <w:rPr>
          <w:sz w:val="20"/>
          <w:szCs w:val="20"/>
          <w:color w:val="auto"/>
        </w:rPr>
      </w:pPr>
    </w:p>
    <w:p>
      <w:pPr>
        <w:ind w:left="1480" w:right="519"/>
        <w:spacing w:after="0" w:line="264" w:lineRule="auto"/>
        <w:rPr>
          <w:sz w:val="20"/>
          <w:szCs w:val="20"/>
          <w:color w:val="auto"/>
        </w:rPr>
      </w:pPr>
      <w:r>
        <w:rPr>
          <w:rFonts w:ascii="Times New Roman" w:cs="Times New Roman" w:eastAsia="Times New Roman" w:hAnsi="Times New Roman"/>
          <w:sz w:val="14"/>
          <w:szCs w:val="14"/>
          <w:color w:val="auto"/>
        </w:rPr>
        <w:t>Following the Business Combination, New Dave warrants to purchase 11,444,235 shares of Class A common stock, consisting of (i) 6,344,131 public warrants listed on the Nasdaq and (ii) 5,100,214 private warrants, each with an exercise price of $11.50 per share, remained outstanding.</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99"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Dave Inc.</w:t>
      </w:r>
    </w:p>
    <w:p>
      <w:pPr>
        <w:spacing w:after="0" w:line="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Notes to the Unaudited Condensed Consolidated Financial Statements</w:t>
      </w:r>
    </w:p>
    <w:p>
      <w:pPr>
        <w:spacing w:after="0" w:line="9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Note 5 Marketable Securities</w:t>
      </w:r>
    </w:p>
    <w:p>
      <w:pPr>
        <w:spacing w:after="0" w:line="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Below is a detail of marketable securities (in thousands):</w:t>
      </w:r>
    </w:p>
    <w:p>
      <w:pPr>
        <w:spacing w:after="0" w:line="180" w:lineRule="exact"/>
        <w:rPr>
          <w:sz w:val="20"/>
          <w:szCs w:val="20"/>
          <w:color w:val="auto"/>
        </w:rPr>
      </w:pPr>
    </w:p>
    <w:tbl>
      <w:tblPr>
        <w:tblLayout w:type="fixed"/>
        <w:tblInd w:w="2480" w:type="dxa"/>
        <w:tblCellMar>
          <w:top w:w="0" w:type="dxa"/>
          <w:left w:w="0" w:type="dxa"/>
          <w:bottom w:w="0" w:type="dxa"/>
          <w:right w:w="0" w:type="dxa"/>
        </w:tblCellMar>
      </w:tblPr>
      <w:tr>
        <w:trPr>
          <w:trHeight w:val="131"/>
        </w:trPr>
        <w:tc>
          <w:tcPr>
            <w:tcW w:w="4120" w:type="dxa"/>
            <w:vAlign w:val="bottom"/>
          </w:tcPr>
          <w:p>
            <w:pPr>
              <w:spacing w:after="0"/>
              <w:rPr>
                <w:sz w:val="11"/>
                <w:szCs w:val="11"/>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w w:val="95"/>
              </w:rPr>
              <w:t>March 31, 2022</w:t>
            </w:r>
          </w:p>
        </w:tc>
        <w:tc>
          <w:tcPr>
            <w:tcW w:w="1500" w:type="dxa"/>
            <w:vAlign w:val="bottom"/>
            <w:gridSpan w:val="4"/>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December 31, 2021</w:t>
            </w:r>
          </w:p>
        </w:tc>
      </w:tr>
      <w:tr>
        <w:trPr>
          <w:trHeight w:val="154"/>
        </w:trPr>
        <w:tc>
          <w:tcPr>
            <w:tcW w:w="412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Marketable securities</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278,265</w:t>
            </w:r>
          </w:p>
        </w:tc>
        <w:tc>
          <w:tcPr>
            <w:tcW w:w="5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8,226</w:t>
            </w:r>
          </w:p>
        </w:tc>
        <w:tc>
          <w:tcPr>
            <w:tcW w:w="40" w:type="dxa"/>
            <w:vAlign w:val="bottom"/>
            <w:tcBorders>
              <w:top w:val="single" w:sz="8" w:color="CCEEFF"/>
            </w:tcBorders>
            <w:shd w:val="clear" w:color="auto" w:fill="CCEEFF"/>
          </w:tcPr>
          <w:p>
            <w:pPr>
              <w:spacing w:after="0"/>
              <w:rPr>
                <w:sz w:val="13"/>
                <w:szCs w:val="13"/>
                <w:color w:val="auto"/>
              </w:rPr>
            </w:pPr>
          </w:p>
        </w:tc>
      </w:tr>
      <w:tr>
        <w:trPr>
          <w:trHeight w:val="164"/>
        </w:trPr>
        <w:tc>
          <w:tcPr>
            <w:tcW w:w="4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278,265</w:t>
            </w:r>
          </w:p>
        </w:tc>
        <w:tc>
          <w:tcPr>
            <w:tcW w:w="580" w:type="dxa"/>
            <w:vAlign w:val="bottom"/>
          </w:tcPr>
          <w:p>
            <w:pPr>
              <w:spacing w:after="0"/>
              <w:rPr>
                <w:sz w:val="14"/>
                <w:szCs w:val="14"/>
                <w:color w:val="auto"/>
              </w:rPr>
            </w:pPr>
          </w:p>
        </w:tc>
        <w:tc>
          <w:tcPr>
            <w:tcW w:w="3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8,226</w:t>
            </w:r>
          </w:p>
        </w:tc>
        <w:tc>
          <w:tcPr>
            <w:tcW w:w="40" w:type="dxa"/>
            <w:vAlign w:val="bottom"/>
          </w:tcPr>
          <w:p>
            <w:pPr>
              <w:spacing w:after="0"/>
              <w:rPr>
                <w:sz w:val="14"/>
                <w:szCs w:val="14"/>
                <w:color w:val="auto"/>
              </w:rPr>
            </w:pPr>
          </w:p>
        </w:tc>
      </w:tr>
      <w:tr>
        <w:trPr>
          <w:trHeight w:val="20"/>
        </w:trPr>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1" w:lineRule="exact"/>
        <w:rPr>
          <w:sz w:val="20"/>
          <w:szCs w:val="20"/>
          <w:color w:val="auto"/>
        </w:rPr>
      </w:pPr>
    </w:p>
    <w:p>
      <w:pPr>
        <w:ind w:left="1480" w:right="359"/>
        <w:spacing w:after="0" w:line="245" w:lineRule="auto"/>
        <w:rPr>
          <w:sz w:val="20"/>
          <w:szCs w:val="20"/>
          <w:color w:val="auto"/>
        </w:rPr>
      </w:pPr>
      <w:r>
        <w:rPr>
          <w:rFonts w:ascii="Times New Roman" w:cs="Times New Roman" w:eastAsia="Times New Roman" w:hAnsi="Times New Roman"/>
          <w:sz w:val="14"/>
          <w:szCs w:val="14"/>
          <w:color w:val="auto"/>
        </w:rPr>
        <w:t>The Company’s marketable securities consisted of investments in a money market mutual fund. At March 31, 2022 and December 31, 2021, the money market instruments were comprised of primarily certificates of deposit and financial company/asset backed commercial paper. At March 31, 2022, the investment portfolio had a weighted-average maturity of 16 days. The fund is publicly traded with a ticker symbol SSPXX and the money market instruments were measured at fair market value at March 31, 2022. At December 31, 2021, the investment portfolio had a weighted-average maturity of 46 days. The fund is publicly traded with a ticker symbol SPPXX and the money market instruments were measured at fair market value at December 31, 2021. Proceeds from sales and purchases of marketable securities during the three months ended March 31, 2022, were approximately $32.0 million and $302.1 million, respectively. Proceeds from sales and purchases of marketable securities during the three months ended March 31, 2021, were approximately $3.9 million and $0.002 million, respectively. The amount of loss recorded in connection with the investment in marketable securities for the three months ended March 31, 2022, was approximately $0.076 million and was recorded as a component of interest expense in the condensed consolidated statements of operations. The amount of gain recorded in connection with the investment in marketable securities for the three months ended March 31, 2022, was approximately $0.002 million and was recorded as a component of interest income in the condensed consolidated statements of operations.</w:t>
      </w:r>
    </w:p>
    <w:p>
      <w:pPr>
        <w:spacing w:after="0" w:line="23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Note 6 Member Cash Advances, Net</w:t>
      </w:r>
    </w:p>
    <w:p>
      <w:pPr>
        <w:spacing w:after="0" w:line="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Below is a detail of Member cash advances, net as of March 31, 2022 (in thousands):</w:t>
      </w:r>
    </w:p>
    <w:p>
      <w:pPr>
        <w:spacing w:after="0" w:line="166" w:lineRule="exact"/>
        <w:rPr>
          <w:sz w:val="20"/>
          <w:szCs w:val="20"/>
          <w:color w:val="auto"/>
        </w:rPr>
      </w:pPr>
    </w:p>
    <w:tbl>
      <w:tblPr>
        <w:tblLayout w:type="fixed"/>
        <w:tblInd w:w="2140" w:type="dxa"/>
        <w:tblCellMar>
          <w:top w:w="0" w:type="dxa"/>
          <w:left w:w="0" w:type="dxa"/>
          <w:bottom w:w="0" w:type="dxa"/>
          <w:right w:w="0" w:type="dxa"/>
        </w:tblCellMar>
      </w:tblPr>
      <w:tr>
        <w:trPr>
          <w:trHeight w:val="126"/>
        </w:trPr>
        <w:tc>
          <w:tcPr>
            <w:tcW w:w="11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Gross Member</w:t>
            </w:r>
          </w:p>
        </w:tc>
        <w:tc>
          <w:tcPr>
            <w:tcW w:w="220" w:type="dxa"/>
            <w:vAlign w:val="bottom"/>
          </w:tcPr>
          <w:p>
            <w:pPr>
              <w:spacing w:after="0"/>
              <w:rPr>
                <w:sz w:val="11"/>
                <w:szCs w:val="11"/>
                <w:color w:val="auto"/>
              </w:rPr>
            </w:pP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Allowance for</w:t>
            </w:r>
          </w:p>
        </w:tc>
        <w:tc>
          <w:tcPr>
            <w:tcW w:w="100" w:type="dxa"/>
            <w:vAlign w:val="bottom"/>
          </w:tcPr>
          <w:p>
            <w:pPr>
              <w:spacing w:after="0"/>
              <w:rPr>
                <w:sz w:val="11"/>
                <w:szCs w:val="11"/>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Member</w:t>
            </w:r>
          </w:p>
        </w:tc>
        <w:tc>
          <w:tcPr>
            <w:tcW w:w="0" w:type="dxa"/>
            <w:vAlign w:val="bottom"/>
          </w:tcPr>
          <w:p>
            <w:pPr>
              <w:spacing w:after="0"/>
              <w:rPr>
                <w:sz w:val="1"/>
                <w:szCs w:val="1"/>
                <w:color w:val="auto"/>
              </w:rPr>
            </w:pPr>
          </w:p>
        </w:tc>
      </w:tr>
      <w:tr>
        <w:trPr>
          <w:trHeight w:val="112"/>
        </w:trPr>
        <w:tc>
          <w:tcPr>
            <w:tcW w:w="11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8"/>
              </w:rPr>
              <w:t>Days From Origination</w:t>
            </w:r>
          </w:p>
        </w:tc>
        <w:tc>
          <w:tcPr>
            <w:tcW w:w="292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gridSpan w:val="3"/>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Unrecoverable</w:t>
            </w: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100" w:type="dxa"/>
            <w:vAlign w:val="bottom"/>
            <w:tcBorders>
              <w:bottom w:val="single" w:sz="8" w:color="auto"/>
            </w:tcBorders>
            <w:vMerge w:val="continue"/>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21" w:lineRule="exact"/>
              <w:rPr>
                <w:sz w:val="20"/>
                <w:szCs w:val="20"/>
                <w:color w:val="auto"/>
              </w:rPr>
            </w:pPr>
            <w:r>
              <w:rPr>
                <w:rFonts w:ascii="Times New Roman" w:cs="Times New Roman" w:eastAsia="Times New Roman" w:hAnsi="Times New Roman"/>
                <w:sz w:val="11"/>
                <w:szCs w:val="11"/>
                <w:b w:val="1"/>
                <w:bCs w:val="1"/>
                <w:color w:val="auto"/>
              </w:rPr>
              <w:t>Advances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60"/>
              <w:spacing w:after="0" w:line="121" w:lineRule="exact"/>
              <w:rPr>
                <w:sz w:val="20"/>
                <w:szCs w:val="20"/>
                <w:color w:val="auto"/>
              </w:rPr>
            </w:pPr>
            <w:r>
              <w:rPr>
                <w:rFonts w:ascii="Times New Roman" w:cs="Times New Roman" w:eastAsia="Times New Roman" w:hAnsi="Times New Roman"/>
                <w:sz w:val="11"/>
                <w:szCs w:val="11"/>
                <w:b w:val="1"/>
                <w:bCs w:val="1"/>
                <w:color w:val="auto"/>
                <w:w w:val="97"/>
              </w:rPr>
              <w:t>Advances</w:t>
            </w:r>
          </w:p>
        </w:tc>
        <w:tc>
          <w:tcPr>
            <w:tcW w:w="720" w:type="dxa"/>
            <w:vAlign w:val="bottom"/>
            <w:gridSpan w:val="3"/>
          </w:tcPr>
          <w:p>
            <w:pPr>
              <w:ind w:left="20"/>
              <w:spacing w:after="0" w:line="121" w:lineRule="exact"/>
              <w:rPr>
                <w:sz w:val="20"/>
                <w:szCs w:val="20"/>
                <w:color w:val="auto"/>
              </w:rPr>
            </w:pPr>
            <w:r>
              <w:rPr>
                <w:rFonts w:ascii="Times New Roman" w:cs="Times New Roman" w:eastAsia="Times New Roman" w:hAnsi="Times New Roman"/>
                <w:sz w:val="11"/>
                <w:szCs w:val="11"/>
                <w:b w:val="1"/>
                <w:bCs w:val="1"/>
                <w:color w:val="auto"/>
              </w:rPr>
              <w:t>Advances, Net</w:t>
            </w:r>
          </w:p>
        </w:tc>
        <w:tc>
          <w:tcPr>
            <w:tcW w:w="0" w:type="dxa"/>
            <w:vAlign w:val="bottom"/>
          </w:tcPr>
          <w:p>
            <w:pPr>
              <w:spacing w:after="0"/>
              <w:rPr>
                <w:sz w:val="1"/>
                <w:szCs w:val="1"/>
                <w:color w:val="auto"/>
              </w:rPr>
            </w:pPr>
          </w:p>
        </w:tc>
      </w:tr>
      <w:tr>
        <w:trPr>
          <w:trHeight w:val="144"/>
        </w:trPr>
        <w:tc>
          <w:tcPr>
            <w:tcW w:w="1100" w:type="dxa"/>
            <w:vAlign w:val="bottom"/>
            <w:tcBorders>
              <w:top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1-10</w:t>
            </w:r>
          </w:p>
        </w:tc>
        <w:tc>
          <w:tcPr>
            <w:tcW w:w="29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48,659</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(1,658)</w:t>
            </w:r>
          </w:p>
        </w:tc>
        <w:tc>
          <w:tcPr>
            <w:tcW w:w="4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47,001</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11-30</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14,400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(3,812)</w:t>
            </w:r>
          </w:p>
        </w:tc>
        <w:tc>
          <w:tcPr>
            <w:tcW w:w="10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10,588</w:t>
            </w:r>
          </w:p>
        </w:tc>
        <w:tc>
          <w:tcPr>
            <w:tcW w:w="0" w:type="dxa"/>
            <w:vAlign w:val="bottom"/>
          </w:tcPr>
          <w:p>
            <w:pPr>
              <w:spacing w:after="0"/>
              <w:rPr>
                <w:sz w:val="1"/>
                <w:szCs w:val="1"/>
                <w:color w:val="auto"/>
              </w:rPr>
            </w:pPr>
          </w:p>
        </w:tc>
      </w:tr>
      <w:tr>
        <w:trPr>
          <w:trHeight w:val="163"/>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31-60</w:t>
            </w:r>
          </w:p>
        </w:tc>
        <w:tc>
          <w:tcPr>
            <w:tcW w:w="2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5,715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(3,554)</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2,161</w:t>
            </w:r>
          </w:p>
        </w:tc>
        <w:tc>
          <w:tcPr>
            <w:tcW w:w="0" w:type="dxa"/>
            <w:vAlign w:val="bottom"/>
          </w:tcPr>
          <w:p>
            <w:pPr>
              <w:spacing w:after="0"/>
              <w:rPr>
                <w:sz w:val="1"/>
                <w:szCs w:val="1"/>
                <w:color w:val="auto"/>
              </w:rPr>
            </w:pPr>
          </w:p>
        </w:tc>
      </w:tr>
      <w:tr>
        <w:trPr>
          <w:trHeight w:val="163"/>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61-90</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5,438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(4,086)</w:t>
            </w:r>
          </w:p>
        </w:tc>
        <w:tc>
          <w:tcPr>
            <w:tcW w:w="10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1,352</w:t>
            </w:r>
          </w:p>
        </w:tc>
        <w:tc>
          <w:tcPr>
            <w:tcW w:w="0" w:type="dxa"/>
            <w:vAlign w:val="bottom"/>
          </w:tcPr>
          <w:p>
            <w:pPr>
              <w:spacing w:after="0"/>
              <w:rPr>
                <w:sz w:val="1"/>
                <w:szCs w:val="1"/>
                <w:color w:val="auto"/>
              </w:rPr>
            </w:pPr>
          </w:p>
        </w:tc>
      </w:tr>
      <w:tr>
        <w:trPr>
          <w:trHeight w:val="163"/>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91-120</w:t>
            </w:r>
          </w:p>
        </w:tc>
        <w:tc>
          <w:tcPr>
            <w:tcW w:w="2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3,941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(3,230)</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711</w:t>
            </w:r>
          </w:p>
        </w:tc>
        <w:tc>
          <w:tcPr>
            <w:tcW w:w="0" w:type="dxa"/>
            <w:vAlign w:val="bottom"/>
          </w:tcPr>
          <w:p>
            <w:pPr>
              <w:spacing w:after="0"/>
              <w:rPr>
                <w:sz w:val="1"/>
                <w:szCs w:val="1"/>
                <w:color w:val="auto"/>
              </w:rPr>
            </w:pPr>
          </w:p>
        </w:tc>
      </w:tr>
      <w:tr>
        <w:trPr>
          <w:trHeight w:val="170"/>
        </w:trPr>
        <w:tc>
          <w:tcPr>
            <w:tcW w:w="1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920" w:type="dxa"/>
            <w:vAlign w:val="bottom"/>
          </w:tcPr>
          <w:p>
            <w:pPr>
              <w:spacing w:after="0"/>
              <w:rPr>
                <w:sz w:val="14"/>
                <w:szCs w:val="14"/>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78,153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(16,340)</w:t>
            </w:r>
          </w:p>
        </w:tc>
        <w:tc>
          <w:tcPr>
            <w:tcW w:w="440" w:type="dxa"/>
            <w:vAlign w:val="bottom"/>
          </w:tcPr>
          <w:p>
            <w:pPr>
              <w:spacing w:after="0"/>
              <w:rPr>
                <w:sz w:val="14"/>
                <w:szCs w:val="14"/>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61,813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Below is a detail of Member cash advances, net as of December 31, 2021 (in thousands):</w:t>
      </w:r>
    </w:p>
    <w:p>
      <w:pPr>
        <w:spacing w:after="0" w:line="166" w:lineRule="exact"/>
        <w:rPr>
          <w:sz w:val="20"/>
          <w:szCs w:val="20"/>
          <w:color w:val="auto"/>
        </w:rPr>
      </w:pPr>
    </w:p>
    <w:tbl>
      <w:tblPr>
        <w:tblLayout w:type="fixed"/>
        <w:tblInd w:w="2140" w:type="dxa"/>
        <w:tblCellMar>
          <w:top w:w="0" w:type="dxa"/>
          <w:left w:w="0" w:type="dxa"/>
          <w:bottom w:w="0" w:type="dxa"/>
          <w:right w:w="0" w:type="dxa"/>
        </w:tblCellMar>
      </w:tblPr>
      <w:tr>
        <w:trPr>
          <w:trHeight w:val="126"/>
        </w:trPr>
        <w:tc>
          <w:tcPr>
            <w:tcW w:w="110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Gross Member</w:t>
            </w:r>
          </w:p>
        </w:tc>
        <w:tc>
          <w:tcPr>
            <w:tcW w:w="220" w:type="dxa"/>
            <w:vAlign w:val="bottom"/>
          </w:tcPr>
          <w:p>
            <w:pPr>
              <w:spacing w:after="0"/>
              <w:rPr>
                <w:sz w:val="10"/>
                <w:szCs w:val="10"/>
                <w:color w:val="auto"/>
              </w:rPr>
            </w:pP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Allowance for</w:t>
            </w:r>
          </w:p>
        </w:tc>
        <w:tc>
          <w:tcPr>
            <w:tcW w:w="100" w:type="dxa"/>
            <w:vAlign w:val="bottom"/>
          </w:tcPr>
          <w:p>
            <w:pPr>
              <w:spacing w:after="0"/>
              <w:rPr>
                <w:sz w:val="10"/>
                <w:szCs w:val="10"/>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Member</w:t>
            </w:r>
          </w:p>
        </w:tc>
        <w:tc>
          <w:tcPr>
            <w:tcW w:w="0" w:type="dxa"/>
            <w:vAlign w:val="bottom"/>
          </w:tcPr>
          <w:p>
            <w:pPr>
              <w:spacing w:after="0"/>
              <w:rPr>
                <w:sz w:val="1"/>
                <w:szCs w:val="1"/>
                <w:color w:val="auto"/>
              </w:rPr>
            </w:pPr>
          </w:p>
        </w:tc>
      </w:tr>
      <w:tr>
        <w:trPr>
          <w:trHeight w:val="112"/>
        </w:trPr>
        <w:tc>
          <w:tcPr>
            <w:tcW w:w="11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8"/>
              </w:rPr>
              <w:t>Days From Origination</w:t>
            </w:r>
          </w:p>
        </w:tc>
        <w:tc>
          <w:tcPr>
            <w:tcW w:w="292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gridSpan w:val="3"/>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Unrecoverable</w:t>
            </w: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100" w:type="dxa"/>
            <w:vAlign w:val="bottom"/>
            <w:tcBorders>
              <w:bottom w:val="single" w:sz="8" w:color="auto"/>
            </w:tcBorders>
            <w:vMerge w:val="continue"/>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21" w:lineRule="exact"/>
              <w:rPr>
                <w:sz w:val="20"/>
                <w:szCs w:val="20"/>
                <w:color w:val="auto"/>
              </w:rPr>
            </w:pPr>
            <w:r>
              <w:rPr>
                <w:rFonts w:ascii="Times New Roman" w:cs="Times New Roman" w:eastAsia="Times New Roman" w:hAnsi="Times New Roman"/>
                <w:sz w:val="11"/>
                <w:szCs w:val="11"/>
                <w:b w:val="1"/>
                <w:bCs w:val="1"/>
                <w:color w:val="auto"/>
              </w:rPr>
              <w:t>Advances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60"/>
              <w:spacing w:after="0" w:line="121" w:lineRule="exact"/>
              <w:rPr>
                <w:sz w:val="20"/>
                <w:szCs w:val="20"/>
                <w:color w:val="auto"/>
              </w:rPr>
            </w:pPr>
            <w:r>
              <w:rPr>
                <w:rFonts w:ascii="Times New Roman" w:cs="Times New Roman" w:eastAsia="Times New Roman" w:hAnsi="Times New Roman"/>
                <w:sz w:val="11"/>
                <w:szCs w:val="11"/>
                <w:b w:val="1"/>
                <w:bCs w:val="1"/>
                <w:color w:val="auto"/>
                <w:w w:val="97"/>
              </w:rPr>
              <w:t>Advances</w:t>
            </w:r>
          </w:p>
        </w:tc>
        <w:tc>
          <w:tcPr>
            <w:tcW w:w="720" w:type="dxa"/>
            <w:vAlign w:val="bottom"/>
            <w:gridSpan w:val="3"/>
          </w:tcPr>
          <w:p>
            <w:pPr>
              <w:ind w:left="20"/>
              <w:spacing w:after="0" w:line="121" w:lineRule="exact"/>
              <w:rPr>
                <w:sz w:val="20"/>
                <w:szCs w:val="20"/>
                <w:color w:val="auto"/>
              </w:rPr>
            </w:pPr>
            <w:r>
              <w:rPr>
                <w:rFonts w:ascii="Times New Roman" w:cs="Times New Roman" w:eastAsia="Times New Roman" w:hAnsi="Times New Roman"/>
                <w:sz w:val="11"/>
                <w:szCs w:val="11"/>
                <w:b w:val="1"/>
                <w:bCs w:val="1"/>
                <w:color w:val="auto"/>
              </w:rPr>
              <w:t>Advances, Net</w:t>
            </w:r>
          </w:p>
        </w:tc>
        <w:tc>
          <w:tcPr>
            <w:tcW w:w="0" w:type="dxa"/>
            <w:vAlign w:val="bottom"/>
          </w:tcPr>
          <w:p>
            <w:pPr>
              <w:spacing w:after="0"/>
              <w:rPr>
                <w:sz w:val="1"/>
                <w:szCs w:val="1"/>
                <w:color w:val="auto"/>
              </w:rPr>
            </w:pPr>
          </w:p>
        </w:tc>
      </w:tr>
      <w:tr>
        <w:trPr>
          <w:trHeight w:val="144"/>
        </w:trPr>
        <w:tc>
          <w:tcPr>
            <w:tcW w:w="1100" w:type="dxa"/>
            <w:vAlign w:val="bottom"/>
            <w:tcBorders>
              <w:top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1-10</w:t>
            </w:r>
          </w:p>
        </w:tc>
        <w:tc>
          <w:tcPr>
            <w:tcW w:w="29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39,910</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(1,313)</w:t>
            </w:r>
          </w:p>
        </w:tc>
        <w:tc>
          <w:tcPr>
            <w:tcW w:w="4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38,597</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11-30</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8,111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(2,084)</w:t>
            </w:r>
          </w:p>
        </w:tc>
        <w:tc>
          <w:tcPr>
            <w:tcW w:w="10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6,027</w:t>
            </w:r>
          </w:p>
        </w:tc>
        <w:tc>
          <w:tcPr>
            <w:tcW w:w="0" w:type="dxa"/>
            <w:vAlign w:val="bottom"/>
          </w:tcPr>
          <w:p>
            <w:pPr>
              <w:spacing w:after="0"/>
              <w:rPr>
                <w:sz w:val="1"/>
                <w:szCs w:val="1"/>
                <w:color w:val="auto"/>
              </w:rPr>
            </w:pPr>
          </w:p>
        </w:tc>
      </w:tr>
      <w:tr>
        <w:trPr>
          <w:trHeight w:val="163"/>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31-60</w:t>
            </w:r>
          </w:p>
        </w:tc>
        <w:tc>
          <w:tcPr>
            <w:tcW w:w="2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4,781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(2,652)</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2,129</w:t>
            </w:r>
          </w:p>
        </w:tc>
        <w:tc>
          <w:tcPr>
            <w:tcW w:w="0" w:type="dxa"/>
            <w:vAlign w:val="bottom"/>
          </w:tcPr>
          <w:p>
            <w:pPr>
              <w:spacing w:after="0"/>
              <w:rPr>
                <w:sz w:val="1"/>
                <w:szCs w:val="1"/>
                <w:color w:val="auto"/>
              </w:rPr>
            </w:pPr>
          </w:p>
        </w:tc>
      </w:tr>
      <w:tr>
        <w:trPr>
          <w:trHeight w:val="163"/>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61-90</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3,986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(2,735)</w:t>
            </w:r>
          </w:p>
        </w:tc>
        <w:tc>
          <w:tcPr>
            <w:tcW w:w="10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1,251</w:t>
            </w:r>
          </w:p>
        </w:tc>
        <w:tc>
          <w:tcPr>
            <w:tcW w:w="0" w:type="dxa"/>
            <w:vAlign w:val="bottom"/>
          </w:tcPr>
          <w:p>
            <w:pPr>
              <w:spacing w:after="0"/>
              <w:rPr>
                <w:sz w:val="1"/>
                <w:szCs w:val="1"/>
                <w:color w:val="auto"/>
              </w:rPr>
            </w:pPr>
          </w:p>
        </w:tc>
      </w:tr>
      <w:tr>
        <w:trPr>
          <w:trHeight w:val="163"/>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91-120</w:t>
            </w:r>
          </w:p>
        </w:tc>
        <w:tc>
          <w:tcPr>
            <w:tcW w:w="2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4,220</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(3,211)</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1,009</w:t>
            </w:r>
          </w:p>
        </w:tc>
        <w:tc>
          <w:tcPr>
            <w:tcW w:w="0" w:type="dxa"/>
            <w:vAlign w:val="bottom"/>
          </w:tcPr>
          <w:p>
            <w:pPr>
              <w:spacing w:after="0"/>
              <w:rPr>
                <w:sz w:val="1"/>
                <w:szCs w:val="1"/>
                <w:color w:val="auto"/>
              </w:rPr>
            </w:pPr>
          </w:p>
        </w:tc>
      </w:tr>
      <w:tr>
        <w:trPr>
          <w:trHeight w:val="170"/>
        </w:trPr>
        <w:tc>
          <w:tcPr>
            <w:tcW w:w="1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920" w:type="dxa"/>
            <w:vAlign w:val="bottom"/>
          </w:tcPr>
          <w:p>
            <w:pPr>
              <w:spacing w:after="0"/>
              <w:rPr>
                <w:sz w:val="14"/>
                <w:szCs w:val="14"/>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61,008</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(11,995)</w:t>
            </w:r>
          </w:p>
        </w:tc>
        <w:tc>
          <w:tcPr>
            <w:tcW w:w="440" w:type="dxa"/>
            <w:vAlign w:val="bottom"/>
          </w:tcPr>
          <w:p>
            <w:pPr>
              <w:spacing w:after="0"/>
              <w:rPr>
                <w:sz w:val="14"/>
                <w:szCs w:val="14"/>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49,013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1480" w:right="599"/>
        <w:spacing w:after="0" w:line="264" w:lineRule="auto"/>
        <w:rPr>
          <w:sz w:val="20"/>
          <w:szCs w:val="20"/>
          <w:color w:val="auto"/>
        </w:rPr>
      </w:pPr>
      <w:r>
        <w:rPr>
          <w:rFonts w:ascii="Times New Roman" w:cs="Times New Roman" w:eastAsia="Times New Roman" w:hAnsi="Times New Roman"/>
          <w:sz w:val="14"/>
          <w:szCs w:val="14"/>
          <w:color w:val="auto"/>
        </w:rPr>
        <w:t>Member advances, net, represent outstanding advances, tips, and processing fees, net of direct origination costs, less an allowance for unrecoverable advances.</w:t>
      </w:r>
    </w:p>
    <w:p>
      <w:pPr>
        <w:spacing w:after="0" w:line="13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roll-forward of the allowance for unrecoverable advances is as follows (dollars in thousands):</w:t>
      </w:r>
    </w:p>
    <w:p>
      <w:pPr>
        <w:spacing w:after="0" w:line="199" w:lineRule="exact"/>
        <w:rPr>
          <w:sz w:val="20"/>
          <w:szCs w:val="20"/>
          <w:color w:val="auto"/>
        </w:rPr>
      </w:pPr>
    </w:p>
    <w:tbl>
      <w:tblPr>
        <w:tblLayout w:type="fixed"/>
        <w:tblInd w:w="1480" w:type="dxa"/>
        <w:tblCellMar>
          <w:top w:w="0" w:type="dxa"/>
          <w:left w:w="0" w:type="dxa"/>
          <w:bottom w:w="0" w:type="dxa"/>
          <w:right w:w="0" w:type="dxa"/>
        </w:tblCellMar>
      </w:tblPr>
      <w:tr>
        <w:trPr>
          <w:trHeight w:val="163"/>
        </w:trPr>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Opening allowance balance at January 1, 2022</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$11,995</w:t>
            </w:r>
          </w:p>
        </w:tc>
        <w:tc>
          <w:tcPr>
            <w:tcW w:w="80" w:type="dxa"/>
            <w:vAlign w:val="bottom"/>
            <w:shd w:val="clear" w:color="auto" w:fill="CCEEFF"/>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Plus: provision for unrecoverable advances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13,785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amounts written-off</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7"/>
              </w:rPr>
              <w:t>(9,440)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000" w:type="dxa"/>
            <w:vAlign w:val="bottom"/>
          </w:tcPr>
          <w:p>
            <w:pPr>
              <w:spacing w:after="0"/>
              <w:rPr>
                <w:sz w:val="14"/>
                <w:szCs w:val="14"/>
                <w:color w:val="auto"/>
              </w:rPr>
            </w:pPr>
          </w:p>
        </w:tc>
        <w:tc>
          <w:tcPr>
            <w:tcW w:w="39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Ending allowance balance at March 31, 2022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w w:val="92"/>
              </w:rPr>
              <w:t>$</w:t>
            </w:r>
            <w:r>
              <w:rPr>
                <w:rFonts w:ascii="Times New Roman" w:cs="Times New Roman" w:eastAsia="Times New Roman" w:hAnsi="Times New Roman"/>
                <w:sz w:val="14"/>
                <w:szCs w:val="14"/>
                <w:b w:val="1"/>
                <w:bCs w:val="1"/>
                <w:color w:val="auto"/>
                <w:w w:val="92"/>
              </w:rPr>
              <w:t>16,340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000" w:type="dxa"/>
            <w:vAlign w:val="bottom"/>
            <w:vMerge w:val="restart"/>
          </w:tcPr>
          <w:p>
            <w:pPr>
              <w:spacing w:after="0"/>
              <w:rPr>
                <w:sz w:val="16"/>
                <w:szCs w:val="16"/>
                <w:color w:val="auto"/>
              </w:rPr>
            </w:pPr>
          </w:p>
        </w:tc>
        <w:tc>
          <w:tcPr>
            <w:tcW w:w="340" w:type="dxa"/>
            <w:vAlign w:val="bottom"/>
            <w:vMerge w:val="restart"/>
          </w:tcPr>
          <w:p>
            <w:pPr>
              <w:spacing w:after="0"/>
              <w:rPr>
                <w:sz w:val="16"/>
                <w:szCs w:val="16"/>
                <w:color w:val="auto"/>
              </w:rPr>
            </w:pPr>
          </w:p>
        </w:tc>
        <w:tc>
          <w:tcPr>
            <w:tcW w:w="3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gridSpan w:val="4"/>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0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Opening allowance balance at January 1. 2021</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$12,580</w:t>
            </w:r>
          </w:p>
        </w:tc>
        <w:tc>
          <w:tcPr>
            <w:tcW w:w="80" w:type="dxa"/>
            <w:vAlign w:val="bottom"/>
            <w:shd w:val="clear" w:color="auto" w:fill="CCEEFF"/>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Plus: provision for unrecoverable advances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amounts written-off</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7"/>
              </w:rPr>
              <w:t>(7,675)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000" w:type="dxa"/>
            <w:vAlign w:val="bottom"/>
          </w:tcPr>
          <w:p>
            <w:pPr>
              <w:spacing w:after="0"/>
              <w:rPr>
                <w:sz w:val="14"/>
                <w:szCs w:val="14"/>
                <w:color w:val="auto"/>
              </w:rPr>
            </w:pPr>
          </w:p>
        </w:tc>
        <w:tc>
          <w:tcPr>
            <w:tcW w:w="39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Ending allowance balance at March 31, 2021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8,443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8"/>
        </w:trPr>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 7 Property and Equipment, net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Property and Equipment, Net consisted of the following (dollars in thousands):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March 31, 2022</w:t>
            </w:r>
          </w:p>
        </w:tc>
        <w:tc>
          <w:tcPr>
            <w:tcW w:w="1280" w:type="dxa"/>
            <w:vAlign w:val="bottom"/>
            <w:gridSpan w:val="8"/>
          </w:tcPr>
          <w:p>
            <w:pPr>
              <w:ind w:left="32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0" w:type="dxa"/>
            <w:vAlign w:val="bottom"/>
          </w:tcPr>
          <w:p>
            <w:pPr>
              <w:spacing w:after="0"/>
              <w:rPr>
                <w:sz w:val="1"/>
                <w:szCs w:val="1"/>
                <w:color w:val="auto"/>
              </w:rPr>
            </w:pPr>
          </w:p>
        </w:tc>
      </w:tr>
      <w:tr>
        <w:trPr>
          <w:trHeight w:val="154"/>
        </w:trPr>
        <w:tc>
          <w:tcPr>
            <w:tcW w:w="1000" w:type="dxa"/>
            <w:vAlign w:val="bottom"/>
          </w:tcPr>
          <w:p>
            <w:pPr>
              <w:spacing w:after="0"/>
              <w:rPr>
                <w:sz w:val="13"/>
                <w:szCs w:val="13"/>
                <w:color w:val="auto"/>
              </w:rPr>
            </w:pPr>
          </w:p>
        </w:tc>
        <w:tc>
          <w:tcPr>
            <w:tcW w:w="3980" w:type="dxa"/>
            <w:vAlign w:val="bottom"/>
            <w:tcBorders>
              <w:top w:val="single" w:sz="8" w:color="CCEEFF"/>
            </w:tcBorders>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Computer equipment</w:t>
            </w: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916</w:t>
            </w:r>
          </w:p>
        </w:tc>
        <w:tc>
          <w:tcPr>
            <w:tcW w:w="34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gridSpan w:val="3"/>
            <w:shd w:val="clear" w:color="auto" w:fill="CCEEFF"/>
          </w:tcPr>
          <w:p>
            <w:pPr>
              <w:jc w:val="right"/>
              <w:ind w:right="20"/>
              <w:spacing w:after="0" w:line="154" w:lineRule="exact"/>
              <w:rPr>
                <w:sz w:val="20"/>
                <w:szCs w:val="20"/>
                <w:color w:val="auto"/>
              </w:rPr>
            </w:pPr>
            <w:r>
              <w:rPr>
                <w:rFonts w:ascii="Times New Roman" w:cs="Times New Roman" w:eastAsia="Times New Roman" w:hAnsi="Times New Roman"/>
                <w:sz w:val="14"/>
                <w:szCs w:val="14"/>
                <w:color w:val="auto"/>
              </w:rPr>
              <w:t>664</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000" w:type="dxa"/>
            <w:vAlign w:val="bottom"/>
          </w:tcPr>
          <w:p>
            <w:pPr>
              <w:spacing w:after="0"/>
              <w:rPr>
                <w:sz w:val="14"/>
                <w:szCs w:val="14"/>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384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00" w:type="dxa"/>
            <w:vAlign w:val="bottom"/>
          </w:tcPr>
          <w:p>
            <w:pPr>
              <w:spacing w:after="0"/>
              <w:rPr>
                <w:sz w:val="14"/>
                <w:szCs w:val="14"/>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98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Total property and equipment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1,314</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1,062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00" w:type="dxa"/>
            <w:vAlign w:val="bottom"/>
          </w:tcPr>
          <w:p>
            <w:pPr>
              <w:spacing w:after="0"/>
              <w:rPr>
                <w:sz w:val="14"/>
                <w:szCs w:val="14"/>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(465)</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(377)</w:t>
            </w:r>
          </w:p>
        </w:tc>
        <w:tc>
          <w:tcPr>
            <w:tcW w:w="0" w:type="dxa"/>
            <w:vAlign w:val="bottom"/>
          </w:tcPr>
          <w:p>
            <w:pPr>
              <w:spacing w:after="0"/>
              <w:rPr>
                <w:sz w:val="1"/>
                <w:szCs w:val="1"/>
                <w:color w:val="auto"/>
              </w:rPr>
            </w:pPr>
          </w:p>
        </w:tc>
      </w:tr>
      <w:tr>
        <w:trPr>
          <w:trHeight w:val="164"/>
        </w:trPr>
        <w:tc>
          <w:tcPr>
            <w:tcW w:w="498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Property and equipment, net</w:t>
            </w:r>
          </w:p>
        </w:tc>
        <w:tc>
          <w:tcPr>
            <w:tcW w:w="20" w:type="dxa"/>
            <w:vAlign w:val="bottom"/>
            <w:tcBorders>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849</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685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480" w:right="379"/>
        <w:spacing w:after="0" w:line="254" w:lineRule="auto"/>
        <w:rPr>
          <w:sz w:val="20"/>
          <w:szCs w:val="20"/>
          <w:color w:val="auto"/>
        </w:rPr>
      </w:pPr>
      <w:r>
        <w:rPr>
          <w:rFonts w:ascii="Times New Roman" w:cs="Times New Roman" w:eastAsia="Times New Roman" w:hAnsi="Times New Roman"/>
          <w:sz w:val="14"/>
          <w:szCs w:val="14"/>
          <w:color w:val="auto"/>
        </w:rPr>
        <w:t>Depreciation expense for the three months ended March 31, 2022 and 2021, was approximately $0.04 million and $0.09 million, respectively. As of March 31, 2022 the Company had no outstanding commitments for the purchase of property and equipment and as of December 31, 2021, the Company had outstanding commitments for the purchase of property and equipment totaling approximately $0.03 million.</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Note 8 Intangible Assets, Net</w:t>
      </w:r>
    </w:p>
    <w:p>
      <w:pPr>
        <w:spacing w:after="0" w:line="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Company’s Intangible assets, net consisted of the following (in thousands):</w:t>
      </w:r>
    </w:p>
    <w:p>
      <w:pPr>
        <w:spacing w:after="0" w:line="180" w:lineRule="exact"/>
        <w:rPr>
          <w:sz w:val="20"/>
          <w:szCs w:val="20"/>
          <w:color w:val="auto"/>
        </w:rPr>
      </w:pPr>
    </w:p>
    <w:tbl>
      <w:tblPr>
        <w:tblLayout w:type="fixed"/>
        <w:tblInd w:w="148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1"/>
                <w:szCs w:val="11"/>
                <w:b w:val="1"/>
                <w:bCs w:val="1"/>
                <w:color w:val="auto"/>
                <w:w w:val="98"/>
              </w:rPr>
              <w:t>March 31, 2022</w:t>
            </w: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jc w:val="right"/>
              <w:ind w:right="81"/>
              <w:spacing w:after="0" w:line="84" w:lineRule="exact"/>
              <w:rPr>
                <w:sz w:val="20"/>
                <w:szCs w:val="20"/>
                <w:color w:val="auto"/>
              </w:rPr>
            </w:pPr>
            <w:r>
              <w:rPr>
                <w:rFonts w:ascii="Times New Roman" w:cs="Times New Roman" w:eastAsia="Times New Roman" w:hAnsi="Times New Roman"/>
                <w:sz w:val="9"/>
                <w:szCs w:val="9"/>
                <w:b w:val="1"/>
                <w:bCs w:val="1"/>
                <w:color w:val="auto"/>
              </w:rPr>
              <w:t>Weighted</w:t>
            </w: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Gross Carrying</w:t>
            </w:r>
          </w:p>
        </w:tc>
        <w:tc>
          <w:tcPr>
            <w:tcW w:w="960" w:type="dxa"/>
            <w:vAlign w:val="bottom"/>
            <w:gridSpan w:val="4"/>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9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w w:val="97"/>
              </w:rPr>
              <w:t>Gross Carrying</w:t>
            </w:r>
          </w:p>
        </w:tc>
        <w:tc>
          <w:tcPr>
            <w:tcW w:w="102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9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Average Useful</w:t>
            </w:r>
          </w:p>
        </w:tc>
        <w:tc>
          <w:tcPr>
            <w:tcW w:w="960" w:type="dxa"/>
            <w:vAlign w:val="bottom"/>
            <w:gridSpan w:val="3"/>
            <w:vMerge w:val="continue"/>
          </w:tcPr>
          <w:p>
            <w:pPr>
              <w:spacing w:after="0"/>
              <w:rPr>
                <w:sz w:val="9"/>
                <w:szCs w:val="9"/>
                <w:color w:val="auto"/>
              </w:rPr>
            </w:pPr>
          </w:p>
        </w:tc>
        <w:tc>
          <w:tcPr>
            <w:tcW w:w="960" w:type="dxa"/>
            <w:vAlign w:val="bottom"/>
            <w:gridSpan w:val="4"/>
            <w:vMerge w:val="continue"/>
          </w:tcPr>
          <w:p>
            <w:pPr>
              <w:spacing w:after="0"/>
              <w:rPr>
                <w:sz w:val="9"/>
                <w:szCs w:val="9"/>
                <w:color w:val="auto"/>
              </w:rPr>
            </w:pPr>
          </w:p>
        </w:tc>
        <w:tc>
          <w:tcPr>
            <w:tcW w:w="8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w w:val="94"/>
              </w:rPr>
              <w:t>Net Book Value</w:t>
            </w:r>
          </w:p>
        </w:tc>
        <w:tc>
          <w:tcPr>
            <w:tcW w:w="960" w:type="dxa"/>
            <w:vAlign w:val="bottom"/>
            <w:gridSpan w:val="3"/>
            <w:vMerge w:val="continue"/>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820" w:type="dxa"/>
            <w:vAlign w:val="bottom"/>
            <w:gridSpan w:val="4"/>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Net Book Value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jc w:val="right"/>
              <w:ind w:right="181"/>
              <w:spacing w:after="0"/>
              <w:rPr>
                <w:sz w:val="20"/>
                <w:szCs w:val="20"/>
                <w:color w:val="auto"/>
              </w:rPr>
            </w:pPr>
            <w:r>
              <w:rPr>
                <w:rFonts w:ascii="Times New Roman" w:cs="Times New Roman" w:eastAsia="Times New Roman" w:hAnsi="Times New Roman"/>
                <w:sz w:val="11"/>
                <w:szCs w:val="11"/>
                <w:b w:val="1"/>
                <w:bCs w:val="1"/>
                <w:color w:val="auto"/>
              </w:rPr>
              <w:t>Lives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Value</w:t>
            </w:r>
          </w:p>
        </w:tc>
        <w:tc>
          <w:tcPr>
            <w:tcW w:w="960" w:type="dxa"/>
            <w:vAlign w:val="bottom"/>
            <w:gridSpan w:val="4"/>
          </w:tcPr>
          <w:p>
            <w:pPr>
              <w:ind w:left="20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8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175"/>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020" w:type="dxa"/>
            <w:vAlign w:val="bottom"/>
            <w:gridSpan w:val="4"/>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8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84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Internally developed software</w:t>
            </w:r>
          </w:p>
        </w:tc>
        <w:tc>
          <w:tcPr>
            <w:tcW w:w="24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3.0 Years</w:t>
            </w: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15,367</w:t>
            </w:r>
          </w:p>
        </w:tc>
        <w:tc>
          <w:tcPr>
            <w:tcW w:w="2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w w:val="88"/>
              </w:rPr>
              <w:t>(6,357)</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9,010</w:t>
            </w: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13,109</w:t>
            </w: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(5,342)</w:t>
            </w:r>
          </w:p>
        </w:tc>
        <w:tc>
          <w:tcPr>
            <w:tcW w:w="1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7,767</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Domain name</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 Years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(39)</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Intangible assets, net</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15,488</w:t>
            </w: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7"/>
              </w:rPr>
              <w:t>(6,398)</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9,090</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13,230</w:t>
            </w:r>
          </w:p>
        </w:tc>
        <w:tc>
          <w:tcPr>
            <w:tcW w:w="38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(5,381)</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7,849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tbl>
      <w:tblPr>
        <w:tblLayout w:type="fixed"/>
        <w:tblInd w:w="1480" w:type="dxa"/>
        <w:tblCellMar>
          <w:top w:w="0" w:type="dxa"/>
          <w:left w:w="0" w:type="dxa"/>
          <w:bottom w:w="0" w:type="dxa"/>
          <w:right w:w="0" w:type="dxa"/>
        </w:tblCellMar>
      </w:tblPr>
      <w:tr>
        <w:trPr>
          <w:trHeight w:val="175"/>
        </w:trPr>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future estimated amortization expenses as of March 31, 2022, were as follows (in thousands):</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340" w:type="dxa"/>
            <w:vAlign w:val="bottom"/>
            <w:vMerge w:val="restart"/>
          </w:tcPr>
          <w:p>
            <w:pPr>
              <w:spacing w:after="0"/>
              <w:rPr>
                <w:sz w:val="16"/>
                <w:szCs w:val="16"/>
                <w:color w:val="auto"/>
              </w:rPr>
            </w:pPr>
          </w:p>
        </w:tc>
        <w:tc>
          <w:tcPr>
            <w:tcW w:w="4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340" w:type="dxa"/>
            <w:vAlign w:val="bottom"/>
            <w:vMerge w:val="continue"/>
          </w:tcPr>
          <w:p>
            <w:pPr>
              <w:spacing w:after="0"/>
              <w:rPr>
                <w:sz w:val="14"/>
                <w:szCs w:val="14"/>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2022 (remaining)</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$3,269</w:t>
            </w:r>
          </w:p>
        </w:tc>
        <w:tc>
          <w:tcPr>
            <w:tcW w:w="0" w:type="dxa"/>
            <w:vAlign w:val="bottom"/>
          </w:tcPr>
          <w:p>
            <w:pPr>
              <w:spacing w:after="0"/>
              <w:rPr>
                <w:sz w:val="1"/>
                <w:szCs w:val="1"/>
                <w:color w:val="auto"/>
              </w:rPr>
            </w:pPr>
          </w:p>
        </w:tc>
      </w:tr>
      <w:tr>
        <w:trPr>
          <w:trHeight w:val="163"/>
        </w:trPr>
        <w:tc>
          <w:tcPr>
            <w:tcW w:w="134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2023</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3,604</w:t>
            </w:r>
          </w:p>
        </w:tc>
        <w:tc>
          <w:tcPr>
            <w:tcW w:w="0" w:type="dxa"/>
            <w:vAlign w:val="bottom"/>
          </w:tcPr>
          <w:p>
            <w:pPr>
              <w:spacing w:after="0"/>
              <w:rPr>
                <w:sz w:val="1"/>
                <w:szCs w:val="1"/>
                <w:color w:val="auto"/>
              </w:rPr>
            </w:pPr>
          </w:p>
        </w:tc>
      </w:tr>
      <w:tr>
        <w:trPr>
          <w:trHeight w:val="163"/>
        </w:trPr>
        <w:tc>
          <w:tcPr>
            <w:tcW w:w="1340" w:type="dxa"/>
            <w:vAlign w:val="bottom"/>
          </w:tcPr>
          <w:p>
            <w:pPr>
              <w:spacing w:after="0"/>
              <w:rPr>
                <w:sz w:val="14"/>
                <w:szCs w:val="14"/>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0" w:type="dxa"/>
            <w:vAlign w:val="bottom"/>
          </w:tcPr>
          <w:p>
            <w:pPr>
              <w:spacing w:after="0"/>
              <w:rPr>
                <w:sz w:val="1"/>
                <w:szCs w:val="1"/>
                <w:color w:val="auto"/>
              </w:rPr>
            </w:pPr>
          </w:p>
        </w:tc>
      </w:tr>
    </w:tbl>
    <w:p>
      <w:pPr>
        <w:sectPr>
          <w:pgSz w:w="11900" w:h="16838" w:orient="portrait"/>
          <w:cols w:equalWidth="0" w:num="1">
            <w:col w:w="10159"/>
          </w:cols>
          <w:pgMar w:left="300" w:top="399" w:right="1440" w:bottom="0" w:gutter="0" w:footer="0" w:header="0"/>
        </w:sectPr>
      </w:pPr>
    </w:p>
    <w:bookmarkStart w:id="31" w:name="page32"/>
    <w:bookmarkEnd w:id="31"/>
    <w:p>
      <w:pPr>
        <w:spacing w:after="0" w:line="1" w:lineRule="exact"/>
        <w:rPr>
          <w:sz w:val="20"/>
          <w:szCs w:val="20"/>
          <w:color w:val="auto"/>
        </w:rPr>
      </w:pPr>
    </w:p>
    <w:tbl>
      <w:tblPr>
        <w:tblLayout w:type="fixed"/>
        <w:tblInd w:w="1680" w:type="dxa"/>
        <w:tblCellMar>
          <w:top w:w="0" w:type="dxa"/>
          <w:left w:w="0" w:type="dxa"/>
          <w:bottom w:w="0" w:type="dxa"/>
          <w:right w:w="0" w:type="dxa"/>
        </w:tblCellMar>
      </w:tblPr>
      <w:tr>
        <w:trPr>
          <w:trHeight w:val="175"/>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2025</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4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Thereafter</w:t>
            </w:r>
          </w:p>
        </w:tc>
        <w:tc>
          <w:tcPr>
            <w:tcW w:w="18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4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future amortization</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9,090</w:t>
            </w:r>
          </w:p>
        </w:tc>
        <w:tc>
          <w:tcPr>
            <w:tcW w:w="4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879"/>
        <w:spacing w:after="0" w:line="264" w:lineRule="auto"/>
        <w:rPr>
          <w:sz w:val="20"/>
          <w:szCs w:val="20"/>
          <w:color w:val="auto"/>
        </w:rPr>
      </w:pPr>
      <w:r>
        <w:rPr>
          <w:rFonts w:ascii="Times New Roman" w:cs="Times New Roman" w:eastAsia="Times New Roman" w:hAnsi="Times New Roman"/>
          <w:sz w:val="14"/>
          <w:szCs w:val="14"/>
          <w:color w:val="auto"/>
        </w:rPr>
        <w:t>Amortization expense for the three months ended March 31, 2022 and 2021, was approximately $1.0 million and $0.6 million, respectively. No impairment charges were recognized related to long-lived assets for the three months ended March 31, 2022 and 2021.</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Note 9 Accrued Expenses</w:t>
      </w:r>
    </w:p>
    <w:p>
      <w:pPr>
        <w:spacing w:after="0" w:line="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Accrued expenses consisted of the following (dollars in thousands):</w:t>
      </w:r>
    </w:p>
    <w:p>
      <w:pPr>
        <w:spacing w:after="0" w:line="180" w:lineRule="exact"/>
        <w:rPr>
          <w:sz w:val="20"/>
          <w:szCs w:val="20"/>
          <w:color w:val="auto"/>
        </w:rPr>
      </w:pPr>
    </w:p>
    <w:tbl>
      <w:tblPr>
        <w:tblLayout w:type="fixed"/>
        <w:tblInd w:w="1340" w:type="dxa"/>
        <w:tblCellMar>
          <w:top w:w="0" w:type="dxa"/>
          <w:left w:w="0" w:type="dxa"/>
          <w:bottom w:w="0" w:type="dxa"/>
          <w:right w:w="0" w:type="dxa"/>
        </w:tblCellMar>
      </w:tblPr>
      <w:tr>
        <w:trPr>
          <w:trHeight w:val="131"/>
        </w:trPr>
        <w:tc>
          <w:tcPr>
            <w:tcW w:w="2620" w:type="dxa"/>
            <w:vAlign w:val="bottom"/>
          </w:tcPr>
          <w:p>
            <w:pPr>
              <w:spacing w:after="0"/>
              <w:rPr>
                <w:sz w:val="11"/>
                <w:szCs w:val="11"/>
                <w:color w:val="auto"/>
              </w:rPr>
            </w:pPr>
          </w:p>
        </w:tc>
        <w:tc>
          <w:tcPr>
            <w:tcW w:w="2280" w:type="dxa"/>
            <w:vAlign w:val="bottom"/>
            <w:gridSpan w:val="3"/>
          </w:tcPr>
          <w:p>
            <w:pPr>
              <w:ind w:left="1540"/>
              <w:spacing w:after="0"/>
              <w:rPr>
                <w:sz w:val="20"/>
                <w:szCs w:val="20"/>
                <w:color w:val="auto"/>
              </w:rPr>
            </w:pPr>
            <w:r>
              <w:rPr>
                <w:rFonts w:ascii="Times New Roman" w:cs="Times New Roman" w:eastAsia="Times New Roman" w:hAnsi="Times New Roman"/>
                <w:sz w:val="11"/>
                <w:szCs w:val="11"/>
                <w:b w:val="1"/>
                <w:bCs w:val="1"/>
                <w:color w:val="auto"/>
                <w:w w:val="98"/>
              </w:rPr>
              <w:t>March 31, 2022</w:t>
            </w:r>
          </w:p>
        </w:tc>
        <w:tc>
          <w:tcPr>
            <w:tcW w:w="1440" w:type="dxa"/>
            <w:vAlign w:val="bottom"/>
            <w:gridSpan w:val="4"/>
          </w:tcPr>
          <w:p>
            <w:pPr>
              <w:ind w:left="520"/>
              <w:spacing w:after="0"/>
              <w:rPr>
                <w:sz w:val="20"/>
                <w:szCs w:val="20"/>
                <w:color w:val="auto"/>
              </w:rPr>
            </w:pPr>
            <w:r>
              <w:rPr>
                <w:rFonts w:ascii="Times New Roman" w:cs="Times New Roman" w:eastAsia="Times New Roman" w:hAnsi="Times New Roman"/>
                <w:sz w:val="11"/>
                <w:szCs w:val="11"/>
                <w:b w:val="1"/>
                <w:bCs w:val="1"/>
                <w:color w:val="auto"/>
              </w:rPr>
              <w:t>December 31, 2021</w:t>
            </w:r>
          </w:p>
        </w:tc>
      </w:tr>
      <w:tr>
        <w:trPr>
          <w:trHeight w:val="154"/>
        </w:trPr>
        <w:tc>
          <w:tcPr>
            <w:tcW w:w="262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Accrued charitable contributions</w:t>
            </w:r>
          </w:p>
        </w:tc>
        <w:tc>
          <w:tcPr>
            <w:tcW w:w="15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5,868</w:t>
            </w:r>
          </w:p>
        </w:tc>
        <w:tc>
          <w:tcPr>
            <w:tcW w:w="5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7,164</w:t>
            </w:r>
          </w:p>
        </w:tc>
        <w:tc>
          <w:tcPr>
            <w:tcW w:w="40" w:type="dxa"/>
            <w:vAlign w:val="bottom"/>
            <w:tcBorders>
              <w:top w:val="single" w:sz="8" w:color="CCEEFF"/>
            </w:tcBorders>
            <w:shd w:val="clear" w:color="auto" w:fill="CCEEFF"/>
          </w:tcPr>
          <w:p>
            <w:pPr>
              <w:spacing w:after="0"/>
              <w:rPr>
                <w:sz w:val="13"/>
                <w:szCs w:val="13"/>
                <w:color w:val="auto"/>
              </w:rPr>
            </w:pPr>
          </w:p>
        </w:tc>
      </w:tr>
      <w:tr>
        <w:trPr>
          <w:trHeight w:val="163"/>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Accrued compensation</w:t>
            </w: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w:t>
            </w:r>
          </w:p>
        </w:tc>
        <w:tc>
          <w:tcPr>
            <w:tcW w:w="40" w:type="dxa"/>
            <w:vAlign w:val="bottom"/>
          </w:tcPr>
          <w:p>
            <w:pPr>
              <w:spacing w:after="0"/>
              <w:rPr>
                <w:sz w:val="14"/>
                <w:szCs w:val="14"/>
                <w:color w:val="auto"/>
              </w:rPr>
            </w:pPr>
          </w:p>
        </w:tc>
      </w:tr>
      <w:tr>
        <w:trPr>
          <w:trHeight w:val="16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tax payable</w:t>
            </w:r>
          </w:p>
        </w:tc>
        <w:tc>
          <w:tcPr>
            <w:tcW w:w="1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40" w:type="dxa"/>
            <w:vAlign w:val="bottom"/>
            <w:shd w:val="clear" w:color="auto" w:fill="CCEEFF"/>
          </w:tcPr>
          <w:p>
            <w:pPr>
              <w:spacing w:after="0"/>
              <w:rPr>
                <w:sz w:val="14"/>
                <w:szCs w:val="14"/>
                <w:color w:val="auto"/>
              </w:rPr>
            </w:pPr>
          </w:p>
        </w:tc>
      </w:tr>
      <w:tr>
        <w:trPr>
          <w:trHeight w:val="163"/>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Accrued professional and program fees</w:t>
            </w: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w:t>
            </w:r>
          </w:p>
        </w:tc>
        <w:tc>
          <w:tcPr>
            <w:tcW w:w="40" w:type="dxa"/>
            <w:vAlign w:val="bottom"/>
          </w:tcPr>
          <w:p>
            <w:pPr>
              <w:spacing w:after="0"/>
              <w:rPr>
                <w:sz w:val="14"/>
                <w:szCs w:val="14"/>
                <w:color w:val="auto"/>
              </w:rPr>
            </w:pPr>
          </w:p>
        </w:tc>
      </w:tr>
      <w:tr>
        <w:trPr>
          <w:trHeight w:val="16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5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5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40" w:type="dxa"/>
            <w:vAlign w:val="bottom"/>
            <w:shd w:val="clear" w:color="auto" w:fill="CCEEFF"/>
          </w:tcPr>
          <w:p>
            <w:pPr>
              <w:spacing w:after="0"/>
              <w:rPr>
                <w:sz w:val="14"/>
                <w:szCs w:val="14"/>
                <w:color w:val="auto"/>
              </w:rPr>
            </w:pPr>
          </w:p>
        </w:tc>
      </w:tr>
      <w:tr>
        <w:trPr>
          <w:trHeight w:val="164"/>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40" w:type="dxa"/>
            <w:vAlign w:val="bottom"/>
          </w:tcPr>
          <w:p>
            <w:pPr>
              <w:spacing w:after="0"/>
              <w:rPr>
                <w:sz w:val="14"/>
                <w:szCs w:val="14"/>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11,609</w:t>
            </w:r>
          </w:p>
        </w:tc>
        <w:tc>
          <w:tcPr>
            <w:tcW w:w="52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13,045</w:t>
            </w:r>
          </w:p>
        </w:tc>
        <w:tc>
          <w:tcPr>
            <w:tcW w:w="40" w:type="dxa"/>
            <w:vAlign w:val="bottom"/>
          </w:tcPr>
          <w:p>
            <w:pPr>
              <w:spacing w:after="0"/>
              <w:rPr>
                <w:sz w:val="14"/>
                <w:szCs w:val="14"/>
                <w:color w:val="auto"/>
              </w:rPr>
            </w:pPr>
          </w:p>
        </w:tc>
      </w:tr>
      <w:tr>
        <w:trPr>
          <w:trHeight w:val="275"/>
        </w:trPr>
        <w:tc>
          <w:tcPr>
            <w:tcW w:w="2620" w:type="dxa"/>
            <w:vAlign w:val="bottom"/>
          </w:tcPr>
          <w:p>
            <w:pPr>
              <w:spacing w:after="0"/>
              <w:rPr>
                <w:sz w:val="23"/>
                <w:szCs w:val="23"/>
                <w:color w:val="auto"/>
              </w:rPr>
            </w:pPr>
          </w:p>
        </w:tc>
        <w:tc>
          <w:tcPr>
            <w:tcW w:w="1540" w:type="dxa"/>
            <w:vAlign w:val="bottom"/>
          </w:tcPr>
          <w:p>
            <w:pPr>
              <w:jc w:val="right"/>
              <w:ind w:right="859"/>
              <w:spacing w:after="0"/>
              <w:rPr>
                <w:sz w:val="20"/>
                <w:szCs w:val="20"/>
                <w:color w:val="auto"/>
              </w:rPr>
            </w:pPr>
            <w:r>
              <w:rPr>
                <w:rFonts w:ascii="Times New Roman" w:cs="Times New Roman" w:eastAsia="Times New Roman" w:hAnsi="Times New Roman"/>
                <w:sz w:val="14"/>
                <w:szCs w:val="14"/>
                <w:color w:val="auto"/>
              </w:rPr>
              <w:t>29</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ectPr>
          <w:pgSz w:w="11900" w:h="16838" w:orient="portrait"/>
          <w:cols w:equalWidth="0" w:num="1">
            <w:col w:w="9019"/>
          </w:cols>
          <w:pgMar w:left="1440" w:top="127"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Dave Inc.</w:t>
      </w:r>
    </w:p>
    <w:p>
      <w:pPr>
        <w:spacing w:after="0" w:line="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Notes to the Unaudited Condensed Consolidated Financial Statements</w:t>
      </w:r>
    </w:p>
    <w:p>
      <w:pPr>
        <w:spacing w:after="0" w:line="103" w:lineRule="exact"/>
        <w:rPr>
          <w:sz w:val="20"/>
          <w:szCs w:val="20"/>
          <w:color w:val="auto"/>
        </w:rPr>
      </w:pPr>
    </w:p>
    <w:p>
      <w:pPr>
        <w:ind w:left="1480" w:right="539"/>
        <w:spacing w:after="0" w:line="248" w:lineRule="auto"/>
        <w:rPr>
          <w:sz w:val="20"/>
          <w:szCs w:val="20"/>
          <w:color w:val="auto"/>
        </w:rPr>
      </w:pPr>
      <w:r>
        <w:rPr>
          <w:rFonts w:ascii="Times New Roman" w:cs="Times New Roman" w:eastAsia="Times New Roman" w:hAnsi="Times New Roman"/>
          <w:sz w:val="14"/>
          <w:szCs w:val="14"/>
          <w:color w:val="auto"/>
        </w:rPr>
        <w:t>Accrued charitable contributions include amounts the Company has pledged related to charitable meal donations. The Company uses a portion of tips received to make a charitable cash donation to third parties who use the funds to provide meals to those in need. For the three month periods ended March 31, 2022 and 2021, the Company pledged approximately $1.0 million (unaudited) and $1.2 million (unaudited) related to charitable donations, respectively. These costs are expensed as incurred and are presented within other general and administrative expenses in the condensed consolidated statements of operations.</w:t>
      </w:r>
    </w:p>
    <w:p>
      <w:pPr>
        <w:spacing w:after="0" w:line="14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color w:val="auto"/>
        </w:rPr>
        <w:t>Accrued compensation includes accrued bonuses and one half of the portion of employer Social Security payroll taxes deferred under the CARES Act.</w:t>
      </w:r>
    </w:p>
    <w:p>
      <w:pPr>
        <w:spacing w:after="0" w:line="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Other accrued expenses include accrued professional fees, legal fees, and accrued banking and program fees.</w:t>
      </w:r>
    </w:p>
    <w:p>
      <w:pPr>
        <w:spacing w:after="0" w:line="2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Note 10 Line of Credit</w:t>
      </w:r>
    </w:p>
    <w:p>
      <w:pPr>
        <w:spacing w:after="0" w:line="88" w:lineRule="exact"/>
        <w:rPr>
          <w:sz w:val="20"/>
          <w:szCs w:val="20"/>
          <w:color w:val="auto"/>
        </w:rPr>
      </w:pPr>
    </w:p>
    <w:p>
      <w:pPr>
        <w:ind w:left="1480" w:right="399"/>
        <w:spacing w:after="0" w:line="250" w:lineRule="auto"/>
        <w:rPr>
          <w:sz w:val="20"/>
          <w:szCs w:val="20"/>
          <w:color w:val="auto"/>
        </w:rPr>
      </w:pPr>
      <w:r>
        <w:rPr>
          <w:rFonts w:ascii="Times New Roman" w:cs="Times New Roman" w:eastAsia="Times New Roman" w:hAnsi="Times New Roman"/>
          <w:sz w:val="14"/>
          <w:szCs w:val="14"/>
          <w:color w:val="auto"/>
        </w:rPr>
        <w:t>In November 2017, the Company entered into a line of credit agreement with UBS (the “UBS Agreement”). Issuance costs related to this transaction were not significant. There is no stated maturity date, there are no financial covenants and the amount of line of credit is solely dependent upon the total amount of assets the Company holds with UBS at any given point. During 2021, the Company repaid $3.9 million and the UBS Agreement was terminated in March 2021.</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Note 11 Convertible Note Payable</w:t>
      </w:r>
    </w:p>
    <w:p>
      <w:pPr>
        <w:spacing w:after="0" w:line="88" w:lineRule="exact"/>
        <w:rPr>
          <w:sz w:val="20"/>
          <w:szCs w:val="20"/>
          <w:color w:val="auto"/>
        </w:rPr>
      </w:pPr>
    </w:p>
    <w:p>
      <w:pPr>
        <w:ind w:left="1480" w:right="379"/>
        <w:spacing w:after="0" w:line="289" w:lineRule="auto"/>
        <w:rPr>
          <w:sz w:val="20"/>
          <w:szCs w:val="20"/>
          <w:color w:val="auto"/>
        </w:rPr>
      </w:pPr>
      <w:r>
        <w:rPr>
          <w:rFonts w:ascii="Times New Roman" w:cs="Times New Roman" w:eastAsia="Times New Roman" w:hAnsi="Times New Roman"/>
          <w:sz w:val="12"/>
          <w:szCs w:val="12"/>
          <w:color w:val="auto"/>
        </w:rPr>
        <w:t>On March 21, 2022, the Company entered into a Convertible Note Purchase Agreement (“Purchase Agreement”) with FTX Ventures Ltd., (the “Purchaser”) owner of FTX US (“FTX”), providing for the purchase and sale of a Convertible Note in the initial principal amount of $100.0 million (the “Note”). The Note bears interest at a rate of 3.00% per year (compounded semiannually), payable semi-annually in arrears on June 30</w:t>
      </w:r>
      <w:r>
        <w:rPr>
          <w:rFonts w:ascii="Times New Roman" w:cs="Times New Roman" w:eastAsia="Times New Roman" w:hAnsi="Times New Roman"/>
          <w:sz w:val="12"/>
          <w:szCs w:val="12"/>
          <w:color w:val="auto"/>
          <w:vertAlign w:val="superscript"/>
        </w:rPr>
        <w:t>th</w:t>
      </w:r>
      <w:r>
        <w:rPr>
          <w:rFonts w:ascii="Times New Roman" w:cs="Times New Roman" w:eastAsia="Times New Roman" w:hAnsi="Times New Roman"/>
          <w:sz w:val="12"/>
          <w:szCs w:val="12"/>
          <w:color w:val="auto"/>
        </w:rPr>
        <w:t xml:space="preserve"> and December</w:t>
      </w:r>
    </w:p>
    <w:p>
      <w:pPr>
        <w:spacing w:after="0" w:line="1" w:lineRule="exact"/>
        <w:rPr>
          <w:sz w:val="20"/>
          <w:szCs w:val="20"/>
          <w:color w:val="auto"/>
        </w:rPr>
      </w:pPr>
    </w:p>
    <w:p>
      <w:pPr>
        <w:jc w:val="both"/>
        <w:ind w:left="1480" w:right="419"/>
        <w:spacing w:after="0" w:line="246" w:lineRule="auto"/>
        <w:rPr>
          <w:sz w:val="20"/>
          <w:szCs w:val="20"/>
          <w:color w:val="auto"/>
        </w:rPr>
      </w:pPr>
      <w:r>
        <w:rPr>
          <w:rFonts w:ascii="Times New Roman" w:cs="Times New Roman" w:eastAsia="Times New Roman" w:hAnsi="Times New Roman"/>
          <w:sz w:val="14"/>
          <w:szCs w:val="14"/>
          <w:color w:val="auto"/>
        </w:rPr>
        <w:t>31</w:t>
      </w:r>
      <w:r>
        <w:rPr>
          <w:rFonts w:ascii="Times New Roman" w:cs="Times New Roman" w:eastAsia="Times New Roman" w:hAnsi="Times New Roman"/>
          <w:sz w:val="14"/>
          <w:szCs w:val="14"/>
          <w:color w:val="auto"/>
          <w:vertAlign w:val="superscript"/>
        </w:rPr>
        <w:t>st</w:t>
      </w:r>
      <w:r>
        <w:rPr>
          <w:rFonts w:ascii="Times New Roman" w:cs="Times New Roman" w:eastAsia="Times New Roman" w:hAnsi="Times New Roman"/>
          <w:sz w:val="14"/>
          <w:szCs w:val="14"/>
          <w:color w:val="auto"/>
        </w:rPr>
        <w:t xml:space="preserve"> of each year. Interest may be paid in-kind or in cash, at the Company’s option. Forty-eight months (the “Maturity Date”) after the date of the initial issuance of the Note (the “Issuance Date”), the Company will pay the Purchaser the sum of (i) the outstanding principal amount of the Note, plus (ii) all accrued but unpaid interest thereon, plus (iii) all expenses incurred by the Purchaser (the “Redemption Price”). Payment of the Redemption Price on the Maturity Date will constitute a redemption of the Note in whole.</w:t>
      </w:r>
    </w:p>
    <w:p>
      <w:pPr>
        <w:spacing w:after="0" w:line="148" w:lineRule="exact"/>
        <w:rPr>
          <w:sz w:val="20"/>
          <w:szCs w:val="20"/>
          <w:color w:val="auto"/>
        </w:rPr>
      </w:pPr>
    </w:p>
    <w:p>
      <w:pPr>
        <w:ind w:left="1480" w:right="359"/>
        <w:spacing w:after="0" w:line="247" w:lineRule="auto"/>
        <w:rPr>
          <w:sz w:val="20"/>
          <w:szCs w:val="20"/>
          <w:color w:val="auto"/>
        </w:rPr>
      </w:pPr>
      <w:r>
        <w:rPr>
          <w:rFonts w:ascii="Times New Roman" w:cs="Times New Roman" w:eastAsia="Times New Roman" w:hAnsi="Times New Roman"/>
          <w:sz w:val="14"/>
          <w:szCs w:val="14"/>
          <w:color w:val="auto"/>
        </w:rPr>
        <w:t>During the term of the Note, the Note will be convertible into shares of the Company’s Class A Common Stock, at the option of the Purchaser, upon delivery on one or more occasions of a written notice to the Company electing to convert the Note or all of any portion of the outstanding principal amount of the Note. The initial conversion price of the Note is $10.00 per share of Common Stock (the “Conversion Price”). The Conversion Price of the Note is subject to adjustment for stock splits, dividends or distributions, recapitalizations, spinoffs or similar transactions. The Note and the shares of Common Stock issuable upon conversion of the Note have not been registered under the Securities Act and may not be offered or sold absent registration or an applicable exemption from registration requirements.</w:t>
      </w:r>
    </w:p>
    <w:p>
      <w:pPr>
        <w:spacing w:after="0" w:line="150" w:lineRule="exact"/>
        <w:rPr>
          <w:sz w:val="20"/>
          <w:szCs w:val="20"/>
          <w:color w:val="auto"/>
        </w:rPr>
      </w:pPr>
    </w:p>
    <w:p>
      <w:pPr>
        <w:ind w:left="1480" w:right="499"/>
        <w:spacing w:after="0" w:line="305" w:lineRule="auto"/>
        <w:rPr>
          <w:sz w:val="20"/>
          <w:szCs w:val="20"/>
          <w:color w:val="auto"/>
        </w:rPr>
      </w:pPr>
      <w:r>
        <w:rPr>
          <w:rFonts w:ascii="Times New Roman" w:cs="Times New Roman" w:eastAsia="Times New Roman" w:hAnsi="Times New Roman"/>
          <w:sz w:val="12"/>
          <w:szCs w:val="12"/>
          <w:color w:val="auto"/>
        </w:rPr>
        <w:t>Beginning on the twenty-four-month anniversary of the Issuance Date continuing until the Maturity Date, if the closing price of the Common Stock equals or exceeds 175% of the Conversion Price for 20 out of the 30 consecutive trading days ending immediately preceding the delivery of the notice of the Company’s election to convert the Note, the Note will be convertible into shares of Common Stock at the option of the Company, upon delivery of a written notice to the Purchaser electing to convert the Note or all or any portion of the outstanding principal amount of the Note.</w:t>
      </w:r>
    </w:p>
    <w:p>
      <w:pPr>
        <w:spacing w:after="0" w:line="116" w:lineRule="exact"/>
        <w:rPr>
          <w:sz w:val="20"/>
          <w:szCs w:val="20"/>
          <w:color w:val="auto"/>
        </w:rPr>
      </w:pPr>
    </w:p>
    <w:p>
      <w:pPr>
        <w:jc w:val="both"/>
        <w:ind w:left="1480" w:right="379"/>
        <w:spacing w:after="0" w:line="254" w:lineRule="auto"/>
        <w:rPr>
          <w:sz w:val="20"/>
          <w:szCs w:val="20"/>
          <w:color w:val="auto"/>
        </w:rPr>
      </w:pPr>
      <w:r>
        <w:rPr>
          <w:rFonts w:ascii="Times New Roman" w:cs="Times New Roman" w:eastAsia="Times New Roman" w:hAnsi="Times New Roman"/>
          <w:sz w:val="14"/>
          <w:szCs w:val="14"/>
          <w:color w:val="auto"/>
        </w:rPr>
        <w:t>At any time prior to the Maturity Date, the Company may, in its sole discretion and upon delivery of a written notice to the Purchaser electing to prepay the Note, prepay the Note without penalty by paying the Purchaser 100% of the Redemption Price. Once the Redemption Price has been delivered to the Purchaser, the Note will be cancelled and retired.</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99"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Dave Inc.</w:t>
      </w:r>
    </w:p>
    <w:p>
      <w:pPr>
        <w:spacing w:after="0" w:line="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Notes to the Unaudited Condensed Consolidated Financial Statements</w:t>
      </w:r>
    </w:p>
    <w:p>
      <w:pPr>
        <w:spacing w:after="0" w:line="9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Note 12 Note Payable</w:t>
      </w:r>
    </w:p>
    <w:p>
      <w:pPr>
        <w:spacing w:after="0" w:line="88" w:lineRule="exact"/>
        <w:rPr>
          <w:sz w:val="20"/>
          <w:szCs w:val="20"/>
          <w:color w:val="auto"/>
        </w:rPr>
      </w:pPr>
    </w:p>
    <w:p>
      <w:pPr>
        <w:ind w:left="1480" w:right="459"/>
        <w:spacing w:after="0" w:line="247" w:lineRule="auto"/>
        <w:rPr>
          <w:sz w:val="20"/>
          <w:szCs w:val="20"/>
          <w:color w:val="auto"/>
        </w:rPr>
      </w:pPr>
      <w:r>
        <w:rPr>
          <w:rFonts w:ascii="Times New Roman" w:cs="Times New Roman" w:eastAsia="Times New Roman" w:hAnsi="Times New Roman"/>
          <w:sz w:val="14"/>
          <w:szCs w:val="14"/>
          <w:color w:val="auto"/>
        </w:rPr>
        <w:t xml:space="preserve">In August 2021, VPCC entered into an amendment to the private investment in public equity (“PIPE”) subscription agreement (“PIPE Amendment”) it previously entered into with Alameda Research Ventures LLC (“Alameda Research”) in connection with the proposed business combination with the Company (refer to Note 1, </w:t>
      </w:r>
      <w:r>
        <w:rPr>
          <w:rFonts w:ascii="Times New Roman" w:cs="Times New Roman" w:eastAsia="Times New Roman" w:hAnsi="Times New Roman"/>
          <w:sz w:val="14"/>
          <w:szCs w:val="14"/>
          <w:i w:val="1"/>
          <w:iCs w:val="1"/>
          <w:color w:val="auto"/>
        </w:rPr>
        <w:t>Organization and Nature of Business</w:t>
      </w:r>
      <w:r>
        <w:rPr>
          <w:rFonts w:ascii="Times New Roman" w:cs="Times New Roman" w:eastAsia="Times New Roman" w:hAnsi="Times New Roman"/>
          <w:sz w:val="14"/>
          <w:szCs w:val="14"/>
          <w:color w:val="auto"/>
        </w:rPr>
        <w:t>). The PIPE Amendment called for a $15.0 million pre-funding, which was facilitated through the issuance of an unsecured promissory note by the Company to Alameda Research during November 2021. The Company’s obligations to repay the principal amount of the promissory note were discharged through the issuance of 1.5 million shares of VPCC to Alameda Research at the closing of the Business Combination. The promissory note bore an interest rate of the applicable short-term federal rate and was due at the earlier of (i) the one-year anniversary of the promissory note or (ii) an event of default.</w:t>
      </w:r>
    </w:p>
    <w:p>
      <w:pPr>
        <w:spacing w:after="0" w:line="147" w:lineRule="exact"/>
        <w:rPr>
          <w:sz w:val="20"/>
          <w:szCs w:val="20"/>
          <w:color w:val="auto"/>
        </w:rPr>
      </w:pPr>
    </w:p>
    <w:p>
      <w:pPr>
        <w:ind w:left="1480" w:right="459"/>
        <w:spacing w:after="0" w:line="287" w:lineRule="auto"/>
        <w:rPr>
          <w:sz w:val="20"/>
          <w:szCs w:val="20"/>
          <w:color w:val="auto"/>
        </w:rPr>
      </w:pPr>
      <w:r>
        <w:rPr>
          <w:rFonts w:ascii="Times New Roman" w:cs="Times New Roman" w:eastAsia="Times New Roman" w:hAnsi="Times New Roman"/>
          <w:sz w:val="12"/>
          <w:szCs w:val="12"/>
          <w:color w:val="auto"/>
        </w:rPr>
        <w:t>The Company has elected to measure the note payable debt instrument at fair value using the fair value option of ASC 825-10. The Company determined that the feature to settle the promissory note with shares at the closing of the Business Combination was a contingently exercisable share settled put option that represented an embedded derivative instrument that required bifurcation from the host promissory note. Additionally, the feature to redeem the promissory note upon a default event was a contingently exercisable call option and represented an embedded derivative instrument that required bifurcation from the host promissory note. However, in accordance with ASC 815-15-25-1 criterion (b), since the Company has elected to apply the fair value option to the debt, the embedded features will not be separated from the debt host. The fair value of the Promissory Note was</w:t>
      </w:r>
    </w:p>
    <w:p>
      <w:pPr>
        <w:spacing w:after="0" w:line="2" w:lineRule="exact"/>
        <w:rPr>
          <w:sz w:val="20"/>
          <w:szCs w:val="20"/>
          <w:color w:val="auto"/>
        </w:rPr>
      </w:pPr>
    </w:p>
    <w:p>
      <w:pPr>
        <w:ind w:left="1480" w:right="379"/>
        <w:spacing w:after="0" w:line="244" w:lineRule="auto"/>
        <w:rPr>
          <w:sz w:val="20"/>
          <w:szCs w:val="20"/>
          <w:color w:val="auto"/>
        </w:rPr>
      </w:pPr>
      <w:r>
        <w:rPr>
          <w:rFonts w:ascii="Times New Roman" w:cs="Times New Roman" w:eastAsia="Times New Roman" w:hAnsi="Times New Roman"/>
          <w:sz w:val="14"/>
          <w:szCs w:val="14"/>
          <w:color w:val="auto"/>
        </w:rPr>
        <w:t xml:space="preserve">$0 million (unaudited) and $15.0 million as of March 31, 2022 and December 31, 2021, respectively. Upon the closing of the Business Combination, the promissory note was automatically discharged upon the Company’s issuance of 1,500,000 shares of Class A Common Stock to Alameda Research. The closing of the note payable occurred immediately prior to the closing date of the Business Combination. Refer to </w:t>
      </w:r>
      <w:r>
        <w:rPr>
          <w:rFonts w:ascii="Times New Roman" w:cs="Times New Roman" w:eastAsia="Times New Roman" w:hAnsi="Times New Roman"/>
          <w:sz w:val="14"/>
          <w:szCs w:val="14"/>
          <w:i w:val="1"/>
          <w:iCs w:val="1"/>
          <w:color w:val="auto"/>
        </w:rPr>
        <w:t>Note 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The Reverse Recapitalization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and Related Transactions </w:t>
      </w:r>
      <w:r>
        <w:rPr>
          <w:rFonts w:ascii="Times New Roman" w:cs="Times New Roman" w:eastAsia="Times New Roman" w:hAnsi="Times New Roman"/>
          <w:sz w:val="14"/>
          <w:szCs w:val="14"/>
          <w:color w:val="auto"/>
        </w:rPr>
        <w:t>for further details on the closing of the note payable</w:t>
      </w:r>
      <w:r>
        <w:rPr>
          <w:rFonts w:ascii="Times New Roman" w:cs="Times New Roman" w:eastAsia="Times New Roman" w:hAnsi="Times New Roman"/>
          <w:sz w:val="14"/>
          <w:szCs w:val="14"/>
          <w:b w:val="1"/>
          <w:bCs w:val="1"/>
          <w:color w:val="auto"/>
        </w:rPr>
        <w:t>.</w:t>
      </w:r>
    </w:p>
    <w:p>
      <w:pPr>
        <w:spacing w:after="0" w:line="2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Note 13 Warrant Liabilities</w:t>
      </w:r>
    </w:p>
    <w:p>
      <w:pPr>
        <w:spacing w:after="0" w:line="88" w:lineRule="exact"/>
        <w:rPr>
          <w:sz w:val="20"/>
          <w:szCs w:val="20"/>
          <w:color w:val="auto"/>
        </w:rPr>
      </w:pPr>
    </w:p>
    <w:p>
      <w:pPr>
        <w:ind w:left="1480" w:right="379"/>
        <w:spacing w:after="0" w:line="293" w:lineRule="auto"/>
        <w:rPr>
          <w:sz w:val="20"/>
          <w:szCs w:val="20"/>
          <w:color w:val="auto"/>
        </w:rPr>
      </w:pPr>
      <w:r>
        <w:rPr>
          <w:rFonts w:ascii="Times New Roman" w:cs="Times New Roman" w:eastAsia="Times New Roman" w:hAnsi="Times New Roman"/>
          <w:sz w:val="12"/>
          <w:szCs w:val="12"/>
          <w:color w:val="auto"/>
        </w:rPr>
        <w:t>As of March 31, 2022, there were 6,344,021 public warrants (“Public Warrants”) outstanding and 5,100,214 private placement warrants (“Private Warrants”) outstanding. The Company determined the warrants do not meet the conditions for equity classification in accordance with ASC 815-40. The Company recorded the Public Warrants and Private Warrants on the condensed consolidated balance sheet as warrant liabilities measured at fair value, with subsequent changes in the fair value of the warrant recorded in the statement of operations as change in fair value of warrants in other income (expense). Public Warrants may only be exercised for a whole number of shares. No fractional Public Warrants were issued upon separation of the units into their component parts upon the closing of the Business Combination and only whole Public Warrants trade. The Public Warrants are exercisable, provided that the Company continues to have an effective registration statement under the Securities Act covering the shares of Class A Common Stock issuable upon exercise of the Public Warrants and a current prospectus relating to them is available (or the Company permits holders to exercise their Public Warrants on a cashless basis and such cashless exercise is exempt from registration under the Securities Act).</w:t>
      </w:r>
    </w:p>
    <w:p>
      <w:pPr>
        <w:spacing w:after="0" w:line="286" w:lineRule="exact"/>
        <w:rPr>
          <w:sz w:val="20"/>
          <w:szCs w:val="20"/>
          <w:color w:val="auto"/>
        </w:rPr>
      </w:pPr>
    </w:p>
    <w:p>
      <w:pPr>
        <w:ind w:left="1480" w:right="379"/>
        <w:spacing w:after="0" w:line="297" w:lineRule="auto"/>
        <w:rPr>
          <w:sz w:val="20"/>
          <w:szCs w:val="20"/>
          <w:color w:val="auto"/>
        </w:rPr>
      </w:pPr>
      <w:r>
        <w:rPr>
          <w:rFonts w:ascii="Times New Roman" w:cs="Times New Roman" w:eastAsia="Times New Roman" w:hAnsi="Times New Roman"/>
          <w:sz w:val="12"/>
          <w:szCs w:val="12"/>
          <w:color w:val="auto"/>
        </w:rPr>
        <w:t>The Company filed a registration statement covering the shares of Class A Common Stock issuable upon exercise of the Public Warrants and the Private Warrants. If the Company’s shares of Class A Common Stock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it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19" w:lineRule="exact"/>
        <w:rPr>
          <w:sz w:val="20"/>
          <w:szCs w:val="20"/>
          <w:color w:val="auto"/>
        </w:rPr>
      </w:pPr>
    </w:p>
    <w:p>
      <w:pPr>
        <w:ind w:left="1480" w:right="699"/>
        <w:spacing w:after="0" w:line="264" w:lineRule="auto"/>
        <w:rPr>
          <w:sz w:val="20"/>
          <w:szCs w:val="20"/>
          <w:color w:val="auto"/>
        </w:rPr>
      </w:pPr>
      <w:r>
        <w:rPr>
          <w:rFonts w:ascii="Times New Roman" w:cs="Times New Roman" w:eastAsia="Times New Roman" w:hAnsi="Times New Roman"/>
          <w:sz w:val="14"/>
          <w:szCs w:val="14"/>
          <w:color w:val="auto"/>
        </w:rPr>
        <w:t>The Public Warrants and the Private Warrants have an exercise price of $11.50 per share, subject to adjustments and will expire five years after the completion of the Business Combination or earlier upon redemption or liquidation.</w:t>
      </w:r>
    </w:p>
    <w:p>
      <w:pPr>
        <w:spacing w:after="0" w:line="136" w:lineRule="exact"/>
        <w:rPr>
          <w:sz w:val="20"/>
          <w:szCs w:val="20"/>
          <w:color w:val="auto"/>
        </w:rPr>
      </w:pPr>
    </w:p>
    <w:p>
      <w:pPr>
        <w:ind w:left="1480" w:right="679"/>
        <w:spacing w:after="0" w:line="264" w:lineRule="auto"/>
        <w:rPr>
          <w:sz w:val="20"/>
          <w:szCs w:val="20"/>
          <w:color w:val="auto"/>
        </w:rPr>
      </w:pPr>
      <w:r>
        <w:rPr>
          <w:rFonts w:ascii="Times New Roman" w:cs="Times New Roman" w:eastAsia="Times New Roman" w:hAnsi="Times New Roman"/>
          <w:sz w:val="14"/>
          <w:szCs w:val="14"/>
          <w:color w:val="auto"/>
        </w:rPr>
        <w:t>Redemption of Public Warrants when the price per share of Class A Common Stock equals or exceeds $18.00:—Once the Public Warrants become exercisable, the Company may redeem the outstanding Public Warrants for cash:</w:t>
      </w:r>
    </w:p>
    <w:p>
      <w:pPr>
        <w:spacing w:after="0" w:line="65" w:lineRule="exact"/>
        <w:rPr>
          <w:sz w:val="20"/>
          <w:szCs w:val="20"/>
          <w:color w:val="auto"/>
        </w:rPr>
      </w:pPr>
    </w:p>
    <w:p>
      <w:pPr>
        <w:ind w:left="2220" w:hanging="334"/>
        <w:spacing w:after="0"/>
        <w:tabs>
          <w:tab w:leader="none" w:pos="2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whole and not in part;</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price of $0.01 per warrant;</w:t>
      </w:r>
    </w:p>
    <w:p>
      <w:pPr>
        <w:spacing w:after="0" w:line="94" w:lineRule="exact"/>
        <w:rPr>
          <w:rFonts w:ascii="Times New Roman" w:cs="Times New Roman" w:eastAsia="Times New Roman" w:hAnsi="Times New Roman"/>
          <w:sz w:val="14"/>
          <w:szCs w:val="14"/>
          <w:color w:val="auto"/>
        </w:rPr>
      </w:pPr>
    </w:p>
    <w:p>
      <w:pPr>
        <w:ind w:left="2220" w:right="459" w:hanging="334"/>
        <w:spacing w:after="0" w:line="254" w:lineRule="auto"/>
        <w:tabs>
          <w:tab w:leader="none" w:pos="2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 minimum of 30 days’ prior written notice of redemption; and if, and only if, the closing price of Class A Common Stock equals or exceeds $18.00 per share (as adjusted) for any 20 trading days within a 30-trading day period ending on the third trading day prior to the date on which the Company sends the notice of redemption to the warrant holders.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99"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Dave Inc.</w:t>
      </w:r>
    </w:p>
    <w:p>
      <w:pPr>
        <w:spacing w:after="0" w:line="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Notes to the Unaudited Condensed Consolidated Financial Statements</w:t>
      </w:r>
    </w:p>
    <w:p>
      <w:pPr>
        <w:spacing w:after="0" w:line="103" w:lineRule="exact"/>
        <w:rPr>
          <w:sz w:val="20"/>
          <w:szCs w:val="20"/>
          <w:color w:val="auto"/>
        </w:rPr>
      </w:pPr>
    </w:p>
    <w:p>
      <w:pPr>
        <w:ind w:left="1480" w:right="359"/>
        <w:spacing w:after="0" w:line="254" w:lineRule="auto"/>
        <w:rPr>
          <w:sz w:val="20"/>
          <w:szCs w:val="20"/>
          <w:color w:val="auto"/>
        </w:rPr>
      </w:pPr>
      <w:r>
        <w:rPr>
          <w:rFonts w:ascii="Times New Roman" w:cs="Times New Roman" w:eastAsia="Times New Roman" w:hAnsi="Times New Roman"/>
          <w:sz w:val="14"/>
          <w:szCs w:val="14"/>
          <w:color w:val="auto"/>
        </w:rPr>
        <w:t>The Company will not redeem the Public Warrants as described above unless an effective registration statement under the Securities Act covering the Class A Common Stock issuable upon exercise of the warrants is effective and a current prospectus relating to those shares of Class A Common Stock is available throughout the 30-day redemption period.</w:t>
      </w:r>
    </w:p>
    <w:p>
      <w:pPr>
        <w:spacing w:after="0" w:line="140" w:lineRule="exact"/>
        <w:rPr>
          <w:sz w:val="20"/>
          <w:szCs w:val="20"/>
          <w:color w:val="auto"/>
        </w:rPr>
      </w:pPr>
    </w:p>
    <w:p>
      <w:pPr>
        <w:ind w:left="1480" w:right="479"/>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Redemption of Public Warrants for when the price per share of Class A Common Stock equals or exceeds $10.00: </w:t>
      </w:r>
      <w:r>
        <w:rPr>
          <w:rFonts w:ascii="Times New Roman" w:cs="Times New Roman" w:eastAsia="Times New Roman" w:hAnsi="Times New Roman"/>
          <w:sz w:val="14"/>
          <w:szCs w:val="14"/>
          <w:color w:val="auto"/>
        </w:rPr>
        <w:t>—Once the Public Warrants become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exercisable, the Company may redeem the outstanding Public Warrants:</w:t>
      </w:r>
    </w:p>
    <w:p>
      <w:pPr>
        <w:spacing w:after="0" w:line="63" w:lineRule="exact"/>
        <w:rPr>
          <w:sz w:val="20"/>
          <w:szCs w:val="20"/>
          <w:color w:val="auto"/>
        </w:rPr>
      </w:pPr>
    </w:p>
    <w:p>
      <w:pPr>
        <w:ind w:left="2220" w:hanging="334"/>
        <w:spacing w:after="0"/>
        <w:tabs>
          <w:tab w:leader="none" w:pos="2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whole and not in part;</w:t>
      </w:r>
    </w:p>
    <w:p>
      <w:pPr>
        <w:spacing w:after="0" w:line="94" w:lineRule="exact"/>
        <w:rPr>
          <w:rFonts w:ascii="Times New Roman" w:cs="Times New Roman" w:eastAsia="Times New Roman" w:hAnsi="Times New Roman"/>
          <w:sz w:val="14"/>
          <w:szCs w:val="14"/>
          <w:color w:val="auto"/>
        </w:rPr>
      </w:pPr>
    </w:p>
    <w:p>
      <w:pPr>
        <w:ind w:left="2220" w:right="399" w:hanging="334"/>
        <w:spacing w:after="0" w:line="254" w:lineRule="auto"/>
        <w:tabs>
          <w:tab w:leader="none" w:pos="2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(as defined below) of the Class A Common Stock; and</w:t>
      </w:r>
    </w:p>
    <w:p>
      <w:pPr>
        <w:spacing w:after="0" w:line="70" w:lineRule="exact"/>
        <w:rPr>
          <w:rFonts w:ascii="Times New Roman" w:cs="Times New Roman" w:eastAsia="Times New Roman" w:hAnsi="Times New Roman"/>
          <w:sz w:val="14"/>
          <w:szCs w:val="14"/>
          <w:color w:val="auto"/>
        </w:rPr>
      </w:pPr>
    </w:p>
    <w:p>
      <w:pPr>
        <w:ind w:left="2220" w:right="399" w:hanging="334"/>
        <w:spacing w:after="0" w:line="349" w:lineRule="auto"/>
        <w:tabs>
          <w:tab w:leader="none" w:pos="22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and only if, the closing price of Class A Common Stock equals or exceeds $10.00 per Public Share (as adjusted) for any 20 trading days within the 30-trading day period ending three trading days before the Company sends notice of redemption to the warrant holders.</w:t>
      </w:r>
    </w:p>
    <w:p>
      <w:pPr>
        <w:spacing w:after="0" w:line="89" w:lineRule="exact"/>
        <w:rPr>
          <w:sz w:val="20"/>
          <w:szCs w:val="20"/>
          <w:color w:val="auto"/>
        </w:rPr>
      </w:pPr>
    </w:p>
    <w:p>
      <w:pPr>
        <w:ind w:left="1480" w:right="479"/>
        <w:spacing w:after="0" w:line="248" w:lineRule="auto"/>
        <w:rPr>
          <w:sz w:val="20"/>
          <w:szCs w:val="20"/>
          <w:color w:val="auto"/>
        </w:rPr>
      </w:pPr>
      <w:r>
        <w:rPr>
          <w:rFonts w:ascii="Times New Roman" w:cs="Times New Roman" w:eastAsia="Times New Roman" w:hAnsi="Times New Roman"/>
          <w:sz w:val="14"/>
          <w:szCs w:val="14"/>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Public Warrants will not be adjusted for issuance of Class A Common Stock at a price below its exercise price. Additionally, in no event will the Company be required to net cash settle the Public Warrants.</w:t>
      </w:r>
    </w:p>
    <w:p>
      <w:pPr>
        <w:spacing w:after="0" w:line="149" w:lineRule="exact"/>
        <w:rPr>
          <w:sz w:val="20"/>
          <w:szCs w:val="20"/>
          <w:color w:val="auto"/>
        </w:rPr>
      </w:pPr>
    </w:p>
    <w:p>
      <w:pPr>
        <w:ind w:left="1480" w:right="379"/>
        <w:spacing w:after="0" w:line="248" w:lineRule="auto"/>
        <w:rPr>
          <w:sz w:val="20"/>
          <w:szCs w:val="20"/>
          <w:color w:val="auto"/>
        </w:rPr>
      </w:pPr>
      <w:r>
        <w:rPr>
          <w:rFonts w:ascii="Times New Roman" w:cs="Times New Roman" w:eastAsia="Times New Roman" w:hAnsi="Times New Roman"/>
          <w:sz w:val="14"/>
          <w:szCs w:val="14"/>
          <w:color w:val="auto"/>
        </w:rPr>
        <w:t>The Private Warrants are identical to the Public Warrants, except that the Private Placement Warrants will be non-redeemable so long as they are held by VPC Impact Acquisition Holdings Sponsor III, LLC, which was the sponsor of VPCC and an affiliate of certain of VPCC’s officers and directors prior to the Business Combination, (the “Sponsor”) or its permitted transferees. If the Private Warrants are held by someone other than the Sponsor or its permitted transferees, the Private Warrants will be redeemable by the Company and exercisable by such holders on the same basis as the Public Warrants.</w:t>
      </w:r>
    </w:p>
    <w:p>
      <w:pPr>
        <w:spacing w:after="0" w:line="149" w:lineRule="exact"/>
        <w:rPr>
          <w:sz w:val="20"/>
          <w:szCs w:val="20"/>
          <w:color w:val="auto"/>
        </w:rPr>
      </w:pPr>
    </w:p>
    <w:p>
      <w:pPr>
        <w:ind w:left="1480" w:right="359"/>
        <w:spacing w:after="0" w:line="289" w:lineRule="auto"/>
        <w:rPr>
          <w:sz w:val="20"/>
          <w:szCs w:val="20"/>
          <w:color w:val="auto"/>
        </w:rPr>
      </w:pPr>
      <w:r>
        <w:rPr>
          <w:rFonts w:ascii="Times New Roman" w:cs="Times New Roman" w:eastAsia="Times New Roman" w:hAnsi="Times New Roman"/>
          <w:sz w:val="12"/>
          <w:szCs w:val="12"/>
          <w:color w:val="auto"/>
        </w:rPr>
        <w:t>Contemporaneously with the execution of the Debt Facility, the Company issued warrants to the Lenders as consideration for entering into the Debt Facility, representing a loan commitment fee. The warrants vest and become exercisable based on the Company’s aggregated draw on the Debt Facility in incremental $10.0 million tranches and terminate upon the earliest to occur of (i) the fifth anniversary of the occurrence of a qualified financing event and (ii) the consummation of a liquidity event. The holders of the warrants have the ability to exercise their right to acquire a number of common shares equal to 0.2% of the fully diluted equity of the Company as of the closing date (“Equity Closing Date”) of the Company’s next equity financing with proceeds of at least $40.0 million (“Qualified Financing Event”) or immediately prior to the consummation of a liquidity event. The exercise price of the warrants is the greater of (i) 80% of the fair market value of each share of Common Stock at the Equity Closing Date and (ii) $3.752050 per share, subject to certain down-round adjustments. The warrants meet the definition of a derivative under ASC 815 and will be accounted for as a liability at fair value and subsequently remeasured to fair value at the end of each reporting period with the changes in fair value recorded in the condensed consolidated statement of operations. The initial offsetting entry to the warrant liability was an asset recorded to reflect the loan commitment fee. The loan commitment fee asset will be amortized to interest expense over the commitment period of four years. The Company estimated the fair value of the warrants at the issuance date to be $0.1 million using the Black-Scholes option-pricing model. Determining the fair value of these warrants under this model requires subjective assumptions. These estimates involve inherent uncertainties and the application of management’s judgment.</w:t>
      </w:r>
    </w:p>
    <w:p>
      <w:pPr>
        <w:spacing w:after="0" w:line="294" w:lineRule="exact"/>
        <w:rPr>
          <w:sz w:val="20"/>
          <w:szCs w:val="20"/>
          <w:color w:val="auto"/>
        </w:rPr>
      </w:pPr>
    </w:p>
    <w:p>
      <w:pPr>
        <w:ind w:left="1480" w:right="379"/>
        <w:spacing w:after="0" w:line="349" w:lineRule="auto"/>
        <w:rPr>
          <w:sz w:val="20"/>
          <w:szCs w:val="20"/>
          <w:color w:val="auto"/>
        </w:rPr>
      </w:pPr>
      <w:r>
        <w:rPr>
          <w:rFonts w:ascii="Times New Roman" w:cs="Times New Roman" w:eastAsia="Times New Roman" w:hAnsi="Times New Roman"/>
          <w:sz w:val="12"/>
          <w:szCs w:val="12"/>
          <w:color w:val="auto"/>
        </w:rPr>
        <w:t>Immediately prior to the close of the Business Combination, all, or 1,664,394 of the vested warrants were exercised and net settled for 450,841 shares of Legacy Dave’s Class A Common Stock after applying an exchange ratio of 1.354387513 pursuant to the terms of the Business Combination.</w:t>
      </w:r>
    </w:p>
    <w:p>
      <w:pPr>
        <w:spacing w:after="0" w:line="16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Note 14 Debt and Credit Facility</w:t>
      </w:r>
    </w:p>
    <w:p>
      <w:pPr>
        <w:spacing w:after="0" w:line="88" w:lineRule="exact"/>
        <w:rPr>
          <w:sz w:val="20"/>
          <w:szCs w:val="20"/>
          <w:color w:val="auto"/>
        </w:rPr>
      </w:pPr>
    </w:p>
    <w:p>
      <w:pPr>
        <w:ind w:left="1480" w:right="359"/>
        <w:spacing w:after="0" w:line="245" w:lineRule="auto"/>
        <w:rPr>
          <w:sz w:val="20"/>
          <w:szCs w:val="20"/>
          <w:color w:val="auto"/>
        </w:rPr>
      </w:pPr>
      <w:r>
        <w:rPr>
          <w:rFonts w:ascii="Times New Roman" w:cs="Times New Roman" w:eastAsia="Times New Roman" w:hAnsi="Times New Roman"/>
          <w:sz w:val="14"/>
          <w:szCs w:val="14"/>
          <w:color w:val="auto"/>
        </w:rPr>
        <w:t>In January 2021, Dave OD Funding I, LLC (“Borrower”) entered into a Senior Secured Loan Facility (the “Debt Facility”) with Victory Park Management, LLC (“Agent”), allowing the Borrower to draw up to $100 million from various lenders associated with Victory Park Management, LLC (the “Lenders”). The Debt Facility has an interest rate of 6.95% annually plus a base rate defined as the greater of three-month LIBOR (as of the last business day of each calendar month) and 2.55%. Interest is payable monthly in arrears. The Debt Facility has certain financial covenants, including a requirement to maintain a minimum cash, cash equivalents, or marketable securities balance of $10.0 million and as of March 31, 2022, the Company was in compliance with all covenants. Payments of the loan draws are due at the following dates: (i) within five business days after the date of receipt by the Borrower and the Company (“Credit Party”) or any of their subsidiaries of any net cash proceeds in excess of $250 thousand in the aggregate during any fiscal year from any asset sales (other than certain permitted dispositions), the Borrower shall prepay the loans or remit such net cash proceeds in an aggregate amount equal to 100% of such net cash proceeds; (ii) within five business days after the date of receipt by any Credit Party or any of their subsidiaries, or the Agent as</w:t>
      </w:r>
    </w:p>
    <w:p>
      <w:pPr>
        <w:spacing w:after="0" w:line="1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99"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Dave Inc.</w:t>
      </w:r>
    </w:p>
    <w:p>
      <w:pPr>
        <w:spacing w:after="0" w:line="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Notes to the Unaudited Condensed Consolidated Financial Statements</w:t>
      </w:r>
    </w:p>
    <w:p>
      <w:pPr>
        <w:spacing w:after="0" w:line="103" w:lineRule="exact"/>
        <w:rPr>
          <w:sz w:val="20"/>
          <w:szCs w:val="20"/>
          <w:color w:val="auto"/>
        </w:rPr>
      </w:pPr>
    </w:p>
    <w:p>
      <w:pPr>
        <w:ind w:left="1480" w:right="359"/>
        <w:spacing w:after="0" w:line="289" w:lineRule="auto"/>
        <w:rPr>
          <w:sz w:val="20"/>
          <w:szCs w:val="20"/>
          <w:color w:val="auto"/>
        </w:rPr>
      </w:pPr>
      <w:r>
        <w:rPr>
          <w:rFonts w:ascii="Times New Roman" w:cs="Times New Roman" w:eastAsia="Times New Roman" w:hAnsi="Times New Roman"/>
          <w:sz w:val="12"/>
          <w:szCs w:val="12"/>
          <w:color w:val="auto"/>
        </w:rPr>
        <w:t>loss payee, of any net cash proceeds from any destruction or taking, the Borrower shall prepay the loans or remit such net cash proceeds in an aggregate amount equal to 100% of such net cash proceeds; (iii) within three business days after the date of receipt by any Credit Party or any of their subsidiaries of any net cash proceeds from the incurrence of any indebtedness of any Credit Party or any of their subsidiaries (other than with respect to permitted indebtedness), the Borrower shall prepay the loans or remit such net cash proceeds in an aggregate amount equal to 100% of such net cash proceeds; and</w:t>
      </w:r>
    </w:p>
    <w:p>
      <w:pPr>
        <w:spacing w:after="0" w:line="1" w:lineRule="exact"/>
        <w:rPr>
          <w:sz w:val="20"/>
          <w:szCs w:val="20"/>
          <w:color w:val="auto"/>
        </w:rPr>
      </w:pPr>
    </w:p>
    <w:p>
      <w:pPr>
        <w:ind w:left="1480" w:right="399" w:hanging="3"/>
        <w:spacing w:after="0" w:line="244" w:lineRule="auto"/>
        <w:tabs>
          <w:tab w:leader="none" w:pos="1711"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if extraordinary receipts are received by any Credit Party in the aggregate amount in any fiscal year in excess of $250 thousand or (b) if an event of default has occurred and is continuing at any time when any extraordinary receipts are received by any Credit Party, then within five business days of the receipt by any Credit Party of any such extraordinary receipts, the Borrower shall prepay the loans or remit such net cash proceeds in an aggregate amount equal to (x) 100% of such extraordinary receipts in excess of $250 thousand in respect of clause (a) above and (y) 100% of such extraordinary receipts in respect of clause (b) above. As of March 31, 2022 and December 31, 2021, respectively, the Company had drawn $35 million (unaudited) on the Debt Facility and has made no repayments.</w:t>
      </w:r>
    </w:p>
    <w:p>
      <w:pPr>
        <w:spacing w:after="0" w:line="150" w:lineRule="exact"/>
        <w:rPr>
          <w:sz w:val="20"/>
          <w:szCs w:val="20"/>
          <w:color w:val="auto"/>
        </w:rPr>
      </w:pPr>
    </w:p>
    <w:p>
      <w:pPr>
        <w:jc w:val="both"/>
        <w:ind w:left="1480" w:right="439"/>
        <w:spacing w:after="0" w:line="250" w:lineRule="auto"/>
        <w:rPr>
          <w:sz w:val="20"/>
          <w:szCs w:val="20"/>
          <w:color w:val="auto"/>
        </w:rPr>
      </w:pPr>
      <w:r>
        <w:rPr>
          <w:rFonts w:ascii="Times New Roman" w:cs="Times New Roman" w:eastAsia="Times New Roman" w:hAnsi="Times New Roman"/>
          <w:sz w:val="14"/>
          <w:szCs w:val="14"/>
          <w:color w:val="auto"/>
        </w:rPr>
        <w:t>In November 2021, Dave OD entered into an amendment of the Debt Facility which added a $20 million credit line (as amended, the “Credit Facility”) which has an interest rate of 8.95% annually plus a base rate defined as the greater of three-month LIBOR (as of the last business day of each calendar month) and 2.55%. As of March 31, 2022 and December 31, 2021, respectively, the Company has drawn $20 million (unaudited) on the Credit Facility and has made no repayments.</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Note 15 Commitments and Contingencies</w:t>
      </w:r>
    </w:p>
    <w:p>
      <w:pPr>
        <w:spacing w:after="0" w:line="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Litigation:</w:t>
      </w:r>
    </w:p>
    <w:p>
      <w:pPr>
        <w:spacing w:after="0" w:line="84" w:lineRule="exact"/>
        <w:rPr>
          <w:sz w:val="20"/>
          <w:szCs w:val="20"/>
          <w:color w:val="auto"/>
        </w:rPr>
      </w:pPr>
    </w:p>
    <w:p>
      <w:pPr>
        <w:ind w:left="1480" w:right="359"/>
        <w:spacing w:after="0" w:line="316" w:lineRule="auto"/>
        <w:rPr>
          <w:sz w:val="20"/>
          <w:szCs w:val="20"/>
          <w:color w:val="auto"/>
        </w:rPr>
      </w:pPr>
      <w:r>
        <w:rPr>
          <w:rFonts w:ascii="Times New Roman" w:cs="Times New Roman" w:eastAsia="Times New Roman" w:hAnsi="Times New Roman"/>
          <w:sz w:val="12"/>
          <w:szCs w:val="12"/>
          <w:color w:val="auto"/>
        </w:rPr>
        <w:t>From time to time, the Company is subject to various legal proceedings and claims, either asserted or unasserted, that arise in the ordinary course of business. Although the outcome of the various legal proceedings and claims cannot be predicted with certainty, management does not believe that any of these proceedings or claims will have a significant adverse effect on the Company’s business, financial condition, results of operations, or cash flows.</w:t>
      </w:r>
    </w:p>
    <w:p>
      <w:pPr>
        <w:spacing w:after="0" w:line="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59"/>
          </w:cols>
          <w:pgMar w:left="300" w:top="399"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Dave Inc.</w:t>
      </w:r>
    </w:p>
    <w:p>
      <w:pPr>
        <w:spacing w:after="0" w:line="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Notes to the Unaudited Condensed Consolidated Financial Statements</w:t>
      </w:r>
    </w:p>
    <w:p>
      <w:pPr>
        <w:spacing w:after="0" w:line="10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Stoffers v. Dave Inc. (filed September 16, 2020 in the California Superior Court for the County of Los Angeles)</w:t>
      </w:r>
    </w:p>
    <w:p>
      <w:pPr>
        <w:spacing w:after="0" w:line="86" w:lineRule="exact"/>
        <w:rPr>
          <w:sz w:val="20"/>
          <w:szCs w:val="20"/>
          <w:color w:val="auto"/>
        </w:rPr>
      </w:pPr>
    </w:p>
    <w:p>
      <w:pPr>
        <w:ind w:left="1480" w:right="699"/>
        <w:spacing w:after="0" w:line="254" w:lineRule="auto"/>
        <w:rPr>
          <w:sz w:val="20"/>
          <w:szCs w:val="20"/>
          <w:color w:val="auto"/>
        </w:rPr>
      </w:pPr>
      <w:r>
        <w:rPr>
          <w:rFonts w:ascii="Times New Roman" w:cs="Times New Roman" w:eastAsia="Times New Roman" w:hAnsi="Times New Roman"/>
          <w:sz w:val="14"/>
          <w:szCs w:val="14"/>
          <w:color w:val="auto"/>
        </w:rPr>
        <w:t>This is a purported class action lawsuit filed in connection with a July 2020 data breach. The Company is in the process of settling this matter; it estimates the settlement to be approximately $3.2 million and is included with Legal settlement accrual within the condensed consolidated balance sheets for the period ended March 31, 2022 and December 31, 2021.</w:t>
      </w:r>
    </w:p>
    <w:p>
      <w:pPr>
        <w:spacing w:after="0" w:line="2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Martinsek v. Dave Inc (filed January 9, 2020 in the California Superior Court for the County of Los Angeles).</w:t>
      </w:r>
    </w:p>
    <w:p>
      <w:pPr>
        <w:spacing w:after="0" w:line="86" w:lineRule="exact"/>
        <w:rPr>
          <w:sz w:val="20"/>
          <w:szCs w:val="20"/>
          <w:color w:val="auto"/>
        </w:rPr>
      </w:pPr>
    </w:p>
    <w:p>
      <w:pPr>
        <w:ind w:left="1480" w:right="359"/>
        <w:spacing w:after="0" w:line="295" w:lineRule="auto"/>
        <w:rPr>
          <w:sz w:val="20"/>
          <w:szCs w:val="20"/>
          <w:color w:val="auto"/>
        </w:rPr>
      </w:pPr>
      <w:r>
        <w:rPr>
          <w:rFonts w:ascii="Times New Roman" w:cs="Times New Roman" w:eastAsia="Times New Roman" w:hAnsi="Times New Roman"/>
          <w:sz w:val="12"/>
          <w:szCs w:val="12"/>
          <w:color w:val="auto"/>
        </w:rPr>
        <w:t>In January 2020, a former employee of the Company filed a complaint in the California Superior Court for the County of Los Angeles against the Company and the Company’s Chief Executive Officer, asserting claims for, among other things, breach of contract, breach of fiduciary duty, conversion, and breach of the implied covenant of good faith and fair dealing. The complaint alleges that the Company and the Chief Executive Officer misappropriated approximately 6.8 million shares (as adjusted for a 10:1 forward stock split in November 2020) by rescinding a stock option agreement and a restricted stock purchase agreement between the Company and the former employee under which such shares were issued and repurchasing the shares. The Company rescinded the agreements for failure of consideration. The Company and the Chief Executive Officer answered, denying all claims and asserting defenses. Discovery has commenced, but no trial date has been set. The Company is vigorously defending against this claim.</w:t>
      </w:r>
    </w:p>
    <w:p>
      <w:pPr>
        <w:spacing w:after="0" w:line="20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Whalerock v. Dave Inc. (filed April 4, 2020 in the California Superior Court for the County of Los Angeles)</w:t>
      </w:r>
    </w:p>
    <w:p>
      <w:pPr>
        <w:spacing w:after="0" w:line="86" w:lineRule="exact"/>
        <w:rPr>
          <w:sz w:val="20"/>
          <w:szCs w:val="20"/>
          <w:color w:val="auto"/>
        </w:rPr>
      </w:pPr>
    </w:p>
    <w:p>
      <w:pPr>
        <w:ind w:left="1480" w:right="399"/>
        <w:spacing w:after="0" w:line="300" w:lineRule="auto"/>
        <w:rPr>
          <w:sz w:val="20"/>
          <w:szCs w:val="20"/>
          <w:color w:val="auto"/>
        </w:rPr>
      </w:pPr>
      <w:r>
        <w:rPr>
          <w:rFonts w:ascii="Times New Roman" w:cs="Times New Roman" w:eastAsia="Times New Roman" w:hAnsi="Times New Roman"/>
          <w:sz w:val="12"/>
          <w:szCs w:val="12"/>
          <w:color w:val="auto"/>
        </w:rPr>
        <w:t>Whalerock Industries Holding Company, LLC (“Whalerock”) filed an unlawful detainer action against the Company on or about August 4, 2020, which was dismissed by Whalerock on March 18, 2021. On or about March 29, 2021, Whalerock initiated new litigation against the Company seeking declaratory relief. The Company and Whalerock entered into a sublease in May 2020 whereby the Company would sublease certain space from Whalerock located in West Hollywood, California. This matter involves a dispute between the Company and Whalerock over whether the 18-month sublease has commenced, and if so, when. The Company is actively litigating this matter and cannot estimate the likely outcome at this time.</w:t>
      </w:r>
    </w:p>
    <w:p>
      <w:pPr>
        <w:spacing w:after="0" w:line="19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Note 16 Leases</w:t>
      </w:r>
    </w:p>
    <w:p>
      <w:pPr>
        <w:spacing w:after="0" w:line="88" w:lineRule="exact"/>
        <w:rPr>
          <w:sz w:val="20"/>
          <w:szCs w:val="20"/>
          <w:color w:val="auto"/>
        </w:rPr>
      </w:pPr>
    </w:p>
    <w:p>
      <w:pPr>
        <w:ind w:left="1480" w:right="439"/>
        <w:spacing w:after="0" w:line="250" w:lineRule="auto"/>
        <w:rPr>
          <w:sz w:val="20"/>
          <w:szCs w:val="20"/>
          <w:color w:val="auto"/>
        </w:rPr>
      </w:pPr>
      <w:r>
        <w:rPr>
          <w:rFonts w:ascii="Times New Roman" w:cs="Times New Roman" w:eastAsia="Times New Roman" w:hAnsi="Times New Roman"/>
          <w:sz w:val="14"/>
          <w:szCs w:val="14"/>
          <w:color w:val="auto"/>
        </w:rPr>
        <w:t>In November 2018, the Company entered into a sublease agreement with PCJW Properties LLC (“PCJW”), controlled by Company’s founders (including the Company’s current CEO), for general office space next to the aforementioned leased property in Los Angeles, California. The lease term is five years subject to early termination by either party. Under the terms of the sublease, monthly rent is approximately $0.006 million, subject to an annual escalation of 4%.</w:t>
      </w:r>
    </w:p>
    <w:p>
      <w:pPr>
        <w:spacing w:after="0" w:line="146" w:lineRule="exact"/>
        <w:rPr>
          <w:sz w:val="20"/>
          <w:szCs w:val="20"/>
          <w:color w:val="auto"/>
        </w:rPr>
      </w:pPr>
    </w:p>
    <w:p>
      <w:pPr>
        <w:jc w:val="both"/>
        <w:ind w:left="1480" w:right="519"/>
        <w:spacing w:after="0" w:line="349" w:lineRule="auto"/>
        <w:rPr>
          <w:sz w:val="20"/>
          <w:szCs w:val="20"/>
          <w:color w:val="auto"/>
        </w:rPr>
      </w:pPr>
      <w:r>
        <w:rPr>
          <w:rFonts w:ascii="Times New Roman" w:cs="Times New Roman" w:eastAsia="Times New Roman" w:hAnsi="Times New Roman"/>
          <w:sz w:val="12"/>
          <w:szCs w:val="12"/>
          <w:color w:val="auto"/>
        </w:rPr>
        <w:t>In January 2019, the Company entered into a lease agreement with PCJW for office space located in Los Angeles, California. The lease term is seven years, beginning January 1, 2019 and ending December 31, 2025. Monthly rent is approximately $0.02 million, subject to an annual escalation of 5%.</w:t>
      </w:r>
    </w:p>
    <w:p>
      <w:pPr>
        <w:spacing w:after="0" w:line="89" w:lineRule="exact"/>
        <w:rPr>
          <w:sz w:val="20"/>
          <w:szCs w:val="20"/>
          <w:color w:val="auto"/>
        </w:rPr>
      </w:pPr>
    </w:p>
    <w:p>
      <w:pPr>
        <w:ind w:left="1480" w:right="399"/>
        <w:spacing w:after="0" w:line="254" w:lineRule="auto"/>
        <w:rPr>
          <w:sz w:val="20"/>
          <w:szCs w:val="20"/>
          <w:color w:val="auto"/>
        </w:rPr>
      </w:pPr>
      <w:r>
        <w:rPr>
          <w:rFonts w:ascii="Times New Roman" w:cs="Times New Roman" w:eastAsia="Times New Roman" w:hAnsi="Times New Roman"/>
          <w:sz w:val="14"/>
          <w:szCs w:val="14"/>
          <w:color w:val="auto"/>
        </w:rPr>
        <w:t>In May 2020, the Company entered into a sublease with Whalerock for general office space in West Hollywood, California. Under the terms of the sublease, the lease term is approximately 18 months and the monthly rent is approximately $0.14 million. The Company began utilizing the office space in June 2021.</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0159"/>
          </w:cols>
          <w:pgMar w:left="300" w:top="399"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Dave Inc.</w:t>
      </w:r>
    </w:p>
    <w:p>
      <w:pPr>
        <w:spacing w:after="0" w:line="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Notes to the Unaudited Condensed Consolidated Financial Statements</w:t>
      </w:r>
    </w:p>
    <w:p>
      <w:pPr>
        <w:spacing w:after="0" w:line="103" w:lineRule="exact"/>
        <w:rPr>
          <w:sz w:val="20"/>
          <w:szCs w:val="20"/>
          <w:color w:val="auto"/>
        </w:rPr>
      </w:pPr>
    </w:p>
    <w:p>
      <w:pPr>
        <w:ind w:left="1480" w:right="519"/>
        <w:spacing w:after="0" w:line="254" w:lineRule="auto"/>
        <w:rPr>
          <w:sz w:val="20"/>
          <w:szCs w:val="20"/>
          <w:color w:val="auto"/>
        </w:rPr>
      </w:pPr>
      <w:r>
        <w:rPr>
          <w:rFonts w:ascii="Times New Roman" w:cs="Times New Roman" w:eastAsia="Times New Roman" w:hAnsi="Times New Roman"/>
          <w:sz w:val="14"/>
          <w:szCs w:val="14"/>
          <w:color w:val="auto"/>
        </w:rPr>
        <w:t>All leases were classified as operating and operating lease expenses are presented within other general and administrative expenses in the unaudited condensed consolidated statements of operations. The Company does not have any finance leases or sublease arrangements where the Company is the sublessor. The Company’s leasing activities are as follows (dollars in thousands):</w:t>
      </w:r>
    </w:p>
    <w:p>
      <w:pPr>
        <w:spacing w:after="0" w:line="142" w:lineRule="exact"/>
        <w:rPr>
          <w:sz w:val="20"/>
          <w:szCs w:val="20"/>
          <w:color w:val="auto"/>
        </w:rPr>
      </w:pPr>
    </w:p>
    <w:tbl>
      <w:tblPr>
        <w:tblLayout w:type="fixed"/>
        <w:tblInd w:w="2480" w:type="dxa"/>
        <w:tblCellMar>
          <w:top w:w="0" w:type="dxa"/>
          <w:left w:w="0" w:type="dxa"/>
          <w:bottom w:w="0" w:type="dxa"/>
          <w:right w:w="0" w:type="dxa"/>
        </w:tblCellMar>
      </w:tblPr>
      <w:tr>
        <w:trPr>
          <w:trHeight w:val="126"/>
        </w:trPr>
        <w:tc>
          <w:tcPr>
            <w:tcW w:w="4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r>
      <w:tr>
        <w:trPr>
          <w:trHeight w:val="131"/>
        </w:trPr>
        <w:tc>
          <w:tcPr>
            <w:tcW w:w="4180" w:type="dxa"/>
            <w:vAlign w:val="bottom"/>
          </w:tcPr>
          <w:p>
            <w:pPr>
              <w:spacing w:after="0"/>
              <w:rPr>
                <w:sz w:val="11"/>
                <w:szCs w:val="11"/>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March 31, 2022</w:t>
            </w:r>
          </w:p>
        </w:tc>
        <w:tc>
          <w:tcPr>
            <w:tcW w:w="1420" w:type="dxa"/>
            <w:vAlign w:val="bottom"/>
            <w:gridSpan w:val="4"/>
          </w:tcPr>
          <w:p>
            <w:pPr>
              <w:ind w:left="640"/>
              <w:spacing w:after="0"/>
              <w:rPr>
                <w:sz w:val="20"/>
                <w:szCs w:val="20"/>
                <w:color w:val="auto"/>
              </w:rPr>
            </w:pPr>
            <w:r>
              <w:rPr>
                <w:rFonts w:ascii="Times New Roman" w:cs="Times New Roman" w:eastAsia="Times New Roman" w:hAnsi="Times New Roman"/>
                <w:sz w:val="11"/>
                <w:szCs w:val="11"/>
                <w:b w:val="1"/>
                <w:bCs w:val="1"/>
                <w:color w:val="auto"/>
              </w:rPr>
              <w:t>March 31, 2021</w:t>
            </w:r>
          </w:p>
        </w:tc>
      </w:tr>
      <w:tr>
        <w:trPr>
          <w:trHeight w:val="103"/>
        </w:trPr>
        <w:tc>
          <w:tcPr>
            <w:tcW w:w="4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right"/>
              <w:ind w:right="36"/>
              <w:spacing w:after="0" w:line="103" w:lineRule="exact"/>
              <w:rPr>
                <w:sz w:val="20"/>
                <w:szCs w:val="20"/>
                <w:color w:val="auto"/>
              </w:rPr>
            </w:pPr>
            <w:r>
              <w:rPr>
                <w:rFonts w:ascii="Times New Roman" w:cs="Times New Roman" w:eastAsia="Times New Roman" w:hAnsi="Times New Roman"/>
                <w:sz w:val="11"/>
                <w:szCs w:val="11"/>
                <w:b w:val="1"/>
                <w:bCs w:val="1"/>
                <w:color w:val="auto"/>
                <w:w w:val="98"/>
              </w:rPr>
              <w:t>(unaudited)</w:t>
            </w:r>
          </w:p>
        </w:tc>
        <w:tc>
          <w:tcPr>
            <w:tcW w:w="6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ind w:left="20"/>
              <w:spacing w:after="0" w:line="103" w:lineRule="exact"/>
              <w:rPr>
                <w:sz w:val="20"/>
                <w:szCs w:val="20"/>
                <w:color w:val="auto"/>
              </w:rPr>
            </w:pPr>
            <w:r>
              <w:rPr>
                <w:rFonts w:ascii="Times New Roman" w:cs="Times New Roman" w:eastAsia="Times New Roman" w:hAnsi="Times New Roman"/>
                <w:sz w:val="11"/>
                <w:szCs w:val="11"/>
                <w:b w:val="1"/>
                <w:bCs w:val="1"/>
                <w:color w:val="auto"/>
              </w:rPr>
              <w:t>(unaudited)</w:t>
            </w:r>
          </w:p>
        </w:tc>
        <w:tc>
          <w:tcPr>
            <w:tcW w:w="40" w:type="dxa"/>
            <w:vAlign w:val="bottom"/>
          </w:tcPr>
          <w:p>
            <w:pPr>
              <w:spacing w:after="0"/>
              <w:rPr>
                <w:sz w:val="8"/>
                <w:szCs w:val="8"/>
                <w:color w:val="auto"/>
              </w:rPr>
            </w:pPr>
          </w:p>
        </w:tc>
      </w:tr>
      <w:tr>
        <w:trPr>
          <w:trHeight w:val="16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cost</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7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5"/>
              </w:rPr>
              <w:t>137</w:t>
            </w:r>
          </w:p>
        </w:tc>
        <w:tc>
          <w:tcPr>
            <w:tcW w:w="40" w:type="dxa"/>
            <w:vAlign w:val="bottom"/>
            <w:shd w:val="clear" w:color="auto" w:fill="CCEEFF"/>
          </w:tcPr>
          <w:p>
            <w:pPr>
              <w:spacing w:after="0"/>
              <w:rPr>
                <w:sz w:val="14"/>
                <w:szCs w:val="14"/>
                <w:color w:val="auto"/>
              </w:rPr>
            </w:pPr>
          </w:p>
        </w:tc>
      </w:tr>
      <w:tr>
        <w:trPr>
          <w:trHeight w:val="163"/>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Short-term lease cost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Variable lease cost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r>
      <w:tr>
        <w:trPr>
          <w:trHeight w:val="164"/>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lease cost</w:t>
            </w: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509</w:t>
            </w:r>
          </w:p>
        </w:tc>
        <w:tc>
          <w:tcPr>
            <w:tcW w:w="6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w w:val="95"/>
              </w:rPr>
              <w:t>137</w:t>
            </w:r>
          </w:p>
        </w:tc>
        <w:tc>
          <w:tcPr>
            <w:tcW w:w="40" w:type="dxa"/>
            <w:vAlign w:val="bottom"/>
          </w:tcPr>
          <w:p>
            <w:pPr>
              <w:spacing w:after="0"/>
              <w:rPr>
                <w:sz w:val="14"/>
                <w:szCs w:val="14"/>
                <w:color w:val="auto"/>
              </w:rPr>
            </w:pPr>
          </w:p>
        </w:tc>
      </w:tr>
      <w:tr>
        <w:trPr>
          <w:trHeight w:val="20"/>
        </w:trPr>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1" w:lineRule="exact"/>
        <w:rPr>
          <w:sz w:val="20"/>
          <w:szCs w:val="20"/>
          <w:color w:val="auto"/>
        </w:rPr>
      </w:pPr>
    </w:p>
    <w:tbl>
      <w:tblPr>
        <w:tblLayout w:type="fixed"/>
        <w:tblInd w:w="148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(unaudited)</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gridSpan w:val="5"/>
          </w:tcPr>
          <w:p>
            <w:pPr>
              <w:jc w:val="center"/>
              <w:ind w:right="160"/>
              <w:spacing w:after="0" w:line="113" w:lineRule="exact"/>
              <w:rPr>
                <w:sz w:val="20"/>
                <w:szCs w:val="20"/>
                <w:color w:val="auto"/>
              </w:rPr>
            </w:pPr>
            <w:r>
              <w:rPr>
                <w:rFonts w:ascii="Times New Roman" w:cs="Times New Roman" w:eastAsia="Times New Roman" w:hAnsi="Times New Roman"/>
                <w:sz w:val="11"/>
                <w:szCs w:val="11"/>
                <w:b w:val="1"/>
                <w:bCs w:val="1"/>
                <w:color w:val="auto"/>
                <w:w w:val="97"/>
              </w:rPr>
              <w:t>For the Three</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gridSpan w:val="5"/>
          </w:tcPr>
          <w:p>
            <w:pPr>
              <w:jc w:val="center"/>
              <w:ind w:right="160"/>
              <w:spacing w:after="0" w:line="113" w:lineRule="exact"/>
              <w:rPr>
                <w:sz w:val="20"/>
                <w:szCs w:val="20"/>
                <w:color w:val="auto"/>
              </w:rPr>
            </w:pPr>
            <w:r>
              <w:rPr>
                <w:rFonts w:ascii="Times New Roman" w:cs="Times New Roman" w:eastAsia="Times New Roman" w:hAnsi="Times New Roman"/>
                <w:sz w:val="11"/>
                <w:szCs w:val="11"/>
                <w:b w:val="1"/>
                <w:bCs w:val="1"/>
                <w:color w:val="auto"/>
                <w:w w:val="97"/>
              </w:rPr>
              <w:t>Months Ended</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jc w:val="center"/>
              <w:ind w:left="33"/>
              <w:spacing w:after="0"/>
              <w:rPr>
                <w:sz w:val="20"/>
                <w:szCs w:val="20"/>
                <w:color w:val="auto"/>
              </w:rPr>
            </w:pPr>
            <w:r>
              <w:rPr>
                <w:rFonts w:ascii="Times New Roman" w:cs="Times New Roman" w:eastAsia="Times New Roman" w:hAnsi="Times New Roman"/>
                <w:sz w:val="11"/>
                <w:szCs w:val="11"/>
                <w:b w:val="1"/>
                <w:bCs w:val="1"/>
                <w:color w:val="auto"/>
                <w:w w:val="98"/>
              </w:rPr>
              <w:t>March 31, 2022</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160" w:type="dxa"/>
            <w:vAlign w:val="bottom"/>
            <w:tcBorders>
              <w:top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Other information:</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operating leases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2"/>
          </w:tcPr>
          <w:p>
            <w:pPr>
              <w:jc w:val="center"/>
              <w:ind w:left="73"/>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Right-of-use assets obtained in exchange for new operating lease liability</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center"/>
              <w:ind w:left="73"/>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Weighted-average remaining lease term - operating lease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discount rate - operating lease</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55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future minimum lease payments as of March 31, 2022, were as follows (in thousands):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220" w:type="dxa"/>
            <w:vAlign w:val="bottom"/>
          </w:tcPr>
          <w:p>
            <w:pPr>
              <w:spacing w:after="0"/>
              <w:rPr>
                <w:sz w:val="24"/>
                <w:szCs w:val="24"/>
                <w:color w:val="auto"/>
              </w:rPr>
            </w:pPr>
          </w:p>
        </w:tc>
        <w:tc>
          <w:tcPr>
            <w:tcW w:w="860" w:type="dxa"/>
            <w:vAlign w:val="bottom"/>
            <w:gridSpan w:val="4"/>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(unaudited)</w:t>
            </w:r>
          </w:p>
        </w:tc>
        <w:tc>
          <w:tcPr>
            <w:tcW w:w="8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0" w:type="dxa"/>
            <w:vAlign w:val="bottom"/>
          </w:tcPr>
          <w:p>
            <w:pPr>
              <w:spacing w:after="0"/>
              <w:rPr>
                <w:sz w:val="1"/>
                <w:szCs w:val="1"/>
                <w:color w:val="auto"/>
              </w:rPr>
            </w:pPr>
          </w:p>
        </w:tc>
      </w:tr>
      <w:tr>
        <w:trPr>
          <w:trHeight w:val="112"/>
        </w:trPr>
        <w:tc>
          <w:tcPr>
            <w:tcW w:w="5500" w:type="dxa"/>
            <w:vAlign w:val="bottom"/>
            <w:gridSpan w:val="4"/>
            <w:vMerge w:val="restart"/>
          </w:tcPr>
          <w:p>
            <w:pPr>
              <w:spacing w:after="0"/>
              <w:rPr>
                <w:sz w:val="20"/>
                <w:szCs w:val="20"/>
                <w:color w:val="auto"/>
              </w:rPr>
            </w:pPr>
            <w:r>
              <w:rPr>
                <w:rFonts w:ascii="Times New Roman" w:cs="Times New Roman" w:eastAsia="Times New Roman" w:hAnsi="Times New Roman"/>
                <w:sz w:val="11"/>
                <w:szCs w:val="11"/>
                <w:b w:val="1"/>
                <w:bCs w:val="1"/>
                <w:color w:val="auto"/>
              </w:rPr>
              <w:t>Year</w:t>
            </w:r>
          </w:p>
        </w:tc>
        <w:tc>
          <w:tcPr>
            <w:tcW w:w="180" w:type="dxa"/>
            <w:vAlign w:val="bottom"/>
          </w:tcPr>
          <w:p>
            <w:pPr>
              <w:spacing w:after="0"/>
              <w:rPr>
                <w:sz w:val="9"/>
                <w:szCs w:val="9"/>
                <w:color w:val="auto"/>
              </w:rPr>
            </w:pPr>
          </w:p>
        </w:tc>
        <w:tc>
          <w:tcPr>
            <w:tcW w:w="780" w:type="dxa"/>
            <w:vAlign w:val="bottom"/>
            <w:gridSpan w:val="4"/>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Third-Party</w:t>
            </w:r>
          </w:p>
        </w:tc>
        <w:tc>
          <w:tcPr>
            <w:tcW w:w="1080" w:type="dxa"/>
            <w:vAlign w:val="bottom"/>
            <w:gridSpan w:val="5"/>
          </w:tcPr>
          <w:p>
            <w:pPr>
              <w:jc w:val="center"/>
              <w:ind w:right="20"/>
              <w:spacing w:after="0" w:line="113" w:lineRule="exact"/>
              <w:rPr>
                <w:sz w:val="20"/>
                <w:szCs w:val="20"/>
                <w:color w:val="auto"/>
              </w:rPr>
            </w:pPr>
            <w:r>
              <w:rPr>
                <w:rFonts w:ascii="Times New Roman" w:cs="Times New Roman" w:eastAsia="Times New Roman" w:hAnsi="Times New Roman"/>
                <w:sz w:val="11"/>
                <w:szCs w:val="11"/>
                <w:b w:val="1"/>
                <w:bCs w:val="1"/>
                <w:color w:val="auto"/>
                <w:w w:val="99"/>
              </w:rPr>
              <w:t>Related-Party</w:t>
            </w:r>
          </w:p>
        </w:tc>
        <w:tc>
          <w:tcPr>
            <w:tcW w:w="8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500" w:type="dxa"/>
            <w:vAlign w:val="bottom"/>
            <w:gridSpan w:val="4"/>
            <w:vMerge w:val="continue"/>
          </w:tcPr>
          <w:p>
            <w:pPr>
              <w:spacing w:after="0"/>
              <w:rPr>
                <w:sz w:val="10"/>
                <w:szCs w:val="10"/>
                <w:color w:val="auto"/>
              </w:rPr>
            </w:pPr>
          </w:p>
        </w:tc>
        <w:tc>
          <w:tcPr>
            <w:tcW w:w="960" w:type="dxa"/>
            <w:vAlign w:val="bottom"/>
            <w:gridSpan w:val="5"/>
          </w:tcPr>
          <w:p>
            <w:pPr>
              <w:ind w:left="160"/>
              <w:spacing w:after="0" w:line="121" w:lineRule="exact"/>
              <w:rPr>
                <w:sz w:val="20"/>
                <w:szCs w:val="20"/>
                <w:color w:val="auto"/>
              </w:rPr>
            </w:pPr>
            <w:r>
              <w:rPr>
                <w:rFonts w:ascii="Times New Roman" w:cs="Times New Roman" w:eastAsia="Times New Roman" w:hAnsi="Times New Roman"/>
                <w:sz w:val="11"/>
                <w:szCs w:val="11"/>
                <w:b w:val="1"/>
                <w:bCs w:val="1"/>
                <w:color w:val="auto"/>
              </w:rPr>
              <w:t>Commitment</w:t>
            </w:r>
          </w:p>
        </w:tc>
        <w:tc>
          <w:tcPr>
            <w:tcW w:w="220" w:type="dxa"/>
            <w:vAlign w:val="bottom"/>
          </w:tcPr>
          <w:p>
            <w:pPr>
              <w:spacing w:after="0"/>
              <w:rPr>
                <w:sz w:val="10"/>
                <w:szCs w:val="10"/>
                <w:color w:val="auto"/>
              </w:rPr>
            </w:pPr>
          </w:p>
        </w:tc>
        <w:tc>
          <w:tcPr>
            <w:tcW w:w="860" w:type="dxa"/>
            <w:vAlign w:val="bottom"/>
            <w:gridSpan w:val="4"/>
          </w:tcPr>
          <w:p>
            <w:pPr>
              <w:jc w:val="center"/>
              <w:ind w:right="240"/>
              <w:spacing w:after="0" w:line="121" w:lineRule="exact"/>
              <w:rPr>
                <w:sz w:val="20"/>
                <w:szCs w:val="20"/>
                <w:color w:val="auto"/>
              </w:rPr>
            </w:pPr>
            <w:r>
              <w:rPr>
                <w:rFonts w:ascii="Times New Roman" w:cs="Times New Roman" w:eastAsia="Times New Roman" w:hAnsi="Times New Roman"/>
                <w:sz w:val="11"/>
                <w:szCs w:val="11"/>
                <w:b w:val="1"/>
                <w:bCs w:val="1"/>
                <w:color w:val="auto"/>
                <w:w w:val="99"/>
              </w:rPr>
              <w:t>Commitment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tcPr>
          <w:p>
            <w:pPr>
              <w:jc w:val="right"/>
              <w:ind w:right="240"/>
              <w:spacing w:after="0" w:line="121"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CCEEFF"/>
            </w:tcBorders>
            <w:shd w:val="clear" w:color="auto" w:fill="000000"/>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5480" w:type="dxa"/>
            <w:vAlign w:val="bottom"/>
            <w:gridSpan w:val="3"/>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2022 (remaining)</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1,328</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center"/>
              <w:ind w:right="37"/>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252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1,580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2023</w:t>
            </w:r>
          </w:p>
        </w:tc>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4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2025</w:t>
            </w:r>
          </w:p>
        </w:tc>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Thereafter</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4"/>
        </w:trPr>
        <w:tc>
          <w:tcPr>
            <w:tcW w:w="55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Total minimum lease payments</w:t>
            </w:r>
          </w:p>
        </w:tc>
        <w:tc>
          <w:tcPr>
            <w:tcW w:w="1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1,476</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1,195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2,671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imputed interest</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(54)</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(189)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64"/>
        </w:trPr>
        <w:tc>
          <w:tcPr>
            <w:tcW w:w="55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c>
          <w:tcPr>
            <w:tcW w:w="1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1,422</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1,006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2,428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500" w:type="dxa"/>
            <w:vAlign w:val="bottom"/>
            <w:gridSpan w:val="4"/>
            <w:vMerge w:val="restart"/>
          </w:tcPr>
          <w:p>
            <w:pPr>
              <w:ind w:left="4100"/>
              <w:spacing w:after="0"/>
              <w:rPr>
                <w:sz w:val="20"/>
                <w:szCs w:val="20"/>
                <w:color w:val="auto"/>
              </w:rPr>
            </w:pPr>
            <w:r>
              <w:rPr>
                <w:rFonts w:ascii="Times New Roman" w:cs="Times New Roman" w:eastAsia="Times New Roman" w:hAnsi="Times New Roman"/>
                <w:sz w:val="14"/>
                <w:szCs w:val="14"/>
                <w:color w:val="auto"/>
              </w:rPr>
              <w:t>35</w:t>
            </w: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500" w:type="dxa"/>
            <w:vAlign w:val="bottom"/>
            <w:gridSpan w:val="4"/>
            <w:vMerge w:val="continue"/>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9"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Dave Inc.</w:t>
      </w:r>
    </w:p>
    <w:p>
      <w:pPr>
        <w:spacing w:after="0" w:line="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Notes to the Unaudited Condensed Consolidated Financial Statements</w:t>
      </w:r>
    </w:p>
    <w:p>
      <w:pPr>
        <w:spacing w:after="0" w:line="9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Note 17 Preferred Stock and Stockholders’ Equity</w:t>
      </w:r>
    </w:p>
    <w:p>
      <w:pPr>
        <w:spacing w:after="0" w:line="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As of March 31, 2022, no shares of preferred stock were outstanding, and the Company has no present plans to issue any shares of preferred stock.</w:t>
      </w:r>
    </w:p>
    <w:p>
      <w:pPr>
        <w:spacing w:after="0" w:line="166" w:lineRule="exact"/>
        <w:rPr>
          <w:sz w:val="20"/>
          <w:szCs w:val="20"/>
          <w:color w:val="auto"/>
        </w:rPr>
      </w:pPr>
    </w:p>
    <w:p>
      <w:pPr>
        <w:ind w:left="1480" w:right="419"/>
        <w:spacing w:after="0" w:line="297" w:lineRule="auto"/>
        <w:rPr>
          <w:sz w:val="20"/>
          <w:szCs w:val="20"/>
          <w:color w:val="auto"/>
        </w:rPr>
      </w:pPr>
      <w:r>
        <w:rPr>
          <w:rFonts w:ascii="Times New Roman" w:cs="Times New Roman" w:eastAsia="Times New Roman" w:hAnsi="Times New Roman"/>
          <w:sz w:val="12"/>
          <w:szCs w:val="12"/>
          <w:color w:val="auto"/>
        </w:rPr>
        <w:t>Pursuant to the terms of our amended and restated certificate of incorporation, shares of preferred stock may be issued from time to time in one or more series. The board of directors is authorized to fix the voting rights, if any, designations, powers and preferences, the relative, participating, optional or other special rights, and any qualifications, limitations and restrictions thereof, applicable to the shares of each series of preferred stock. The board of directors is able to, without stockholder approval, issue preferred stock with voting and other rights that could adversely affect the voting power and other rights of the holders of the common stock and could have anti-takeover effects. The ability of the board of directors to issue preferred stock without stockholder approval could have the effect of delaying, deferring or preventing a change of control or the removal of existing management.</w:t>
      </w:r>
    </w:p>
    <w:p>
      <w:pPr>
        <w:spacing w:after="0" w:line="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0159"/>
          </w:cols>
          <w:pgMar w:left="300" w:top="399"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Dave Inc.</w:t>
      </w:r>
    </w:p>
    <w:p>
      <w:pPr>
        <w:spacing w:after="0" w:line="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Notes to the Unaudited Condensed Consolidated Financial Statements</w:t>
      </w:r>
    </w:p>
    <w:p>
      <w:pPr>
        <w:spacing w:after="0" w:line="10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Class A and Class V Common Stock:</w:t>
      </w:r>
    </w:p>
    <w:p>
      <w:pPr>
        <w:spacing w:after="0" w:line="84" w:lineRule="exact"/>
        <w:rPr>
          <w:sz w:val="20"/>
          <w:szCs w:val="20"/>
          <w:color w:val="auto"/>
        </w:rPr>
      </w:pPr>
    </w:p>
    <w:p>
      <w:pPr>
        <w:ind w:left="1480" w:right="639"/>
        <w:spacing w:after="0" w:line="254" w:lineRule="auto"/>
        <w:rPr>
          <w:sz w:val="20"/>
          <w:szCs w:val="20"/>
          <w:color w:val="auto"/>
        </w:rPr>
      </w:pPr>
      <w:r>
        <w:rPr>
          <w:rFonts w:ascii="Times New Roman" w:cs="Times New Roman" w:eastAsia="Times New Roman" w:hAnsi="Times New Roman"/>
          <w:sz w:val="14"/>
          <w:szCs w:val="14"/>
          <w:color w:val="auto"/>
        </w:rPr>
        <w:t>The Company’s Board of Directors has authorized two classes of common stock, Class A and Class V. As of March 31, 2022, the Company had authorized 500,000,000 and 100,000,000 shares of Class A and Class V Common Stock. As of March 31, 2022, the Company had 322,659,785 and 48,450,639 shares of Class A and Class V Common Stock issued and outstanding, respectively.</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Note 18 Stock-Based Compensation</w:t>
      </w:r>
    </w:p>
    <w:p>
      <w:pPr>
        <w:spacing w:after="0" w:line="88" w:lineRule="exact"/>
        <w:rPr>
          <w:sz w:val="20"/>
          <w:szCs w:val="20"/>
          <w:color w:val="auto"/>
        </w:rPr>
      </w:pPr>
    </w:p>
    <w:p>
      <w:pPr>
        <w:ind w:left="1480" w:right="439"/>
        <w:spacing w:after="0" w:line="248" w:lineRule="auto"/>
        <w:rPr>
          <w:sz w:val="20"/>
          <w:szCs w:val="20"/>
          <w:color w:val="auto"/>
        </w:rPr>
      </w:pPr>
      <w:r>
        <w:rPr>
          <w:rFonts w:ascii="Times New Roman" w:cs="Times New Roman" w:eastAsia="Times New Roman" w:hAnsi="Times New Roman"/>
          <w:sz w:val="14"/>
          <w:szCs w:val="14"/>
          <w:color w:val="auto"/>
        </w:rPr>
        <w:t>In 2017, the Company’s Board of Directors adopted the Dave Inc. 2017 Stock Plan (the “2017 Plan”). The Plan authorizes the award of stock options, restricted stock, and restricted stock units. The Company has reserved shares of common stock for issuance under the Plan. On January 4, 2022, the stockholders of the Company approved the 2021 Equity Incentive Plan (the “2021 Plan”). The 2021 Plan was previously approved, subject to stockholder approval, by the Company’s Board of Directors on January 4, 2022. Upon the consummation of the Business Combination with VPCC, the 2017 Plan was terminated and replaced by the 2021 Plan.</w:t>
      </w:r>
    </w:p>
    <w:p>
      <w:pPr>
        <w:spacing w:after="0" w:line="149" w:lineRule="exact"/>
        <w:rPr>
          <w:sz w:val="20"/>
          <w:szCs w:val="20"/>
          <w:color w:val="auto"/>
        </w:rPr>
      </w:pPr>
    </w:p>
    <w:p>
      <w:pPr>
        <w:ind w:left="1480" w:right="499"/>
        <w:spacing w:after="0" w:line="254" w:lineRule="auto"/>
        <w:rPr>
          <w:sz w:val="20"/>
          <w:szCs w:val="20"/>
          <w:color w:val="auto"/>
        </w:rPr>
      </w:pPr>
      <w:r>
        <w:rPr>
          <w:rFonts w:ascii="Times New Roman" w:cs="Times New Roman" w:eastAsia="Times New Roman" w:hAnsi="Times New Roman"/>
          <w:sz w:val="14"/>
          <w:szCs w:val="14"/>
          <w:color w:val="auto"/>
        </w:rPr>
        <w:t>On January 4, 2022, the stockholders of the Company considered and approved the 2021 Employee Stock Purchase Plan (the “ESPP”). The ESPP was previously approved, subject to stockholder approval, by the Company’s Board of Directors on January 4, 2022. The ESPP became effective immediately upon the completion of the Business Combination with VPCC.</w:t>
      </w:r>
    </w:p>
    <w:p>
      <w:pPr>
        <w:spacing w:after="0" w:line="142" w:lineRule="exact"/>
        <w:rPr>
          <w:sz w:val="20"/>
          <w:szCs w:val="20"/>
          <w:color w:val="auto"/>
        </w:rPr>
      </w:pPr>
    </w:p>
    <w:p>
      <w:pPr>
        <w:ind w:left="1480" w:right="359"/>
        <w:spacing w:after="0" w:line="254" w:lineRule="auto"/>
        <w:rPr>
          <w:sz w:val="20"/>
          <w:szCs w:val="20"/>
          <w:color w:val="auto"/>
        </w:rPr>
      </w:pPr>
      <w:r>
        <w:rPr>
          <w:rFonts w:ascii="Times New Roman" w:cs="Times New Roman" w:eastAsia="Times New Roman" w:hAnsi="Times New Roman"/>
          <w:sz w:val="14"/>
          <w:szCs w:val="14"/>
          <w:color w:val="auto"/>
        </w:rPr>
        <w:t>The Company recognized approximately $3.2 million and $1.7 million of stock-based compensation expense arising from stock option and restricted stock grants which is recorded as a component of compensation and benefits in the condensed consolidated statements of operations for the three months ended March 31, 2022 and 2021, respectively.</w:t>
      </w:r>
    </w:p>
    <w:p>
      <w:pPr>
        <w:spacing w:after="0" w:line="14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Stock Options:</w:t>
      </w:r>
    </w:p>
    <w:p>
      <w:pPr>
        <w:spacing w:after="0" w:line="84" w:lineRule="exact"/>
        <w:rPr>
          <w:sz w:val="20"/>
          <w:szCs w:val="20"/>
          <w:color w:val="auto"/>
        </w:rPr>
      </w:pPr>
    </w:p>
    <w:p>
      <w:pPr>
        <w:ind w:left="1480" w:right="359"/>
        <w:spacing w:after="0" w:line="264" w:lineRule="auto"/>
        <w:rPr>
          <w:sz w:val="20"/>
          <w:szCs w:val="20"/>
          <w:color w:val="auto"/>
        </w:rPr>
      </w:pPr>
      <w:r>
        <w:rPr>
          <w:rFonts w:ascii="Times New Roman" w:cs="Times New Roman" w:eastAsia="Times New Roman" w:hAnsi="Times New Roman"/>
          <w:sz w:val="14"/>
          <w:szCs w:val="14"/>
          <w:color w:val="auto"/>
        </w:rPr>
        <w:t>Management has valued stock options at their date of grant utilizing the Black-Scholes option pricing model. The fair value of the underlying shares was estimated by using a number of inputs, including recent arm’s length transactions involving the sale of the Company’s common stock.</w:t>
      </w:r>
    </w:p>
    <w:p>
      <w:pPr>
        <w:spacing w:after="0" w:line="13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following table presents the weighted-average assumptions used to value options granted during the three months ended March 31, 2020:</w:t>
      </w:r>
    </w:p>
    <w:p>
      <w:pPr>
        <w:spacing w:after="0" w:line="199" w:lineRule="exact"/>
        <w:rPr>
          <w:sz w:val="20"/>
          <w:szCs w:val="20"/>
          <w:color w:val="auto"/>
        </w:rPr>
      </w:pPr>
    </w:p>
    <w:tbl>
      <w:tblPr>
        <w:tblLayout w:type="fixed"/>
        <w:tblInd w:w="2820" w:type="dxa"/>
        <w:tblCellMar>
          <w:top w:w="0" w:type="dxa"/>
          <w:left w:w="0" w:type="dxa"/>
          <w:bottom w:w="0" w:type="dxa"/>
          <w:right w:w="0" w:type="dxa"/>
        </w:tblCellMar>
      </w:tblPr>
      <w:tr>
        <w:trPr>
          <w:trHeight w:val="16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2022: Expected term</w:t>
            </w:r>
          </w:p>
        </w:tc>
        <w:tc>
          <w:tcPr>
            <w:tcW w:w="25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6.0 years</w:t>
            </w:r>
          </w:p>
        </w:tc>
      </w:tr>
      <w:tr>
        <w:trPr>
          <w:trHeight w:val="163"/>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6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r>
      <w:tr>
        <w:trPr>
          <w:trHeight w:val="175"/>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r>
    </w:tbl>
    <w:p>
      <w:pPr>
        <w:spacing w:after="0" w:line="13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Company had no stock options granted during the three months ended March 31, 2022.</w:t>
      </w:r>
    </w:p>
    <w:p>
      <w:pPr>
        <w:spacing w:after="0" w:line="164" w:lineRule="exact"/>
        <w:rPr>
          <w:sz w:val="20"/>
          <w:szCs w:val="20"/>
          <w:color w:val="auto"/>
        </w:rPr>
      </w:pPr>
    </w:p>
    <w:p>
      <w:pPr>
        <w:jc w:val="both"/>
        <w:ind w:left="1480" w:right="479"/>
        <w:spacing w:after="0" w:line="255" w:lineRule="auto"/>
        <w:rPr>
          <w:sz w:val="20"/>
          <w:szCs w:val="20"/>
          <w:color w:val="auto"/>
        </w:rPr>
      </w:pPr>
      <w:r>
        <w:rPr>
          <w:rFonts w:ascii="Times New Roman" w:cs="Times New Roman" w:eastAsia="Times New Roman" w:hAnsi="Times New Roman"/>
          <w:sz w:val="14"/>
          <w:szCs w:val="14"/>
          <w:i w:val="1"/>
          <w:iCs w:val="1"/>
          <w:color w:val="auto"/>
        </w:rPr>
        <w:t>Expected term</w:t>
      </w:r>
      <w:r>
        <w:rPr>
          <w:rFonts w:ascii="Times New Roman" w:cs="Times New Roman" w:eastAsia="Times New Roman" w:hAnsi="Times New Roman"/>
          <w:sz w:val="14"/>
          <w:szCs w:val="14"/>
          <w:color w:val="auto"/>
        </w:rPr>
        <w:t>—The expected term represents the period of time that options are expected to be outstanding. As the Company does not have sufficient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historical exercise behavior, it determines the expected life assumption using the simplified method, which is an average of the contractual term of the option and its vesting period.</w:t>
      </w:r>
    </w:p>
    <w:p>
      <w:pPr>
        <w:spacing w:after="0" w:line="140" w:lineRule="exact"/>
        <w:rPr>
          <w:sz w:val="20"/>
          <w:szCs w:val="20"/>
          <w:color w:val="auto"/>
        </w:rPr>
      </w:pPr>
    </w:p>
    <w:p>
      <w:pPr>
        <w:ind w:left="1480" w:right="419"/>
        <w:spacing w:after="0" w:line="267" w:lineRule="auto"/>
        <w:rPr>
          <w:sz w:val="20"/>
          <w:szCs w:val="20"/>
          <w:color w:val="auto"/>
        </w:rPr>
      </w:pPr>
      <w:r>
        <w:rPr>
          <w:rFonts w:ascii="Times New Roman" w:cs="Times New Roman" w:eastAsia="Times New Roman" w:hAnsi="Times New Roman"/>
          <w:sz w:val="14"/>
          <w:szCs w:val="14"/>
          <w:i w:val="1"/>
          <w:iCs w:val="1"/>
          <w:color w:val="auto"/>
        </w:rPr>
        <w:t>Risk free interest rate</w:t>
      </w:r>
      <w:r>
        <w:rPr>
          <w:rFonts w:ascii="Times New Roman" w:cs="Times New Roman" w:eastAsia="Times New Roman" w:hAnsi="Times New Roman"/>
          <w:sz w:val="14"/>
          <w:szCs w:val="14"/>
          <w:color w:val="auto"/>
        </w:rPr>
        <w:t>—The risk-free interest rate is based on the implied yield available on U.S. Treasury issues with an equivalent term approximating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expected life of the options depending on the date of the grant and expected life of the options.</w:t>
      </w:r>
    </w:p>
    <w:p>
      <w:pPr>
        <w:spacing w:after="0" w:line="132" w:lineRule="exact"/>
        <w:rPr>
          <w:sz w:val="20"/>
          <w:szCs w:val="20"/>
          <w:color w:val="auto"/>
        </w:rPr>
      </w:pPr>
    </w:p>
    <w:p>
      <w:pPr>
        <w:ind w:left="1480" w:right="719"/>
        <w:spacing w:after="0" w:line="267" w:lineRule="auto"/>
        <w:rPr>
          <w:sz w:val="20"/>
          <w:szCs w:val="20"/>
          <w:color w:val="auto"/>
        </w:rPr>
      </w:pPr>
      <w:r>
        <w:rPr>
          <w:rFonts w:ascii="Times New Roman" w:cs="Times New Roman" w:eastAsia="Times New Roman" w:hAnsi="Times New Roman"/>
          <w:sz w:val="14"/>
          <w:szCs w:val="14"/>
          <w:i w:val="1"/>
          <w:iCs w:val="1"/>
          <w:color w:val="auto"/>
        </w:rPr>
        <w:t>Expected dividend yield</w:t>
      </w:r>
      <w:r>
        <w:rPr>
          <w:rFonts w:ascii="Times New Roman" w:cs="Times New Roman" w:eastAsia="Times New Roman" w:hAnsi="Times New Roman"/>
          <w:sz w:val="14"/>
          <w:szCs w:val="14"/>
          <w:color w:val="auto"/>
        </w:rPr>
        <w:t>—The Company bases the expected dividend yield assumption on the fact that it has never paid cash dividends and has no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present intention to pay cash dividends.</w:t>
      </w:r>
    </w:p>
    <w:p>
      <w:pPr>
        <w:spacing w:after="0" w:line="132" w:lineRule="exact"/>
        <w:rPr>
          <w:sz w:val="20"/>
          <w:szCs w:val="20"/>
          <w:color w:val="auto"/>
        </w:rPr>
      </w:pPr>
    </w:p>
    <w:p>
      <w:pPr>
        <w:ind w:left="1480" w:right="359"/>
        <w:spacing w:after="0" w:line="251" w:lineRule="auto"/>
        <w:rPr>
          <w:sz w:val="20"/>
          <w:szCs w:val="20"/>
          <w:color w:val="auto"/>
        </w:rPr>
      </w:pPr>
      <w:r>
        <w:rPr>
          <w:rFonts w:ascii="Times New Roman" w:cs="Times New Roman" w:eastAsia="Times New Roman" w:hAnsi="Times New Roman"/>
          <w:sz w:val="14"/>
          <w:szCs w:val="14"/>
          <w:i w:val="1"/>
          <w:iCs w:val="1"/>
          <w:color w:val="auto"/>
        </w:rPr>
        <w:t>Expected volatility</w:t>
      </w:r>
      <w:r>
        <w:rPr>
          <w:rFonts w:ascii="Times New Roman" w:cs="Times New Roman" w:eastAsia="Times New Roman" w:hAnsi="Times New Roman"/>
          <w:sz w:val="14"/>
          <w:szCs w:val="14"/>
          <w:color w:val="auto"/>
        </w:rPr>
        <w:t>—Due to the Company’s limited operating history and lack of company-specific historical or implied volatility, the expected volatility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assumption is based on historical volatilities of a peer group of similar companies whose share prices are publicly available. The Company identified a group of peer companies and considered their historical stock prices. In identifying peer companies, the Company considered the industry, stage of life cycle, size, and financial leverage of such other entities.</w:t>
      </w:r>
    </w:p>
    <w:p>
      <w:pPr>
        <w:spacing w:after="0" w:line="1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Activity with respect to stock options is summarized as follows:</w:t>
      </w:r>
    </w:p>
    <w:p>
      <w:pPr>
        <w:spacing w:after="0" w:line="166" w:lineRule="exact"/>
        <w:rPr>
          <w:sz w:val="20"/>
          <w:szCs w:val="20"/>
          <w:color w:val="auto"/>
        </w:rPr>
      </w:pPr>
    </w:p>
    <w:tbl>
      <w:tblPr>
        <w:tblLayout w:type="fixed"/>
        <w:tblInd w:w="2480" w:type="dxa"/>
        <w:tblCellMar>
          <w:top w:w="0" w:type="dxa"/>
          <w:left w:w="0" w:type="dxa"/>
          <w:bottom w:w="0" w:type="dxa"/>
          <w:right w:w="0" w:type="dxa"/>
        </w:tblCellMar>
      </w:tblPr>
      <w:tr>
        <w:trPr>
          <w:trHeight w:val="126"/>
        </w:trPr>
        <w:tc>
          <w:tcPr>
            <w:tcW w:w="4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4"/>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12"/>
        </w:trPr>
        <w:tc>
          <w:tcPr>
            <w:tcW w:w="48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3"/>
          </w:tcPr>
          <w:p>
            <w:pPr>
              <w:jc w:val="center"/>
              <w:ind w:right="60"/>
              <w:spacing w:after="0" w:line="113"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0" w:type="dxa"/>
            <w:vAlign w:val="bottom"/>
          </w:tcPr>
          <w:p>
            <w:pPr>
              <w:spacing w:after="0"/>
              <w:rPr>
                <w:sz w:val="1"/>
                <w:szCs w:val="1"/>
                <w:color w:val="auto"/>
              </w:rPr>
            </w:pPr>
          </w:p>
        </w:tc>
      </w:tr>
      <w:tr>
        <w:trPr>
          <w:trHeight w:val="112"/>
        </w:trPr>
        <w:tc>
          <w:tcPr>
            <w:tcW w:w="4840" w:type="dxa"/>
            <w:vAlign w:val="bottom"/>
          </w:tcPr>
          <w:p>
            <w:pPr>
              <w:spacing w:after="0"/>
              <w:rPr>
                <w:sz w:val="9"/>
                <w:szCs w:val="9"/>
                <w:color w:val="auto"/>
              </w:rPr>
            </w:pPr>
          </w:p>
        </w:tc>
        <w:tc>
          <w:tcPr>
            <w:tcW w:w="8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9"/>
                <w:szCs w:val="9"/>
                <w:color w:val="auto"/>
              </w:rPr>
            </w:pPr>
          </w:p>
        </w:tc>
        <w:tc>
          <w:tcPr>
            <w:tcW w:w="520" w:type="dxa"/>
            <w:vAlign w:val="bottom"/>
            <w:gridSpan w:val="3"/>
          </w:tcPr>
          <w:p>
            <w:pPr>
              <w:jc w:val="center"/>
              <w:ind w:right="60"/>
              <w:spacing w:after="0" w:line="113" w:lineRule="exact"/>
              <w:rPr>
                <w:sz w:val="20"/>
                <w:szCs w:val="20"/>
                <w:color w:val="auto"/>
              </w:rPr>
            </w:pPr>
            <w:r>
              <w:rPr>
                <w:rFonts w:ascii="Times New Roman" w:cs="Times New Roman" w:eastAsia="Times New Roman" w:hAnsi="Times New Roman"/>
                <w:sz w:val="11"/>
                <w:szCs w:val="11"/>
                <w:b w:val="1"/>
                <w:bCs w:val="1"/>
                <w:color w:val="auto"/>
                <w:w w:val="95"/>
              </w:rPr>
              <w:t>Exercise</w:t>
            </w:r>
          </w:p>
        </w:tc>
        <w:tc>
          <w:tcPr>
            <w:tcW w:w="0" w:type="dxa"/>
            <w:vAlign w:val="bottom"/>
          </w:tcPr>
          <w:p>
            <w:pPr>
              <w:spacing w:after="0"/>
              <w:rPr>
                <w:sz w:val="1"/>
                <w:szCs w:val="1"/>
                <w:color w:val="auto"/>
              </w:rPr>
            </w:pPr>
          </w:p>
        </w:tc>
      </w:tr>
      <w:tr>
        <w:trPr>
          <w:trHeight w:val="131"/>
        </w:trPr>
        <w:tc>
          <w:tcPr>
            <w:tcW w:w="48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Price</w:t>
            </w:r>
          </w:p>
        </w:tc>
        <w:tc>
          <w:tcPr>
            <w:tcW w:w="0" w:type="dxa"/>
            <w:vAlign w:val="bottom"/>
          </w:tcPr>
          <w:p>
            <w:pPr>
              <w:spacing w:after="0"/>
              <w:rPr>
                <w:sz w:val="1"/>
                <w:szCs w:val="1"/>
                <w:color w:val="auto"/>
              </w:rPr>
            </w:pPr>
          </w:p>
        </w:tc>
      </w:tr>
      <w:tr>
        <w:trPr>
          <w:trHeight w:val="154"/>
        </w:trPr>
        <w:tc>
          <w:tcPr>
            <w:tcW w:w="484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Options outstanding, January 1, 2022</w:t>
            </w:r>
          </w:p>
        </w:tc>
        <w:tc>
          <w:tcPr>
            <w:tcW w:w="66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34,709,027</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0.64</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8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4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Exercised</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(3,336,683)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(459,787)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Expired</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(2,595)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Options outstanding, March 31, 2022</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30,909,962</w:t>
            </w:r>
          </w:p>
        </w:tc>
        <w:tc>
          <w:tcPr>
            <w:tcW w:w="18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8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Nonvested options, March 31, 2022</w:t>
            </w:r>
          </w:p>
        </w:tc>
        <w:tc>
          <w:tcPr>
            <w:tcW w:w="66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22,213,714</w:t>
            </w: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0.71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Vested and exercisable, March 31, 2022</w:t>
            </w: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840" w:type="dxa"/>
            <w:vAlign w:val="bottom"/>
            <w:vMerge w:val="continue"/>
          </w:tcPr>
          <w:p>
            <w:pPr>
              <w:spacing w:after="0"/>
              <w:rPr>
                <w:sz w:val="12"/>
                <w:szCs w:val="12"/>
                <w:color w:val="auto"/>
              </w:rPr>
            </w:pPr>
          </w:p>
        </w:tc>
        <w:tc>
          <w:tcPr>
            <w:tcW w:w="66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9,140,656</w:t>
            </w:r>
          </w:p>
        </w:tc>
        <w:tc>
          <w:tcPr>
            <w:tcW w:w="18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480" w:right="359"/>
        <w:spacing w:after="0" w:line="248" w:lineRule="auto"/>
        <w:rPr>
          <w:sz w:val="20"/>
          <w:szCs w:val="20"/>
          <w:color w:val="auto"/>
        </w:rPr>
      </w:pPr>
      <w:r>
        <w:rPr>
          <w:rFonts w:ascii="Times New Roman" w:cs="Times New Roman" w:eastAsia="Times New Roman" w:hAnsi="Times New Roman"/>
          <w:sz w:val="14"/>
          <w:szCs w:val="14"/>
          <w:color w:val="auto"/>
        </w:rPr>
        <w:t>The Company allowed certain stock option holders to exercise unvested options to purchase shares of Common Stock. Shares received from such early exercises are subject to repurchase in the event of the optionee’s employment termination, at the original issuance price, until the options are fully vested. As of March 31, 2022 and 2021, 444,408 and 1,009,279 shares of Common Stock were subject to repurchase at weighted-average exercise prices of $0.69 and $0.62, respectively. The shares issued pursuant to unvested options have been included in shares issued and outstanding on the condensed consolidated balance sheets as such shares are considered legally outstanding.</w:t>
      </w:r>
    </w:p>
    <w:p>
      <w:pPr>
        <w:spacing w:after="0" w:line="149" w:lineRule="exact"/>
        <w:rPr>
          <w:sz w:val="20"/>
          <w:szCs w:val="20"/>
          <w:color w:val="auto"/>
        </w:rPr>
      </w:pPr>
    </w:p>
    <w:p>
      <w:pPr>
        <w:ind w:left="1480" w:right="399"/>
        <w:spacing w:after="0" w:line="246" w:lineRule="auto"/>
        <w:rPr>
          <w:sz w:val="20"/>
          <w:szCs w:val="20"/>
          <w:color w:val="auto"/>
        </w:rPr>
      </w:pPr>
      <w:r>
        <w:rPr>
          <w:rFonts w:ascii="Times New Roman" w:cs="Times New Roman" w:eastAsia="Times New Roman" w:hAnsi="Times New Roman"/>
          <w:sz w:val="14"/>
          <w:szCs w:val="14"/>
          <w:color w:val="auto"/>
        </w:rPr>
        <w:t>On March 3, 2021, the Company granted the Chief Executive Officer stock options to purchase up to 11,456,061 shares of Common Stock in nine tranches. Each of the nine tranches contain service, market, and performance conditions. The market conditions relate to the achievement of certain specified price targets. Vesting commences on the grant date; however, no compensation charges are recognized until the service, market, and performance conditions are probable, which is upon the completion of a liquidity event, the achievement of specified price targets for each tranche of shares, and continuous employment. Upon the completion of a business combination with VPCC, the performance condition was met and the Company recorded a cumulative stock-based compensation expense as of approximately $1.9 million. The options have a strike price of $0.72 per share. The Company determined the fair value of the options on the grant date to be approximately $10.5 million (unaudited) using a Monte Carlo simulation with key inputs and assumptions such as stock price, term, dividend yield, risk-free interest rate, and volatility. Each tranche will vest monthly over a derived service period.</w:t>
      </w:r>
    </w:p>
    <w:p>
      <w:pPr>
        <w:spacing w:after="0" w:line="14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following table presents the key inputs and assumptions used to value the options granted to the Chief Executive Officer on the grant date:</w:t>
      </w:r>
    </w:p>
    <w:p>
      <w:pPr>
        <w:spacing w:after="0" w:line="199" w:lineRule="exact"/>
        <w:rPr>
          <w:sz w:val="20"/>
          <w:szCs w:val="20"/>
          <w:color w:val="auto"/>
        </w:rPr>
      </w:pPr>
    </w:p>
    <w:tbl>
      <w:tblPr>
        <w:tblLayout w:type="fixed"/>
        <w:tblInd w:w="2820" w:type="dxa"/>
        <w:tblCellMar>
          <w:top w:w="0" w:type="dxa"/>
          <w:left w:w="0" w:type="dxa"/>
          <w:bottom w:w="0" w:type="dxa"/>
          <w:right w:w="0" w:type="dxa"/>
        </w:tblCellMar>
      </w:tblPr>
      <w:tr>
        <w:trPr>
          <w:trHeight w:val="16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Remaining term</w:t>
            </w:r>
          </w:p>
        </w:tc>
        <w:tc>
          <w:tcPr>
            <w:tcW w:w="25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10.0 years</w:t>
            </w:r>
          </w:p>
        </w:tc>
      </w:tr>
      <w:tr>
        <w:trPr>
          <w:trHeight w:val="163"/>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r>
      <w:tr>
        <w:trPr>
          <w:trHeight w:val="175"/>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r>
    </w:tbl>
    <w:p>
      <w:pPr>
        <w:spacing w:after="0" w:line="88" w:lineRule="exact"/>
        <w:rPr>
          <w:sz w:val="20"/>
          <w:szCs w:val="20"/>
          <w:color w:val="auto"/>
        </w:rPr>
      </w:pPr>
    </w:p>
    <w:p>
      <w:pPr>
        <w:sectPr>
          <w:pgSz w:w="11900" w:h="16838" w:orient="portrait"/>
          <w:cols w:equalWidth="0" w:num="1">
            <w:col w:w="10159"/>
          </w:cols>
          <w:pgMar w:left="300" w:top="399" w:right="1440" w:bottom="545" w:gutter="0" w:footer="0" w:header="0"/>
        </w:sectPr>
      </w:pPr>
    </w:p>
    <w:p>
      <w:pPr>
        <w:ind w:left="558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0159"/>
          </w:cols>
          <w:pgMar w:left="300" w:top="399" w:right="1440" w:bottom="545"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Dave Inc.</w:t>
      </w:r>
    </w:p>
    <w:p>
      <w:pPr>
        <w:spacing w:after="0" w:line="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Notes to the Unaudited Condensed Consolidated Financial Statements</w:t>
      </w:r>
    </w:p>
    <w:p>
      <w:pPr>
        <w:spacing w:after="0" w:line="9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Note 19 Related-Party Transactions</w:t>
      </w:r>
    </w:p>
    <w:p>
      <w:pPr>
        <w:spacing w:after="0" w:line="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Leasing Arrangements:</w:t>
      </w:r>
    </w:p>
    <w:p>
      <w:pPr>
        <w:spacing w:after="0" w:line="84" w:lineRule="exact"/>
        <w:rPr>
          <w:sz w:val="20"/>
          <w:szCs w:val="20"/>
          <w:color w:val="auto"/>
        </w:rPr>
      </w:pPr>
    </w:p>
    <w:p>
      <w:pPr>
        <w:ind w:left="1480" w:right="499"/>
        <w:spacing w:after="0" w:line="264" w:lineRule="auto"/>
        <w:rPr>
          <w:sz w:val="20"/>
          <w:szCs w:val="20"/>
          <w:color w:val="auto"/>
        </w:rPr>
      </w:pPr>
      <w:r>
        <w:rPr>
          <w:rFonts w:ascii="Times New Roman" w:cs="Times New Roman" w:eastAsia="Times New Roman" w:hAnsi="Times New Roman"/>
          <w:sz w:val="14"/>
          <w:szCs w:val="14"/>
          <w:color w:val="auto"/>
        </w:rPr>
        <w:t>During the three months ended March 31, 2022 and 2021, the Company paid approximately $0.08 million and $0.08 million, respectively, under lease agreements with PCJW for general office space in Los Angeles, California.</w:t>
      </w:r>
    </w:p>
    <w:p>
      <w:pPr>
        <w:spacing w:after="0" w:line="136" w:lineRule="exact"/>
        <w:rPr>
          <w:sz w:val="20"/>
          <w:szCs w:val="20"/>
          <w:color w:val="auto"/>
        </w:rPr>
      </w:pPr>
    </w:p>
    <w:p>
      <w:pPr>
        <w:ind w:left="1480" w:right="459"/>
        <w:spacing w:after="0" w:line="264" w:lineRule="auto"/>
        <w:rPr>
          <w:sz w:val="20"/>
          <w:szCs w:val="20"/>
          <w:color w:val="auto"/>
        </w:rPr>
      </w:pPr>
      <w:r>
        <w:rPr>
          <w:rFonts w:ascii="Times New Roman" w:cs="Times New Roman" w:eastAsia="Times New Roman" w:hAnsi="Times New Roman"/>
          <w:sz w:val="14"/>
          <w:szCs w:val="14"/>
          <w:color w:val="auto"/>
        </w:rPr>
        <w:t>The following is a schedule of future minimum rental payments as of March 31, 2022, under the Company’s sub-lease for the properties located in Los Angeles, California signed with PCJW (in thousands):</w:t>
      </w:r>
    </w:p>
    <w:p>
      <w:pPr>
        <w:spacing w:after="0" w:line="136" w:lineRule="exact"/>
        <w:rPr>
          <w:sz w:val="20"/>
          <w:szCs w:val="20"/>
          <w:color w:val="auto"/>
        </w:rPr>
      </w:pPr>
    </w:p>
    <w:tbl>
      <w:tblPr>
        <w:tblLayout w:type="fixed"/>
        <w:tblInd w:w="2820" w:type="dxa"/>
        <w:tblCellMar>
          <w:top w:w="0" w:type="dxa"/>
          <w:left w:w="0" w:type="dxa"/>
          <w:bottom w:w="0" w:type="dxa"/>
          <w:right w:w="0" w:type="dxa"/>
        </w:tblCellMar>
      </w:tblPr>
      <w:tr>
        <w:trPr>
          <w:trHeight w:val="126"/>
        </w:trPr>
        <w:tc>
          <w:tcPr>
            <w:tcW w:w="49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Year</w:t>
            </w:r>
          </w:p>
        </w:tc>
        <w:tc>
          <w:tcPr>
            <w:tcW w:w="74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Related-Party</w:t>
            </w:r>
          </w:p>
        </w:tc>
        <w:tc>
          <w:tcPr>
            <w:tcW w:w="0" w:type="dxa"/>
            <w:vAlign w:val="bottom"/>
          </w:tcPr>
          <w:p>
            <w:pPr>
              <w:spacing w:after="0"/>
              <w:rPr>
                <w:sz w:val="1"/>
                <w:szCs w:val="1"/>
                <w:color w:val="auto"/>
              </w:rPr>
            </w:pPr>
          </w:p>
        </w:tc>
      </w:tr>
      <w:tr>
        <w:trPr>
          <w:trHeight w:val="121"/>
        </w:trPr>
        <w:tc>
          <w:tcPr>
            <w:tcW w:w="49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Commitment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CCEEFF"/>
            </w:tcBorders>
            <w:shd w:val="clear" w:color="auto" w:fill="000000"/>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490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2022 (remaining)</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252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2025</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Thereafter</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4"/>
        </w:trPr>
        <w:tc>
          <w:tcPr>
            <w:tcW w:w="4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minimum lease payments</w:t>
            </w:r>
          </w:p>
        </w:tc>
        <w:tc>
          <w:tcPr>
            <w:tcW w:w="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imputed interest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64"/>
        </w:trPr>
        <w:tc>
          <w:tcPr>
            <w:tcW w:w="4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c>
          <w:tcPr>
            <w:tcW w:w="20" w:type="dxa"/>
            <w:vAlign w:val="bottom"/>
            <w:tcBorders>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480" w:right="599"/>
        <w:spacing w:after="0" w:line="264" w:lineRule="auto"/>
        <w:rPr>
          <w:sz w:val="20"/>
          <w:szCs w:val="20"/>
          <w:color w:val="auto"/>
        </w:rPr>
      </w:pPr>
      <w:r>
        <w:rPr>
          <w:rFonts w:ascii="Times New Roman" w:cs="Times New Roman" w:eastAsia="Times New Roman" w:hAnsi="Times New Roman"/>
          <w:sz w:val="14"/>
          <w:szCs w:val="14"/>
          <w:color w:val="auto"/>
        </w:rPr>
        <w:t>The related-party components of the lease right-of-use assets, lease liabilities, short-term, and lease liabilities, long-term, are presented as part of the right-of-use asset and lease liability on the condensed consolidated balance sheets.</w:t>
      </w:r>
    </w:p>
    <w:p>
      <w:pPr>
        <w:spacing w:after="0" w:line="13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Related-Party Exercise Receivable Promissory Notes:</w:t>
      </w:r>
    </w:p>
    <w:p>
      <w:pPr>
        <w:spacing w:after="0" w:line="84" w:lineRule="exact"/>
        <w:rPr>
          <w:sz w:val="20"/>
          <w:szCs w:val="20"/>
          <w:color w:val="auto"/>
        </w:rPr>
      </w:pPr>
    </w:p>
    <w:p>
      <w:pPr>
        <w:ind w:left="1480" w:right="399"/>
        <w:spacing w:after="0" w:line="247" w:lineRule="auto"/>
        <w:rPr>
          <w:sz w:val="20"/>
          <w:szCs w:val="20"/>
          <w:color w:val="auto"/>
        </w:rPr>
      </w:pPr>
      <w:r>
        <w:rPr>
          <w:rFonts w:ascii="Times New Roman" w:cs="Times New Roman" w:eastAsia="Times New Roman" w:hAnsi="Times New Roman"/>
          <w:sz w:val="14"/>
          <w:szCs w:val="14"/>
          <w:color w:val="auto"/>
        </w:rPr>
        <w:t>During 2018, the Company received non-recourse promissory notes from certain employees, which allowed for the early exercise of stock options, with the exercise price to be paid back to the Company at a later date. The notes for approximately $0.1 thousand were secured by a pledge of 1,942,250 shares. During 2020, the Company received a non-recourse promissory note from a certain executive, which allowed for the early exercise of stock options, with the exercise price to be paid back to the Company at a later date. The note for approximately $1.0 million was secured by a pledge of 1,050,000 shares. The promissory notes have a term of five years and carry stated interest rates between 1.5% and 2.0%, which are compounded annually. The amounts due as of March 31, 2022 and December 31, 2021, were approximately $0 and $1.1 million, respectively. Prior to the consummation of the Business Combination in January 2022, the promissory notes were repaid.</w:t>
      </w:r>
    </w:p>
    <w:p>
      <w:pPr>
        <w:spacing w:after="0" w:line="147" w:lineRule="exact"/>
        <w:rPr>
          <w:sz w:val="20"/>
          <w:szCs w:val="20"/>
          <w:color w:val="auto"/>
        </w:rPr>
      </w:pPr>
    </w:p>
    <w:p>
      <w:pPr>
        <w:ind w:left="1480" w:right="579"/>
        <w:spacing w:after="0" w:line="254" w:lineRule="auto"/>
        <w:rPr>
          <w:sz w:val="20"/>
          <w:szCs w:val="20"/>
          <w:color w:val="auto"/>
        </w:rPr>
      </w:pPr>
      <w:r>
        <w:rPr>
          <w:rFonts w:ascii="Times New Roman" w:cs="Times New Roman" w:eastAsia="Times New Roman" w:hAnsi="Times New Roman"/>
          <w:sz w:val="14"/>
          <w:szCs w:val="14"/>
          <w:color w:val="auto"/>
        </w:rPr>
        <w:t>On January 3, 2022, Legacy Dave entered into an agreement with a certain executive to transfer and sell shares of Legacy Dave common stock to Legacy Dave. A total of 146,565 shares of Legacy Dave’s common stock were repurchased for an aggregate purchase amount of $1.6 million, which resulted in an extinguishment of the related-party exercise receivable promissory notes.</w:t>
      </w:r>
    </w:p>
    <w:p>
      <w:pPr>
        <w:spacing w:after="0" w:line="14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Loans to Stockholders:</w:t>
      </w:r>
    </w:p>
    <w:p>
      <w:pPr>
        <w:spacing w:after="0" w:line="84" w:lineRule="exact"/>
        <w:rPr>
          <w:sz w:val="20"/>
          <w:szCs w:val="20"/>
          <w:color w:val="auto"/>
        </w:rPr>
      </w:pPr>
    </w:p>
    <w:p>
      <w:pPr>
        <w:ind w:left="1480" w:right="619"/>
        <w:spacing w:after="0" w:line="246" w:lineRule="auto"/>
        <w:rPr>
          <w:sz w:val="20"/>
          <w:szCs w:val="20"/>
          <w:color w:val="auto"/>
        </w:rPr>
      </w:pPr>
      <w:r>
        <w:rPr>
          <w:rFonts w:ascii="Times New Roman" w:cs="Times New Roman" w:eastAsia="Times New Roman" w:hAnsi="Times New Roman"/>
          <w:sz w:val="14"/>
          <w:szCs w:val="14"/>
          <w:color w:val="auto"/>
        </w:rPr>
        <w:t xml:space="preserve">In 2019, the Company entered into loan, pledge, and option agreements (“Loans to Stockholders”) with various employees, who are also stockholders, to provide those employees cash in exchange for non-recourse promissory notes and call options, which allow the Company to acquire shares held by these stockholders. The entire unpaid principal balance of these Loans to Stockholders, together with all accrued but unpaid interest, is due and payable upon the earlier (i) of August 12, 2026; (ii) a liquidity event; or (iii) upon the exercise of the call option by the Company. These Loans to Stockholders carry stated interest rates of 1.87%, which are compounded annually. Please refer to Note 3, </w:t>
      </w:r>
      <w:r>
        <w:rPr>
          <w:rFonts w:ascii="Times New Roman" w:cs="Times New Roman" w:eastAsia="Times New Roman" w:hAnsi="Times New Roman"/>
          <w:sz w:val="14"/>
          <w:szCs w:val="14"/>
          <w:i w:val="1"/>
          <w:iCs w:val="1"/>
          <w:color w:val="auto"/>
        </w:rPr>
        <w:t>Significant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Account Policies</w:t>
      </w:r>
      <w:r>
        <w:rPr>
          <w:rFonts w:ascii="Times New Roman" w:cs="Times New Roman" w:eastAsia="Times New Roman" w:hAnsi="Times New Roman"/>
          <w:sz w:val="14"/>
          <w:szCs w:val="14"/>
          <w:color w:val="auto"/>
        </w:rPr>
        <w:t>, for further details on the fair value of the derivative asset related to the Loans to Stockholders. Upon consummation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 Combination in January 2022, all of the call options related to the Loans to Stockholders were exercised and the related loans were settled. The Loans to Stockholders, inclusive of interest, were approximately $0 (unaudited) and $15.2 million as of March 31, 2022 and December 31, 2021, respectively</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Note 20 401(k) Savings Plan</w:t>
      </w:r>
    </w:p>
    <w:p>
      <w:pPr>
        <w:spacing w:after="0" w:line="88" w:lineRule="exact"/>
        <w:rPr>
          <w:sz w:val="20"/>
          <w:szCs w:val="20"/>
          <w:color w:val="auto"/>
        </w:rPr>
      </w:pPr>
    </w:p>
    <w:p>
      <w:pPr>
        <w:ind w:left="1480" w:right="519"/>
        <w:spacing w:after="0" w:line="254" w:lineRule="auto"/>
        <w:rPr>
          <w:sz w:val="20"/>
          <w:szCs w:val="20"/>
          <w:color w:val="auto"/>
        </w:rPr>
      </w:pPr>
      <w:r>
        <w:rPr>
          <w:rFonts w:ascii="Times New Roman" w:cs="Times New Roman" w:eastAsia="Times New Roman" w:hAnsi="Times New Roman"/>
          <w:sz w:val="14"/>
          <w:szCs w:val="14"/>
          <w:color w:val="auto"/>
        </w:rPr>
        <w:t>The Company maintains a 401(k) savings plan for the benefit of its employees. Employees can defer up to 90% of their compensation subject to fixed annual limits. All current employees are eligible to participate in the 401(k) savings plan. Beginning January 2021, the Company began matching contributions to the 401(k)</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0159"/>
          </w:cols>
          <w:pgMar w:left="300" w:top="399"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Dave Inc.</w:t>
      </w:r>
    </w:p>
    <w:p>
      <w:pPr>
        <w:spacing w:after="0" w:line="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Notes to the Unaudited Condensed Consolidated Financial Statements</w:t>
      </w:r>
    </w:p>
    <w:p>
      <w:pPr>
        <w:spacing w:after="0" w:line="103" w:lineRule="exact"/>
        <w:rPr>
          <w:sz w:val="20"/>
          <w:szCs w:val="20"/>
          <w:color w:val="auto"/>
        </w:rPr>
      </w:pPr>
    </w:p>
    <w:p>
      <w:pPr>
        <w:ind w:left="1480" w:right="479"/>
        <w:spacing w:after="0" w:line="349" w:lineRule="auto"/>
        <w:rPr>
          <w:sz w:val="20"/>
          <w:szCs w:val="20"/>
          <w:color w:val="auto"/>
        </w:rPr>
      </w:pPr>
      <w:r>
        <w:rPr>
          <w:rFonts w:ascii="Times New Roman" w:cs="Times New Roman" w:eastAsia="Times New Roman" w:hAnsi="Times New Roman"/>
          <w:sz w:val="12"/>
          <w:szCs w:val="12"/>
          <w:color w:val="auto"/>
        </w:rPr>
        <w:t>savings plan equal to 100% of the first 4% of wages deferred by each participating employee. The Company incurred expenses for employer matching contributions of approximately $0.4 million (unaudited) and $0.2 million for the three months ended March 31, 2022 and 2021, respectively.</w:t>
      </w:r>
    </w:p>
    <w:p>
      <w:pPr>
        <w:spacing w:after="0" w:line="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0159"/>
          </w:cols>
          <w:pgMar w:left="300" w:top="399"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86" w:lineRule="exact"/>
        <w:rPr>
          <w:sz w:val="20"/>
          <w:szCs w:val="20"/>
          <w:color w:val="auto"/>
        </w:rPr>
      </w:pPr>
    </w:p>
    <w:p>
      <w:pPr>
        <w:ind w:left="1480" w:right="379"/>
        <w:spacing w:after="0" w:line="247" w:lineRule="auto"/>
        <w:rPr>
          <w:sz w:val="20"/>
          <w:szCs w:val="20"/>
          <w:color w:val="auto"/>
        </w:rPr>
      </w:pPr>
      <w:r>
        <w:rPr>
          <w:rFonts w:ascii="Times New Roman" w:cs="Times New Roman" w:eastAsia="Times New Roman" w:hAnsi="Times New Roman"/>
          <w:sz w:val="14"/>
          <w:szCs w:val="14"/>
          <w:i w:val="1"/>
          <w:iCs w:val="1"/>
          <w:color w:val="auto"/>
        </w:rPr>
        <w:t>The following discussion and analysis provides information which our management believes is relevant to an assessment and understanding of our results of operations and financial condition and should be read in conjunction with the condensed consolidated financial statements and the related notes included elsewhere in this report. This discussion contains forward-looking statements and involves numerous risks and uncertainties, including, but not limited to, those described in the “Risk Factors” section of our Annual Report on Form 10-K for the year ended December 31, 2021 filed with the Securities and Exchange Commission (“SEC”) on March 25, 2022. Actual results may differ materially from those contained in any forward-looking statements. Unless otherwise noted or the context otherwise requires, references in this “Management’s Discussion and Analysis of Financial Condition and Results of Operations” to “we,” “us,” “our,” and the “Company” are intended to mean the business and operations of Dave Inc. and our consolidated subsidiaries subsequent to the closing of the Business Combination (as defined below).</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88" w:lineRule="exact"/>
        <w:rPr>
          <w:sz w:val="20"/>
          <w:szCs w:val="20"/>
          <w:color w:val="auto"/>
        </w:rPr>
      </w:pPr>
    </w:p>
    <w:p>
      <w:pPr>
        <w:ind w:left="1480" w:right="359"/>
        <w:spacing w:after="0" w:line="248" w:lineRule="auto"/>
        <w:rPr>
          <w:sz w:val="20"/>
          <w:szCs w:val="20"/>
          <w:color w:val="auto"/>
        </w:rPr>
      </w:pPr>
      <w:r>
        <w:rPr>
          <w:rFonts w:ascii="Times New Roman" w:cs="Times New Roman" w:eastAsia="Times New Roman" w:hAnsi="Times New Roman"/>
          <w:sz w:val="14"/>
          <w:szCs w:val="14"/>
          <w:color w:val="auto"/>
        </w:rPr>
        <w:t>In the story of David vs. Goliath, the small underdog is able to outsmart and defeat his larger adversary. This is the spirit behind the name “Dave.” We have built an integrated financial services online platform that provides millions of Americans with seamless access to a variety of intuitive financial products at a fraction of the cost and with much higher speed to value than that of the legacy financial services incumbents, such as traditional banks and other financial institutions. Our mission is to build products that level the financial playing field. Our near-term strategy is focused on delivering a superior banking experience for anyone living paycheck to paycheck.</w:t>
      </w:r>
    </w:p>
    <w:p>
      <w:pPr>
        <w:spacing w:after="0" w:line="149" w:lineRule="exact"/>
        <w:rPr>
          <w:sz w:val="20"/>
          <w:szCs w:val="20"/>
          <w:color w:val="auto"/>
        </w:rPr>
      </w:pPr>
    </w:p>
    <w:p>
      <w:pPr>
        <w:ind w:left="1480" w:right="439"/>
        <w:spacing w:after="0" w:line="250" w:lineRule="auto"/>
        <w:rPr>
          <w:sz w:val="20"/>
          <w:szCs w:val="20"/>
          <w:color w:val="auto"/>
        </w:rPr>
      </w:pPr>
      <w:r>
        <w:rPr>
          <w:rFonts w:ascii="Times New Roman" w:cs="Times New Roman" w:eastAsia="Times New Roman" w:hAnsi="Times New Roman"/>
          <w:sz w:val="14"/>
          <w:szCs w:val="14"/>
          <w:color w:val="auto"/>
        </w:rPr>
        <w:t>Based on our observation and analysis of Member data, legacy financial institutions charge high fees for consumer banking and other financial services products, which disproportionately burdens tens of millions of Americans who can least afford them. We see this dynamic playing out with our Members who we believe are on average paying between $300-$400 in overdraft, maintenance and other fees to their existing bank for basic checking services.</w:t>
      </w:r>
    </w:p>
    <w:p>
      <w:pPr>
        <w:spacing w:after="0" w:line="146" w:lineRule="exact"/>
        <w:rPr>
          <w:sz w:val="20"/>
          <w:szCs w:val="20"/>
          <w:color w:val="auto"/>
        </w:rPr>
      </w:pPr>
    </w:p>
    <w:p>
      <w:pPr>
        <w:ind w:left="1480" w:right="659"/>
        <w:spacing w:after="0" w:line="316" w:lineRule="auto"/>
        <w:rPr>
          <w:sz w:val="20"/>
          <w:szCs w:val="20"/>
          <w:color w:val="auto"/>
        </w:rPr>
      </w:pPr>
      <w:r>
        <w:rPr>
          <w:rFonts w:ascii="Times New Roman" w:cs="Times New Roman" w:eastAsia="Times New Roman" w:hAnsi="Times New Roman"/>
          <w:sz w:val="12"/>
          <w:szCs w:val="12"/>
          <w:color w:val="auto"/>
        </w:rPr>
        <w:t>Further, we see a significant opportunity to address the broader short-term credit market. According to a report by the Center for Financial Services Innovation (“CFSI”), legacy financial institutions charge approximately $30 billion in fees annually. The Financial Health Network estimates that financially “coping” and “vulnerable” populations pay approximately $120 billion a year in fees and interest for access to short-term credit.</w:t>
      </w:r>
    </w:p>
    <w:p>
      <w:pPr>
        <w:spacing w:after="0" w:line="109" w:lineRule="exact"/>
        <w:rPr>
          <w:sz w:val="20"/>
          <w:szCs w:val="20"/>
          <w:color w:val="auto"/>
        </w:rPr>
      </w:pPr>
    </w:p>
    <w:p>
      <w:pPr>
        <w:ind w:left="1480" w:right="399"/>
        <w:spacing w:after="0" w:line="250" w:lineRule="auto"/>
        <w:rPr>
          <w:sz w:val="20"/>
          <w:szCs w:val="20"/>
          <w:color w:val="auto"/>
        </w:rPr>
      </w:pPr>
      <w:r>
        <w:rPr>
          <w:rFonts w:ascii="Times New Roman" w:cs="Times New Roman" w:eastAsia="Times New Roman" w:hAnsi="Times New Roman"/>
          <w:sz w:val="14"/>
          <w:szCs w:val="14"/>
          <w:color w:val="auto"/>
        </w:rPr>
        <w:t>Our prospective Member opportunity is also significant. According to the Financial Health Network, by 2023 approximately 45 million Americans will be “financially vulnerable,” 65 million Americans will be unbanked or underbanked and 185 million Americans will fall into the low or volatile income and credit- challenged category. Given these dynamics, we estimate that our total addressable market consists of between 150 million to 180 million Americans who are in need of financial stability and are either not served or underserved by legacy financial institutions.</w:t>
      </w:r>
    </w:p>
    <w:p>
      <w:pPr>
        <w:spacing w:after="0" w:line="146" w:lineRule="exact"/>
        <w:rPr>
          <w:sz w:val="20"/>
          <w:szCs w:val="20"/>
          <w:color w:val="auto"/>
        </w:rPr>
      </w:pPr>
    </w:p>
    <w:p>
      <w:pPr>
        <w:ind w:left="1480" w:right="379"/>
        <w:spacing w:after="0" w:line="248" w:lineRule="auto"/>
        <w:rPr>
          <w:sz w:val="20"/>
          <w:szCs w:val="20"/>
          <w:color w:val="auto"/>
        </w:rPr>
      </w:pPr>
      <w:r>
        <w:rPr>
          <w:rFonts w:ascii="Times New Roman" w:cs="Times New Roman" w:eastAsia="Times New Roman" w:hAnsi="Times New Roman"/>
          <w:sz w:val="14"/>
          <w:szCs w:val="14"/>
          <w:color w:val="auto"/>
        </w:rPr>
        <w:t>Dave offers a suite of innovative financial products aimed at helping our Members improve their financial health. Our budgeting tool helps Members manage their upcoming bills to avoid overspending. To help Members avoid punitive overdraft fees and access short-term liquidity, Dave offers cash advances through its flagship 0% interest ExtraCash product. We also help Members generate extra income for spending or emergencies through our Side Hustle product, where we present Members with supplemental work opportunities. Through Dave Banking, we provide a modern checking account experience with valuable tools for building long-term financial health.</w:t>
      </w:r>
    </w:p>
    <w:p>
      <w:pPr>
        <w:spacing w:after="0" w:line="149" w:lineRule="exact"/>
        <w:rPr>
          <w:sz w:val="20"/>
          <w:szCs w:val="20"/>
          <w:color w:val="auto"/>
        </w:rPr>
      </w:pPr>
    </w:p>
    <w:p>
      <w:pPr>
        <w:ind w:left="1480" w:right="379"/>
        <w:spacing w:after="0" w:line="246" w:lineRule="auto"/>
        <w:rPr>
          <w:sz w:val="20"/>
          <w:szCs w:val="20"/>
          <w:color w:val="auto"/>
        </w:rPr>
      </w:pPr>
      <w:r>
        <w:rPr>
          <w:rFonts w:ascii="Times New Roman" w:cs="Times New Roman" w:eastAsia="Times New Roman" w:hAnsi="Times New Roman"/>
          <w:sz w:val="14"/>
          <w:szCs w:val="14"/>
          <w:color w:val="auto"/>
        </w:rPr>
        <w:t>Market research conducted by Dave found that legacy financial institutions commonly require a more extensive banking relationship and days or even weeks of wait times to access their features and services, which can potentially be more onerous in order to obtain premium features (e.g., access to increased interest rates requires direct deposit or higher minimum daily balances). Even new challenger banks often take multiple days or even weeks before allowing members to access certain premium features, according to the same research. In contrast, Members are able to utilize all of Dave’s products individually and instantly, whether or not their banking relationship is with us. As an example, our ExtraCash product allows new Members to access up to $250 to cover an overdraft at their existing bank. We are able to do this by leveraging our proprietary machine learning engine that analyzes a Member’s prior transaction history at their existing bank. This flexible approach to Member choice and speed to value has been a key driver of our growth and best-in-Class brand favorability.</w:t>
      </w:r>
    </w:p>
    <w:p>
      <w:pPr>
        <w:spacing w:after="0" w:line="150" w:lineRule="exact"/>
        <w:rPr>
          <w:sz w:val="20"/>
          <w:szCs w:val="20"/>
          <w:color w:val="auto"/>
        </w:rPr>
      </w:pPr>
    </w:p>
    <w:p>
      <w:pPr>
        <w:ind w:left="1480" w:right="379"/>
        <w:spacing w:after="0" w:line="248" w:lineRule="auto"/>
        <w:rPr>
          <w:sz w:val="20"/>
          <w:szCs w:val="20"/>
          <w:color w:val="auto"/>
        </w:rPr>
      </w:pPr>
      <w:r>
        <w:rPr>
          <w:rFonts w:ascii="Times New Roman" w:cs="Times New Roman" w:eastAsia="Times New Roman" w:hAnsi="Times New Roman"/>
          <w:sz w:val="14"/>
          <w:szCs w:val="14"/>
          <w:color w:val="auto"/>
        </w:rPr>
        <w:t>We have only begun to address the many inequities in financial services, but our progress to date demonstrates the demand for Dave to rewire the financial system for the everyday person. Since inception and through the date of this Form 10-Q, over 10 million Members have registered on the Dave app, over six million of them have used at least one of our current products and we believe that we have a substantial opportunity to continue growing our Member base going forward. We strongly believe that the value proposition of our platform approach will continue to accelerate as a result of our data-driven perspective of our Members, allowing us to introduce products and services that address their changing life circumstances.</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0159"/>
          </w:cols>
          <w:pgMar w:left="300" w:top="399"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Business Combination and Public Company Costs</w:t>
      </w:r>
    </w:p>
    <w:p>
      <w:pPr>
        <w:spacing w:after="0" w:line="88" w:lineRule="exact"/>
        <w:rPr>
          <w:sz w:val="20"/>
          <w:szCs w:val="20"/>
          <w:color w:val="auto"/>
        </w:rPr>
      </w:pPr>
    </w:p>
    <w:p>
      <w:pPr>
        <w:ind w:left="1480" w:right="379"/>
        <w:spacing w:after="0" w:line="245" w:lineRule="auto"/>
        <w:rPr>
          <w:sz w:val="20"/>
          <w:szCs w:val="20"/>
          <w:color w:val="auto"/>
        </w:rPr>
      </w:pPr>
      <w:r>
        <w:rPr>
          <w:rFonts w:ascii="Times New Roman" w:cs="Times New Roman" w:eastAsia="Times New Roman" w:hAnsi="Times New Roman"/>
          <w:sz w:val="14"/>
          <w:szCs w:val="14"/>
          <w:color w:val="auto"/>
        </w:rPr>
        <w:t>On January 5, 2022 (the “Closing Date”), we consummated the previously announced mergers contemplated by the Agreement and Plan of Merger, dated as of June 7, 2021 (the “Business Combination Agreement”), by and among VPC Impact Acquisition Holdings III, Inc. (“VPCC”), Dave Inc., a Delaware corporation (“Legacy Dave”), Bear Merger Company I Inc., a Delaware corporation and a direct, wholly owned Subsidiaries of VPCC (“First Merger Sub”), and Bear Merger Company II LLC, a Delaware limited liability company and a direct, wholly owned Subsidiaries of VPCC (“Second Merger Sub”). Pursuant to the Business Combination Agreement, First Merger Sub merged with and into Legacy Dave (the “First Merger”), with Legacy Dave being the surviving corporation of the First Merger (the “Surviving Corporation”), and immediately following the First Merger, the Surviving Corporation merged with and into Second Merger Sub (the “Second Merger,” together with the First Merger, the “Mergers” and the Mergers together with the other transactions contemplated by the Business Combination Agreement, the “Business Combination”), with Second Merger Sub being the surviving company of the Second Merger as a wholly owned Subsidiaries of VPCC (the “Surviving Entity”). In connection with the closing of the Business Combination, we changed our name from “VPC Impact Acquisition Holdings III, Inc.” to “Dave Inc.,” and the Surviving Entity operates under the name “Dave Operating LLC.”</w:t>
      </w:r>
    </w:p>
    <w:p>
      <w:pPr>
        <w:spacing w:after="0" w:line="153" w:lineRule="exact"/>
        <w:rPr>
          <w:sz w:val="20"/>
          <w:szCs w:val="20"/>
          <w:color w:val="auto"/>
        </w:rPr>
      </w:pPr>
    </w:p>
    <w:p>
      <w:pPr>
        <w:ind w:left="1480" w:right="399"/>
        <w:spacing w:after="0" w:line="245" w:lineRule="auto"/>
        <w:rPr>
          <w:sz w:val="20"/>
          <w:szCs w:val="20"/>
          <w:color w:val="auto"/>
        </w:rPr>
      </w:pPr>
      <w:r>
        <w:rPr>
          <w:rFonts w:ascii="Times New Roman" w:cs="Times New Roman" w:eastAsia="Times New Roman" w:hAnsi="Times New Roman"/>
          <w:sz w:val="14"/>
          <w:szCs w:val="14"/>
          <w:color w:val="auto"/>
        </w:rPr>
        <w:t>While the legal acquirer in the Business Combination Agreement is VPCC, for financial accounting and reporting purposes under accounting principles generally accepted in the United States (“U.S. GAAP”), Legacy Dave is the accounting acquirer, and the Business Combination is accounted for as a “reverse recapitalization.” A reverse recapitalization does not result in a new basis of accounting, and the consolidated financial statements of the combined entity represent the continuation of the consolidated financial statements of Legacy Dave in many respects. Under this method of accounting VPCC is treated as the “acquired” company for financial reporting purposes. For accounting purposes, Legacy Dave is deemed to be the accounting acquirer in the transaction and, consequently, the transaction will be treated as a recapitalization of Legacy Dave (i.e., a capital transaction involving the issuance of stock by VPCC for Dave Capital Stock). Accordingly, the consolidated assets, liabilities and results of operations of Legacy Dave have become the historical consolidated financial statements of the combined company, and VPCC’s assets, liabilities and results of operations have been consolidated with Dave beginning on the Closing Date. Operations prior to the Business Combination are presented as those of Legacy Dave in future reports. The net assets of VPCC have been recognized at historical cost (which is expected to be consistent with carrying value), with no goodwill or other intangible assets recorded.</w:t>
      </w:r>
    </w:p>
    <w:p>
      <w:pPr>
        <w:spacing w:after="0" w:line="153" w:lineRule="exact"/>
        <w:rPr>
          <w:sz w:val="20"/>
          <w:szCs w:val="20"/>
          <w:color w:val="auto"/>
        </w:rPr>
      </w:pPr>
    </w:p>
    <w:p>
      <w:pPr>
        <w:ind w:left="1480" w:right="559"/>
        <w:spacing w:after="0" w:line="254" w:lineRule="auto"/>
        <w:rPr>
          <w:sz w:val="20"/>
          <w:szCs w:val="20"/>
          <w:color w:val="auto"/>
        </w:rPr>
      </w:pPr>
      <w:r>
        <w:rPr>
          <w:rFonts w:ascii="Times New Roman" w:cs="Times New Roman" w:eastAsia="Times New Roman" w:hAnsi="Times New Roman"/>
          <w:sz w:val="14"/>
          <w:szCs w:val="14"/>
          <w:color w:val="auto"/>
        </w:rPr>
        <w:t>The Business Combination generated gross cash proceeds of $217.0 million, including $210.0 million proceeds from the public investment in private equity pursuant to the subscription agreements between the Company and certain investors (the “PIPE Investment”). Total direct and incremental transaction costs aggregated approximately $35.3 million which were recorded to APIC as equity issuance costs.</w:t>
      </w:r>
    </w:p>
    <w:p>
      <w:pPr>
        <w:spacing w:after="0" w:line="142" w:lineRule="exact"/>
        <w:rPr>
          <w:sz w:val="20"/>
          <w:szCs w:val="20"/>
          <w:color w:val="auto"/>
        </w:rPr>
      </w:pPr>
    </w:p>
    <w:p>
      <w:pPr>
        <w:ind w:left="1480" w:right="499"/>
        <w:spacing w:after="0" w:line="254" w:lineRule="auto"/>
        <w:rPr>
          <w:sz w:val="20"/>
          <w:szCs w:val="20"/>
          <w:color w:val="auto"/>
        </w:rPr>
      </w:pPr>
      <w:r>
        <w:rPr>
          <w:rFonts w:ascii="Times New Roman" w:cs="Times New Roman" w:eastAsia="Times New Roman" w:hAnsi="Times New Roman"/>
          <w:sz w:val="14"/>
          <w:szCs w:val="14"/>
          <w:color w:val="auto"/>
        </w:rPr>
        <w:t>As a result of the consummation of the Business Combination, we expect to incur additional annual expenses as a public company for, among other things, directors’ and officers’ liability insurance, director fees and additional internal and external accounting, and legal and administrative resources, including increased audit, compliance and legal fees.</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Recent Developments</w:t>
      </w:r>
    </w:p>
    <w:p>
      <w:pPr>
        <w:spacing w:after="0" w:line="84" w:lineRule="exact"/>
        <w:rPr>
          <w:sz w:val="20"/>
          <w:szCs w:val="20"/>
          <w:color w:val="auto"/>
        </w:rPr>
      </w:pPr>
    </w:p>
    <w:p>
      <w:pPr>
        <w:ind w:left="1480" w:right="439"/>
        <w:spacing w:after="0" w:line="300" w:lineRule="auto"/>
        <w:rPr>
          <w:sz w:val="20"/>
          <w:szCs w:val="20"/>
          <w:color w:val="auto"/>
        </w:rPr>
      </w:pPr>
      <w:r>
        <w:rPr>
          <w:rFonts w:ascii="Times New Roman" w:cs="Times New Roman" w:eastAsia="Times New Roman" w:hAnsi="Times New Roman"/>
          <w:sz w:val="12"/>
          <w:szCs w:val="12"/>
          <w:color w:val="auto"/>
        </w:rPr>
        <w:t>On March 21, 2022, we entered into a Convertible Note Purchase Agreement (“Purchase Agreement”) with FTX Ventures Ltd., owner and operator of FTX US (“FTX Ventures”), pursuant to which, we sold and issued a convertible note in the initial principal amount of $100.0 million (the “Note” and the transactions contemplated by the Purchase Agreement and the Note, the “Transaction”). The Transaction is exempt from registration under the Securities Act of 1933, as amended (the “Securities Act”) in reliance on an exemption provided by Rule 506 of Regulation D and Section 4(a)(2) of the Securities Act. We intend to use the proceeds from the sale of the Note for working capital and general corporate purposes.</w:t>
      </w:r>
    </w:p>
    <w:p>
      <w:pPr>
        <w:spacing w:after="0" w:line="118" w:lineRule="exact"/>
        <w:rPr>
          <w:sz w:val="20"/>
          <w:szCs w:val="20"/>
          <w:color w:val="auto"/>
        </w:rPr>
      </w:pPr>
    </w:p>
    <w:p>
      <w:pPr>
        <w:ind w:left="1480" w:right="379"/>
        <w:spacing w:after="0" w:line="248" w:lineRule="auto"/>
        <w:rPr>
          <w:sz w:val="20"/>
          <w:szCs w:val="20"/>
          <w:color w:val="auto"/>
        </w:rPr>
      </w:pPr>
      <w:r>
        <w:rPr>
          <w:rFonts w:ascii="Times New Roman" w:cs="Times New Roman" w:eastAsia="Times New Roman" w:hAnsi="Times New Roman"/>
          <w:sz w:val="14"/>
          <w:szCs w:val="14"/>
          <w:color w:val="auto"/>
        </w:rPr>
        <w:t>The note bears interest at a fixed rate of 3.00% per year (compounded semi-annually), payable semi-annually in arrears on June 30th and December 31st of each year. Interest may be paid in-kind or in cash, at our option. Forty-eight months (the “Maturity Date”) after the date of the initial issuance of the Note (the “Issuance Date”), we will pay FTX Ventures the sum of (i) the outstanding principal amount of the Note, plus (ii) all accrued but unpaid interest thereon, plus (iii) all expenses incurred by FTX Ventures (the “Redemption Price”). Payment of the Redemption Price on the Maturity Date will constitute a redemption of the Note in whole.</w:t>
      </w:r>
    </w:p>
    <w:p>
      <w:pPr>
        <w:spacing w:after="0" w:line="149" w:lineRule="exact"/>
        <w:rPr>
          <w:sz w:val="20"/>
          <w:szCs w:val="20"/>
          <w:color w:val="auto"/>
        </w:rPr>
      </w:pPr>
    </w:p>
    <w:p>
      <w:pPr>
        <w:ind w:left="1480" w:right="419"/>
        <w:spacing w:after="0" w:line="247" w:lineRule="auto"/>
        <w:rPr>
          <w:sz w:val="20"/>
          <w:szCs w:val="20"/>
          <w:color w:val="auto"/>
        </w:rPr>
      </w:pPr>
      <w:r>
        <w:rPr>
          <w:rFonts w:ascii="Times New Roman" w:cs="Times New Roman" w:eastAsia="Times New Roman" w:hAnsi="Times New Roman"/>
          <w:sz w:val="14"/>
          <w:szCs w:val="14"/>
          <w:color w:val="auto"/>
        </w:rPr>
        <w:t>The Note will be convertible into shares of our Class A Common Stock at the option of FTX Ventures, upon delivery on one or more occasions of a written notice to us electing to convert the Note or all of any portion of the outstanding principal amount of the Note. The initial conversion price of the Note is $10.00 per share of Common Stock (the “Conversion Price”). The Conversion Price of the Note is subject to adjustment for stock splits, dividends or distributions, recapitalizations, spinoffs or similar transactions. The Note and the shares of Common Stock issuable upon conversion of the Note have not been registered under the Securities Act and may not be offered or sold absent registration or an applicable exemption from registration requirements.</w:t>
      </w:r>
    </w:p>
    <w:p>
      <w:pPr>
        <w:spacing w:after="0" w:line="9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0159"/>
          </w:cols>
          <w:pgMar w:left="300" w:top="399"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31" w:lineRule="exact"/>
        <w:rPr>
          <w:sz w:val="20"/>
          <w:szCs w:val="20"/>
          <w:color w:val="auto"/>
        </w:rPr>
      </w:pPr>
    </w:p>
    <w:p>
      <w:pPr>
        <w:ind w:left="1480" w:right="499"/>
        <w:spacing w:after="0" w:line="250" w:lineRule="auto"/>
        <w:rPr>
          <w:sz w:val="20"/>
          <w:szCs w:val="20"/>
          <w:color w:val="auto"/>
        </w:rPr>
      </w:pPr>
      <w:r>
        <w:rPr>
          <w:rFonts w:ascii="Times New Roman" w:cs="Times New Roman" w:eastAsia="Times New Roman" w:hAnsi="Times New Roman"/>
          <w:sz w:val="14"/>
          <w:szCs w:val="14"/>
          <w:color w:val="auto"/>
        </w:rPr>
        <w:t>Beginning on the twenty-four-month anniversary of the Issuance Date continuing until the Maturity Date, if the closing price of the Common Stock equals or exceeds 175% of the Conversion Price for 20 out of the 30 consecutive trading days ending immediately preceding the delivery of the notice of our election to convert the Note, the Note will be convertible into shares of Common Stock, upon delivery of a written notice to FTX Ventures electing to convert the Note or all or any portion of the outstanding principal amount of the Note.</w:t>
      </w:r>
    </w:p>
    <w:p>
      <w:pPr>
        <w:spacing w:after="0" w:line="146" w:lineRule="exact"/>
        <w:rPr>
          <w:sz w:val="20"/>
          <w:szCs w:val="20"/>
          <w:color w:val="auto"/>
        </w:rPr>
      </w:pPr>
    </w:p>
    <w:p>
      <w:pPr>
        <w:ind w:left="1480" w:right="379"/>
        <w:spacing w:after="0" w:line="254" w:lineRule="auto"/>
        <w:rPr>
          <w:sz w:val="20"/>
          <w:szCs w:val="20"/>
          <w:color w:val="auto"/>
        </w:rPr>
      </w:pPr>
      <w:r>
        <w:rPr>
          <w:rFonts w:ascii="Times New Roman" w:cs="Times New Roman" w:eastAsia="Times New Roman" w:hAnsi="Times New Roman"/>
          <w:sz w:val="14"/>
          <w:szCs w:val="14"/>
          <w:color w:val="auto"/>
        </w:rPr>
        <w:t>At any time prior to the Maturity Date, we may, in our sole discretion and upon delivery of a written notice to FTX Ventures electing to prepay the Note, prepay the Note without penalty by paying FTX Ventures 100% of the Redemption Price. Once the Redemption Price has been delivered to FTX Ventures, the Note will be cancelled and retired.</w:t>
      </w:r>
    </w:p>
    <w:p>
      <w:pPr>
        <w:spacing w:after="0" w:line="142" w:lineRule="exact"/>
        <w:rPr>
          <w:sz w:val="20"/>
          <w:szCs w:val="20"/>
          <w:color w:val="auto"/>
        </w:rPr>
      </w:pPr>
    </w:p>
    <w:p>
      <w:pPr>
        <w:ind w:left="1480" w:right="559"/>
        <w:spacing w:after="0" w:line="349" w:lineRule="auto"/>
        <w:rPr>
          <w:sz w:val="20"/>
          <w:szCs w:val="20"/>
          <w:color w:val="auto"/>
        </w:rPr>
      </w:pPr>
      <w:r>
        <w:rPr>
          <w:rFonts w:ascii="Times New Roman" w:cs="Times New Roman" w:eastAsia="Times New Roman" w:hAnsi="Times New Roman"/>
          <w:sz w:val="12"/>
          <w:szCs w:val="12"/>
          <w:color w:val="auto"/>
        </w:rPr>
        <w:t>Conversion of the full initial principal amount of the Note would result in the issuance of 10,000,000 shares of Common Stock if converted at $10.00 per share, which amount is subject to increase by any interest paid in kind that is added to the outstanding principal under the terms of the Note.</w:t>
      </w:r>
    </w:p>
    <w:p>
      <w:pPr>
        <w:spacing w:after="0" w:line="89" w:lineRule="exact"/>
        <w:rPr>
          <w:sz w:val="20"/>
          <w:szCs w:val="20"/>
          <w:color w:val="auto"/>
        </w:rPr>
      </w:pPr>
    </w:p>
    <w:p>
      <w:pPr>
        <w:ind w:left="1480" w:right="419"/>
        <w:spacing w:after="0" w:line="264" w:lineRule="auto"/>
        <w:rPr>
          <w:sz w:val="20"/>
          <w:szCs w:val="20"/>
          <w:color w:val="auto"/>
        </w:rPr>
      </w:pPr>
      <w:r>
        <w:rPr>
          <w:rFonts w:ascii="Times New Roman" w:cs="Times New Roman" w:eastAsia="Times New Roman" w:hAnsi="Times New Roman"/>
          <w:sz w:val="14"/>
          <w:szCs w:val="14"/>
          <w:color w:val="auto"/>
        </w:rPr>
        <w:t>The Purchase Agreement and Note include customary representations, warranties and covenants and set forth standard events of default upon which the Note may be declared immediately due and payable.</w:t>
      </w:r>
    </w:p>
    <w:p>
      <w:pPr>
        <w:spacing w:after="0" w:line="136" w:lineRule="exact"/>
        <w:rPr>
          <w:sz w:val="20"/>
          <w:szCs w:val="20"/>
          <w:color w:val="auto"/>
        </w:rPr>
      </w:pPr>
    </w:p>
    <w:p>
      <w:pPr>
        <w:ind w:left="1480" w:right="579"/>
        <w:spacing w:after="0" w:line="250" w:lineRule="auto"/>
        <w:rPr>
          <w:sz w:val="20"/>
          <w:szCs w:val="20"/>
          <w:color w:val="auto"/>
        </w:rPr>
      </w:pPr>
      <w:r>
        <w:rPr>
          <w:rFonts w:ascii="Times New Roman" w:cs="Times New Roman" w:eastAsia="Times New Roman" w:hAnsi="Times New Roman"/>
          <w:sz w:val="14"/>
          <w:szCs w:val="14"/>
          <w:color w:val="auto"/>
        </w:rPr>
        <w:t>On March 21, 2022, we also entered into a White Label Services Agreement (the “Services Agreement”) with West Realm Shire Services, Inc., d/b/a FTX US (“FTX US”). The Services Agreement allows our customers to establish accounts with FTX US through our platform to place orders for eligible cryptocurrencies and for the settlement of such orders. During the four-year term of the Services Agreement, FTX US will be our exclusive provider of such cryptocurrency services.</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Restatement of Consolidated Financial Statements</w:t>
      </w:r>
    </w:p>
    <w:p>
      <w:pPr>
        <w:spacing w:after="0" w:line="88" w:lineRule="exact"/>
        <w:rPr>
          <w:sz w:val="20"/>
          <w:szCs w:val="20"/>
          <w:color w:val="auto"/>
        </w:rPr>
      </w:pPr>
    </w:p>
    <w:p>
      <w:pPr>
        <w:ind w:left="1480" w:right="419"/>
        <w:spacing w:after="0" w:line="247" w:lineRule="auto"/>
        <w:rPr>
          <w:sz w:val="20"/>
          <w:szCs w:val="20"/>
          <w:color w:val="auto"/>
        </w:rPr>
      </w:pPr>
      <w:r>
        <w:rPr>
          <w:rFonts w:ascii="Times New Roman" w:cs="Times New Roman" w:eastAsia="Times New Roman" w:hAnsi="Times New Roman"/>
          <w:sz w:val="14"/>
          <w:szCs w:val="14"/>
          <w:color w:val="auto"/>
        </w:rPr>
        <w:t>This Management’s Discussion and Analysis of Financial Condition and Results of Operations gives effect to certain adjustments made to our previously issued condensed consolidated financial statements as of and for the three months ended March 31, 2022 and 2021. The determination to restate these condensed consolidated financial statements was made by our management after its review of the classification of the cash flows related to the disbursements and collections of the Member advances and the classification of the earnout shares in connection with its preparation of the Company’s consolidated financial statements for the six months ended June 30, 2022. See Note 2—Restatement of Previously Issued Financial Statements to our consolidated financial statements for the three months ended March 31, 2022.</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COVID-19 Impact</w:t>
      </w:r>
    </w:p>
    <w:p>
      <w:pPr>
        <w:spacing w:after="0" w:line="88" w:lineRule="exact"/>
        <w:rPr>
          <w:sz w:val="20"/>
          <w:szCs w:val="20"/>
          <w:color w:val="auto"/>
        </w:rPr>
      </w:pPr>
    </w:p>
    <w:p>
      <w:pPr>
        <w:ind w:left="1480" w:right="379"/>
        <w:spacing w:after="0" w:line="247" w:lineRule="auto"/>
        <w:rPr>
          <w:sz w:val="20"/>
          <w:szCs w:val="20"/>
          <w:color w:val="auto"/>
        </w:rPr>
      </w:pPr>
      <w:r>
        <w:rPr>
          <w:rFonts w:ascii="Times New Roman" w:cs="Times New Roman" w:eastAsia="Times New Roman" w:hAnsi="Times New Roman"/>
          <w:sz w:val="14"/>
          <w:szCs w:val="14"/>
          <w:color w:val="auto"/>
        </w:rPr>
        <w:t>There are many uncertainties regarding the current global pandemic involving a novel strain of coronavirus (“COVID-19”), and we continue to closely monitor the impact of the pandemic on all aspects of our business, including how it has and may in the future impact our Members, employees, suppliers, vendors, and business partners. The duration and magnitude of the continuing effects of COVID-19 on our Members remain uncertain and dependent on various factors, including the continued severity and transmission rate of the virus, new variants of the virus, the nature of and duration for which preventive measures remain in place, the extent and effectiveness of containment and mitigation efforts, including vaccination programs, and the type of stimulus measures and other policy responses that the U.S. government may further adopt.</w:t>
      </w:r>
    </w:p>
    <w:p>
      <w:pPr>
        <w:spacing w:after="0" w:line="150" w:lineRule="exact"/>
        <w:rPr>
          <w:sz w:val="20"/>
          <w:szCs w:val="20"/>
          <w:color w:val="auto"/>
        </w:rPr>
      </w:pPr>
    </w:p>
    <w:p>
      <w:pPr>
        <w:ind w:left="1480" w:right="439"/>
        <w:spacing w:after="0" w:line="296" w:lineRule="auto"/>
        <w:rPr>
          <w:sz w:val="20"/>
          <w:szCs w:val="20"/>
          <w:color w:val="auto"/>
        </w:rPr>
      </w:pPr>
      <w:r>
        <w:rPr>
          <w:rFonts w:ascii="Times New Roman" w:cs="Times New Roman" w:eastAsia="Times New Roman" w:hAnsi="Times New Roman"/>
          <w:sz w:val="12"/>
          <w:szCs w:val="12"/>
          <w:color w:val="auto"/>
        </w:rPr>
        <w:t>Beginning in March 2020, our business and operations were disrupted by the conditions caused by COVID-19, which adversely affected Members’ spending levels and disposable income. Governmental actions such as the Coronavirus Aid, Relief, and Economic Security Act (“CARES Act”) helped mitigate the effects of COVID-19 on our Members. In particular, stimulus funds and enhanced unemployment benefits provided under the CARES Act created additional financial support for our Members; however, the overall economic conditions and increased levels of unemployment may negatively impact the creditworthiness of our Members and could impact the credit risk on our Advance business. We actively monitor the performance of our Advance portfolio and will continue to assess the impact of the COVID-19 pandemic. At the onset of the pandemic, we made some underwriting modifications in response and intend to make additional adjustments to our risk management policies as necessary.</w:t>
      </w:r>
    </w:p>
    <w:p>
      <w:pPr>
        <w:spacing w:after="0" w:line="36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Comparability of Financial Information</w:t>
      </w:r>
    </w:p>
    <w:p>
      <w:pPr>
        <w:spacing w:after="0" w:line="88" w:lineRule="exact"/>
        <w:rPr>
          <w:sz w:val="20"/>
          <w:szCs w:val="20"/>
          <w:color w:val="auto"/>
        </w:rPr>
      </w:pPr>
    </w:p>
    <w:p>
      <w:pPr>
        <w:ind w:left="1480" w:right="759"/>
        <w:spacing w:after="0" w:line="264" w:lineRule="auto"/>
        <w:rPr>
          <w:sz w:val="20"/>
          <w:szCs w:val="20"/>
          <w:color w:val="auto"/>
        </w:rPr>
      </w:pPr>
      <w:r>
        <w:rPr>
          <w:rFonts w:ascii="Times New Roman" w:cs="Times New Roman" w:eastAsia="Times New Roman" w:hAnsi="Times New Roman"/>
          <w:sz w:val="14"/>
          <w:szCs w:val="14"/>
          <w:color w:val="auto"/>
        </w:rPr>
        <w:t>Our future results of operations and financial position may not be comparable to historical results as a result of the consummation of the Business Combination.</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Key Factors Affecting Operating Results</w:t>
      </w:r>
    </w:p>
    <w:p>
      <w:pPr>
        <w:spacing w:after="0" w:line="88" w:lineRule="exact"/>
        <w:rPr>
          <w:sz w:val="20"/>
          <w:szCs w:val="20"/>
          <w:color w:val="auto"/>
        </w:rPr>
      </w:pPr>
    </w:p>
    <w:p>
      <w:pPr>
        <w:ind w:left="1480" w:right="459"/>
        <w:spacing w:after="0" w:line="264" w:lineRule="auto"/>
        <w:rPr>
          <w:sz w:val="20"/>
          <w:szCs w:val="20"/>
          <w:color w:val="auto"/>
        </w:rPr>
      </w:pPr>
      <w:r>
        <w:rPr>
          <w:rFonts w:ascii="Times New Roman" w:cs="Times New Roman" w:eastAsia="Times New Roman" w:hAnsi="Times New Roman"/>
          <w:sz w:val="14"/>
          <w:szCs w:val="14"/>
          <w:color w:val="auto"/>
        </w:rPr>
        <w:t>Our future operating results and cash flows are dependent upon a number of opportunities, challenges and other factors, including Member growth and activity, product expansion, competition, industry trends and general economic conditions.</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0159"/>
          </w:cols>
          <w:pgMar w:left="300" w:top="399"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Member Growth and Activity</w:t>
      </w:r>
    </w:p>
    <w:p>
      <w:pPr>
        <w:spacing w:after="0" w:line="88" w:lineRule="exact"/>
        <w:rPr>
          <w:sz w:val="20"/>
          <w:szCs w:val="20"/>
          <w:color w:val="auto"/>
        </w:rPr>
      </w:pPr>
    </w:p>
    <w:p>
      <w:pPr>
        <w:ind w:left="1480" w:right="519"/>
        <w:spacing w:after="0" w:line="248" w:lineRule="auto"/>
        <w:rPr>
          <w:sz w:val="20"/>
          <w:szCs w:val="20"/>
          <w:color w:val="auto"/>
        </w:rPr>
      </w:pPr>
      <w:r>
        <w:rPr>
          <w:rFonts w:ascii="Times New Roman" w:cs="Times New Roman" w:eastAsia="Times New Roman" w:hAnsi="Times New Roman"/>
          <w:sz w:val="14"/>
          <w:szCs w:val="14"/>
          <w:color w:val="auto"/>
        </w:rPr>
        <w:t>We have made significant investments in our platform and our business is dependent on continued Member growth, as well as our ability to offer new products and services and generate additional revenues from our existing members using such additional products and services. Member growth and activity are critical to our ability to increase our scale, capture market share and earn an attractive return on our technology, product and marketing investments. Growth in Members and Member activity will depend heavily on our ability to continue to offer attractive products and services and the success of our marketing and Member acquisition efforts.</w:t>
      </w:r>
    </w:p>
    <w:p>
      <w:pPr>
        <w:spacing w:after="0" w:line="2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Product Expansion</w:t>
      </w:r>
    </w:p>
    <w:p>
      <w:pPr>
        <w:spacing w:after="0" w:line="88" w:lineRule="exact"/>
        <w:rPr>
          <w:sz w:val="20"/>
          <w:szCs w:val="20"/>
          <w:color w:val="auto"/>
        </w:rPr>
      </w:pPr>
    </w:p>
    <w:p>
      <w:pPr>
        <w:jc w:val="both"/>
        <w:ind w:left="1480" w:right="359"/>
        <w:spacing w:after="0" w:line="254" w:lineRule="auto"/>
        <w:rPr>
          <w:sz w:val="20"/>
          <w:szCs w:val="20"/>
          <w:color w:val="auto"/>
        </w:rPr>
      </w:pPr>
      <w:r>
        <w:rPr>
          <w:rFonts w:ascii="Times New Roman" w:cs="Times New Roman" w:eastAsia="Times New Roman" w:hAnsi="Times New Roman"/>
          <w:sz w:val="14"/>
          <w:szCs w:val="14"/>
          <w:color w:val="auto"/>
        </w:rPr>
        <w:t>We aim to develop and offer a best-in-class financial services platform with integrated products and services that improve the financial wellbeing of our Members. We have invested and continue to make significant investments in the development, improvement and marketing of our financial products and are focused on continual growth in the number of products we offer that are utilized by our Members.</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Competition</w:t>
      </w:r>
    </w:p>
    <w:p>
      <w:pPr>
        <w:spacing w:after="0" w:line="88" w:lineRule="exact"/>
        <w:rPr>
          <w:sz w:val="20"/>
          <w:szCs w:val="20"/>
          <w:color w:val="auto"/>
        </w:rPr>
      </w:pPr>
    </w:p>
    <w:p>
      <w:pPr>
        <w:ind w:left="1480" w:right="399"/>
        <w:spacing w:after="0" w:line="297" w:lineRule="auto"/>
        <w:rPr>
          <w:sz w:val="20"/>
          <w:szCs w:val="20"/>
          <w:color w:val="auto"/>
        </w:rPr>
      </w:pPr>
      <w:r>
        <w:rPr>
          <w:rFonts w:ascii="Times New Roman" w:cs="Times New Roman" w:eastAsia="Times New Roman" w:hAnsi="Times New Roman"/>
          <w:sz w:val="12"/>
          <w:szCs w:val="12"/>
          <w:color w:val="auto"/>
        </w:rPr>
        <w:t>We face competition from several financial services-oriented institutions. In our reportable segment, as well as in potential new lines of business, we may compete with more established institutions, some of which have more financial resources. We compete at multiple levels, including competition among other financial institutions and lenders in our Advance business, competition for deposits in our Checking Product from traditional banks and digital banking products, competition for subscribers to our financial management tools, and competition with other technology platforms for the enterprise services that we provide. Some of our competitors may at times seek to increase their market share by undercutting pricing terms prevalent in that market, which could adversely affect our market share for any of our products and services or require us to incur higher member acquisition costs.</w:t>
      </w:r>
    </w:p>
    <w:p>
      <w:pPr>
        <w:spacing w:after="0" w:line="19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Key Components of Statements of Operations</w:t>
      </w:r>
    </w:p>
    <w:p>
      <w:pPr>
        <w:spacing w:after="0" w:line="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88" w:lineRule="exact"/>
        <w:rPr>
          <w:sz w:val="20"/>
          <w:szCs w:val="20"/>
          <w:color w:val="auto"/>
        </w:rPr>
      </w:pPr>
    </w:p>
    <w:p>
      <w:pPr>
        <w:ind w:left="1480" w:right="499"/>
        <w:spacing w:after="0" w:line="349" w:lineRule="auto"/>
        <w:rPr>
          <w:sz w:val="20"/>
          <w:szCs w:val="20"/>
          <w:color w:val="auto"/>
        </w:rPr>
      </w:pPr>
      <w:r>
        <w:rPr>
          <w:rFonts w:ascii="Times New Roman" w:cs="Times New Roman" w:eastAsia="Times New Roman" w:hAnsi="Times New Roman"/>
          <w:sz w:val="12"/>
          <w:szCs w:val="12"/>
          <w:color w:val="auto"/>
        </w:rPr>
        <w:t>Currently, we conduct business through one operating segment which constitutes a single reportable segment. For more information about our basis of presentation, refer to Note 3 in the accompanying unaudited condensed consolidated financial statements of Dave included in this Form 10-Q.</w:t>
      </w:r>
    </w:p>
    <w:p>
      <w:pPr>
        <w:spacing w:after="0" w:line="16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Service based revenue, net</w:t>
      </w:r>
    </w:p>
    <w:p>
      <w:pPr>
        <w:spacing w:after="0" w:line="88" w:lineRule="exact"/>
        <w:rPr>
          <w:sz w:val="20"/>
          <w:szCs w:val="20"/>
          <w:color w:val="auto"/>
        </w:rPr>
      </w:pPr>
    </w:p>
    <w:p>
      <w:pPr>
        <w:ind w:left="1480" w:right="419"/>
        <w:spacing w:after="0" w:line="316" w:lineRule="auto"/>
        <w:rPr>
          <w:sz w:val="20"/>
          <w:szCs w:val="20"/>
          <w:color w:val="auto"/>
        </w:rPr>
      </w:pPr>
      <w:r>
        <w:rPr>
          <w:rFonts w:ascii="Times New Roman" w:cs="Times New Roman" w:eastAsia="Times New Roman" w:hAnsi="Times New Roman"/>
          <w:sz w:val="12"/>
          <w:szCs w:val="12"/>
          <w:color w:val="auto"/>
        </w:rPr>
        <w:t>Service based revenue, net primarily consists of optional tips, optional express processing fees and subscriptions charged to Members, net of processor-related costs associated with advance disbursements. Service based revenue, net also consists of lead generation fees from our Side Hustle advertising partners as well as fees earned related to the Rewards Product for Members who make debit card spending transactions at participating merchants.</w:t>
      </w:r>
    </w:p>
    <w:p>
      <w:pPr>
        <w:spacing w:after="0" w:line="18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Transaction based revenue, net</w:t>
      </w:r>
    </w:p>
    <w:p>
      <w:pPr>
        <w:spacing w:after="0" w:line="88" w:lineRule="exact"/>
        <w:rPr>
          <w:sz w:val="20"/>
          <w:szCs w:val="20"/>
          <w:color w:val="auto"/>
        </w:rPr>
      </w:pPr>
    </w:p>
    <w:p>
      <w:pPr>
        <w:ind w:left="1480" w:right="519"/>
        <w:spacing w:after="0" w:line="264" w:lineRule="auto"/>
        <w:rPr>
          <w:sz w:val="20"/>
          <w:szCs w:val="20"/>
          <w:color w:val="auto"/>
        </w:rPr>
      </w:pPr>
      <w:r>
        <w:rPr>
          <w:rFonts w:ascii="Times New Roman" w:cs="Times New Roman" w:eastAsia="Times New Roman" w:hAnsi="Times New Roman"/>
          <w:sz w:val="14"/>
          <w:szCs w:val="14"/>
          <w:color w:val="auto"/>
        </w:rPr>
        <w:t>Transaction based revenue, net consists of interchange and ATM revenues from our Checking Product, net of ATM-related fees, and are recognized at the point in time the transactions occur, as the performance obligation is satisfied.</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We classify our operating expenses into the following five categories:</w:t>
      </w:r>
    </w:p>
    <w:p>
      <w:pPr>
        <w:spacing w:after="0" w:line="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u w:val="single" w:color="auto"/>
          <w:color w:val="auto"/>
        </w:rPr>
        <w:t>Provision for Unrecoverable Advances</w:t>
      </w:r>
    </w:p>
    <w:p>
      <w:pPr>
        <w:spacing w:after="0" w:line="84" w:lineRule="exact"/>
        <w:rPr>
          <w:sz w:val="20"/>
          <w:szCs w:val="20"/>
          <w:color w:val="auto"/>
        </w:rPr>
      </w:pPr>
    </w:p>
    <w:p>
      <w:pPr>
        <w:ind w:left="1480" w:right="399"/>
        <w:spacing w:after="0" w:line="293" w:lineRule="auto"/>
        <w:rPr>
          <w:sz w:val="20"/>
          <w:szCs w:val="20"/>
          <w:color w:val="auto"/>
        </w:rPr>
      </w:pPr>
      <w:r>
        <w:rPr>
          <w:rFonts w:ascii="Times New Roman" w:cs="Times New Roman" w:eastAsia="Times New Roman" w:hAnsi="Times New Roman"/>
          <w:sz w:val="12"/>
          <w:szCs w:val="12"/>
          <w:color w:val="auto"/>
        </w:rPr>
        <w:t>The provision for unrecoverable advances primarily consists of an allowance for unrecoverable advances at a level estimated to be adequate to absorb credit losses inherent in the outstanding advances receivable. We currently estimate the allowance balance required using historical loss and collections experience, and, if relevant, the nature and volume of the portfolio, economic conditions, and other factors. Changes to the allowance have a direct impact on the provision for unrecoverable advances in the unaudited condensed consolidated statement of operations. We consider advances more than 120 days past due or which become uncollectible based on information available to us as impaired. All impaired advances are deemed uncollectible and subsequently written off and are a direct reduction to the allowance for unrecoverable advances. Subsequent recoveries, if any, of Member advances written-off are recorded as a reduction to Member advances, resulting in a reduction to the allowance for unrecoverable advances and a corresponding reduction to the provision for unrecoverable advances in the unaudited condensed consolidated statements of operations when collected.</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0159"/>
          </w:cols>
          <w:pgMar w:left="300" w:top="399"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u w:val="single" w:color="auto"/>
          <w:color w:val="auto"/>
        </w:rPr>
        <w:t>Processing and Servicing Fees</w:t>
      </w:r>
    </w:p>
    <w:p>
      <w:pPr>
        <w:spacing w:after="0" w:line="84" w:lineRule="exact"/>
        <w:rPr>
          <w:sz w:val="20"/>
          <w:szCs w:val="20"/>
          <w:color w:val="auto"/>
        </w:rPr>
      </w:pPr>
    </w:p>
    <w:p>
      <w:pPr>
        <w:jc w:val="both"/>
        <w:ind w:left="1480" w:right="639"/>
        <w:spacing w:after="0" w:line="250" w:lineRule="auto"/>
        <w:rPr>
          <w:sz w:val="20"/>
          <w:szCs w:val="20"/>
          <w:color w:val="auto"/>
        </w:rPr>
      </w:pPr>
      <w:r>
        <w:rPr>
          <w:rFonts w:ascii="Times New Roman" w:cs="Times New Roman" w:eastAsia="Times New Roman" w:hAnsi="Times New Roman"/>
          <w:sz w:val="14"/>
          <w:szCs w:val="14"/>
          <w:color w:val="auto"/>
        </w:rPr>
        <w:t>Processing and servicing fees consist of fees paid to our processing partners for the recovery of advances, tips, optional express processing fees and subscriptions. These expenses also include fees paid for services to connect Members’ bank accounts to our application. Except for processing and servicing fees associated with advance disbursements which are recorded net against revenue, all other processing and service fees are expensed as incurred.</w:t>
      </w:r>
    </w:p>
    <w:p>
      <w:pPr>
        <w:spacing w:after="0" w:line="2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u w:val="single" w:color="auto"/>
          <w:color w:val="auto"/>
        </w:rPr>
        <w:t>Advertising and Marketing</w:t>
      </w:r>
    </w:p>
    <w:p>
      <w:pPr>
        <w:spacing w:after="0" w:line="84" w:lineRule="exact"/>
        <w:rPr>
          <w:sz w:val="20"/>
          <w:szCs w:val="20"/>
          <w:color w:val="auto"/>
        </w:rPr>
      </w:pPr>
    </w:p>
    <w:p>
      <w:pPr>
        <w:jc w:val="both"/>
        <w:ind w:left="1480" w:right="439"/>
        <w:spacing w:after="0" w:line="254" w:lineRule="auto"/>
        <w:rPr>
          <w:sz w:val="20"/>
          <w:szCs w:val="20"/>
          <w:color w:val="auto"/>
        </w:rPr>
      </w:pPr>
      <w:r>
        <w:rPr>
          <w:rFonts w:ascii="Times New Roman" w:cs="Times New Roman" w:eastAsia="Times New Roman" w:hAnsi="Times New Roman"/>
          <w:sz w:val="14"/>
          <w:szCs w:val="14"/>
          <w:color w:val="auto"/>
        </w:rPr>
        <w:t>Advertising and marketing expenses consist primarily of fees we pay to our platform partners. We incur advertising and marketing expenses for online, social media and television advertising and for partnerships and promotional advertising. Advertising and marketing expenses are expensed as incurred although they typically deliver a benefit over an extended period of time.</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u w:val="single" w:color="auto"/>
          <w:color w:val="auto"/>
        </w:rPr>
        <w:t>Compensation and Benefits</w:t>
      </w:r>
    </w:p>
    <w:p>
      <w:pPr>
        <w:spacing w:after="0" w:line="84" w:lineRule="exact"/>
        <w:rPr>
          <w:sz w:val="20"/>
          <w:szCs w:val="20"/>
          <w:color w:val="auto"/>
        </w:rPr>
      </w:pPr>
    </w:p>
    <w:p>
      <w:pPr>
        <w:ind w:left="1480" w:right="399"/>
        <w:spacing w:after="0" w:line="254" w:lineRule="auto"/>
        <w:rPr>
          <w:sz w:val="20"/>
          <w:szCs w:val="20"/>
          <w:color w:val="auto"/>
        </w:rPr>
      </w:pPr>
      <w:r>
        <w:rPr>
          <w:rFonts w:ascii="Times New Roman" w:cs="Times New Roman" w:eastAsia="Times New Roman" w:hAnsi="Times New Roman"/>
          <w:sz w:val="14"/>
          <w:szCs w:val="14"/>
          <w:color w:val="auto"/>
        </w:rPr>
        <w:t>Compensation and benefits expenses represent the compensation, inclusive of stock-based compensation and benefits, that we provide to our employees and the payments we make to third-party contractors. While we have an in-house customer service function, we employ third-party contractors to conduct call center operations and handle routine customer service inquiries and support.</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u w:val="single" w:color="auto"/>
          <w:color w:val="auto"/>
        </w:rPr>
        <w:t>Other Operating Expenses</w:t>
      </w:r>
    </w:p>
    <w:p>
      <w:pPr>
        <w:spacing w:after="0" w:line="84" w:lineRule="exact"/>
        <w:rPr>
          <w:sz w:val="20"/>
          <w:szCs w:val="20"/>
          <w:color w:val="auto"/>
        </w:rPr>
      </w:pPr>
    </w:p>
    <w:p>
      <w:pPr>
        <w:ind w:left="1480" w:right="379"/>
        <w:spacing w:after="0" w:line="246" w:lineRule="auto"/>
        <w:rPr>
          <w:sz w:val="20"/>
          <w:szCs w:val="20"/>
          <w:color w:val="auto"/>
        </w:rPr>
      </w:pPr>
      <w:r>
        <w:rPr>
          <w:rFonts w:ascii="Times New Roman" w:cs="Times New Roman" w:eastAsia="Times New Roman" w:hAnsi="Times New Roman"/>
          <w:sz w:val="14"/>
          <w:szCs w:val="14"/>
          <w:color w:val="auto"/>
        </w:rPr>
        <w:t>Other operating expenses consist primarily of technology and infrastructure (third-party Software as a Service “SaaS”), commitments to charity, transaction based costs (program expenses, association fees, processor fees, losses from Member-disputed transactions, and fraud), depreciation and amortization of property and equipment and intangible assets, general and recurring legal fees, rent, certain sales tax related costs, office related expenses, public relations costs, professional service fees, travel and entertainment, and insurance. Costs associated with technology and infrastructure, rent, depreciation and amortization of our property and equipment and intangible assets, professional service fees, travel and entertainment, public relations costs, utilities, office-related expenses and insurance technology and infrastructure (third-party subscriptions), depreciation and amortization of property and equipment and intangible assets, general and recurring legal fees, rent, office-related expenses, public relations costs, professional service fees, travel and entertainment and insurance vary based upon our investment in infrastructure, business development, risk management and internal controls and are generally not correlated with our operating revenues or other transaction metrics.</w:t>
      </w:r>
    </w:p>
    <w:p>
      <w:pPr>
        <w:spacing w:after="0" w:line="149" w:lineRule="exact"/>
        <w:rPr>
          <w:sz w:val="20"/>
          <w:szCs w:val="20"/>
          <w:color w:val="auto"/>
        </w:rPr>
      </w:pPr>
    </w:p>
    <w:p>
      <w:pPr>
        <w:ind w:left="1480" w:right="539"/>
        <w:spacing w:after="0" w:line="254" w:lineRule="auto"/>
        <w:rPr>
          <w:sz w:val="20"/>
          <w:szCs w:val="20"/>
          <w:color w:val="auto"/>
        </w:rPr>
      </w:pPr>
      <w:r>
        <w:rPr>
          <w:rFonts w:ascii="Times New Roman" w:cs="Times New Roman" w:eastAsia="Times New Roman" w:hAnsi="Times New Roman"/>
          <w:sz w:val="14"/>
          <w:szCs w:val="14"/>
          <w:color w:val="auto"/>
        </w:rPr>
        <w:t>We expect our operating expenses to increase for the foreseeable future with the growth of our business, and as a result of operating as a public company, including compliance with the rules and regulations of the SEC, legal, audit, additional insurance expenses, investor relations activities and other administrative and professional services.</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u w:val="single" w:color="auto"/>
          <w:color w:val="auto"/>
        </w:rPr>
        <w:t>Other (Income) Expenses</w:t>
      </w:r>
    </w:p>
    <w:p>
      <w:pPr>
        <w:spacing w:after="0" w:line="84" w:lineRule="exact"/>
        <w:rPr>
          <w:sz w:val="20"/>
          <w:szCs w:val="20"/>
          <w:color w:val="auto"/>
        </w:rPr>
      </w:pPr>
    </w:p>
    <w:p>
      <w:pPr>
        <w:ind w:left="1480" w:right="559"/>
        <w:spacing w:after="0" w:line="349" w:lineRule="auto"/>
        <w:rPr>
          <w:sz w:val="20"/>
          <w:szCs w:val="20"/>
          <w:color w:val="auto"/>
        </w:rPr>
      </w:pPr>
      <w:r>
        <w:rPr>
          <w:rFonts w:ascii="Times New Roman" w:cs="Times New Roman" w:eastAsia="Times New Roman" w:hAnsi="Times New Roman"/>
          <w:sz w:val="12"/>
          <w:szCs w:val="12"/>
          <w:color w:val="auto"/>
        </w:rPr>
        <w:t>Other (income) expenses consist of interest income, interest expense, legal settlement and litigation expenses, derivative asset fair value adjustments, other strategic financing and transactional expenses, earnout liabilities fair value adjustments, and warrant liability fair value adjustments.</w:t>
      </w:r>
    </w:p>
    <w:p>
      <w:pPr>
        <w:spacing w:after="0" w:line="17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u w:val="single" w:color="auto"/>
          <w:color w:val="auto"/>
        </w:rPr>
        <w:t>Provision for Income Taxes</w:t>
      </w:r>
    </w:p>
    <w:p>
      <w:pPr>
        <w:spacing w:after="0" w:line="84" w:lineRule="exact"/>
        <w:rPr>
          <w:sz w:val="20"/>
          <w:szCs w:val="20"/>
          <w:color w:val="auto"/>
        </w:rPr>
      </w:pPr>
    </w:p>
    <w:p>
      <w:pPr>
        <w:ind w:left="1480" w:right="659"/>
        <w:spacing w:after="0" w:line="254" w:lineRule="auto"/>
        <w:rPr>
          <w:sz w:val="20"/>
          <w:szCs w:val="20"/>
          <w:color w:val="auto"/>
        </w:rPr>
      </w:pPr>
      <w:r>
        <w:rPr>
          <w:rFonts w:ascii="Times New Roman" w:cs="Times New Roman" w:eastAsia="Times New Roman" w:hAnsi="Times New Roman"/>
          <w:sz w:val="14"/>
          <w:szCs w:val="14"/>
          <w:color w:val="auto"/>
        </w:rPr>
        <w:t>Provision for income taxes consists of the federal and state corporate income taxes accrued on income resulting from the sale of our services. On March 27, 2020, the CARES Act was signed into law, which among other things, includes certain income tax provisions for corporations; however, these benefits did not impact our current tax provision.</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159"/>
          </w:cols>
          <w:pgMar w:left="300" w:top="399"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Comparison of the Periods Ended March 31, 2022 and 2021</w:t>
      </w:r>
    </w:p>
    <w:p>
      <w:pPr>
        <w:spacing w:after="0" w:line="184" w:lineRule="exact"/>
        <w:rPr>
          <w:sz w:val="20"/>
          <w:szCs w:val="20"/>
          <w:color w:val="auto"/>
        </w:rPr>
      </w:pPr>
    </w:p>
    <w:tbl>
      <w:tblPr>
        <w:tblLayout w:type="fixed"/>
        <w:tblInd w:w="182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4"/>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w w:val="97"/>
              </w:rPr>
              <w:t>For the Three Months Ended</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5"/>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03"/>
        </w:trPr>
        <w:tc>
          <w:tcPr>
            <w:tcW w:w="310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(in thousands, except for percentages)</w:t>
            </w: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3"/>
          </w:tcPr>
          <w:p>
            <w:pPr>
              <w:jc w:val="right"/>
              <w:ind w:right="60"/>
              <w:spacing w:after="0" w:line="103"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ind w:right="155"/>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gridSpan w:val="2"/>
          </w:tcPr>
          <w:p>
            <w:pPr>
              <w:jc w:val="right"/>
              <w:ind w:right="126"/>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8"/>
                <w:szCs w:val="8"/>
                <w:color w:val="auto"/>
              </w:rPr>
            </w:pPr>
          </w:p>
        </w:tc>
      </w:tr>
      <w:tr>
        <w:trPr>
          <w:trHeight w:val="103"/>
        </w:trPr>
        <w:tc>
          <w:tcPr>
            <w:tcW w:w="20" w:type="dxa"/>
            <w:vAlign w:val="bottom"/>
          </w:tcPr>
          <w:p>
            <w:pPr>
              <w:spacing w:after="0"/>
              <w:rPr>
                <w:sz w:val="8"/>
                <w:szCs w:val="8"/>
                <w:color w:val="auto"/>
              </w:rPr>
            </w:pPr>
          </w:p>
        </w:tc>
        <w:tc>
          <w:tcPr>
            <w:tcW w:w="3080" w:type="dxa"/>
            <w:vAlign w:val="bottom"/>
            <w:tcBorders>
              <w:bottom w:val="single" w:sz="8" w:color="CCEEFF"/>
            </w:tcBorders>
          </w:tcPr>
          <w:p>
            <w:pPr>
              <w:spacing w:after="0"/>
              <w:rPr>
                <w:sz w:val="8"/>
                <w:szCs w:val="8"/>
                <w:color w:val="auto"/>
              </w:rPr>
            </w:pPr>
          </w:p>
        </w:tc>
        <w:tc>
          <w:tcPr>
            <w:tcW w:w="136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36"/>
              <w:spacing w:after="0" w:line="103" w:lineRule="exact"/>
              <w:rPr>
                <w:sz w:val="20"/>
                <w:szCs w:val="20"/>
                <w:color w:val="auto"/>
              </w:rPr>
            </w:pPr>
            <w:r>
              <w:rPr>
                <w:rFonts w:ascii="Times New Roman" w:cs="Times New Roman" w:eastAsia="Times New Roman" w:hAnsi="Times New Roman"/>
                <w:sz w:val="11"/>
                <w:szCs w:val="11"/>
                <w:b w:val="1"/>
                <w:bCs w:val="1"/>
                <w:color w:val="auto"/>
              </w:rPr>
              <w:t>2022</w:t>
            </w:r>
          </w:p>
        </w:tc>
        <w:tc>
          <w:tcPr>
            <w:tcW w:w="320" w:type="dxa"/>
            <w:vAlign w:val="bottom"/>
            <w:tcBorders>
              <w:top w:val="single" w:sz="8" w:color="auto"/>
              <w:bottom w:val="single" w:sz="8" w:color="CCEEFF"/>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54"/>
              <w:spacing w:after="0" w:line="103" w:lineRule="exact"/>
              <w:rPr>
                <w:sz w:val="20"/>
                <w:szCs w:val="20"/>
                <w:color w:val="auto"/>
              </w:rPr>
            </w:pPr>
            <w:r>
              <w:rPr>
                <w:rFonts w:ascii="Times New Roman" w:cs="Times New Roman" w:eastAsia="Times New Roman" w:hAnsi="Times New Roman"/>
                <w:sz w:val="11"/>
                <w:szCs w:val="11"/>
                <w:b w:val="1"/>
                <w:bCs w:val="1"/>
                <w:color w:val="auto"/>
              </w:rPr>
              <w:t>2021</w:t>
            </w:r>
          </w:p>
        </w:tc>
        <w:tc>
          <w:tcPr>
            <w:tcW w:w="300" w:type="dxa"/>
            <w:vAlign w:val="bottom"/>
            <w:tcBorders>
              <w:bottom w:val="single" w:sz="8" w:color="CCEEFF"/>
            </w:tcBorders>
          </w:tcPr>
          <w:p>
            <w:pPr>
              <w:spacing w:after="0"/>
              <w:rPr>
                <w:sz w:val="8"/>
                <w:szCs w:val="8"/>
                <w:color w:val="auto"/>
              </w:rPr>
            </w:pPr>
          </w:p>
        </w:tc>
        <w:tc>
          <w:tcPr>
            <w:tcW w:w="460" w:type="dxa"/>
            <w:vAlign w:val="bottom"/>
            <w:tcBorders>
              <w:top w:val="single" w:sz="8" w:color="auto"/>
              <w:bottom w:val="single" w:sz="8" w:color="auto"/>
            </w:tcBorders>
            <w:gridSpan w:val="2"/>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93"/>
              </w:rPr>
              <w:t>2022/2021</w:t>
            </w:r>
          </w:p>
        </w:tc>
        <w:tc>
          <w:tcPr>
            <w:tcW w:w="16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60" w:type="dxa"/>
            <w:vAlign w:val="bottom"/>
            <w:tcBorders>
              <w:top w:val="single" w:sz="8" w:color="auto"/>
              <w:bottom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93"/>
              </w:rPr>
              <w:t>2022/2021</w:t>
            </w:r>
          </w:p>
        </w:tc>
        <w:tc>
          <w:tcPr>
            <w:tcW w:w="160" w:type="dxa"/>
            <w:vAlign w:val="bottom"/>
            <w:tcBorders>
              <w:bottom w:val="single" w:sz="8" w:color="CCEEFF"/>
            </w:tcBorders>
          </w:tcPr>
          <w:p>
            <w:pPr>
              <w:spacing w:after="0"/>
              <w:rPr>
                <w:sz w:val="8"/>
                <w:szCs w:val="8"/>
                <w:color w:val="auto"/>
              </w:rPr>
            </w:pPr>
          </w:p>
        </w:tc>
      </w:tr>
      <w:tr>
        <w:trPr>
          <w:trHeight w:val="143"/>
        </w:trPr>
        <w:tc>
          <w:tcPr>
            <w:tcW w:w="20" w:type="dxa"/>
            <w:vAlign w:val="bottom"/>
          </w:tcPr>
          <w:p>
            <w:pPr>
              <w:spacing w:after="0"/>
              <w:rPr>
                <w:sz w:val="12"/>
                <w:szCs w:val="12"/>
                <w:color w:val="auto"/>
              </w:rPr>
            </w:pPr>
          </w:p>
        </w:tc>
        <w:tc>
          <w:tcPr>
            <w:tcW w:w="30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Service based revenue, net</w:t>
            </w: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3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Processing fees, net</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20,978</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3,578</w:t>
            </w:r>
          </w:p>
        </w:tc>
        <w:tc>
          <w:tcPr>
            <w:tcW w:w="160" w:type="dxa"/>
            <w:vAlign w:val="bottom"/>
          </w:tcPr>
          <w:p>
            <w:pPr>
              <w:spacing w:after="0"/>
              <w:rPr>
                <w:sz w:val="14"/>
                <w:szCs w:val="14"/>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21%</w:t>
            </w:r>
          </w:p>
        </w:tc>
      </w:tr>
      <w:tr>
        <w:trPr>
          <w:trHeight w:val="163"/>
        </w:trPr>
        <w:tc>
          <w:tcPr>
            <w:tcW w:w="20" w:type="dxa"/>
            <w:vAlign w:val="bottom"/>
          </w:tcPr>
          <w:p>
            <w:pPr>
              <w:spacing w:after="0"/>
              <w:rPr>
                <w:sz w:val="14"/>
                <w:szCs w:val="14"/>
                <w:color w:val="auto"/>
              </w:rPr>
            </w:pPr>
          </w:p>
        </w:tc>
        <w:tc>
          <w:tcPr>
            <w:tcW w:w="3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Tips</w:t>
            </w: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13,948</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9,999</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3,949</w:t>
            </w:r>
          </w:p>
        </w:tc>
        <w:tc>
          <w:tcPr>
            <w:tcW w:w="1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39%</w:t>
            </w:r>
          </w:p>
        </w:tc>
      </w:tr>
      <w:tr>
        <w:trPr>
          <w:trHeight w:val="163"/>
        </w:trPr>
        <w:tc>
          <w:tcPr>
            <w:tcW w:w="20" w:type="dxa"/>
            <w:vAlign w:val="bottom"/>
          </w:tcPr>
          <w:p>
            <w:pPr>
              <w:spacing w:after="0"/>
              <w:rPr>
                <w:sz w:val="14"/>
                <w:szCs w:val="14"/>
                <w:color w:val="auto"/>
              </w:rPr>
            </w:pPr>
          </w:p>
        </w:tc>
        <w:tc>
          <w:tcPr>
            <w:tcW w:w="3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Subscriptions</w:t>
            </w: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4,154</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(718)</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-15%</w:t>
            </w:r>
          </w:p>
        </w:tc>
      </w:tr>
      <w:tr>
        <w:trPr>
          <w:trHeight w:val="163"/>
        </w:trPr>
        <w:tc>
          <w:tcPr>
            <w:tcW w:w="20" w:type="dxa"/>
            <w:vAlign w:val="bottom"/>
          </w:tcPr>
          <w:p>
            <w:pPr>
              <w:spacing w:after="0"/>
              <w:rPr>
                <w:sz w:val="14"/>
                <w:szCs w:val="14"/>
                <w:color w:val="auto"/>
              </w:rPr>
            </w:pPr>
          </w:p>
        </w:tc>
        <w:tc>
          <w:tcPr>
            <w:tcW w:w="3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w:t>
            </w:r>
          </w:p>
        </w:tc>
      </w:tr>
      <w:tr>
        <w:trPr>
          <w:trHeight w:val="164"/>
        </w:trPr>
        <w:tc>
          <w:tcPr>
            <w:tcW w:w="2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Transaction based revenue, net</w:t>
            </w:r>
          </w:p>
        </w:tc>
        <w:tc>
          <w:tcPr>
            <w:tcW w:w="1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3,283</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160" w:type="dxa"/>
            <w:vAlign w:val="bottom"/>
          </w:tcPr>
          <w:p>
            <w:pPr>
              <w:spacing w:after="0"/>
              <w:rPr>
                <w:sz w:val="14"/>
                <w:szCs w:val="14"/>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63%</w:t>
            </w:r>
          </w:p>
        </w:tc>
      </w:tr>
      <w:tr>
        <w:trPr>
          <w:trHeight w:val="163"/>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42,551</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34,426</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8,125</w:t>
            </w:r>
          </w:p>
        </w:tc>
        <w:tc>
          <w:tcPr>
            <w:tcW w:w="1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w:t>
            </w: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3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Operating revenues</w:t>
      </w:r>
    </w:p>
    <w:p>
      <w:pPr>
        <w:spacing w:after="0" w:line="8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Service based revenue, net—</w:t>
      </w:r>
    </w:p>
    <w:p>
      <w:pPr>
        <w:spacing w:after="0" w:line="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Processing fees, net</w:t>
      </w:r>
    </w:p>
    <w:p>
      <w:pPr>
        <w:spacing w:after="0" w:line="8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Processing fees, net of processor costs associated with advance disbursements, for the three months ended March 31, 2022 were approximately</w:t>
      </w:r>
    </w:p>
    <w:p>
      <w:pPr>
        <w:spacing w:after="0" w:line="14" w:lineRule="exact"/>
        <w:rPr>
          <w:sz w:val="20"/>
          <w:szCs w:val="20"/>
          <w:color w:val="auto"/>
        </w:rPr>
      </w:pPr>
    </w:p>
    <w:p>
      <w:pPr>
        <w:ind w:left="1480" w:right="379"/>
        <w:spacing w:after="0" w:line="244" w:lineRule="auto"/>
        <w:rPr>
          <w:sz w:val="20"/>
          <w:szCs w:val="20"/>
          <w:color w:val="auto"/>
        </w:rPr>
      </w:pPr>
      <w:r>
        <w:rPr>
          <w:rFonts w:ascii="Times New Roman" w:cs="Times New Roman" w:eastAsia="Times New Roman" w:hAnsi="Times New Roman"/>
          <w:sz w:val="14"/>
          <w:szCs w:val="14"/>
          <w:color w:val="auto"/>
        </w:rPr>
        <w:t>$21.0 million, an increase from approximately $17.4 million for the three months ended March 31, 2021. The increase of approximately $3.6 million, or 21%, was primarily attributable to increases in total advance volume from approximately $277.8 million to approximately $545.1 million along with a higher average advance amount period over period. Processing fees tend to increase as advance volume increases, but may not always trend ratably as processing fees vary depending on the total amount of the advance. Approximately 99% and 98% of Members chose to pay a processing fee to expedite an advance for the three months ended March 31, 2022 and 2021, respectively. The average processing fees paid to expedite these advances were approximately $5.42 and $4.78 per advance, respectively.</w:t>
      </w:r>
    </w:p>
    <w:p>
      <w:pPr>
        <w:spacing w:after="0" w:line="23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Tips</w:t>
      </w:r>
    </w:p>
    <w:p>
      <w:pPr>
        <w:spacing w:after="0" w:line="86" w:lineRule="exact"/>
        <w:rPr>
          <w:sz w:val="20"/>
          <w:szCs w:val="20"/>
          <w:color w:val="auto"/>
        </w:rPr>
      </w:pPr>
    </w:p>
    <w:p>
      <w:pPr>
        <w:ind w:left="1480" w:right="419"/>
        <w:spacing w:after="0" w:line="247" w:lineRule="auto"/>
        <w:rPr>
          <w:sz w:val="20"/>
          <w:szCs w:val="20"/>
          <w:color w:val="auto"/>
        </w:rPr>
      </w:pPr>
      <w:r>
        <w:rPr>
          <w:rFonts w:ascii="Times New Roman" w:cs="Times New Roman" w:eastAsia="Times New Roman" w:hAnsi="Times New Roman"/>
          <w:sz w:val="14"/>
          <w:szCs w:val="14"/>
          <w:color w:val="auto"/>
        </w:rPr>
        <w:t>Tips for the three month ended March 31, 2022 were approximately $13.9 million, an increase from approximately $10.0 million for the three months ended March 31, 2021. The increase of approximately $3.9 million, or 39%, was primarily attributable to increases in total advance volume from approximately $277.8 million to approximately $545.1 million period over period. Tips tend to increase as advance volume increases, but may not always trend ratably as tips often vary depending on the total amount of the advance. Approximately 64% and 75% of Members chose to leave a tip for the three months ended March 31, 2022 and 2021, respectively. The average amount of tip Members chose to leave was approximately $6.93 and $4.07 per advance, respectively.</w:t>
      </w:r>
    </w:p>
    <w:p>
      <w:pPr>
        <w:spacing w:after="0" w:line="2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Subscriptions</w:t>
      </w:r>
    </w:p>
    <w:p>
      <w:pPr>
        <w:spacing w:after="0" w:line="86" w:lineRule="exact"/>
        <w:rPr>
          <w:sz w:val="20"/>
          <w:szCs w:val="20"/>
          <w:color w:val="auto"/>
        </w:rPr>
      </w:pPr>
    </w:p>
    <w:p>
      <w:pPr>
        <w:ind w:left="1480" w:right="379"/>
        <w:spacing w:after="0" w:line="254" w:lineRule="auto"/>
        <w:rPr>
          <w:sz w:val="20"/>
          <w:szCs w:val="20"/>
          <w:color w:val="auto"/>
        </w:rPr>
      </w:pPr>
      <w:r>
        <w:rPr>
          <w:rFonts w:ascii="Times New Roman" w:cs="Times New Roman" w:eastAsia="Times New Roman" w:hAnsi="Times New Roman"/>
          <w:sz w:val="14"/>
          <w:szCs w:val="14"/>
          <w:color w:val="auto"/>
        </w:rPr>
        <w:t>Subscriptions for the three months ended March 31, 2022 were approximately $4.2 million, a decrease from approximately $4.9 million during the three months ended March 31, 2021. The decrease of approximately $0.7 million, or 15%, was primarily attributable to lower subscription engagement with Members on our platform.</w:t>
      </w:r>
    </w:p>
    <w:p>
      <w:pPr>
        <w:spacing w:after="0" w:line="140" w:lineRule="exact"/>
        <w:rPr>
          <w:sz w:val="20"/>
          <w:szCs w:val="20"/>
          <w:color w:val="auto"/>
        </w:rPr>
      </w:pPr>
    </w:p>
    <w:p>
      <w:pPr>
        <w:ind w:left="1480" w:right="479"/>
        <w:spacing w:after="0" w:line="251" w:lineRule="auto"/>
        <w:rPr>
          <w:sz w:val="20"/>
          <w:szCs w:val="20"/>
          <w:color w:val="auto"/>
        </w:rPr>
      </w:pPr>
      <w:r>
        <w:rPr>
          <w:rFonts w:ascii="Times New Roman" w:cs="Times New Roman" w:eastAsia="Times New Roman" w:hAnsi="Times New Roman"/>
          <w:sz w:val="14"/>
          <w:szCs w:val="14"/>
          <w:i w:val="1"/>
          <w:iCs w:val="1"/>
          <w:color w:val="auto"/>
        </w:rPr>
        <w:t>Transaction based revenue, net—</w:t>
      </w:r>
      <w:r>
        <w:rPr>
          <w:rFonts w:ascii="Times New Roman" w:cs="Times New Roman" w:eastAsia="Times New Roman" w:hAnsi="Times New Roman"/>
          <w:sz w:val="14"/>
          <w:szCs w:val="14"/>
          <w:color w:val="auto"/>
        </w:rPr>
        <w:t>Transaction based revenue, net for the three months ended March 31, 2022 were approximately $3.3 million,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 from approximately $2.0 million, for the three months ended March 31, 2021. The increase of approximately $1.3 million, or 63%, was primarily attributable to the growth in Members engaging with our Checking Product and corresponding growth in the number of transactions initiated by Members</w:t>
      </w:r>
      <w:r>
        <w:rPr>
          <w:rFonts w:ascii="Times New Roman" w:cs="Times New Roman" w:eastAsia="Times New Roman" w:hAnsi="Times New Roman"/>
          <w:sz w:val="14"/>
          <w:szCs w:val="14"/>
          <w:i w:val="1"/>
          <w:iCs w:val="1"/>
          <w:color w:val="auto"/>
        </w:rPr>
        <w:t>.</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0159"/>
          </w:cols>
          <w:pgMar w:left="300" w:top="399"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84" w:lineRule="exact"/>
        <w:rPr>
          <w:sz w:val="20"/>
          <w:szCs w:val="20"/>
          <w:color w:val="auto"/>
        </w:rPr>
      </w:pPr>
    </w:p>
    <w:tbl>
      <w:tblPr>
        <w:tblLayout w:type="fixed"/>
        <w:tblInd w:w="1820" w:type="dxa"/>
        <w:tblCellMar>
          <w:top w:w="0" w:type="dxa"/>
          <w:left w:w="0" w:type="dxa"/>
          <w:bottom w:w="0" w:type="dxa"/>
          <w:right w:w="0" w:type="dxa"/>
        </w:tblCellMar>
      </w:tblPr>
      <w:tr>
        <w:trPr>
          <w:trHeight w:val="131"/>
        </w:trPr>
        <w:tc>
          <w:tcPr>
            <w:tcW w:w="4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gridSpan w:val="4"/>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w w:val="97"/>
              </w:rPr>
              <w:t>For the Three Months Ended</w:t>
            </w:r>
          </w:p>
        </w:tc>
        <w:tc>
          <w:tcPr>
            <w:tcW w:w="300" w:type="dxa"/>
            <w:vAlign w:val="bottom"/>
          </w:tcPr>
          <w:p>
            <w:pPr>
              <w:spacing w:after="0"/>
              <w:rPr>
                <w:sz w:val="11"/>
                <w:szCs w:val="11"/>
                <w:color w:val="auto"/>
              </w:rPr>
            </w:pPr>
          </w:p>
        </w:tc>
        <w:tc>
          <w:tcPr>
            <w:tcW w:w="1360" w:type="dxa"/>
            <w:vAlign w:val="bottom"/>
            <w:gridSpan w:val="5"/>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03"/>
        </w:trPr>
        <w:tc>
          <w:tcPr>
            <w:tcW w:w="4460" w:type="dxa"/>
            <w:vAlign w:val="bottom"/>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(in thousands, except for percentages)</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3"/>
          </w:tcPr>
          <w:p>
            <w:pPr>
              <w:jc w:val="right"/>
              <w:ind w:right="3"/>
              <w:spacing w:after="0" w:line="103"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top w:val="single" w:sz="8" w:color="auto"/>
            </w:tcBorders>
          </w:tcPr>
          <w:p>
            <w:pPr>
              <w:jc w:val="right"/>
              <w:ind w:right="160"/>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gridSpan w:val="2"/>
          </w:tcPr>
          <w:p>
            <w:pPr>
              <w:jc w:val="right"/>
              <w:ind w:right="119"/>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8"/>
                <w:szCs w:val="8"/>
                <w:color w:val="auto"/>
              </w:rPr>
            </w:pPr>
          </w:p>
        </w:tc>
      </w:tr>
      <w:tr>
        <w:trPr>
          <w:trHeight w:val="103"/>
        </w:trPr>
        <w:tc>
          <w:tcPr>
            <w:tcW w:w="446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36"/>
              <w:spacing w:after="0" w:line="103" w:lineRule="exact"/>
              <w:rPr>
                <w:sz w:val="20"/>
                <w:szCs w:val="20"/>
                <w:color w:val="auto"/>
              </w:rPr>
            </w:pPr>
            <w:r>
              <w:rPr>
                <w:rFonts w:ascii="Times New Roman" w:cs="Times New Roman" w:eastAsia="Times New Roman" w:hAnsi="Times New Roman"/>
                <w:sz w:val="11"/>
                <w:szCs w:val="11"/>
                <w:b w:val="1"/>
                <w:bCs w:val="1"/>
                <w:color w:val="auto"/>
              </w:rPr>
              <w:t>2022</w:t>
            </w:r>
          </w:p>
        </w:tc>
        <w:tc>
          <w:tcPr>
            <w:tcW w:w="320" w:type="dxa"/>
            <w:vAlign w:val="bottom"/>
            <w:tcBorders>
              <w:top w:val="single" w:sz="8" w:color="auto"/>
              <w:bottom w:val="single" w:sz="8" w:color="CCEEFF"/>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54"/>
              <w:spacing w:after="0" w:line="103" w:lineRule="exact"/>
              <w:rPr>
                <w:sz w:val="20"/>
                <w:szCs w:val="20"/>
                <w:color w:val="auto"/>
              </w:rPr>
            </w:pPr>
            <w:r>
              <w:rPr>
                <w:rFonts w:ascii="Times New Roman" w:cs="Times New Roman" w:eastAsia="Times New Roman" w:hAnsi="Times New Roman"/>
                <w:sz w:val="11"/>
                <w:szCs w:val="11"/>
                <w:b w:val="1"/>
                <w:bCs w:val="1"/>
                <w:color w:val="auto"/>
              </w:rPr>
              <w:t>2021</w:t>
            </w:r>
          </w:p>
        </w:tc>
        <w:tc>
          <w:tcPr>
            <w:tcW w:w="300" w:type="dxa"/>
            <w:vAlign w:val="bottom"/>
            <w:tcBorders>
              <w:bottom w:val="single" w:sz="8" w:color="CCEEFF"/>
            </w:tcBorders>
          </w:tcPr>
          <w:p>
            <w:pPr>
              <w:spacing w:after="0"/>
              <w:rPr>
                <w:sz w:val="8"/>
                <w:szCs w:val="8"/>
                <w:color w:val="auto"/>
              </w:rPr>
            </w:pPr>
          </w:p>
        </w:tc>
        <w:tc>
          <w:tcPr>
            <w:tcW w:w="460" w:type="dxa"/>
            <w:vAlign w:val="bottom"/>
            <w:tcBorders>
              <w:top w:val="single" w:sz="8" w:color="auto"/>
              <w:bottom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93"/>
              </w:rPr>
              <w:t>2022/2021</w:t>
            </w:r>
          </w:p>
        </w:tc>
        <w:tc>
          <w:tcPr>
            <w:tcW w:w="16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60" w:type="dxa"/>
            <w:vAlign w:val="bottom"/>
            <w:tcBorders>
              <w:top w:val="single" w:sz="8" w:color="auto"/>
              <w:bottom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93"/>
              </w:rPr>
              <w:t>2022/2021</w:t>
            </w:r>
          </w:p>
        </w:tc>
        <w:tc>
          <w:tcPr>
            <w:tcW w:w="160" w:type="dxa"/>
            <w:vAlign w:val="bottom"/>
            <w:tcBorders>
              <w:bottom w:val="single" w:sz="8" w:color="CCEEFF"/>
            </w:tcBorders>
          </w:tcPr>
          <w:p>
            <w:pPr>
              <w:spacing w:after="0"/>
              <w:rPr>
                <w:sz w:val="8"/>
                <w:szCs w:val="8"/>
                <w:color w:val="auto"/>
              </w:rPr>
            </w:pPr>
          </w:p>
        </w:tc>
      </w:tr>
      <w:tr>
        <w:trPr>
          <w:trHeight w:val="154"/>
        </w:trPr>
        <w:tc>
          <w:tcPr>
            <w:tcW w:w="446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Provision for unrecoverable advances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13,785</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3,538</w:t>
            </w:r>
          </w:p>
        </w:tc>
        <w:tc>
          <w:tcPr>
            <w:tcW w:w="3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w w:val="89"/>
              </w:rPr>
              <w:t>$ 10,247</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line="154" w:lineRule="exact"/>
              <w:rPr>
                <w:sz w:val="20"/>
                <w:szCs w:val="20"/>
                <w:color w:val="auto"/>
              </w:rPr>
            </w:pPr>
            <w:r>
              <w:rPr>
                <w:rFonts w:ascii="Times New Roman" w:cs="Times New Roman" w:eastAsia="Times New Roman" w:hAnsi="Times New Roman"/>
                <w:sz w:val="14"/>
                <w:szCs w:val="14"/>
                <w:color w:val="auto"/>
              </w:rPr>
              <w:t>290%</w:t>
            </w:r>
          </w:p>
        </w:tc>
      </w:tr>
      <w:tr>
        <w:trPr>
          <w:trHeight w:val="163"/>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Processing and servicing fees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6,543</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160" w:type="dxa"/>
            <w:vAlign w:val="bottom"/>
          </w:tcPr>
          <w:p>
            <w:pPr>
              <w:spacing w:after="0"/>
              <w:rPr>
                <w:sz w:val="14"/>
                <w:szCs w:val="14"/>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25%</w:t>
            </w:r>
          </w:p>
        </w:tc>
      </w:tr>
      <w:tr>
        <w:trPr>
          <w:trHeight w:val="163"/>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Advertising and marketing</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12,204</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14,040</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(1,836)</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w:t>
            </w:r>
          </w:p>
        </w:tc>
      </w:tr>
      <w:tr>
        <w:trPr>
          <w:trHeight w:val="163"/>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17,894</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8,510</w:t>
            </w:r>
          </w:p>
        </w:tc>
        <w:tc>
          <w:tcPr>
            <w:tcW w:w="160" w:type="dxa"/>
            <w:vAlign w:val="bottom"/>
          </w:tcPr>
          <w:p>
            <w:pPr>
              <w:spacing w:after="0"/>
              <w:rPr>
                <w:sz w:val="14"/>
                <w:szCs w:val="14"/>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91%</w:t>
            </w:r>
          </w:p>
        </w:tc>
      </w:tr>
      <w:tr>
        <w:trPr>
          <w:trHeight w:val="163"/>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operating expenses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14,798</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2,221</w:t>
            </w:r>
          </w:p>
        </w:tc>
        <w:tc>
          <w:tcPr>
            <w:tcW w:w="1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w:t>
            </w:r>
          </w:p>
        </w:tc>
      </w:tr>
      <w:tr>
        <w:trPr>
          <w:trHeight w:val="164"/>
        </w:trPr>
        <w:tc>
          <w:tcPr>
            <w:tcW w:w="4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65,224</w:t>
            </w:r>
          </w:p>
        </w:tc>
        <w:tc>
          <w:tcPr>
            <w:tcW w:w="3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44,759</w:t>
            </w:r>
          </w:p>
        </w:tc>
        <w:tc>
          <w:tcPr>
            <w:tcW w:w="30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9"/>
              </w:rPr>
              <w:t>$ 20,465</w:t>
            </w:r>
          </w:p>
        </w:tc>
        <w:tc>
          <w:tcPr>
            <w:tcW w:w="160" w:type="dxa"/>
            <w:vAlign w:val="bottom"/>
          </w:tcPr>
          <w:p>
            <w:pPr>
              <w:spacing w:after="0"/>
              <w:rPr>
                <w:sz w:val="14"/>
                <w:szCs w:val="14"/>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46%</w:t>
            </w:r>
          </w:p>
        </w:tc>
      </w:tr>
      <w:tr>
        <w:trPr>
          <w:trHeight w:val="20"/>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59" w:lineRule="exact"/>
        <w:rPr>
          <w:sz w:val="20"/>
          <w:szCs w:val="20"/>
          <w:color w:val="auto"/>
        </w:rPr>
      </w:pPr>
    </w:p>
    <w:p>
      <w:pPr>
        <w:ind w:left="1480" w:right="479"/>
        <w:spacing w:after="0" w:line="249" w:lineRule="auto"/>
        <w:rPr>
          <w:sz w:val="20"/>
          <w:szCs w:val="20"/>
          <w:color w:val="auto"/>
        </w:rPr>
      </w:pPr>
      <w:r>
        <w:rPr>
          <w:rFonts w:ascii="Times New Roman" w:cs="Times New Roman" w:eastAsia="Times New Roman" w:hAnsi="Times New Roman"/>
          <w:sz w:val="14"/>
          <w:szCs w:val="14"/>
          <w:i w:val="1"/>
          <w:iCs w:val="1"/>
          <w:color w:val="auto"/>
        </w:rPr>
        <w:t>Provision for unrecoverable advances—</w:t>
      </w:r>
      <w:r>
        <w:rPr>
          <w:rFonts w:ascii="Times New Roman" w:cs="Times New Roman" w:eastAsia="Times New Roman" w:hAnsi="Times New Roman"/>
          <w:sz w:val="14"/>
          <w:szCs w:val="14"/>
          <w:color w:val="auto"/>
        </w:rPr>
        <w:t>The provision for unrecoverable advances totaled approximately $13.8 million for the three months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March 31, 2022, compared to approximately $3.5 million for the three months ended March 31, 2021. The increase of approximately $10.2 million, or 290%, was primarily attributable to increases in provision expense related to Member advances aged over 120 days and those that have become uncollectible based on information available to us of approximately $1.7 million in addition to an increase in provision expense related to Member advances aged 120 days and under of approximately $8.5 million.</w:t>
      </w:r>
    </w:p>
    <w:p>
      <w:pPr>
        <w:spacing w:after="0" w:line="147" w:lineRule="exact"/>
        <w:rPr>
          <w:sz w:val="20"/>
          <w:szCs w:val="20"/>
          <w:color w:val="auto"/>
        </w:rPr>
      </w:pPr>
    </w:p>
    <w:p>
      <w:pPr>
        <w:ind w:left="1480" w:right="579"/>
        <w:spacing w:after="0" w:line="316" w:lineRule="auto"/>
        <w:rPr>
          <w:sz w:val="20"/>
          <w:szCs w:val="20"/>
          <w:color w:val="auto"/>
        </w:rPr>
      </w:pPr>
      <w:r>
        <w:rPr>
          <w:rFonts w:ascii="Times New Roman" w:cs="Times New Roman" w:eastAsia="Times New Roman" w:hAnsi="Times New Roman"/>
          <w:sz w:val="12"/>
          <w:szCs w:val="12"/>
          <w:color w:val="auto"/>
        </w:rPr>
        <w:t>The increase in provision expense related to Member advances aged over 120 days and those which have become uncollectible based on information available to us, period over period, was driven primarily by aged receivables and the increase in advance volume during late 2021. All impaired advances deemed uncollectible are subsequently written-off and are a direct reduction to the allowance for unrecoverable advances.</w:t>
      </w:r>
    </w:p>
    <w:p>
      <w:pPr>
        <w:spacing w:after="0" w:line="109" w:lineRule="exact"/>
        <w:rPr>
          <w:sz w:val="20"/>
          <w:szCs w:val="20"/>
          <w:color w:val="auto"/>
        </w:rPr>
      </w:pPr>
    </w:p>
    <w:p>
      <w:pPr>
        <w:ind w:left="1480" w:right="419"/>
        <w:spacing w:after="0" w:line="300" w:lineRule="auto"/>
        <w:rPr>
          <w:sz w:val="20"/>
          <w:szCs w:val="20"/>
          <w:color w:val="auto"/>
        </w:rPr>
      </w:pPr>
      <w:r>
        <w:rPr>
          <w:rFonts w:ascii="Times New Roman" w:cs="Times New Roman" w:eastAsia="Times New Roman" w:hAnsi="Times New Roman"/>
          <w:sz w:val="12"/>
          <w:szCs w:val="12"/>
          <w:color w:val="auto"/>
        </w:rPr>
        <w:t>The increase in provision expense related to Member advances aged 120 days and under, was primarily attributed to significant increases in advance volume from approximately $277.8 million to approximately $545.1 million for the three months ended March 31, 2021 and 2022, respectively. This resulted in an increase to the allowance for unrecoverable advances and corresponding higher provision for unrecoverable advances expense during the period ended March 31, 2022 as compared to March 31, 2021. We anticipate volatility in Member advances outstanding each period as they are directly correlated with the timing and volume of Member advance activity during the last 120 days prior to the end of the period.</w:t>
      </w:r>
    </w:p>
    <w:p>
      <w:pPr>
        <w:spacing w:after="0" w:line="118" w:lineRule="exact"/>
        <w:rPr>
          <w:sz w:val="20"/>
          <w:szCs w:val="20"/>
          <w:color w:val="auto"/>
        </w:rPr>
      </w:pPr>
    </w:p>
    <w:p>
      <w:pPr>
        <w:ind w:left="1480" w:right="359"/>
        <w:spacing w:after="0" w:line="247" w:lineRule="auto"/>
        <w:rPr>
          <w:sz w:val="20"/>
          <w:szCs w:val="20"/>
          <w:color w:val="auto"/>
        </w:rPr>
      </w:pPr>
      <w:r>
        <w:rPr>
          <w:rFonts w:ascii="Times New Roman" w:cs="Times New Roman" w:eastAsia="Times New Roman" w:hAnsi="Times New Roman"/>
          <w:sz w:val="14"/>
          <w:szCs w:val="14"/>
          <w:color w:val="auto"/>
        </w:rPr>
        <w:t>Throughout the first three months of 2022, loss and collections experience of Member advances remained steady, however, historical loss and collections experience decreased slightly when compared to historical rates used in 2021 primarily as a result of underwriting modifications made during early 2020 in response to the onset of COVID-19. These underwriting modifications primarily consisted of lower advance amounts and stricter eligibility requirements. Any changes to our historical loss and collections experience directly affects the historical loss rates utilized in the calculation of the allowance for uncollectible advances. The changes in the allowance for unrecoverable advances, period over period, has a direct impact on the provision for unrecoverable advances.</w:t>
      </w:r>
    </w:p>
    <w:p>
      <w:pPr>
        <w:spacing w:after="0" w:line="150" w:lineRule="exact"/>
        <w:rPr>
          <w:sz w:val="20"/>
          <w:szCs w:val="20"/>
          <w:color w:val="auto"/>
        </w:rPr>
      </w:pPr>
    </w:p>
    <w:p>
      <w:pPr>
        <w:ind w:left="1480" w:right="579"/>
        <w:spacing w:after="0" w:line="264" w:lineRule="auto"/>
        <w:rPr>
          <w:sz w:val="20"/>
          <w:szCs w:val="20"/>
          <w:color w:val="auto"/>
        </w:rPr>
      </w:pPr>
      <w:r>
        <w:rPr>
          <w:rFonts w:ascii="Times New Roman" w:cs="Times New Roman" w:eastAsia="Times New Roman" w:hAnsi="Times New Roman"/>
          <w:sz w:val="14"/>
          <w:szCs w:val="14"/>
          <w:color w:val="auto"/>
        </w:rPr>
        <w:t>For information on the aging of Member advances and a rollforward of the allowance for unrecoverable advances, refer to the tables in Note 6 to our unaudited consolidated financial statements included in this Form 10-Q.</w:t>
      </w:r>
    </w:p>
    <w:p>
      <w:pPr>
        <w:spacing w:after="0" w:line="134" w:lineRule="exact"/>
        <w:rPr>
          <w:sz w:val="20"/>
          <w:szCs w:val="20"/>
          <w:color w:val="auto"/>
        </w:rPr>
      </w:pPr>
    </w:p>
    <w:p>
      <w:pPr>
        <w:ind w:left="1480" w:right="439"/>
        <w:spacing w:after="0" w:line="251" w:lineRule="auto"/>
        <w:rPr>
          <w:sz w:val="20"/>
          <w:szCs w:val="20"/>
          <w:color w:val="auto"/>
        </w:rPr>
      </w:pPr>
      <w:r>
        <w:rPr>
          <w:rFonts w:ascii="Times New Roman" w:cs="Times New Roman" w:eastAsia="Times New Roman" w:hAnsi="Times New Roman"/>
          <w:sz w:val="14"/>
          <w:szCs w:val="14"/>
          <w:i w:val="1"/>
          <w:iCs w:val="1"/>
          <w:color w:val="auto"/>
        </w:rPr>
        <w:t>Processing and service fees—</w:t>
      </w:r>
      <w:r>
        <w:rPr>
          <w:rFonts w:ascii="Times New Roman" w:cs="Times New Roman" w:eastAsia="Times New Roman" w:hAnsi="Times New Roman"/>
          <w:sz w:val="14"/>
          <w:szCs w:val="14"/>
          <w:color w:val="auto"/>
        </w:rPr>
        <w:t>Processing and servicing fees totaled approximately $6.5 million for the period ended March 31, 2022, compared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approximately $5.2 million for the period ended March 31, 2021. The increase of approximately $1.3 million, or 25%, was primarily attributable to the increase in advance volume from $277.8 million to $545.1 million for the three months ended March 31, 2022 and 2021, respectively, offset by volume associated discounts and cost savings due to price reductions from our processors.</w:t>
      </w:r>
    </w:p>
    <w:p>
      <w:pPr>
        <w:spacing w:after="0" w:line="144" w:lineRule="exact"/>
        <w:rPr>
          <w:sz w:val="20"/>
          <w:szCs w:val="20"/>
          <w:color w:val="auto"/>
        </w:rPr>
      </w:pPr>
    </w:p>
    <w:p>
      <w:pPr>
        <w:ind w:left="1480" w:right="639"/>
        <w:spacing w:after="0" w:line="255" w:lineRule="auto"/>
        <w:rPr>
          <w:sz w:val="20"/>
          <w:szCs w:val="20"/>
          <w:color w:val="auto"/>
        </w:rPr>
      </w:pPr>
      <w:r>
        <w:rPr>
          <w:rFonts w:ascii="Times New Roman" w:cs="Times New Roman" w:eastAsia="Times New Roman" w:hAnsi="Times New Roman"/>
          <w:sz w:val="14"/>
          <w:szCs w:val="14"/>
          <w:i w:val="1"/>
          <w:iCs w:val="1"/>
          <w:color w:val="auto"/>
        </w:rPr>
        <w:t>Advertising and marketing—</w:t>
      </w:r>
      <w:r>
        <w:rPr>
          <w:rFonts w:ascii="Times New Roman" w:cs="Times New Roman" w:eastAsia="Times New Roman" w:hAnsi="Times New Roman"/>
          <w:sz w:val="14"/>
          <w:szCs w:val="14"/>
          <w:color w:val="auto"/>
        </w:rPr>
        <w:t>Advertising and marketing totaled approximately $12.2 million for the period ended March 31, 2022, compared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approximately $14.0 million for the period ended March 31, 2021. The decrease of approximately $1.8 million or 13% was primarily attributable to decreased marketing efforts and promotions across various social media platforms and television.</w:t>
      </w:r>
    </w:p>
    <w:p>
      <w:pPr>
        <w:spacing w:after="0" w:line="140" w:lineRule="exact"/>
        <w:rPr>
          <w:sz w:val="20"/>
          <w:szCs w:val="20"/>
          <w:color w:val="auto"/>
        </w:rPr>
      </w:pPr>
    </w:p>
    <w:p>
      <w:pPr>
        <w:ind w:left="1480" w:right="459"/>
        <w:spacing w:after="0" w:line="255" w:lineRule="auto"/>
        <w:rPr>
          <w:sz w:val="20"/>
          <w:szCs w:val="20"/>
          <w:color w:val="auto"/>
        </w:rPr>
      </w:pPr>
      <w:r>
        <w:rPr>
          <w:rFonts w:ascii="Times New Roman" w:cs="Times New Roman" w:eastAsia="Times New Roman" w:hAnsi="Times New Roman"/>
          <w:sz w:val="14"/>
          <w:szCs w:val="14"/>
          <w:i w:val="1"/>
          <w:iCs w:val="1"/>
          <w:color w:val="auto"/>
        </w:rPr>
        <w:t>Compensation and benefits—</w:t>
      </w:r>
      <w:r>
        <w:rPr>
          <w:rFonts w:ascii="Times New Roman" w:cs="Times New Roman" w:eastAsia="Times New Roman" w:hAnsi="Times New Roman"/>
          <w:sz w:val="14"/>
          <w:szCs w:val="14"/>
          <w:color w:val="auto"/>
        </w:rPr>
        <w:t>Compensation and benefits totaled approximately $17.9 million for the period ended March 31, 2022, compared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approximately $9.4 million for the period ended March 31, 2021. The increase of approximately $8.5 million, or 91%, was primarily attributable to the following:</w:t>
      </w:r>
    </w:p>
    <w:p>
      <w:pPr>
        <w:spacing w:after="0" w:line="71" w:lineRule="exact"/>
        <w:rPr>
          <w:sz w:val="20"/>
          <w:szCs w:val="20"/>
          <w:color w:val="auto"/>
        </w:rPr>
      </w:pPr>
    </w:p>
    <w:p>
      <w:pPr>
        <w:ind w:left="2140" w:right="739" w:hanging="336"/>
        <w:spacing w:after="0" w:line="264" w:lineRule="auto"/>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payroll and related costs of approximately $5.6 million, primarily due to hiring and increased headcount throughout the business;</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0159"/>
          </w:cols>
          <w:pgMar w:left="300" w:top="399"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31" w:lineRule="exact"/>
        <w:rPr>
          <w:sz w:val="20"/>
          <w:szCs w:val="20"/>
          <w:color w:val="auto"/>
        </w:rPr>
      </w:pPr>
    </w:p>
    <w:p>
      <w:pPr>
        <w:ind w:left="2220" w:right="519" w:hanging="334"/>
        <w:spacing w:after="0" w:line="264" w:lineRule="auto"/>
        <w:tabs>
          <w:tab w:leader="none" w:pos="2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consultants and contractor costs of approximately $1.4 million, primarily due to our need to supplement recruiting efforts, increase IT security, marketing, and augmenting customer service resources; and</w:t>
      </w:r>
    </w:p>
    <w:p>
      <w:pPr>
        <w:spacing w:after="0" w:line="64" w:lineRule="exact"/>
        <w:rPr>
          <w:rFonts w:ascii="Times New Roman" w:cs="Times New Roman" w:eastAsia="Times New Roman" w:hAnsi="Times New Roman"/>
          <w:sz w:val="14"/>
          <w:szCs w:val="14"/>
          <w:color w:val="auto"/>
        </w:rPr>
      </w:pPr>
    </w:p>
    <w:p>
      <w:pPr>
        <w:ind w:left="2220" w:right="499" w:hanging="334"/>
        <w:spacing w:after="0" w:line="254" w:lineRule="auto"/>
        <w:tabs>
          <w:tab w:leader="none" w:pos="2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stock-based compensation of approximately $1.5 million, primarily due to the cumulative expense related to stock options granted to a certain executive during 2021which achieved certain performance conditions associated with the close of the Business Combination.</w:t>
      </w:r>
    </w:p>
    <w:p>
      <w:pPr>
        <w:spacing w:after="0" w:line="140" w:lineRule="exact"/>
        <w:rPr>
          <w:sz w:val="20"/>
          <w:szCs w:val="20"/>
          <w:color w:val="auto"/>
        </w:rPr>
      </w:pPr>
    </w:p>
    <w:p>
      <w:pPr>
        <w:ind w:left="1480" w:right="379"/>
        <w:spacing w:after="0" w:line="255" w:lineRule="auto"/>
        <w:rPr>
          <w:sz w:val="20"/>
          <w:szCs w:val="20"/>
          <w:color w:val="auto"/>
        </w:rPr>
      </w:pPr>
      <w:r>
        <w:rPr>
          <w:rFonts w:ascii="Times New Roman" w:cs="Times New Roman" w:eastAsia="Times New Roman" w:hAnsi="Times New Roman"/>
          <w:sz w:val="14"/>
          <w:szCs w:val="14"/>
          <w:i w:val="1"/>
          <w:iCs w:val="1"/>
          <w:color w:val="auto"/>
        </w:rPr>
        <w:t>Other operating expenses—</w:t>
      </w:r>
      <w:r>
        <w:rPr>
          <w:rFonts w:ascii="Times New Roman" w:cs="Times New Roman" w:eastAsia="Times New Roman" w:hAnsi="Times New Roman"/>
          <w:sz w:val="14"/>
          <w:szCs w:val="14"/>
          <w:color w:val="auto"/>
        </w:rPr>
        <w:t>Other operating expenses totaled approximately $14.8 million for the period ended March 31, 2022, compared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approximately $12.6 million for the period ended March 31, 2021. The increase of approximately $2.2 million, or 18%, was primarily attributable to the following:</w:t>
      </w:r>
    </w:p>
    <w:p>
      <w:pPr>
        <w:spacing w:after="0" w:line="71" w:lineRule="exact"/>
        <w:rPr>
          <w:sz w:val="20"/>
          <w:szCs w:val="20"/>
          <w:color w:val="auto"/>
        </w:rPr>
      </w:pPr>
    </w:p>
    <w:p>
      <w:pPr>
        <w:ind w:left="2220" w:hanging="334"/>
        <w:spacing w:after="0"/>
        <w:tabs>
          <w:tab w:leader="none" w:pos="2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insurance related costs of $1.8 million, primarily related to Director and Officer Insurance premiums;</w:t>
      </w:r>
    </w:p>
    <w:p>
      <w:pPr>
        <w:spacing w:after="0" w:line="94" w:lineRule="exact"/>
        <w:rPr>
          <w:rFonts w:ascii="Times New Roman" w:cs="Times New Roman" w:eastAsia="Times New Roman" w:hAnsi="Times New Roman"/>
          <w:sz w:val="14"/>
          <w:szCs w:val="14"/>
          <w:color w:val="auto"/>
        </w:rPr>
      </w:pPr>
    </w:p>
    <w:p>
      <w:pPr>
        <w:ind w:left="2220" w:right="719" w:hanging="334"/>
        <w:spacing w:after="0" w:line="264" w:lineRule="auto"/>
        <w:tabs>
          <w:tab w:leader="none" w:pos="2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accounting costs of approximately $0.5 million, primarily related to various audit, tax and Sarbanes Oxley compliance readiness related fees associated with the Business Combination in January 2022;</w:t>
      </w:r>
    </w:p>
    <w:p>
      <w:pPr>
        <w:spacing w:after="0" w:line="64" w:lineRule="exact"/>
        <w:rPr>
          <w:rFonts w:ascii="Times New Roman" w:cs="Times New Roman" w:eastAsia="Times New Roman" w:hAnsi="Times New Roman"/>
          <w:sz w:val="14"/>
          <w:szCs w:val="14"/>
          <w:color w:val="auto"/>
        </w:rPr>
      </w:pPr>
    </w:p>
    <w:p>
      <w:pPr>
        <w:ind w:left="2220" w:right="559" w:hanging="334"/>
        <w:spacing w:after="0" w:line="264" w:lineRule="auto"/>
        <w:tabs>
          <w:tab w:leader="none" w:pos="2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technology and infrastructure expenses of approximately $1.1 million, primarily due to increased spending to support the growth of our business and development of new products and features;</w:t>
      </w:r>
    </w:p>
    <w:p>
      <w:pPr>
        <w:spacing w:after="0" w:line="64" w:lineRule="exact"/>
        <w:rPr>
          <w:rFonts w:ascii="Times New Roman" w:cs="Times New Roman" w:eastAsia="Times New Roman" w:hAnsi="Times New Roman"/>
          <w:sz w:val="14"/>
          <w:szCs w:val="14"/>
          <w:color w:val="auto"/>
        </w:rPr>
      </w:pPr>
    </w:p>
    <w:p>
      <w:pPr>
        <w:ind w:left="2220" w:right="559" w:hanging="334"/>
        <w:spacing w:after="0" w:line="264" w:lineRule="auto"/>
        <w:tabs>
          <w:tab w:leader="none" w:pos="2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expenses related to our Checking Product of approximately $1.0 million, primarily attributable to the growth in Members and the number of transactions processed;</w:t>
      </w:r>
    </w:p>
    <w:p>
      <w:pPr>
        <w:spacing w:after="0" w:line="64" w:lineRule="exact"/>
        <w:rPr>
          <w:rFonts w:ascii="Times New Roman" w:cs="Times New Roman" w:eastAsia="Times New Roman" w:hAnsi="Times New Roman"/>
          <w:sz w:val="14"/>
          <w:szCs w:val="14"/>
          <w:color w:val="auto"/>
        </w:rPr>
      </w:pPr>
    </w:p>
    <w:p>
      <w:pPr>
        <w:ind w:left="2220" w:right="379" w:hanging="334"/>
        <w:spacing w:after="0" w:line="264" w:lineRule="auto"/>
        <w:tabs>
          <w:tab w:leader="none" w:pos="2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legal fees of approximately $0.6 million, primarily due to ongoing litigation, compliance, employment and general corporate related matters;</w:t>
      </w:r>
    </w:p>
    <w:p>
      <w:pPr>
        <w:spacing w:after="0" w:line="64" w:lineRule="exact"/>
        <w:rPr>
          <w:rFonts w:ascii="Times New Roman" w:cs="Times New Roman" w:eastAsia="Times New Roman" w:hAnsi="Times New Roman"/>
          <w:sz w:val="14"/>
          <w:szCs w:val="14"/>
          <w:color w:val="auto"/>
        </w:rPr>
      </w:pPr>
    </w:p>
    <w:p>
      <w:pPr>
        <w:ind w:left="2220" w:right="1079" w:hanging="334"/>
        <w:spacing w:after="0" w:line="264" w:lineRule="auto"/>
        <w:tabs>
          <w:tab w:leader="none" w:pos="2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various administrative fees of approximately $0.5 million primarily due to increases license and fees, travel and entertainment, and company meetings;</w:t>
      </w:r>
    </w:p>
    <w:p>
      <w:pPr>
        <w:spacing w:after="0" w:line="64" w:lineRule="exact"/>
        <w:rPr>
          <w:rFonts w:ascii="Times New Roman" w:cs="Times New Roman" w:eastAsia="Times New Roman" w:hAnsi="Times New Roman"/>
          <w:sz w:val="14"/>
          <w:szCs w:val="14"/>
          <w:color w:val="auto"/>
        </w:rPr>
      </w:pPr>
    </w:p>
    <w:p>
      <w:pPr>
        <w:ind w:left="2220" w:right="999" w:hanging="334"/>
        <w:spacing w:after="0" w:line="264" w:lineRule="auto"/>
        <w:tabs>
          <w:tab w:leader="none" w:pos="2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depreciation and amortization of $0.5 million, primarily due to equipment purchases for increased headcount and amortization of internally developed software;</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rent expense of $0.4 million, due to additional leased office space; offset by</w:t>
      </w:r>
    </w:p>
    <w:p>
      <w:pPr>
        <w:spacing w:after="0" w:line="94" w:lineRule="exact"/>
        <w:rPr>
          <w:rFonts w:ascii="Times New Roman" w:cs="Times New Roman" w:eastAsia="Times New Roman" w:hAnsi="Times New Roman"/>
          <w:sz w:val="14"/>
          <w:szCs w:val="14"/>
          <w:color w:val="auto"/>
        </w:rPr>
      </w:pPr>
    </w:p>
    <w:p>
      <w:pPr>
        <w:ind w:left="2220" w:right="419" w:hanging="334"/>
        <w:spacing w:after="0" w:line="250" w:lineRule="auto"/>
        <w:tabs>
          <w:tab w:leader="none" w:pos="2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chargeback related expenses of approximately $4.0 million, primarily due to non-recurring fraudulent activity in relation to our Checking Product (see “Risk Factors—Risks related to our Business and Industry—Fraudulent and other illegal activity involving our products and services could lead to reputational damage to us, reduce the use of our platform and services and may adversely affect our financial position and results of operations.”); and</w:t>
      </w:r>
    </w:p>
    <w:p>
      <w:pPr>
        <w:spacing w:after="0" w:line="74" w:lineRule="exact"/>
        <w:rPr>
          <w:rFonts w:ascii="Times New Roman" w:cs="Times New Roman" w:eastAsia="Times New Roman" w:hAnsi="Times New Roman"/>
          <w:sz w:val="14"/>
          <w:szCs w:val="14"/>
          <w:color w:val="auto"/>
        </w:rPr>
      </w:pPr>
    </w:p>
    <w:p>
      <w:pPr>
        <w:ind w:left="2220" w:right="599" w:hanging="334"/>
        <w:spacing w:after="0" w:line="264" w:lineRule="auto"/>
        <w:tabs>
          <w:tab w:leader="none" w:pos="2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charitable contribution expenses of approximately $0.2 million, primarily due to decreased amounts pledged to charitable meal donations related to increased Members’ tips.</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w:t>
      </w:r>
    </w:p>
    <w:p>
      <w:pPr>
        <w:spacing w:after="0" w:line="184" w:lineRule="exact"/>
        <w:rPr>
          <w:sz w:val="20"/>
          <w:szCs w:val="20"/>
          <w:color w:val="auto"/>
        </w:rPr>
      </w:pPr>
    </w:p>
    <w:tbl>
      <w:tblPr>
        <w:tblLayout w:type="fixed"/>
        <w:tblInd w:w="1480" w:type="dxa"/>
        <w:tblCellMar>
          <w:top w:w="0" w:type="dxa"/>
          <w:left w:w="0" w:type="dxa"/>
          <w:bottom w:w="0" w:type="dxa"/>
          <w:right w:w="0" w:type="dxa"/>
        </w:tblCellMar>
      </w:tblPr>
      <w:tr>
        <w:trPr>
          <w:trHeight w:val="131"/>
        </w:trPr>
        <w:tc>
          <w:tcPr>
            <w:tcW w:w="5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gridSpan w:val="7"/>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5"/>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03"/>
        </w:trPr>
        <w:tc>
          <w:tcPr>
            <w:tcW w:w="5300" w:type="dxa"/>
            <w:vAlign w:val="bottom"/>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(in thousands, except for percentages)</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4"/>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right"/>
              <w:ind w:right="155"/>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gridSpan w:val="2"/>
          </w:tcPr>
          <w:p>
            <w:pPr>
              <w:jc w:val="right"/>
              <w:ind w:right="119"/>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8"/>
                <w:szCs w:val="8"/>
                <w:color w:val="auto"/>
              </w:rPr>
            </w:pPr>
          </w:p>
        </w:tc>
      </w:tr>
      <w:tr>
        <w:trPr>
          <w:trHeight w:val="103"/>
        </w:trPr>
        <w:tc>
          <w:tcPr>
            <w:tcW w:w="530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5"/>
              <w:spacing w:after="0" w:line="103" w:lineRule="exact"/>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CCEEFF"/>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53"/>
              <w:spacing w:after="0" w:line="103" w:lineRule="exact"/>
              <w:rPr>
                <w:sz w:val="20"/>
                <w:szCs w:val="20"/>
                <w:color w:val="auto"/>
              </w:rPr>
            </w:pPr>
            <w:r>
              <w:rPr>
                <w:rFonts w:ascii="Times New Roman" w:cs="Times New Roman" w:eastAsia="Times New Roman" w:hAnsi="Times New Roman"/>
                <w:sz w:val="11"/>
                <w:szCs w:val="11"/>
                <w:b w:val="1"/>
                <w:bCs w:val="1"/>
                <w:color w:val="auto"/>
              </w:rPr>
              <w:t>2021</w:t>
            </w: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80" w:type="dxa"/>
            <w:vAlign w:val="bottom"/>
            <w:tcBorders>
              <w:top w:val="single" w:sz="8" w:color="auto"/>
              <w:bottom w:val="single" w:sz="8" w:color="auto"/>
            </w:tcBorders>
            <w:gridSpan w:val="2"/>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97"/>
              </w:rPr>
              <w:t>2022/2021</w:t>
            </w:r>
          </w:p>
        </w:tc>
        <w:tc>
          <w:tcPr>
            <w:tcW w:w="14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60" w:type="dxa"/>
            <w:vAlign w:val="bottom"/>
            <w:tcBorders>
              <w:top w:val="single" w:sz="8" w:color="auto"/>
              <w:bottom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93"/>
              </w:rPr>
              <w:t>2022/2021</w:t>
            </w:r>
          </w:p>
        </w:tc>
        <w:tc>
          <w:tcPr>
            <w:tcW w:w="160" w:type="dxa"/>
            <w:vAlign w:val="bottom"/>
            <w:tcBorders>
              <w:bottom w:val="single" w:sz="8" w:color="CCEEFF"/>
            </w:tcBorders>
          </w:tcPr>
          <w:p>
            <w:pPr>
              <w:spacing w:after="0"/>
              <w:rPr>
                <w:sz w:val="8"/>
                <w:szCs w:val="8"/>
                <w:color w:val="auto"/>
              </w:rPr>
            </w:pPr>
          </w:p>
        </w:tc>
      </w:tr>
      <w:tr>
        <w:trPr>
          <w:trHeight w:val="154"/>
        </w:trPr>
        <w:tc>
          <w:tcPr>
            <w:tcW w:w="53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Interest income</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(13)</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2"/>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57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line="154" w:lineRule="exact"/>
              <w:rPr>
                <w:sz w:val="20"/>
                <w:szCs w:val="20"/>
                <w:color w:val="auto"/>
              </w:rPr>
            </w:pPr>
            <w:r>
              <w:rPr>
                <w:rFonts w:ascii="Times New Roman" w:cs="Times New Roman" w:eastAsia="Times New Roman" w:hAnsi="Times New Roman"/>
                <w:sz w:val="14"/>
                <w:szCs w:val="14"/>
                <w:color w:val="auto"/>
              </w:rPr>
              <w:t>-81%</w:t>
            </w:r>
          </w:p>
        </w:tc>
      </w:tr>
      <w:tr>
        <w:trPr>
          <w:trHeight w:val="163"/>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140" w:type="dxa"/>
            <w:vAlign w:val="bottom"/>
          </w:tcPr>
          <w:p>
            <w:pPr>
              <w:spacing w:after="0"/>
              <w:rPr>
                <w:sz w:val="14"/>
                <w:szCs w:val="14"/>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461%</w:t>
            </w:r>
          </w:p>
        </w:tc>
      </w:tr>
      <w:tr>
        <w:trPr>
          <w:trHeight w:val="16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settlement and litigation expenses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(368)</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w:t>
            </w:r>
          </w:p>
        </w:tc>
      </w:tr>
      <w:tr>
        <w:trPr>
          <w:trHeight w:val="163"/>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Other strategic financing and transactional expenses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140" w:type="dxa"/>
            <w:vAlign w:val="bottom"/>
          </w:tcPr>
          <w:p>
            <w:pPr>
              <w:spacing w:after="0"/>
              <w:rPr>
                <w:sz w:val="14"/>
                <w:szCs w:val="14"/>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790%</w:t>
            </w:r>
          </w:p>
        </w:tc>
      </w:tr>
      <w:tr>
        <w:trPr>
          <w:trHeight w:val="16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 fair value of earnout liabilities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(2,040)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(2,040)</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w:t>
            </w:r>
          </w:p>
        </w:tc>
      </w:tr>
      <w:tr>
        <w:trPr>
          <w:trHeight w:val="163"/>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Changes in fair value of derivative asset on loans to stockholders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(17,146)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22,718</w:t>
            </w:r>
          </w:p>
        </w:tc>
        <w:tc>
          <w:tcPr>
            <w:tcW w:w="140" w:type="dxa"/>
            <w:vAlign w:val="bottom"/>
          </w:tcPr>
          <w:p>
            <w:pPr>
              <w:spacing w:after="0"/>
              <w:rPr>
                <w:sz w:val="14"/>
                <w:szCs w:val="14"/>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-132%</w:t>
            </w:r>
          </w:p>
        </w:tc>
      </w:tr>
      <w:tr>
        <w:trPr>
          <w:trHeight w:val="16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 fair value of warrant liability</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14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86%</w:t>
            </w:r>
          </w:p>
        </w:tc>
      </w:tr>
      <w:tr>
        <w:trPr>
          <w:trHeight w:val="164"/>
        </w:trPr>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(14,277</w:t>
            </w:r>
          </w:p>
        </w:tc>
        <w:tc>
          <w:tcPr>
            <w:tcW w:w="120" w:type="dxa"/>
            <w:vAlign w:val="bottom"/>
          </w:tcPr>
          <w:p>
            <w:pPr>
              <w:jc w:val="right"/>
              <w:ind w:right="4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Pr>
          <w:p>
            <w:pPr>
              <w:spacing w:after="0"/>
              <w:rPr>
                <w:sz w:val="14"/>
                <w:szCs w:val="14"/>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$ 24,377</w:t>
            </w:r>
          </w:p>
        </w:tc>
        <w:tc>
          <w:tcPr>
            <w:tcW w:w="140" w:type="dxa"/>
            <w:vAlign w:val="bottom"/>
          </w:tcPr>
          <w:p>
            <w:pPr>
              <w:spacing w:after="0"/>
              <w:rPr>
                <w:sz w:val="14"/>
                <w:szCs w:val="14"/>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-171%</w:t>
            </w:r>
          </w:p>
        </w:tc>
      </w:tr>
      <w:tr>
        <w:trPr>
          <w:trHeight w:val="20"/>
        </w:trPr>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left="1480" w:right="359"/>
        <w:spacing w:after="0" w:line="251" w:lineRule="auto"/>
        <w:rPr>
          <w:sz w:val="20"/>
          <w:szCs w:val="20"/>
          <w:color w:val="auto"/>
        </w:rPr>
      </w:pPr>
      <w:r>
        <w:rPr>
          <w:rFonts w:ascii="Times New Roman" w:cs="Times New Roman" w:eastAsia="Times New Roman" w:hAnsi="Times New Roman"/>
          <w:sz w:val="14"/>
          <w:szCs w:val="14"/>
          <w:i w:val="1"/>
          <w:iCs w:val="1"/>
          <w:color w:val="auto"/>
        </w:rPr>
        <w:t xml:space="preserve">Interest expense— </w:t>
      </w:r>
      <w:r>
        <w:rPr>
          <w:rFonts w:ascii="Times New Roman" w:cs="Times New Roman" w:eastAsia="Times New Roman" w:hAnsi="Times New Roman"/>
          <w:sz w:val="14"/>
          <w:szCs w:val="14"/>
          <w:color w:val="auto"/>
        </w:rPr>
        <w:t>Interest expense totaled approximately $1.6 million for the period ended March 31, 2022, compared to approximately $0.3 million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period ended March 31, 2021. The increase of approximately $1.3 million, or 461%, was primarily attributable to interest related to the Debt Facility which we entered into during January 2021, and was subsequently amended in November 2021 to include the Credit Facility, along with interest related to the convertible note with FTX Ventures entered into during March 2022.</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0159"/>
          </w:cols>
          <w:pgMar w:left="300" w:top="399"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9" w:lineRule="exact"/>
        <w:rPr>
          <w:sz w:val="20"/>
          <w:szCs w:val="20"/>
          <w:color w:val="auto"/>
        </w:rPr>
      </w:pPr>
    </w:p>
    <w:p>
      <w:pPr>
        <w:ind w:left="1480" w:right="459"/>
        <w:spacing w:after="0" w:line="251" w:lineRule="auto"/>
        <w:rPr>
          <w:sz w:val="20"/>
          <w:szCs w:val="20"/>
          <w:color w:val="auto"/>
        </w:rPr>
      </w:pPr>
      <w:r>
        <w:rPr>
          <w:rFonts w:ascii="Times New Roman" w:cs="Times New Roman" w:eastAsia="Times New Roman" w:hAnsi="Times New Roman"/>
          <w:sz w:val="14"/>
          <w:szCs w:val="14"/>
          <w:i w:val="1"/>
          <w:iCs w:val="1"/>
          <w:color w:val="auto"/>
        </w:rPr>
        <w:t>Legal settlement and litigation expenses—</w:t>
      </w:r>
      <w:r>
        <w:rPr>
          <w:rFonts w:ascii="Times New Roman" w:cs="Times New Roman" w:eastAsia="Times New Roman" w:hAnsi="Times New Roman"/>
          <w:sz w:val="14"/>
          <w:szCs w:val="14"/>
          <w:color w:val="auto"/>
        </w:rPr>
        <w:t>Legal settlement and litigation expenses totaled approximately $0 for the period ended March 31, 2022,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compared to approximately $0.4 million for the period ended March 31, 2021. See “Information About Dave —Legal Proceedings” for more information regarding pending legal actions. The decrease of approximately $0.4 million, or 100%, was primarily attributable to reduced non-recurring settlement and litigation expenses as compared to those expenses recorded during the three months ended March 31, 2021.</w:t>
      </w:r>
    </w:p>
    <w:p>
      <w:pPr>
        <w:spacing w:after="0" w:line="144" w:lineRule="exact"/>
        <w:rPr>
          <w:sz w:val="20"/>
          <w:szCs w:val="20"/>
          <w:color w:val="auto"/>
        </w:rPr>
      </w:pPr>
    </w:p>
    <w:p>
      <w:pPr>
        <w:ind w:left="1480" w:right="519"/>
        <w:spacing w:after="0" w:line="296" w:lineRule="auto"/>
        <w:rPr>
          <w:sz w:val="20"/>
          <w:szCs w:val="20"/>
          <w:color w:val="auto"/>
        </w:rPr>
      </w:pPr>
      <w:r>
        <w:rPr>
          <w:rFonts w:ascii="Times New Roman" w:cs="Times New Roman" w:eastAsia="Times New Roman" w:hAnsi="Times New Roman"/>
          <w:sz w:val="12"/>
          <w:szCs w:val="12"/>
          <w:i w:val="1"/>
          <w:iCs w:val="1"/>
          <w:color w:val="auto"/>
        </w:rPr>
        <w:t>Other strategic financing and transactional expenses—</w:t>
      </w:r>
      <w:r>
        <w:rPr>
          <w:rFonts w:ascii="Times New Roman" w:cs="Times New Roman" w:eastAsia="Times New Roman" w:hAnsi="Times New Roman"/>
          <w:sz w:val="12"/>
          <w:szCs w:val="12"/>
          <w:color w:val="auto"/>
        </w:rPr>
        <w:t>Other strategic financing and transactional expenses totaled approximately $1.0 million for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period ended March 31, 2022, compared to approximately $0.1 million for the period ended March 31, 2021. The increase of approximately</w:t>
      </w:r>
    </w:p>
    <w:p>
      <w:pPr>
        <w:ind w:left="1480" w:right="379"/>
        <w:spacing w:after="0" w:line="247" w:lineRule="auto"/>
        <w:rPr>
          <w:sz w:val="20"/>
          <w:szCs w:val="20"/>
          <w:color w:val="auto"/>
        </w:rPr>
      </w:pPr>
      <w:r>
        <w:rPr>
          <w:rFonts w:ascii="Times New Roman" w:cs="Times New Roman" w:eastAsia="Times New Roman" w:hAnsi="Times New Roman"/>
          <w:sz w:val="14"/>
          <w:szCs w:val="14"/>
          <w:color w:val="auto"/>
        </w:rPr>
        <w:t>$0.9 million, or 790%, was primarily attributable to spending on legal, audit and compliance related expenses associated with the Business Combination during the three months ended March 31, 2022.</w:t>
      </w:r>
    </w:p>
    <w:p>
      <w:pPr>
        <w:spacing w:after="0" w:line="145" w:lineRule="exact"/>
        <w:rPr>
          <w:sz w:val="20"/>
          <w:szCs w:val="20"/>
          <w:color w:val="auto"/>
        </w:rPr>
      </w:pPr>
    </w:p>
    <w:p>
      <w:pPr>
        <w:ind w:left="1480" w:right="419"/>
        <w:spacing w:after="0" w:line="251" w:lineRule="auto"/>
        <w:rPr>
          <w:sz w:val="20"/>
          <w:szCs w:val="20"/>
          <w:color w:val="auto"/>
        </w:rPr>
      </w:pPr>
      <w:r>
        <w:rPr>
          <w:rFonts w:ascii="Times New Roman" w:cs="Times New Roman" w:eastAsia="Times New Roman" w:hAnsi="Times New Roman"/>
          <w:sz w:val="14"/>
          <w:szCs w:val="14"/>
          <w:i w:val="1"/>
          <w:iCs w:val="1"/>
          <w:color w:val="auto"/>
        </w:rPr>
        <w:t>Changes in fair value of earnout liabilities—</w:t>
      </w:r>
      <w:r>
        <w:rPr>
          <w:rFonts w:ascii="Times New Roman" w:cs="Times New Roman" w:eastAsia="Times New Roman" w:hAnsi="Times New Roman"/>
          <w:sz w:val="14"/>
          <w:szCs w:val="14"/>
          <w:color w:val="auto"/>
        </w:rPr>
        <w:t>Changes in fair value of earnout liabilities totaled a benefit of approximately $2.0 million for the three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months ended March 31, 2022, compared to an expense of $0 for the three months ended March 31, 2021. The increase of approximately $2.0 million, or 100%, was primarily attributable to fair value adjustments associated with certain earnout share liabilities due to decreases in our underlying Class A Common Stock price.</w:t>
      </w:r>
    </w:p>
    <w:p>
      <w:pPr>
        <w:spacing w:after="0" w:line="144" w:lineRule="exact"/>
        <w:rPr>
          <w:sz w:val="20"/>
          <w:szCs w:val="20"/>
          <w:color w:val="auto"/>
        </w:rPr>
      </w:pPr>
    </w:p>
    <w:p>
      <w:pPr>
        <w:ind w:left="1480" w:right="399"/>
        <w:spacing w:after="0" w:line="301" w:lineRule="auto"/>
        <w:rPr>
          <w:sz w:val="20"/>
          <w:szCs w:val="20"/>
          <w:color w:val="auto"/>
        </w:rPr>
      </w:pPr>
      <w:r>
        <w:rPr>
          <w:rFonts w:ascii="Times New Roman" w:cs="Times New Roman" w:eastAsia="Times New Roman" w:hAnsi="Times New Roman"/>
          <w:sz w:val="12"/>
          <w:szCs w:val="12"/>
          <w:i w:val="1"/>
          <w:iCs w:val="1"/>
          <w:color w:val="auto"/>
        </w:rPr>
        <w:t>Changes in fair value of derivative asset on loans to stockholders—</w:t>
      </w:r>
      <w:r>
        <w:rPr>
          <w:rFonts w:ascii="Times New Roman" w:cs="Times New Roman" w:eastAsia="Times New Roman" w:hAnsi="Times New Roman"/>
          <w:sz w:val="12"/>
          <w:szCs w:val="12"/>
          <w:color w:val="auto"/>
        </w:rPr>
        <w:t>Changes in fair value of derivative asset on loans to stockholders totaled a charge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approximately $5.6 million for the period ended March 31, 2022, compared to a benefit of $17.1 million for the period ended March 31, 2021. The increase of approximately $22.7 million, or 132%, was primarily attributable to fair value adjustments associated with options issued in connection with loans to stockholders resulting from a decrease in the underlying fair value of our common stock as of the settlement date of the derivative asset compared to the benefit received from the increase in the fair value of our common stock during the three months ended March 31, 2021.</w:t>
      </w:r>
    </w:p>
    <w:p>
      <w:pPr>
        <w:spacing w:after="0" w:line="115" w:lineRule="exact"/>
        <w:rPr>
          <w:sz w:val="20"/>
          <w:szCs w:val="20"/>
          <w:color w:val="auto"/>
        </w:rPr>
      </w:pPr>
    </w:p>
    <w:p>
      <w:pPr>
        <w:ind w:left="1480" w:right="379"/>
        <w:spacing w:after="0" w:line="251" w:lineRule="auto"/>
        <w:rPr>
          <w:sz w:val="20"/>
          <w:szCs w:val="20"/>
          <w:color w:val="auto"/>
        </w:rPr>
      </w:pPr>
      <w:r>
        <w:rPr>
          <w:rFonts w:ascii="Times New Roman" w:cs="Times New Roman" w:eastAsia="Times New Roman" w:hAnsi="Times New Roman"/>
          <w:sz w:val="14"/>
          <w:szCs w:val="14"/>
          <w:i w:val="1"/>
          <w:iCs w:val="1"/>
          <w:color w:val="auto"/>
        </w:rPr>
        <w:t>Changes in fair value of warrant liability—</w:t>
      </w:r>
      <w:r>
        <w:rPr>
          <w:rFonts w:ascii="Times New Roman" w:cs="Times New Roman" w:eastAsia="Times New Roman" w:hAnsi="Times New Roman"/>
          <w:sz w:val="14"/>
          <w:szCs w:val="14"/>
          <w:color w:val="auto"/>
        </w:rPr>
        <w:t>Changes in fair value of warrant liability totaled approximately $4.1 million for the period ended March 31,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2022, compared to $2.2 for the three months ended March 31, 2021. The increase of approximately $1.9 million, or 86%, was primarily attributable to fair value adjustments associated with certain public and private warrant liabilities due to decreases in our underlying common stock price, offset by fair value adjustments associated with certain warrants exercised during the Business Combination.</w:t>
      </w:r>
    </w:p>
    <w:p>
      <w:pPr>
        <w:spacing w:after="0" w:line="22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184" w:lineRule="exact"/>
        <w:rPr>
          <w:sz w:val="20"/>
          <w:szCs w:val="20"/>
          <w:color w:val="auto"/>
        </w:rPr>
      </w:pPr>
    </w:p>
    <w:tbl>
      <w:tblPr>
        <w:tblLayout w:type="fixed"/>
        <w:tblInd w:w="1480" w:type="dxa"/>
        <w:tblCellMar>
          <w:top w:w="0" w:type="dxa"/>
          <w:left w:w="0" w:type="dxa"/>
          <w:bottom w:w="0" w:type="dxa"/>
          <w:right w:w="0" w:type="dxa"/>
        </w:tblCellMar>
      </w:tblPr>
      <w:tr>
        <w:trPr>
          <w:trHeight w:val="131"/>
        </w:trPr>
        <w:tc>
          <w:tcPr>
            <w:tcW w:w="4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For the Three Months Ended</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3"/>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03"/>
        </w:trPr>
        <w:tc>
          <w:tcPr>
            <w:tcW w:w="4720" w:type="dxa"/>
            <w:vAlign w:val="bottom"/>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(in thousands, except for percentages)</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jc w:val="right"/>
              <w:ind w:right="384"/>
              <w:spacing w:after="0" w:line="103" w:lineRule="exact"/>
              <w:rPr>
                <w:sz w:val="20"/>
                <w:szCs w:val="20"/>
                <w:color w:val="auto"/>
              </w:rPr>
            </w:pPr>
            <w:r>
              <w:rPr>
                <w:rFonts w:ascii="Times New Roman" w:cs="Times New Roman" w:eastAsia="Times New Roman" w:hAnsi="Times New Roman"/>
                <w:sz w:val="11"/>
                <w:szCs w:val="11"/>
                <w:b w:val="1"/>
                <w:bCs w:val="1"/>
                <w:color w:val="auto"/>
                <w:w w:val="99"/>
              </w:rPr>
              <w:t>March 31,</w:t>
            </w: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jc w:val="right"/>
              <w:ind w:right="136"/>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tcBorders>
              <w:top w:val="single" w:sz="8" w:color="auto"/>
            </w:tcBorders>
            <w:gridSpan w:val="2"/>
          </w:tcPr>
          <w:p>
            <w:pPr>
              <w:jc w:val="right"/>
              <w:ind w:right="119"/>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72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119"/>
              <w:spacing w:after="0" w:line="103" w:lineRule="exact"/>
              <w:rPr>
                <w:sz w:val="20"/>
                <w:szCs w:val="20"/>
                <w:color w:val="auto"/>
              </w:rPr>
            </w:pPr>
            <w:r>
              <w:rPr>
                <w:rFonts w:ascii="Times New Roman" w:cs="Times New Roman" w:eastAsia="Times New Roman" w:hAnsi="Times New Roman"/>
                <w:sz w:val="11"/>
                <w:szCs w:val="11"/>
                <w:b w:val="1"/>
                <w:bCs w:val="1"/>
                <w:color w:val="auto"/>
              </w:rPr>
              <w:t>2022</w:t>
            </w:r>
          </w:p>
        </w:tc>
        <w:tc>
          <w:tcPr>
            <w:tcW w:w="500" w:type="dxa"/>
            <w:vAlign w:val="bottom"/>
            <w:tcBorders>
              <w:top w:val="single" w:sz="8" w:color="auto"/>
              <w:bottom w:val="single" w:sz="8" w:color="CCEEFF"/>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4"/>
              <w:spacing w:after="0" w:line="103" w:lineRule="exact"/>
              <w:rPr>
                <w:sz w:val="20"/>
                <w:szCs w:val="20"/>
                <w:color w:val="auto"/>
              </w:rPr>
            </w:pPr>
            <w:r>
              <w:rPr>
                <w:rFonts w:ascii="Times New Roman" w:cs="Times New Roman" w:eastAsia="Times New Roman" w:hAnsi="Times New Roman"/>
                <w:sz w:val="11"/>
                <w:szCs w:val="11"/>
                <w:b w:val="1"/>
                <w:bCs w:val="1"/>
                <w:color w:val="auto"/>
              </w:rPr>
              <w:t>2021</w:t>
            </w:r>
          </w:p>
        </w:tc>
        <w:tc>
          <w:tcPr>
            <w:tcW w:w="120" w:type="dxa"/>
            <w:vAlign w:val="bottom"/>
            <w:tcBorders>
              <w:top w:val="single" w:sz="8" w:color="auto"/>
              <w:bottom w:val="single" w:sz="8" w:color="auto"/>
            </w:tcBorders>
          </w:tcPr>
          <w:p>
            <w:pPr>
              <w:spacing w:after="0"/>
              <w:rPr>
                <w:sz w:val="8"/>
                <w:szCs w:val="8"/>
                <w:color w:val="auto"/>
              </w:rPr>
            </w:pPr>
          </w:p>
        </w:tc>
        <w:tc>
          <w:tcPr>
            <w:tcW w:w="260" w:type="dxa"/>
            <w:vAlign w:val="bottom"/>
            <w:tcBorders>
              <w:bottom w:val="single" w:sz="8" w:color="CCEEFF"/>
            </w:tcBorders>
          </w:tcPr>
          <w:p>
            <w:pPr>
              <w:spacing w:after="0"/>
              <w:rPr>
                <w:sz w:val="8"/>
                <w:szCs w:val="8"/>
                <w:color w:val="auto"/>
              </w:rPr>
            </w:pPr>
          </w:p>
        </w:tc>
        <w:tc>
          <w:tcPr>
            <w:tcW w:w="220" w:type="dxa"/>
            <w:vAlign w:val="bottom"/>
            <w:tcBorders>
              <w:bottom w:val="single" w:sz="8" w:color="CCEEFF"/>
            </w:tcBorders>
          </w:tcPr>
          <w:p>
            <w:pPr>
              <w:spacing w:after="0"/>
              <w:rPr>
                <w:sz w:val="8"/>
                <w:szCs w:val="8"/>
                <w:color w:val="auto"/>
              </w:rPr>
            </w:pPr>
          </w:p>
        </w:tc>
        <w:tc>
          <w:tcPr>
            <w:tcW w:w="460" w:type="dxa"/>
            <w:vAlign w:val="bottom"/>
            <w:tcBorders>
              <w:top w:val="single" w:sz="8" w:color="auto"/>
              <w:bottom w:val="single" w:sz="8" w:color="auto"/>
            </w:tcBorders>
            <w:gridSpan w:val="2"/>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93"/>
              </w:rPr>
              <w:t>2022/2021</w:t>
            </w:r>
          </w:p>
        </w:tc>
        <w:tc>
          <w:tcPr>
            <w:tcW w:w="440" w:type="dxa"/>
            <w:vAlign w:val="bottom"/>
            <w:tcBorders>
              <w:bottom w:val="single" w:sz="8" w:color="CCEEFF"/>
            </w:tcBorders>
          </w:tcPr>
          <w:p>
            <w:pPr>
              <w:spacing w:after="0"/>
              <w:rPr>
                <w:sz w:val="8"/>
                <w:szCs w:val="8"/>
                <w:color w:val="auto"/>
              </w:rPr>
            </w:pPr>
          </w:p>
        </w:tc>
        <w:tc>
          <w:tcPr>
            <w:tcW w:w="460" w:type="dxa"/>
            <w:vAlign w:val="bottom"/>
            <w:tcBorders>
              <w:top w:val="single" w:sz="8" w:color="auto"/>
              <w:bottom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93"/>
              </w:rPr>
              <w:t>2022/2021</w:t>
            </w:r>
          </w:p>
        </w:tc>
        <w:tc>
          <w:tcPr>
            <w:tcW w:w="1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472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Provision (benefit) for income taxes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22</w:t>
            </w:r>
          </w:p>
        </w:tc>
        <w:tc>
          <w:tcPr>
            <w:tcW w:w="5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shd w:val="clear" w:color="auto" w:fill="CCEEFF"/>
          </w:tcPr>
          <w:p>
            <w:pPr>
              <w:jc w:val="right"/>
              <w:ind w:right="220"/>
              <w:spacing w:after="0" w:line="154" w:lineRule="exact"/>
              <w:rPr>
                <w:sz w:val="20"/>
                <w:szCs w:val="20"/>
                <w:color w:val="auto"/>
              </w:rPr>
            </w:pPr>
            <w:r>
              <w:rPr>
                <w:rFonts w:ascii="Times New Roman" w:cs="Times New Roman" w:eastAsia="Times New Roman" w:hAnsi="Times New Roman"/>
                <w:sz w:val="14"/>
                <w:szCs w:val="14"/>
                <w:color w:val="auto"/>
                <w:w w:val="85"/>
              </w:rPr>
              <w:t>(8)</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30</w:t>
            </w:r>
          </w:p>
        </w:tc>
        <w:tc>
          <w:tcPr>
            <w:tcW w:w="4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line="154" w:lineRule="exact"/>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-375%</w:t>
            </w:r>
          </w:p>
        </w:tc>
        <w:tc>
          <w:tcPr>
            <w:tcW w:w="0" w:type="dxa"/>
            <w:vAlign w:val="bottom"/>
          </w:tcPr>
          <w:p>
            <w:pPr>
              <w:spacing w:after="0" w:line="20" w:lineRule="exact"/>
              <w:rPr>
                <w:sz w:val="1"/>
                <w:szCs w:val="1"/>
                <w:color w:val="auto"/>
              </w:rPr>
            </w:pPr>
          </w:p>
        </w:tc>
      </w:tr>
      <w:tr>
        <w:trPr>
          <w:trHeight w:val="164"/>
        </w:trPr>
        <w:tc>
          <w:tcPr>
            <w:tcW w:w="47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tcPr>
          <w:p>
            <w:pPr>
              <w:jc w:val="right"/>
              <w:ind w:right="17"/>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w:t>
            </w:r>
          </w:p>
        </w:tc>
        <w:tc>
          <w:tcPr>
            <w:tcW w:w="500" w:type="dxa"/>
            <w:vAlign w:val="bottom"/>
            <w:vMerge w:val="continue"/>
          </w:tcPr>
          <w:p>
            <w:pPr>
              <w:spacing w:after="0"/>
              <w:rPr>
                <w:sz w:val="14"/>
                <w:szCs w:val="14"/>
                <w:color w:val="auto"/>
              </w:rPr>
            </w:pPr>
          </w:p>
        </w:tc>
        <w:tc>
          <w:tcPr>
            <w:tcW w:w="440" w:type="dxa"/>
            <w:vAlign w:val="bottom"/>
          </w:tcPr>
          <w:p>
            <w:pPr>
              <w:jc w:val="right"/>
              <w:ind w:right="3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85"/>
              </w:rPr>
              <w:t>(8)</w:t>
            </w:r>
          </w:p>
        </w:tc>
        <w:tc>
          <w:tcPr>
            <w:tcW w:w="220" w:type="dxa"/>
            <w:vAlign w:val="bottom"/>
            <w:vMerge w:val="continue"/>
          </w:tcPr>
          <w:p>
            <w:pPr>
              <w:spacing w:after="0"/>
              <w:rPr>
                <w:sz w:val="14"/>
                <w:szCs w:val="14"/>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10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480" w:right="419"/>
        <w:spacing w:after="0" w:line="254" w:lineRule="auto"/>
        <w:rPr>
          <w:sz w:val="20"/>
          <w:szCs w:val="20"/>
          <w:color w:val="auto"/>
        </w:rPr>
      </w:pPr>
      <w:r>
        <w:rPr>
          <w:rFonts w:ascii="Times New Roman" w:cs="Times New Roman" w:eastAsia="Times New Roman" w:hAnsi="Times New Roman"/>
          <w:sz w:val="14"/>
          <w:szCs w:val="14"/>
          <w:color w:val="auto"/>
        </w:rPr>
        <w:t>Provision (benefit) for income taxes for the period ended March 31, 2022 increased by approximately $0.03 million or -375%, compared to the period ended March 31, 2021. This increase was primarily attributable to a decrease in the federal deferred tax benefit relative to the benefit recognized for the three months ended March 31, 2021.</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88" w:lineRule="exact"/>
        <w:rPr>
          <w:sz w:val="20"/>
          <w:szCs w:val="20"/>
          <w:color w:val="auto"/>
        </w:rPr>
      </w:pPr>
    </w:p>
    <w:p>
      <w:pPr>
        <w:ind w:left="1480" w:right="459"/>
        <w:spacing w:after="0" w:line="248" w:lineRule="auto"/>
        <w:rPr>
          <w:sz w:val="20"/>
          <w:szCs w:val="20"/>
          <w:color w:val="auto"/>
        </w:rPr>
      </w:pPr>
      <w:r>
        <w:rPr>
          <w:rFonts w:ascii="Times New Roman" w:cs="Times New Roman" w:eastAsia="Times New Roman" w:hAnsi="Times New Roman"/>
          <w:sz w:val="14"/>
          <w:szCs w:val="14"/>
          <w:color w:val="auto"/>
        </w:rPr>
        <w:t>In addition to our results determined in accordance with GAAP, we believe the following non-GAAP measures are useful in evaluating our operational performance. We use the following non-GAAP measures to evaluate our ongoing operations and for internal planning and forecasting purposes. We believe that non-GAAP financial information, when taken collectively, may be helpful in assessing our operating performance and are more indicative of our operational performance and facilitate an alternative comparison among fiscal periods. These non-GAAP financial measures are not, and should not be viewed as, substitutes for GAAP reporting measures.</w:t>
      </w:r>
    </w:p>
    <w:p>
      <w:pPr>
        <w:spacing w:after="0" w:line="2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Adjusted EBITDA</w:t>
      </w:r>
    </w:p>
    <w:p>
      <w:pPr>
        <w:spacing w:after="0" w:line="88" w:lineRule="exact"/>
        <w:rPr>
          <w:sz w:val="20"/>
          <w:szCs w:val="20"/>
          <w:color w:val="auto"/>
        </w:rPr>
      </w:pPr>
    </w:p>
    <w:p>
      <w:pPr>
        <w:ind w:left="1480" w:right="399"/>
        <w:spacing w:after="0" w:line="246" w:lineRule="auto"/>
        <w:rPr>
          <w:sz w:val="20"/>
          <w:szCs w:val="20"/>
          <w:color w:val="auto"/>
        </w:rPr>
      </w:pPr>
      <w:r>
        <w:rPr>
          <w:rFonts w:ascii="Times New Roman" w:cs="Times New Roman" w:eastAsia="Times New Roman" w:hAnsi="Times New Roman"/>
          <w:sz w:val="14"/>
          <w:szCs w:val="14"/>
          <w:color w:val="auto"/>
        </w:rPr>
        <w:t>“Adjusted EBITDA” is defined as net (loss) income adjusted for interest expense (income), provision (benefit) for income taxes, depreciation and amortization, stock-based compensation and other discretionary items determined by management. Adjusted EBITDA is intended as a supplemental measure of our performance that is neither required by, nor presented in accordance with, GAAP. We believe that the use of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Adjusted EBITDA, we may incur future expenses similar to those excluded when calculating these measures. In addition, our presentation of these measures should not be construed as an inference that our future results will be unaffected by unusual or non-recurring items. Our computation of Adjusted EBITDA may not be comparable to other similarly titled measures computed by other companies, because all companies may not calculate Adjusted EBITDA in the same fashion.</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0159"/>
          </w:cols>
          <w:pgMar w:left="300" w:top="399"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31" w:lineRule="exact"/>
        <w:rPr>
          <w:sz w:val="20"/>
          <w:szCs w:val="20"/>
          <w:color w:val="auto"/>
        </w:rPr>
      </w:pPr>
    </w:p>
    <w:p>
      <w:pPr>
        <w:ind w:left="1480" w:right="399"/>
        <w:spacing w:after="0" w:line="250" w:lineRule="auto"/>
        <w:rPr>
          <w:sz w:val="20"/>
          <w:szCs w:val="20"/>
          <w:color w:val="auto"/>
        </w:rPr>
      </w:pPr>
      <w:r>
        <w:rPr>
          <w:rFonts w:ascii="Times New Roman" w:cs="Times New Roman" w:eastAsia="Times New Roman" w:hAnsi="Times New Roman"/>
          <w:sz w:val="14"/>
          <w:szCs w:val="14"/>
          <w:color w:val="auto"/>
        </w:rPr>
        <w:t>Because of these limitations, Adjusted EBITDA should not be considered in isolation or as a substitute for performance measures calculated in accordance with GAAP. We compensate for these limitations by relying primarily on our GAAP results and using Adjusted EBITDA on a supplemental basis. The reconciliation of net loss to Adjusted EBITDA below should be reviewed and no single financial measure should be relied upon to evaluate our business.</w:t>
      </w:r>
    </w:p>
    <w:p>
      <w:pPr>
        <w:spacing w:after="0" w:line="1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following table reconciles net (loss) income to Adjusted EBITDA for the three months ended March 31, 2022 and 2021, respectively:</w:t>
      </w:r>
    </w:p>
    <w:p>
      <w:pPr>
        <w:spacing w:after="0" w:line="166" w:lineRule="exact"/>
        <w:rPr>
          <w:sz w:val="20"/>
          <w:szCs w:val="20"/>
          <w:color w:val="auto"/>
        </w:rPr>
      </w:pPr>
    </w:p>
    <w:tbl>
      <w:tblPr>
        <w:tblLayout w:type="fixed"/>
        <w:tblInd w:w="2480" w:type="dxa"/>
        <w:tblCellMar>
          <w:top w:w="0" w:type="dxa"/>
          <w:left w:w="0" w:type="dxa"/>
          <w:bottom w:w="0" w:type="dxa"/>
          <w:right w:w="0" w:type="dxa"/>
        </w:tblCellMar>
      </w:tblPr>
      <w:tr>
        <w:trPr>
          <w:trHeight w:val="126"/>
        </w:trPr>
        <w:tc>
          <w:tcPr>
            <w:tcW w:w="41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6"/>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5"/>
              </w:rPr>
              <w:t>For the Three Months Ended</w:t>
            </w:r>
          </w:p>
        </w:tc>
        <w:tc>
          <w:tcPr>
            <w:tcW w:w="0" w:type="dxa"/>
            <w:vAlign w:val="bottom"/>
          </w:tcPr>
          <w:p>
            <w:pPr>
              <w:spacing w:after="0"/>
              <w:rPr>
                <w:sz w:val="1"/>
                <w:szCs w:val="1"/>
                <w:color w:val="auto"/>
              </w:rPr>
            </w:pPr>
          </w:p>
        </w:tc>
      </w:tr>
      <w:tr>
        <w:trPr>
          <w:trHeight w:val="131"/>
        </w:trPr>
        <w:tc>
          <w:tcPr>
            <w:tcW w:w="414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120" w:type="dxa"/>
            <w:vAlign w:val="bottom"/>
            <w:tcBorders>
              <w:bottom w:val="single" w:sz="8" w:color="CCEEFF"/>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15"/>
              <w:spacing w:after="0" w:line="103" w:lineRule="exact"/>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Borders>
              <w:bottom w:val="single" w:sz="8" w:color="CCEEFF"/>
            </w:tcBorders>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3"/>
              <w:spacing w:after="0" w:line="103" w:lineRule="exact"/>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12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Net (loss) income</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(32,795)</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3,952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3,190</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Legal settlement and litigation expenses</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strategic financing and transactional expenses</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Changes in fair value of earnout liabilities</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(2,040)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 fair value of derivative asset on loans to stockholders</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5,572</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(17,146)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Changes in fair value of warrant liability</w:t>
            </w: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(18,378)</w:t>
            </w:r>
          </w:p>
        </w:tc>
        <w:tc>
          <w:tcPr>
            <w:tcW w:w="2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(8,041)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88" w:lineRule="exact"/>
        <w:rPr>
          <w:sz w:val="20"/>
          <w:szCs w:val="20"/>
          <w:color w:val="auto"/>
        </w:rPr>
      </w:pPr>
    </w:p>
    <w:p>
      <w:pPr>
        <w:ind w:left="1480" w:right="399"/>
        <w:spacing w:after="0" w:line="248" w:lineRule="auto"/>
        <w:rPr>
          <w:sz w:val="20"/>
          <w:szCs w:val="20"/>
          <w:color w:val="auto"/>
        </w:rPr>
      </w:pPr>
      <w:r>
        <w:rPr>
          <w:rFonts w:ascii="Times New Roman" w:cs="Times New Roman" w:eastAsia="Times New Roman" w:hAnsi="Times New Roman"/>
          <w:sz w:val="14"/>
          <w:szCs w:val="14"/>
          <w:color w:val="auto"/>
        </w:rPr>
        <w:t>Since inception, we have financed our operations primarily from the issuance of preferred stock through our Series A and Series B funding rounds, issuances of convertible notes, funds from borrowings under a Senior Secured Loan Facility (the “Debt Facility”) with Victory Park Management, LLC, (as amended in November 2021 to include a $20 million credit line, the “Credit Agreement”), and funds as a result of the Business Combination that took place as on January 5, 2022. As of March 31, 2022 and 2021, our cash and marketable securities balances were approximately $302.3 million and $37.6 million, respectively.</w:t>
      </w:r>
    </w:p>
    <w:p>
      <w:pPr>
        <w:spacing w:after="0" w:line="149" w:lineRule="exact"/>
        <w:rPr>
          <w:sz w:val="20"/>
          <w:szCs w:val="20"/>
          <w:color w:val="auto"/>
        </w:rPr>
      </w:pPr>
    </w:p>
    <w:p>
      <w:pPr>
        <w:ind w:left="1480" w:right="659"/>
        <w:spacing w:after="0" w:line="264" w:lineRule="auto"/>
        <w:rPr>
          <w:sz w:val="20"/>
          <w:szCs w:val="20"/>
          <w:color w:val="auto"/>
        </w:rPr>
      </w:pPr>
      <w:r>
        <w:rPr>
          <w:rFonts w:ascii="Times New Roman" w:cs="Times New Roman" w:eastAsia="Times New Roman" w:hAnsi="Times New Roman"/>
          <w:sz w:val="14"/>
          <w:szCs w:val="14"/>
          <w:color w:val="auto"/>
        </w:rPr>
        <w:t>As an early-stage company, the expenses we have incurred since inception are consistent with our strategy and approach to capital allocation. Dave expects to incur net losses in accordance with our operating plan as we continue to expand and improve upon our financial platform.</w:t>
      </w:r>
    </w:p>
    <w:p>
      <w:pPr>
        <w:spacing w:after="0" w:line="136" w:lineRule="exact"/>
        <w:rPr>
          <w:sz w:val="20"/>
          <w:szCs w:val="20"/>
          <w:color w:val="auto"/>
        </w:rPr>
      </w:pPr>
    </w:p>
    <w:p>
      <w:pPr>
        <w:ind w:left="1480" w:right="359"/>
        <w:spacing w:after="0" w:line="254" w:lineRule="auto"/>
        <w:rPr>
          <w:sz w:val="20"/>
          <w:szCs w:val="20"/>
          <w:color w:val="auto"/>
        </w:rPr>
      </w:pPr>
      <w:r>
        <w:rPr>
          <w:rFonts w:ascii="Times New Roman" w:cs="Times New Roman" w:eastAsia="Times New Roman" w:hAnsi="Times New Roman"/>
          <w:sz w:val="14"/>
          <w:szCs w:val="14"/>
          <w:color w:val="auto"/>
        </w:rPr>
        <w:t>Our ability to access capital when needed is not assured and, if capital is not available to Dave when, and in the amounts needed, Dave could be required to delay, scale back or abandon some or all of our development programs and other operations, which could materially harm our business, prospects, financial condition and operating results.</w:t>
      </w:r>
    </w:p>
    <w:p>
      <w:pPr>
        <w:spacing w:after="0" w:line="142" w:lineRule="exact"/>
        <w:rPr>
          <w:sz w:val="20"/>
          <w:szCs w:val="20"/>
          <w:color w:val="auto"/>
        </w:rPr>
      </w:pPr>
    </w:p>
    <w:p>
      <w:pPr>
        <w:ind w:left="1480" w:right="399"/>
        <w:spacing w:after="0" w:line="247" w:lineRule="auto"/>
        <w:rPr>
          <w:sz w:val="20"/>
          <w:szCs w:val="20"/>
          <w:color w:val="auto"/>
        </w:rPr>
      </w:pPr>
      <w:r>
        <w:rPr>
          <w:rFonts w:ascii="Times New Roman" w:cs="Times New Roman" w:eastAsia="Times New Roman" w:hAnsi="Times New Roman"/>
          <w:sz w:val="14"/>
          <w:szCs w:val="14"/>
          <w:color w:val="auto"/>
        </w:rPr>
        <w:t>We believe that our cash on hand following the consummation of the Business Combination, including the net proceeds of VPCC’s cash in trust and the proceeds from the PIPE Investment and any alternative financing, along with the $100 million in cash from the Purchase Agreement with FTX Ventures should be sufficient to meet our working capital and capital expenditure requirements for a period of at least 12 months from the date of this Form 10-Q and sufficient to fund our operations. We may raise additional capital through follow-on public offerings or debt financings. The amount and timing of our future funding requirements, if any, will depend on many factors, including the pace and results of our research and development efforts. No assurances can be provided that additional funding will be available at terms acceptable to us, if at all. If we are unable to raise additional capital, we may significantly curtail our operations, modify existing strategic plans and/or dispose of certain operations or assets.</w:t>
      </w:r>
    </w:p>
    <w:p>
      <w:pPr>
        <w:spacing w:after="0" w:line="2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Material Cash Requirements</w:t>
      </w:r>
    </w:p>
    <w:p>
      <w:pPr>
        <w:spacing w:after="0" w:line="84" w:lineRule="exact"/>
        <w:rPr>
          <w:sz w:val="20"/>
          <w:szCs w:val="20"/>
          <w:color w:val="auto"/>
        </w:rPr>
      </w:pPr>
    </w:p>
    <w:p>
      <w:pPr>
        <w:ind w:left="1480" w:right="359"/>
        <w:spacing w:after="0" w:line="305" w:lineRule="auto"/>
        <w:rPr>
          <w:sz w:val="20"/>
          <w:szCs w:val="20"/>
          <w:color w:val="auto"/>
        </w:rPr>
      </w:pPr>
      <w:r>
        <w:rPr>
          <w:rFonts w:ascii="Times New Roman" w:cs="Times New Roman" w:eastAsia="Times New Roman" w:hAnsi="Times New Roman"/>
          <w:sz w:val="12"/>
          <w:szCs w:val="12"/>
          <w:color w:val="auto"/>
        </w:rPr>
        <w:t>While the effect of COVID-19 has created economic uncertainty and impacted how we manage our liquidity and capital resources, we intend to continue to invest in people, marketing and user acquisition, technology and infrastructure, and new and existing financial products and programs we believe are critical to meeting our strategic objectives. As growth of our ExtraCash product scales, material cash will be required to fund advances until the point at which those advances are subsequently collected. The amount and timing of these related cash outflows in future periods is difficult to predict and is</w:t>
      </w:r>
    </w:p>
    <w:p>
      <w:pPr>
        <w:spacing w:after="0" w:line="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0159"/>
          </w:cols>
          <w:pgMar w:left="300" w:top="399"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31" w:lineRule="exact"/>
        <w:rPr>
          <w:sz w:val="20"/>
          <w:szCs w:val="20"/>
          <w:color w:val="auto"/>
        </w:rPr>
      </w:pPr>
    </w:p>
    <w:p>
      <w:pPr>
        <w:ind w:left="1480" w:right="379"/>
        <w:spacing w:after="0" w:line="254" w:lineRule="auto"/>
        <w:rPr>
          <w:sz w:val="20"/>
          <w:szCs w:val="20"/>
          <w:color w:val="auto"/>
        </w:rPr>
      </w:pPr>
      <w:r>
        <w:rPr>
          <w:rFonts w:ascii="Times New Roman" w:cs="Times New Roman" w:eastAsia="Times New Roman" w:hAnsi="Times New Roman"/>
          <w:sz w:val="14"/>
          <w:szCs w:val="14"/>
          <w:color w:val="auto"/>
        </w:rPr>
        <w:t>dependent on a number of factors including the hiring of new employees, the rate of change in technology used in our business and our business outlook as a result of the COVID-19 pandemic. While we expect certain cash outflows for these expenditures will exceed amounts spent in 2021, we expect to fund these cash outflows primarily through our cash flows provided by operating, investing and financing activities.</w:t>
      </w:r>
    </w:p>
    <w:p>
      <w:pPr>
        <w:spacing w:after="0" w:line="142" w:lineRule="exact"/>
        <w:rPr>
          <w:sz w:val="20"/>
          <w:szCs w:val="20"/>
          <w:color w:val="auto"/>
        </w:rPr>
      </w:pPr>
    </w:p>
    <w:p>
      <w:pPr>
        <w:ind w:left="1480" w:right="459"/>
        <w:spacing w:after="0" w:line="264" w:lineRule="auto"/>
        <w:rPr>
          <w:sz w:val="20"/>
          <w:szCs w:val="20"/>
          <w:color w:val="auto"/>
        </w:rPr>
      </w:pPr>
      <w:r>
        <w:rPr>
          <w:rFonts w:ascii="Times New Roman" w:cs="Times New Roman" w:eastAsia="Times New Roman" w:hAnsi="Times New Roman"/>
          <w:sz w:val="14"/>
          <w:szCs w:val="14"/>
          <w:color w:val="auto"/>
        </w:rPr>
        <w:t>We may use cash to acquire businesses and technologies. The nature of these transactions, however, makes it difficult to predict the amount and timing of such cash requirements.</w:t>
      </w:r>
    </w:p>
    <w:p>
      <w:pPr>
        <w:spacing w:after="0" w:line="136" w:lineRule="exact"/>
        <w:rPr>
          <w:sz w:val="20"/>
          <w:szCs w:val="20"/>
          <w:color w:val="auto"/>
        </w:rPr>
      </w:pPr>
    </w:p>
    <w:p>
      <w:pPr>
        <w:ind w:left="1480" w:right="419"/>
        <w:spacing w:after="0" w:line="250" w:lineRule="auto"/>
        <w:rPr>
          <w:sz w:val="20"/>
          <w:szCs w:val="20"/>
          <w:color w:val="auto"/>
        </w:rPr>
      </w:pPr>
      <w:r>
        <w:rPr>
          <w:rFonts w:ascii="Times New Roman" w:cs="Times New Roman" w:eastAsia="Times New Roman" w:hAnsi="Times New Roman"/>
          <w:sz w:val="14"/>
          <w:szCs w:val="14"/>
          <w:color w:val="auto"/>
        </w:rPr>
        <w:t>In the normal course of business, we enter into various agreements with our vendors that may subject us to minimum annual requirements. While our contractual commitments will have an impact on our future liquidity, we believe that we will be able to adequately fulfill these obligations through cash generated from operations and from our existing cash balances. Dave does not have any “off-balance sheet arrangements,” as defined by the SEC regulations</w:t>
      </w:r>
    </w:p>
    <w:p>
      <w:pPr>
        <w:spacing w:after="0" w:line="146" w:lineRule="exact"/>
        <w:rPr>
          <w:sz w:val="20"/>
          <w:szCs w:val="20"/>
          <w:color w:val="auto"/>
        </w:rPr>
      </w:pPr>
    </w:p>
    <w:p>
      <w:pPr>
        <w:ind w:left="1480" w:right="599"/>
        <w:spacing w:after="0" w:line="291" w:lineRule="auto"/>
        <w:rPr>
          <w:sz w:val="20"/>
          <w:szCs w:val="20"/>
          <w:color w:val="auto"/>
        </w:rPr>
      </w:pPr>
      <w:r>
        <w:rPr>
          <w:rFonts w:ascii="Times New Roman" w:cs="Times New Roman" w:eastAsia="Times New Roman" w:hAnsi="Times New Roman"/>
          <w:sz w:val="12"/>
          <w:szCs w:val="12"/>
          <w:color w:val="auto"/>
        </w:rPr>
        <w:t>In response to our remote employee workforce strategy in the U.S., we have not yet closed our leased office locations. We are required to continue making our contractual payments until our operating leases are formally terminated or expire. Our remaining leases have terms of less than 1 year to approximately 4 years, subject to renewal options of varying terms, and as of March 31, 2022, we had a total lease liability of approximately</w:t>
      </w:r>
    </w:p>
    <w:p>
      <w:pPr>
        <w:ind w:left="1480" w:right="559"/>
        <w:spacing w:after="0" w:line="247" w:lineRule="auto"/>
        <w:rPr>
          <w:sz w:val="20"/>
          <w:szCs w:val="20"/>
          <w:color w:val="auto"/>
        </w:rPr>
      </w:pPr>
      <w:r>
        <w:rPr>
          <w:rFonts w:ascii="Times New Roman" w:cs="Times New Roman" w:eastAsia="Times New Roman" w:hAnsi="Times New Roman"/>
          <w:sz w:val="14"/>
          <w:szCs w:val="14"/>
          <w:color w:val="auto"/>
        </w:rPr>
        <w:t>$2.4 million. See Note 16—Leases of the Notes to our Unaudited Condensed Consolidated Financial Statements for additional information regarding our lease liabilities as of March 31, 2022.</w:t>
      </w:r>
    </w:p>
    <w:p>
      <w:pPr>
        <w:spacing w:after="0" w:line="147" w:lineRule="exact"/>
        <w:rPr>
          <w:sz w:val="20"/>
          <w:szCs w:val="20"/>
          <w:color w:val="auto"/>
        </w:rPr>
      </w:pPr>
    </w:p>
    <w:p>
      <w:pPr>
        <w:ind w:left="1480" w:right="359"/>
        <w:spacing w:after="0" w:line="247" w:lineRule="auto"/>
        <w:rPr>
          <w:sz w:val="20"/>
          <w:szCs w:val="20"/>
          <w:color w:val="auto"/>
        </w:rPr>
      </w:pPr>
      <w:r>
        <w:rPr>
          <w:rFonts w:ascii="Times New Roman" w:cs="Times New Roman" w:eastAsia="Times New Roman" w:hAnsi="Times New Roman"/>
          <w:sz w:val="14"/>
          <w:szCs w:val="14"/>
          <w:color w:val="auto"/>
        </w:rPr>
        <w:t>We also have certain contractual payment obligations for principal and interest owed under the $100 million delayed draw credit facility of the Credit Facility. Interest payments are required to be made on a monthly basis. At March 31, 2022, $35.0 million of term loans under the Credit Agreement were outstanding and $20.0 million has been drawn on the credit line under the Credit Facility. Additionally, we also have certain contractual payment obligations for interest owed under our Purchase Agreement entered into with FTX Ventures. Interest payments relating to the $100 million convertible note are required to be made on a semi-annual basis. At March 31, 2022, approximately $0.8 million of interest was accrued. For more information on the Purchase Agreement with FTX Ventures, see “ —Recent Developments.”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Cash Flows Summary</w:t>
      </w:r>
    </w:p>
    <w:p>
      <w:pPr>
        <w:spacing w:after="0" w:line="184" w:lineRule="exact"/>
        <w:rPr>
          <w:sz w:val="20"/>
          <w:szCs w:val="20"/>
          <w:color w:val="auto"/>
        </w:rPr>
      </w:pPr>
    </w:p>
    <w:tbl>
      <w:tblPr>
        <w:tblLayout w:type="fixed"/>
        <w:tblInd w:w="2480" w:type="dxa"/>
        <w:tblCellMar>
          <w:top w:w="0" w:type="dxa"/>
          <w:left w:w="0" w:type="dxa"/>
          <w:bottom w:w="0" w:type="dxa"/>
          <w:right w:w="0" w:type="dxa"/>
        </w:tblCellMar>
      </w:tblPr>
      <w:tr>
        <w:trPr>
          <w:trHeight w:val="131"/>
        </w:trPr>
        <w:tc>
          <w:tcPr>
            <w:tcW w:w="4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cash (used in) provided by:</w:t>
            </w:r>
          </w:p>
        </w:tc>
        <w:tc>
          <w:tcPr>
            <w:tcW w:w="20" w:type="dxa"/>
            <w:vAlign w:val="bottom"/>
          </w:tcPr>
          <w:p>
            <w:pPr>
              <w:spacing w:after="0"/>
              <w:rPr>
                <w:sz w:val="11"/>
                <w:szCs w:val="11"/>
                <w:color w:val="auto"/>
              </w:rPr>
            </w:pPr>
          </w:p>
        </w:tc>
        <w:tc>
          <w:tcPr>
            <w:tcW w:w="196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r>
      <w:tr>
        <w:trPr>
          <w:trHeight w:val="103"/>
        </w:trPr>
        <w:tc>
          <w:tcPr>
            <w:tcW w:w="4360" w:type="dxa"/>
            <w:vAlign w:val="bottom"/>
            <w:tcBorders>
              <w:bottom w:val="single" w:sz="8" w:color="CCEEFF"/>
            </w:tcBorders>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20" w:type="dxa"/>
            <w:vAlign w:val="bottom"/>
            <w:tcBorders>
              <w:bottom w:val="single" w:sz="8" w:color="CCEEFF"/>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jc w:val="right"/>
              <w:ind w:right="275"/>
              <w:spacing w:after="0" w:line="103" w:lineRule="exact"/>
              <w:rPr>
                <w:sz w:val="20"/>
                <w:szCs w:val="20"/>
                <w:color w:val="auto"/>
              </w:rPr>
            </w:pPr>
            <w:r>
              <w:rPr>
                <w:rFonts w:ascii="Times New Roman" w:cs="Times New Roman" w:eastAsia="Times New Roman" w:hAnsi="Times New Roman"/>
                <w:sz w:val="11"/>
                <w:szCs w:val="11"/>
                <w:b w:val="1"/>
                <w:bCs w:val="1"/>
                <w:color w:val="auto"/>
              </w:rPr>
              <w:t>2022</w:t>
            </w:r>
          </w:p>
        </w:tc>
        <w:tc>
          <w:tcPr>
            <w:tcW w:w="260" w:type="dxa"/>
            <w:vAlign w:val="bottom"/>
            <w:tcBorders>
              <w:top w:val="single" w:sz="8" w:color="auto"/>
              <w:bottom w:val="single" w:sz="8" w:color="CCEEFF"/>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jc w:val="right"/>
              <w:ind w:right="215"/>
              <w:spacing w:after="0" w:line="103" w:lineRule="exact"/>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CCEEFF"/>
            </w:tcBorders>
          </w:tcPr>
          <w:p>
            <w:pPr>
              <w:spacing w:after="0"/>
              <w:rPr>
                <w:sz w:val="8"/>
                <w:szCs w:val="8"/>
                <w:color w:val="auto"/>
              </w:rPr>
            </w:pPr>
          </w:p>
        </w:tc>
      </w:tr>
      <w:tr>
        <w:trPr>
          <w:trHeight w:val="154"/>
        </w:trPr>
        <w:tc>
          <w:tcPr>
            <w:tcW w:w="436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Operating activities</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(12,512)</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(1,680)</w:t>
            </w:r>
          </w:p>
        </w:tc>
        <w:tc>
          <w:tcPr>
            <w:tcW w:w="80" w:type="dxa"/>
            <w:vAlign w:val="bottom"/>
            <w:shd w:val="clear" w:color="auto" w:fill="CCEEFF"/>
          </w:tcPr>
          <w:p>
            <w:pPr>
              <w:spacing w:after="0"/>
              <w:rPr>
                <w:sz w:val="13"/>
                <w:szCs w:val="13"/>
                <w:color w:val="auto"/>
              </w:rPr>
            </w:pPr>
          </w:p>
        </w:tc>
      </w:tr>
      <w:tr>
        <w:trPr>
          <w:trHeight w:val="163"/>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Investing activities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(297,568)</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4,909</w:t>
            </w:r>
          </w:p>
        </w:tc>
        <w:tc>
          <w:tcPr>
            <w:tcW w:w="80" w:type="dxa"/>
            <w:vAlign w:val="bottom"/>
          </w:tcPr>
          <w:p>
            <w:pPr>
              <w:spacing w:after="0"/>
              <w:rPr>
                <w:sz w:val="14"/>
                <w:szCs w:val="14"/>
                <w:color w:val="auto"/>
              </w:rPr>
            </w:pPr>
          </w:p>
        </w:tc>
      </w:tr>
      <w:tr>
        <w:trPr>
          <w:trHeight w:val="16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activities</w:t>
            </w: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301,724</w:t>
            </w:r>
          </w:p>
        </w:tc>
        <w:tc>
          <w:tcPr>
            <w:tcW w:w="2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15,569</w:t>
            </w:r>
          </w:p>
        </w:tc>
        <w:tc>
          <w:tcPr>
            <w:tcW w:w="80" w:type="dxa"/>
            <w:vAlign w:val="bottom"/>
            <w:shd w:val="clear" w:color="auto" w:fill="CCEEFF"/>
          </w:tcPr>
          <w:p>
            <w:pPr>
              <w:spacing w:after="0"/>
              <w:rPr>
                <w:sz w:val="14"/>
                <w:szCs w:val="14"/>
                <w:color w:val="auto"/>
              </w:rPr>
            </w:pPr>
          </w:p>
        </w:tc>
      </w:tr>
      <w:tr>
        <w:trPr>
          <w:trHeight w:val="164"/>
        </w:trPr>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(decrease) increase in cash and cash equivalents and restricted cash</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(8,356)</w:t>
            </w:r>
          </w:p>
        </w:tc>
        <w:tc>
          <w:tcPr>
            <w:tcW w:w="260" w:type="dxa"/>
            <w:vAlign w:val="bottom"/>
          </w:tcPr>
          <w:p>
            <w:pPr>
              <w:spacing w:after="0"/>
              <w:rPr>
                <w:sz w:val="14"/>
                <w:szCs w:val="14"/>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18,798</w:t>
            </w:r>
          </w:p>
        </w:tc>
        <w:tc>
          <w:tcPr>
            <w:tcW w:w="80" w:type="dxa"/>
            <w:vAlign w:val="bottom"/>
          </w:tcPr>
          <w:p>
            <w:pPr>
              <w:spacing w:after="0"/>
              <w:rPr>
                <w:sz w:val="14"/>
                <w:szCs w:val="14"/>
                <w:color w:val="auto"/>
              </w:rPr>
            </w:pPr>
          </w:p>
        </w:tc>
      </w:tr>
      <w:tr>
        <w:trPr>
          <w:trHeight w:val="20"/>
        </w:trPr>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Cash Flows From Operating Activities</w:t>
      </w:r>
    </w:p>
    <w:p>
      <w:pPr>
        <w:spacing w:after="0" w:line="86" w:lineRule="exact"/>
        <w:rPr>
          <w:sz w:val="20"/>
          <w:szCs w:val="20"/>
          <w:color w:val="auto"/>
        </w:rPr>
      </w:pPr>
    </w:p>
    <w:p>
      <w:pPr>
        <w:ind w:left="1480" w:right="379"/>
        <w:spacing w:after="0" w:line="254" w:lineRule="auto"/>
        <w:rPr>
          <w:sz w:val="20"/>
          <w:szCs w:val="20"/>
          <w:color w:val="auto"/>
        </w:rPr>
      </w:pPr>
      <w:r>
        <w:rPr>
          <w:rFonts w:ascii="Times New Roman" w:cs="Times New Roman" w:eastAsia="Times New Roman" w:hAnsi="Times New Roman"/>
          <w:sz w:val="14"/>
          <w:szCs w:val="14"/>
          <w:color w:val="auto"/>
        </w:rPr>
        <w:t>We recorded a net loss of approximately $32.8 million for the period ended March 31, 2022, and net income of approximately $4.0 million for the period ended March 31, 2021. We reported negative cash flows from operating activities of approximately $12.5 million and $1.7 million for the periods ended March 31, 2022 and 2021, respectively.</w:t>
      </w:r>
    </w:p>
    <w:p>
      <w:pPr>
        <w:spacing w:after="0" w:line="142" w:lineRule="exact"/>
        <w:rPr>
          <w:sz w:val="20"/>
          <w:szCs w:val="20"/>
          <w:color w:val="auto"/>
        </w:rPr>
      </w:pPr>
    </w:p>
    <w:p>
      <w:pPr>
        <w:ind w:left="1480" w:right="419"/>
        <w:spacing w:after="0" w:line="246" w:lineRule="auto"/>
        <w:rPr>
          <w:sz w:val="20"/>
          <w:szCs w:val="20"/>
          <w:color w:val="auto"/>
        </w:rPr>
      </w:pPr>
      <w:r>
        <w:rPr>
          <w:rFonts w:ascii="Times New Roman" w:cs="Times New Roman" w:eastAsia="Times New Roman" w:hAnsi="Times New Roman"/>
          <w:sz w:val="14"/>
          <w:szCs w:val="14"/>
          <w:color w:val="auto"/>
        </w:rPr>
        <w:t>Net cash used in operating activities was approximately $12.5 million for the period ended March 31, 2022. This included a net loss of approximately $32.8 million, adjusted for non-cash items of approximately $1.1 million for depreciation and amortization, approximately $13.8 million for provision for unrecoverable advances, approximately $4.1 million for an increase in warrant liability fair value, approximately $2.0 million for decreases in earnout liabilities fair values, approximately $3.2 million for stock-based compensation expense, and approximately $5.6 million for a decrease in derivative asset fair value. Further changes in cash flows from operations included an increase in receivables related to revenue from Member advances of approximately $1.6 million, an increase in prepaid expenses and other current assets of approximately $4.8 million, an increase in accrued expenses of approximately $1.0 million, and a decrease in other current liabilities of approximately $0.3 million. These changes were offset primarily by an increase in accounts payable of approximately $2.5 million.</w:t>
      </w:r>
    </w:p>
    <w:p>
      <w:pPr>
        <w:spacing w:after="0" w:line="150" w:lineRule="exact"/>
        <w:rPr>
          <w:sz w:val="20"/>
          <w:szCs w:val="20"/>
          <w:color w:val="auto"/>
        </w:rPr>
      </w:pPr>
    </w:p>
    <w:p>
      <w:pPr>
        <w:ind w:left="1480" w:right="439"/>
        <w:spacing w:after="0" w:line="247" w:lineRule="auto"/>
        <w:rPr>
          <w:sz w:val="20"/>
          <w:szCs w:val="20"/>
          <w:color w:val="auto"/>
        </w:rPr>
      </w:pPr>
      <w:r>
        <w:rPr>
          <w:rFonts w:ascii="Times New Roman" w:cs="Times New Roman" w:eastAsia="Times New Roman" w:hAnsi="Times New Roman"/>
          <w:sz w:val="14"/>
          <w:szCs w:val="14"/>
          <w:color w:val="auto"/>
        </w:rPr>
        <w:t>Net cash used in operating activities was approximately $1.7 million for the period ended March 31, 2021. This included net income of approximately $4.0 million, adjusted for non-cash items of approximately $2.8 million for depreciation and amortization, approximately $3.5 million for the provision for unrecoverable advances, approximately $17.1 million for an increase in derivative asset fair value, approximately $2.2 million for an increase in warrant liability fair value, and approximately $1.7 million for stock-based compensation expense. Further changes in cash flows from operations included a decrease in receivables related to revenue from Member advances of approximately $0.7 million, a decrease in prepaid income taxes of approximately $0.8 million, a</w:t>
      </w:r>
    </w:p>
    <w:p>
      <w:pPr>
        <w:spacing w:after="0" w:line="9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0159"/>
          </w:cols>
          <w:pgMar w:left="300" w:top="399"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31" w:lineRule="exact"/>
        <w:rPr>
          <w:sz w:val="20"/>
          <w:szCs w:val="20"/>
          <w:color w:val="auto"/>
        </w:rPr>
      </w:pPr>
    </w:p>
    <w:p>
      <w:pPr>
        <w:ind w:left="1480" w:right="539"/>
        <w:spacing w:after="0" w:line="254" w:lineRule="auto"/>
        <w:rPr>
          <w:sz w:val="20"/>
          <w:szCs w:val="20"/>
          <w:color w:val="auto"/>
        </w:rPr>
      </w:pPr>
      <w:r>
        <w:rPr>
          <w:rFonts w:ascii="Times New Roman" w:cs="Times New Roman" w:eastAsia="Times New Roman" w:hAnsi="Times New Roman"/>
          <w:sz w:val="14"/>
          <w:szCs w:val="14"/>
          <w:color w:val="auto"/>
        </w:rPr>
        <w:t>decrease in accrued expenses of approximately $1.6 million and a decrease in accounts payable of approximately $0.2 million. These changes were offset primarily by a decrease in other current liabilities of approximately $1.5 million and an increase in prepaid expenses and other current assets of approximately $0.5 million.</w:t>
      </w:r>
    </w:p>
    <w:p>
      <w:pPr>
        <w:spacing w:after="0" w:line="2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Cash Flows From Investing Activities</w:t>
      </w:r>
    </w:p>
    <w:p>
      <w:pPr>
        <w:spacing w:after="0" w:line="86" w:lineRule="exact"/>
        <w:rPr>
          <w:sz w:val="20"/>
          <w:szCs w:val="20"/>
          <w:color w:val="auto"/>
        </w:rPr>
      </w:pPr>
    </w:p>
    <w:p>
      <w:pPr>
        <w:ind w:left="1480" w:right="579"/>
        <w:spacing w:after="0" w:line="250" w:lineRule="auto"/>
        <w:rPr>
          <w:sz w:val="20"/>
          <w:szCs w:val="20"/>
          <w:color w:val="auto"/>
        </w:rPr>
      </w:pPr>
      <w:r>
        <w:rPr>
          <w:rFonts w:ascii="Times New Roman" w:cs="Times New Roman" w:eastAsia="Times New Roman" w:hAnsi="Times New Roman"/>
          <w:sz w:val="14"/>
          <w:szCs w:val="14"/>
          <w:color w:val="auto"/>
        </w:rPr>
        <w:t>During the period ended March 31, 2022, net cash used in investing activities was approximately $297.6 million. This included the purchase of marketable securities of approximately $302.1 million, the change in net disbursements and collections of Member advances of approximately $25.0 million, the capitalization of internally developed software costs of approximately $2.3 million and the purchase of property and equipment of approximately $0.2 million, offset by the sale of marketable securities of approximately $32.0 million.</w:t>
      </w:r>
    </w:p>
    <w:p>
      <w:pPr>
        <w:spacing w:after="0" w:line="146" w:lineRule="exact"/>
        <w:rPr>
          <w:sz w:val="20"/>
          <w:szCs w:val="20"/>
          <w:color w:val="auto"/>
        </w:rPr>
      </w:pPr>
    </w:p>
    <w:p>
      <w:pPr>
        <w:ind w:left="1480" w:right="379"/>
        <w:spacing w:after="0" w:line="254" w:lineRule="auto"/>
        <w:rPr>
          <w:sz w:val="20"/>
          <w:szCs w:val="20"/>
          <w:color w:val="auto"/>
        </w:rPr>
      </w:pPr>
      <w:r>
        <w:rPr>
          <w:rFonts w:ascii="Times New Roman" w:cs="Times New Roman" w:eastAsia="Times New Roman" w:hAnsi="Times New Roman"/>
          <w:sz w:val="14"/>
          <w:szCs w:val="14"/>
          <w:color w:val="auto"/>
        </w:rPr>
        <w:t>During the period ended March 31, 2021, net cash provided by investing activities was approximately $4.9 million. This included the sale of marketable securities of approximately $3.9 million, the change in net disbursements and collections of Member advances of approximately $4.3 million, partially offset by the capitalization of internally developed software costs of approximately $3.3 million.</w:t>
      </w:r>
    </w:p>
    <w:p>
      <w:pPr>
        <w:spacing w:after="0" w:line="2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Cash Flows From Financing Activities</w:t>
      </w:r>
    </w:p>
    <w:p>
      <w:pPr>
        <w:spacing w:after="0" w:line="8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color w:val="auto"/>
        </w:rPr>
        <w:t>During the period ended March 31, 2022, net cash provided by financing activities was approximately $301.7 million, which consisted of $195.0 million</w:t>
      </w:r>
    </w:p>
    <w:p>
      <w:pPr>
        <w:spacing w:after="0" w:line="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in proceeds from PIPE offering, $100.0 million in proceeds from borrowings related to the Purchase Agreement with FTX Ventures, approximately</w:t>
      </w:r>
    </w:p>
    <w:p>
      <w:pPr>
        <w:spacing w:after="0" w:line="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color w:val="auto"/>
        </w:rPr>
        <w:t>$29.7 million in proceeds from the Business Combination, net of redemptions and approximately $1.6 million in proceeds from stock option exercises,</w:t>
      </w:r>
    </w:p>
    <w:p>
      <w:pPr>
        <w:spacing w:after="0" w:line="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color w:val="auto"/>
        </w:rPr>
        <w:t>partially offset by approximately $22.9 million for the payment of costs related to the Business Combination and approximately $1.6 million related to</w:t>
      </w:r>
    </w:p>
    <w:p>
      <w:pPr>
        <w:spacing w:after="0" w:line="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color w:val="auto"/>
        </w:rPr>
        <w:t>the repurchase of common stock. For more information on the Business Combination and Purchase Agreement with FTX Ventures, see “— Business</w:t>
      </w:r>
    </w:p>
    <w:p>
      <w:pPr>
        <w:spacing w:after="0" w:line="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Combination and Public Company Costs” and “—Recent Developments”, respectively</w:t>
      </w:r>
    </w:p>
    <w:p>
      <w:pPr>
        <w:spacing w:after="0" w:line="154" w:lineRule="exact"/>
        <w:rPr>
          <w:sz w:val="20"/>
          <w:szCs w:val="20"/>
          <w:color w:val="auto"/>
        </w:rPr>
      </w:pPr>
    </w:p>
    <w:p>
      <w:pPr>
        <w:ind w:left="1480" w:right="359"/>
        <w:spacing w:after="0" w:line="264" w:lineRule="auto"/>
        <w:rPr>
          <w:sz w:val="20"/>
          <w:szCs w:val="20"/>
          <w:color w:val="auto"/>
        </w:rPr>
      </w:pPr>
      <w:r>
        <w:rPr>
          <w:rFonts w:ascii="Times New Roman" w:cs="Times New Roman" w:eastAsia="Times New Roman" w:hAnsi="Times New Roman"/>
          <w:sz w:val="14"/>
          <w:szCs w:val="14"/>
          <w:color w:val="auto"/>
        </w:rPr>
        <w:t>During the period ended March 31, 2021, net cash provided by financing activities was approximately $15.6 million, which consisted of $19.0 million in debt and credit facility borrowings, offset against approximately $3.9 million of repayments on a line of credit.</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88" w:lineRule="exact"/>
        <w:rPr>
          <w:sz w:val="20"/>
          <w:szCs w:val="20"/>
          <w:color w:val="auto"/>
        </w:rPr>
      </w:pPr>
    </w:p>
    <w:p>
      <w:pPr>
        <w:ind w:left="1480" w:right="419"/>
        <w:spacing w:after="0" w:line="246" w:lineRule="auto"/>
        <w:rPr>
          <w:sz w:val="20"/>
          <w:szCs w:val="20"/>
          <w:color w:val="auto"/>
        </w:rPr>
      </w:pPr>
      <w:r>
        <w:rPr>
          <w:rFonts w:ascii="Times New Roman" w:cs="Times New Roman" w:eastAsia="Times New Roman" w:hAnsi="Times New Roman"/>
          <w:sz w:val="14"/>
          <w:szCs w:val="14"/>
          <w:color w:val="auto"/>
        </w:rPr>
        <w:t>Our unaudited condensed consolidated financial statements have been prepared in accordance with U.S GAAP. The preparation of these unaudited condensed consolidated financial statements requires us to make estimates and assumptions that affect the reported amounts of assets and liabilities and the disclosure of contingent assets and liabilities as of the date of the unaudited condensed consolidated financial statements, as well as the reported revenues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Our critical accounting estimates and assumptions are evaluated on an ongoing basis including those related to the: (i) realization of tax assets and estimates of tax liabilities; (ii) valuation of equity securities; (iii) fair value of derivatives; (iv) valuation of notes payable; (v) fair value of warrant liabilities; and (vi) allowance for unrecoverable advances.</w:t>
      </w:r>
    </w:p>
    <w:p>
      <w:pPr>
        <w:spacing w:after="0" w:line="150" w:lineRule="exact"/>
        <w:rPr>
          <w:sz w:val="20"/>
          <w:szCs w:val="20"/>
          <w:color w:val="auto"/>
        </w:rPr>
      </w:pPr>
    </w:p>
    <w:p>
      <w:pPr>
        <w:ind w:left="1480" w:right="459"/>
        <w:spacing w:after="0" w:line="250" w:lineRule="auto"/>
        <w:rPr>
          <w:sz w:val="20"/>
          <w:szCs w:val="20"/>
          <w:color w:val="auto"/>
        </w:rPr>
      </w:pPr>
      <w:r>
        <w:rPr>
          <w:rFonts w:ascii="Times New Roman" w:cs="Times New Roman" w:eastAsia="Times New Roman" w:hAnsi="Times New Roman"/>
          <w:sz w:val="14"/>
          <w:szCs w:val="14"/>
          <w:color w:val="auto"/>
        </w:rPr>
        <w:t>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 Please refer to Note 3 in our accompanying unaudited condensed consolidated financial statements for the period ended March 31, 2022 included in this Form 10-Q.</w:t>
      </w:r>
    </w:p>
    <w:p>
      <w:pPr>
        <w:spacing w:after="0" w:line="146" w:lineRule="exact"/>
        <w:rPr>
          <w:sz w:val="20"/>
          <w:szCs w:val="20"/>
          <w:color w:val="auto"/>
        </w:rPr>
      </w:pPr>
    </w:p>
    <w:p>
      <w:pPr>
        <w:ind w:left="1480" w:right="379"/>
        <w:spacing w:after="0" w:line="254" w:lineRule="auto"/>
        <w:rPr>
          <w:sz w:val="20"/>
          <w:szCs w:val="20"/>
          <w:color w:val="auto"/>
        </w:rPr>
      </w:pPr>
      <w:r>
        <w:rPr>
          <w:rFonts w:ascii="Times New Roman" w:cs="Times New Roman" w:eastAsia="Times New Roman" w:hAnsi="Times New Roman"/>
          <w:sz w:val="14"/>
          <w:szCs w:val="14"/>
          <w:color w:val="auto"/>
        </w:rPr>
        <w:t>While our significant accounting policies are described in the notes to our unaudited condensed consolidated financial statements, we believe that the following accounting policies require a greater degree of judgment and complexity and are the most critical to understanding our financial condition and historical and future results of operations.</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Fair Value of Financial Instruments</w:t>
      </w:r>
    </w:p>
    <w:p>
      <w:pPr>
        <w:spacing w:after="0" w:line="88" w:lineRule="exact"/>
        <w:rPr>
          <w:sz w:val="20"/>
          <w:szCs w:val="20"/>
          <w:color w:val="auto"/>
        </w:rPr>
      </w:pPr>
    </w:p>
    <w:p>
      <w:pPr>
        <w:ind w:left="1480" w:right="859"/>
        <w:spacing w:after="0" w:line="264" w:lineRule="auto"/>
        <w:rPr>
          <w:sz w:val="20"/>
          <w:szCs w:val="20"/>
          <w:color w:val="auto"/>
        </w:rPr>
      </w:pPr>
      <w:r>
        <w:rPr>
          <w:rFonts w:ascii="Times New Roman" w:cs="Times New Roman" w:eastAsia="Times New Roman" w:hAnsi="Times New Roman"/>
          <w:sz w:val="14"/>
          <w:szCs w:val="14"/>
          <w:color w:val="auto"/>
        </w:rPr>
        <w:t>We are required to account for certain financial instruments at fair value with changes in fair value reported in earnings and may elect fair value accounting for certain other financial instruments in accordance with U.S. GAAP.</w:t>
      </w:r>
    </w:p>
    <w:p>
      <w:pPr>
        <w:spacing w:after="0" w:line="13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Financial instruments carried at fair value include marketable securities, derivative assets related to loans to stockholders, and warrant liabilities.</w:t>
      </w:r>
    </w:p>
    <w:p>
      <w:pPr>
        <w:spacing w:after="0" w:line="1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0159"/>
          </w:cols>
          <w:pgMar w:left="300" w:top="399"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right="379"/>
        <w:spacing w:after="0" w:line="302" w:lineRule="auto"/>
        <w:rPr>
          <w:sz w:val="20"/>
          <w:szCs w:val="20"/>
          <w:color w:val="auto"/>
        </w:rPr>
      </w:pPr>
      <w:r>
        <w:rPr>
          <w:rFonts w:ascii="Times New Roman" w:cs="Times New Roman" w:eastAsia="Times New Roman" w:hAnsi="Times New Roman"/>
          <w:sz w:val="12"/>
          <w:szCs w:val="12"/>
          <w:color w:val="auto"/>
        </w:rPr>
        <w:t>We apply the provisions of Financial Accounting Standards Board (“</w:t>
      </w:r>
      <w:r>
        <w:rPr>
          <w:rFonts w:ascii="Times New Roman" w:cs="Times New Roman" w:eastAsia="Times New Roman" w:hAnsi="Times New Roman"/>
          <w:sz w:val="12"/>
          <w:szCs w:val="12"/>
          <w:b w:val="1"/>
          <w:bCs w:val="1"/>
          <w:color w:val="auto"/>
        </w:rPr>
        <w:t>FASB</w:t>
      </w:r>
      <w:r>
        <w:rPr>
          <w:rFonts w:ascii="Times New Roman" w:cs="Times New Roman" w:eastAsia="Times New Roman" w:hAnsi="Times New Roman"/>
          <w:sz w:val="12"/>
          <w:szCs w:val="12"/>
          <w:color w:val="auto"/>
        </w:rPr>
        <w:t>”) Accounting Standards Codification (“</w:t>
      </w:r>
      <w:r>
        <w:rPr>
          <w:rFonts w:ascii="Times New Roman" w:cs="Times New Roman" w:eastAsia="Times New Roman" w:hAnsi="Times New Roman"/>
          <w:sz w:val="12"/>
          <w:szCs w:val="12"/>
          <w:b w:val="1"/>
          <w:bCs w:val="1"/>
          <w:color w:val="auto"/>
        </w:rPr>
        <w:t>ASC</w:t>
      </w:r>
      <w:r>
        <w:rPr>
          <w:rFonts w:ascii="Times New Roman" w:cs="Times New Roman" w:eastAsia="Times New Roman" w:hAnsi="Times New Roman"/>
          <w:sz w:val="12"/>
          <w:szCs w:val="12"/>
          <w:color w:val="auto"/>
        </w:rPr>
        <w:t xml:space="preserve">”) ASC 820, </w:t>
      </w:r>
      <w:r>
        <w:rPr>
          <w:rFonts w:ascii="Times New Roman" w:cs="Times New Roman" w:eastAsia="Times New Roman" w:hAnsi="Times New Roman"/>
          <w:sz w:val="12"/>
          <w:szCs w:val="12"/>
          <w:i w:val="1"/>
          <w:iCs w:val="1"/>
          <w:color w:val="auto"/>
        </w:rPr>
        <w:t>Fair Value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Measurements and Disclosures</w:t>
      </w:r>
      <w:r>
        <w:rPr>
          <w:rFonts w:ascii="Times New Roman" w:cs="Times New Roman" w:eastAsia="Times New Roman" w:hAnsi="Times New Roman"/>
          <w:sz w:val="12"/>
          <w:szCs w:val="12"/>
          <w:color w:val="auto"/>
        </w:rPr>
        <w:t>, which provides a single authoritative definition of fair value, sets out a framework for measuring fair value and expands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on required disclosures about fair value measurement. Fair value represents the exchange price that would be received for an asset or paid to transfer a liability in the principal or most advantageous market for the asset or liability in an orderly transaction between market participants on the measurement date. We use the following hierarchy in measuring the fair value of our assets and liabilities, focusing on the most observable inputs when available:</w:t>
      </w:r>
    </w:p>
    <w:p>
      <w:pPr>
        <w:spacing w:after="0" w:line="45" w:lineRule="exact"/>
        <w:rPr>
          <w:sz w:val="20"/>
          <w:szCs w:val="20"/>
          <w:color w:val="auto"/>
        </w:rPr>
      </w:pPr>
    </w:p>
    <w:p>
      <w:pPr>
        <w:ind w:left="2220" w:hanging="334"/>
        <w:spacing w:after="0"/>
        <w:tabs>
          <w:tab w:leader="none" w:pos="2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Quoted prices in active markets for identical assets or liabilities.</w:t>
      </w:r>
    </w:p>
    <w:p>
      <w:pPr>
        <w:spacing w:after="0" w:line="94" w:lineRule="exact"/>
        <w:rPr>
          <w:rFonts w:ascii="Times New Roman" w:cs="Times New Roman" w:eastAsia="Times New Roman" w:hAnsi="Times New Roman"/>
          <w:sz w:val="14"/>
          <w:szCs w:val="14"/>
          <w:color w:val="auto"/>
        </w:rPr>
      </w:pPr>
    </w:p>
    <w:p>
      <w:pPr>
        <w:jc w:val="both"/>
        <w:ind w:left="2220" w:right="739" w:hanging="334"/>
        <w:spacing w:after="0" w:line="254" w:lineRule="auto"/>
        <w:tabs>
          <w:tab w:leader="none" w:pos="2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spacing w:after="0" w:line="70" w:lineRule="exact"/>
        <w:rPr>
          <w:rFonts w:ascii="Times New Roman" w:cs="Times New Roman" w:eastAsia="Times New Roman" w:hAnsi="Times New Roman"/>
          <w:sz w:val="14"/>
          <w:szCs w:val="14"/>
          <w:color w:val="auto"/>
        </w:rPr>
      </w:pPr>
    </w:p>
    <w:p>
      <w:pPr>
        <w:ind w:left="2220" w:right="559" w:hanging="334"/>
        <w:spacing w:after="0" w:line="316" w:lineRule="auto"/>
        <w:tabs>
          <w:tab w:leader="none" w:pos="22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3. 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Valuation techniques used to measure fair value must maximize the use of observable inputs and minimize the use of unobservable inputs.</w:t>
      </w:r>
    </w:p>
    <w:p>
      <w:pPr>
        <w:spacing w:after="0" w:line="2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Derivative Asset</w:t>
      </w:r>
    </w:p>
    <w:p>
      <w:pPr>
        <w:spacing w:after="0" w:line="86" w:lineRule="exact"/>
        <w:rPr>
          <w:sz w:val="20"/>
          <w:szCs w:val="20"/>
          <w:color w:val="auto"/>
        </w:rPr>
      </w:pPr>
    </w:p>
    <w:p>
      <w:pPr>
        <w:ind w:left="1480" w:right="459"/>
        <w:spacing w:after="0" w:line="246" w:lineRule="auto"/>
        <w:rPr>
          <w:sz w:val="20"/>
          <w:szCs w:val="20"/>
          <w:color w:val="auto"/>
        </w:rPr>
      </w:pPr>
      <w:r>
        <w:rPr>
          <w:rFonts w:ascii="Times New Roman" w:cs="Times New Roman" w:eastAsia="Times New Roman" w:hAnsi="Times New Roman"/>
          <w:sz w:val="14"/>
          <w:szCs w:val="14"/>
          <w:color w:val="auto"/>
        </w:rPr>
        <w:t>We recorded a derivative asset related to the call option on loans to stockholders. The derivative asset was carried at estimated fair value on our unaudited condensed consolidated balance sheets. Changes in the estimated fair value of the derivatives were reported as a loss (gain) on derivatives in the accompanying unaudited condensed consolidated statements of operations. We utilized the binomial option pricing model to compute the fair value of the derivative asset and to mark to market the fair value of the derivative at each balance sheet date. The binomial option-pricing model considers a range of assumptions related to the fair value of common stock (see below Fair Value of Common Stock for further details), volatility, dividend yield and risk-free interest rate. The binomial option pricing model includes subjective input assumptions that can materially affect the fair value estimates. Upon consummation of the business combination in January 2022, all of the call options related to the Loans to Stockholders were exercised and the related loans were settled.</w:t>
      </w:r>
    </w:p>
    <w:p>
      <w:pPr>
        <w:spacing w:after="0" w:line="23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Warrant Liabilities</w:t>
      </w:r>
    </w:p>
    <w:p>
      <w:pPr>
        <w:spacing w:after="0" w:line="86" w:lineRule="exact"/>
        <w:rPr>
          <w:sz w:val="20"/>
          <w:szCs w:val="20"/>
          <w:color w:val="auto"/>
        </w:rPr>
      </w:pPr>
    </w:p>
    <w:p>
      <w:pPr>
        <w:ind w:left="1480" w:right="379"/>
        <w:spacing w:after="0" w:line="246" w:lineRule="auto"/>
        <w:rPr>
          <w:sz w:val="20"/>
          <w:szCs w:val="20"/>
          <w:color w:val="auto"/>
        </w:rPr>
      </w:pPr>
      <w:r>
        <w:rPr>
          <w:rFonts w:ascii="Times New Roman" w:cs="Times New Roman" w:eastAsia="Times New Roman" w:hAnsi="Times New Roman"/>
          <w:sz w:val="14"/>
          <w:szCs w:val="14"/>
          <w:color w:val="auto"/>
        </w:rPr>
        <w:t>We recorded a warrant liability associated with the Debt Facility. The warrant liability was carried on our unaudited condensed consolidated balance sheets as a long-term liability estimated at fair value. Changes in the estimated fair value of the warrant liability were reported as a loss (gain) in the accompanying unaudited condensed consolidated statements of operations. We utilized the binomial option-pricing model to compute the fair value and to mark to market the fair value of the warrant liability at each unaudited condensed consolidated balance sheet date. The binomial option-pricing model considers a range of assumptions related to the fair value of common stock (see below Fair Value of Common Stock for further details), volatility, dividend yield and risk-free interest rate. The binomial option pricing model includes subjective input assumptions that can materially affect the fair value estimates. Immediately prior to the close of the Business Combination, all, or 1,664,394 of the vested warrants were exercised and net settled for 450,841 shares of Legacy Dave’s Class A Common Stock after applying an exchange ratio of 1.354387513 pursuant to the terms of the Business Combination.</w:t>
      </w:r>
    </w:p>
    <w:p>
      <w:pPr>
        <w:spacing w:after="0" w:line="149" w:lineRule="exact"/>
        <w:rPr>
          <w:sz w:val="20"/>
          <w:szCs w:val="20"/>
          <w:color w:val="auto"/>
        </w:rPr>
      </w:pPr>
    </w:p>
    <w:p>
      <w:pPr>
        <w:ind w:left="1480" w:right="379"/>
        <w:spacing w:after="0" w:line="246" w:lineRule="auto"/>
        <w:rPr>
          <w:sz w:val="20"/>
          <w:szCs w:val="20"/>
          <w:color w:val="auto"/>
        </w:rPr>
      </w:pPr>
      <w:r>
        <w:rPr>
          <w:rFonts w:ascii="Times New Roman" w:cs="Times New Roman" w:eastAsia="Times New Roman" w:hAnsi="Times New Roman"/>
          <w:sz w:val="14"/>
          <w:szCs w:val="14"/>
          <w:color w:val="auto"/>
        </w:rPr>
        <w:t>We also recorded warrant liabilities for both public and private warrants associated with the Business Combination. The warrant liabilities are carried on our unaudited condensed consolidated balance sheets as a long-term liability estimated at fair value. Changes in the estimated fair value of the warrant liability are reported as a loss (gain) in the accompanying unaudited condensed consolidated statements of operations. We utilize the Black-Scholes model to compute the fair value and to mark to market the fair value of the private placement warrant liability at the time of the Business Combination and at each unaudited condensed consolidated balance sheet date. The public warrants were valued using the Black Scholes model and public trading price of the warrants, when available. The Black-Scholes model considers a range of assumptions such as stock price, strike price, volatility, time to maturity, dividend yield and risk-free interest rate. The Black-Scholes pricing model includes subjective input assumptions that can materially affect the fair value estimates.</w:t>
      </w:r>
    </w:p>
    <w:p>
      <w:pPr>
        <w:spacing w:after="0" w:line="23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Earnout Liabilities</w:t>
      </w:r>
    </w:p>
    <w:p>
      <w:pPr>
        <w:spacing w:after="0" w:line="86" w:lineRule="exact"/>
        <w:rPr>
          <w:sz w:val="20"/>
          <w:szCs w:val="20"/>
          <w:color w:val="auto"/>
        </w:rPr>
      </w:pPr>
    </w:p>
    <w:p>
      <w:pPr>
        <w:ind w:left="1480" w:right="399"/>
        <w:spacing w:after="0" w:line="247" w:lineRule="auto"/>
        <w:rPr>
          <w:sz w:val="20"/>
          <w:szCs w:val="20"/>
          <w:color w:val="auto"/>
        </w:rPr>
      </w:pPr>
      <w:r>
        <w:rPr>
          <w:rFonts w:ascii="Times New Roman" w:cs="Times New Roman" w:eastAsia="Times New Roman" w:hAnsi="Times New Roman"/>
          <w:sz w:val="14"/>
          <w:szCs w:val="14"/>
          <w:color w:val="auto"/>
        </w:rPr>
        <w:t>We recorded earnout liabilities associated with the Business Combination. The earnout liabilities are carried on our unaudited condensed consolidated balance sheets as a long-term liability estimated at fair value. Changes in the estimated fair value of the earnout liabilities are reported as a loss (gain) in the accompanying unaudited condensed consolidated statements of operations. We utilized a Monte Carlo Simulation Method to compute the fair value and to mark to market the fair value of the earnout liabilities at each unaudited condensed consolidated balance sheet date. The Monte Carlo Simulation Method considers a range of assumptions such as stock price, volatility, and risk-free interest rate. The Monte Carlo Simulation Method includes subjective input assumptions that can materially affect the fair value estimates.</w:t>
      </w:r>
    </w:p>
    <w:p>
      <w:pPr>
        <w:spacing w:after="0" w:line="2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Note Payable</w:t>
      </w:r>
    </w:p>
    <w:p>
      <w:pPr>
        <w:spacing w:after="0" w:line="86" w:lineRule="exact"/>
        <w:rPr>
          <w:sz w:val="20"/>
          <w:szCs w:val="20"/>
          <w:color w:val="auto"/>
        </w:rPr>
      </w:pPr>
    </w:p>
    <w:p>
      <w:pPr>
        <w:ind w:left="1480" w:right="439"/>
        <w:spacing w:after="0" w:line="254" w:lineRule="auto"/>
        <w:rPr>
          <w:sz w:val="20"/>
          <w:szCs w:val="20"/>
          <w:color w:val="auto"/>
        </w:rPr>
      </w:pPr>
      <w:r>
        <w:rPr>
          <w:rFonts w:ascii="Times New Roman" w:cs="Times New Roman" w:eastAsia="Times New Roman" w:hAnsi="Times New Roman"/>
          <w:sz w:val="14"/>
          <w:szCs w:val="14"/>
          <w:color w:val="auto"/>
        </w:rPr>
        <w:t>The Company has elected to measure the note payable debt instrument at fair value using the fair value option of ASC 825-10. We identified an embedded derivative related to a convertible feature in our promissory note with Alameda Research and in accordance with ASC 815-15-25-1 criterion (b), since we have elected to apply the fair value option to the</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0159"/>
          </w:cols>
          <w:pgMar w:left="300" w:top="399"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31" w:lineRule="exact"/>
        <w:rPr>
          <w:sz w:val="20"/>
          <w:szCs w:val="20"/>
          <w:color w:val="auto"/>
        </w:rPr>
      </w:pPr>
    </w:p>
    <w:p>
      <w:pPr>
        <w:ind w:left="1480" w:right="359"/>
        <w:spacing w:after="0" w:line="247" w:lineRule="auto"/>
        <w:rPr>
          <w:sz w:val="20"/>
          <w:szCs w:val="20"/>
          <w:color w:val="auto"/>
        </w:rPr>
      </w:pPr>
      <w:r>
        <w:rPr>
          <w:rFonts w:ascii="Times New Roman" w:cs="Times New Roman" w:eastAsia="Times New Roman" w:hAnsi="Times New Roman"/>
          <w:sz w:val="14"/>
          <w:szCs w:val="14"/>
          <w:color w:val="auto"/>
        </w:rPr>
        <w:t>debt, the Contingently Exercisable Share Settled Put/Call Option and any other embedded features were not be separated from the debt host. The note payable was carried on our consolidated balance sheets as a current liability estimated at fair value with changes in fair value reflected in earnings. We used a market yield approach to determine the fair value of the promissory note. The market yield approach model includes subjective input assumptions that can materially affect the fair value estimates. Upon the Closing of the Business Combination, the Promissory Note was automatically discharged upon the Company’s issuance of 1,500,000 shares of Class A Common Stock to Alameda Research. The closing of the note payable occurred immediately prior to the closing date of the Business Combination.</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Fair Value of Common Stock</w:t>
      </w:r>
    </w:p>
    <w:p>
      <w:pPr>
        <w:spacing w:after="0" w:line="88" w:lineRule="exact"/>
        <w:rPr>
          <w:sz w:val="20"/>
          <w:szCs w:val="20"/>
          <w:color w:val="auto"/>
        </w:rPr>
      </w:pPr>
    </w:p>
    <w:p>
      <w:pPr>
        <w:ind w:left="1480" w:right="419"/>
        <w:spacing w:after="0" w:line="248" w:lineRule="auto"/>
        <w:rPr>
          <w:sz w:val="20"/>
          <w:szCs w:val="20"/>
          <w:color w:val="auto"/>
        </w:rPr>
      </w:pPr>
      <w:r>
        <w:rPr>
          <w:rFonts w:ascii="Times New Roman" w:cs="Times New Roman" w:eastAsia="Times New Roman" w:hAnsi="Times New Roman"/>
          <w:sz w:val="14"/>
          <w:szCs w:val="14"/>
          <w:color w:val="auto"/>
        </w:rPr>
        <w:t>Up until the Closing of the Business Combination in which the Company became publicly traded on Nasdaq, the Company was required to estimate the fair value of the Common Stock underlying the Company’s share-based awards The fair value of the common stock underlying our stock-based awards was determined, in each case, based on a valuation model as discussed further below, and was approved by our Board of Directors. Our Board of Directors intended all stock options granted to be exercisable at a price per share not less than the fair value per share of the ordinary share underlying those stock options on the date of grant.</w:t>
      </w:r>
    </w:p>
    <w:p>
      <w:pPr>
        <w:spacing w:after="0" w:line="149" w:lineRule="exact"/>
        <w:rPr>
          <w:sz w:val="20"/>
          <w:szCs w:val="20"/>
          <w:color w:val="auto"/>
        </w:rPr>
      </w:pPr>
    </w:p>
    <w:p>
      <w:pPr>
        <w:ind w:left="1480" w:right="719"/>
        <w:spacing w:after="0" w:line="254" w:lineRule="auto"/>
        <w:rPr>
          <w:sz w:val="20"/>
          <w:szCs w:val="20"/>
          <w:color w:val="auto"/>
        </w:rPr>
      </w:pPr>
      <w:r>
        <w:rPr>
          <w:rFonts w:ascii="Times New Roman" w:cs="Times New Roman" w:eastAsia="Times New Roman" w:hAnsi="Times New Roman"/>
          <w:sz w:val="14"/>
          <w:szCs w:val="14"/>
          <w:color w:val="auto"/>
        </w:rPr>
        <w:t>In the absence of a public market for our Common Stock prior to the date of the Business Combination, the valuation has been determined using appropriate valuation methodologies in accordance with the guidelines outlined in the American Institute of Certified Public Accountants Practice Guide, Valuation of Privately Held Company Equity Securities Issued as Compensation.</w:t>
      </w:r>
    </w:p>
    <w:p>
      <w:pPr>
        <w:spacing w:after="0" w:line="6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We considered various objective and subjective factors to determine the fair value of our Common Stock as of each grant date, including:</w:t>
      </w:r>
    </w:p>
    <w:p>
      <w:pPr>
        <w:spacing w:after="0" w:line="94" w:lineRule="exact"/>
        <w:rPr>
          <w:sz w:val="20"/>
          <w:szCs w:val="20"/>
          <w:color w:val="auto"/>
        </w:rPr>
      </w:pPr>
    </w:p>
    <w:p>
      <w:pPr>
        <w:ind w:left="2220" w:hanging="334"/>
        <w:spacing w:after="0"/>
        <w:tabs>
          <w:tab w:leader="none" w:pos="2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Historical financial performance;</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strategy;</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Industry information, such as external market conditions and trends;</w:t>
      </w:r>
    </w:p>
    <w:p>
      <w:pPr>
        <w:spacing w:after="0" w:line="94" w:lineRule="exact"/>
        <w:rPr>
          <w:rFonts w:ascii="Times New Roman" w:cs="Times New Roman" w:eastAsia="Times New Roman" w:hAnsi="Times New Roman"/>
          <w:sz w:val="14"/>
          <w:szCs w:val="14"/>
          <w:color w:val="auto"/>
        </w:rPr>
      </w:pPr>
    </w:p>
    <w:p>
      <w:pPr>
        <w:ind w:left="2220" w:right="839" w:hanging="334"/>
        <w:spacing w:after="0" w:line="264" w:lineRule="auto"/>
        <w:tabs>
          <w:tab w:leader="none" w:pos="2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Likelihood of achieving a liquidity event, such as an initial public offering, SPAC merger, or strategic sale given prevailing market conditions and the nature and history of our business;</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Prices, privileges, powers, preferences and rights of our convertible preferred stock relative to those of Dave Common Stock;</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Forecasted cash flow projections for Dave’s business;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Publicly traded price of the special purpose acquisition company (“SPAC”);</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Primary preferred stock financings and secondary common stock transactions of our equity securities;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Lack of marketability/illiquidity of the common stock underlying our stock-based awards involving securities in a private company; and</w:t>
      </w:r>
    </w:p>
    <w:p>
      <w:pPr>
        <w:spacing w:after="0" w:line="117" w:lineRule="exact"/>
        <w:rPr>
          <w:rFonts w:ascii="Times New Roman" w:cs="Times New Roman" w:eastAsia="Times New Roman" w:hAnsi="Times New Roman"/>
          <w:sz w:val="12"/>
          <w:szCs w:val="12"/>
          <w:color w:val="auto"/>
        </w:rPr>
      </w:pPr>
    </w:p>
    <w:p>
      <w:pPr>
        <w:ind w:left="2220" w:hanging="334"/>
        <w:spacing w:after="0"/>
        <w:tabs>
          <w:tab w:leader="none" w:pos="2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Macroeconomic conditions.</w:t>
      </w:r>
    </w:p>
    <w:p>
      <w:pPr>
        <w:spacing w:after="0" w:line="84" w:lineRule="exact"/>
        <w:rPr>
          <w:sz w:val="20"/>
          <w:szCs w:val="20"/>
          <w:color w:val="auto"/>
        </w:rPr>
      </w:pPr>
    </w:p>
    <w:p>
      <w:pPr>
        <w:ind w:left="1480" w:right="619"/>
        <w:spacing w:after="0" w:line="250" w:lineRule="auto"/>
        <w:rPr>
          <w:sz w:val="20"/>
          <w:szCs w:val="20"/>
          <w:color w:val="auto"/>
        </w:rPr>
      </w:pPr>
      <w:r>
        <w:rPr>
          <w:rFonts w:ascii="Times New Roman" w:cs="Times New Roman" w:eastAsia="Times New Roman" w:hAnsi="Times New Roman"/>
          <w:sz w:val="14"/>
          <w:szCs w:val="14"/>
          <w:color w:val="auto"/>
        </w:rPr>
        <w:t>The assumptions underlying these valuations represented management’s best estimate, which involved inherent uncertainties and the application of management’s judgment. The probability of a liquidity event, the derived discount rate, and the selected multiples that are applied to our financial statistics are significant assumptions used to estimate the fair value of our common stock. If we had used different assumptions or estimates, the fair value of our common stock and our stock-based compensation expense could have been materially different.</w:t>
      </w:r>
    </w:p>
    <w:p>
      <w:pPr>
        <w:spacing w:after="0" w:line="65" w:lineRule="exact"/>
        <w:rPr>
          <w:sz w:val="20"/>
          <w:szCs w:val="20"/>
          <w:color w:val="auto"/>
        </w:rPr>
      </w:pPr>
    </w:p>
    <w:p>
      <w:pPr>
        <w:ind w:left="1480" w:right="459"/>
        <w:spacing w:after="0" w:line="264" w:lineRule="auto"/>
        <w:rPr>
          <w:sz w:val="20"/>
          <w:szCs w:val="20"/>
          <w:color w:val="auto"/>
        </w:rPr>
      </w:pPr>
      <w:r>
        <w:rPr>
          <w:rFonts w:ascii="Times New Roman" w:cs="Times New Roman" w:eastAsia="Times New Roman" w:hAnsi="Times New Roman"/>
          <w:sz w:val="14"/>
          <w:szCs w:val="14"/>
          <w:color w:val="auto"/>
        </w:rPr>
        <w:t>During 2019 and 2020, our estimated fair value of our common stock remained relatively consistent before a potential public listing through a business combination with a special purpose acquisition company was first considered in 2021 (“SPAC Transaction”).</w:t>
      </w:r>
    </w:p>
    <w:p>
      <w:pPr>
        <w:spacing w:after="0" w:line="54" w:lineRule="exact"/>
        <w:rPr>
          <w:sz w:val="20"/>
          <w:szCs w:val="20"/>
          <w:color w:val="auto"/>
        </w:rPr>
      </w:pPr>
    </w:p>
    <w:p>
      <w:pPr>
        <w:ind w:left="1480" w:right="519"/>
        <w:spacing w:after="0" w:line="248" w:lineRule="auto"/>
        <w:rPr>
          <w:sz w:val="20"/>
          <w:szCs w:val="20"/>
          <w:color w:val="auto"/>
        </w:rPr>
      </w:pPr>
      <w:r>
        <w:rPr>
          <w:rFonts w:ascii="Times New Roman" w:cs="Times New Roman" w:eastAsia="Times New Roman" w:hAnsi="Times New Roman"/>
          <w:sz w:val="14"/>
          <w:szCs w:val="14"/>
          <w:color w:val="auto"/>
        </w:rPr>
        <w:t>The fair value for our common stock was estimated to be $0.935 per share as of August 5, 2019 (“August 2019 Valuation”) and $0.981 per share as of August 30, 2020 (“August 2020 Valuation”). In 2021, our management team first contemplated a SPAC Transaction, which was incorporated in the June 7, 2021 valuation that resulted in a fair value for our common stock of $8.67 per share (“June 2021 Valuation”). The SPAC Transaction was considered in the subsequent valuation performed as of October 6, 2021 that resulted in a fair value for Dave’s common stock of $10.80 per share (“October 2021 Valuation”).</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0159"/>
          </w:cols>
          <w:pgMar w:left="300" w:top="399"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31" w:lineRule="exact"/>
        <w:rPr>
          <w:sz w:val="20"/>
          <w:szCs w:val="20"/>
          <w:color w:val="auto"/>
        </w:rPr>
      </w:pPr>
    </w:p>
    <w:p>
      <w:pPr>
        <w:ind w:left="1480" w:right="619"/>
        <w:spacing w:after="0" w:line="294" w:lineRule="auto"/>
        <w:rPr>
          <w:sz w:val="20"/>
          <w:szCs w:val="20"/>
          <w:color w:val="auto"/>
        </w:rPr>
      </w:pPr>
      <w:r>
        <w:rPr>
          <w:rFonts w:ascii="Times New Roman" w:cs="Times New Roman" w:eastAsia="Times New Roman" w:hAnsi="Times New Roman"/>
          <w:sz w:val="12"/>
          <w:szCs w:val="12"/>
          <w:color w:val="auto"/>
        </w:rPr>
        <w:t>The August 2019 Valuation and August 2020 Valuations were completed prior to the contemplation of the Business Combination, and at the time of these valuations our management did not expect a near-term exit. The August 2019 Valuation was performed at the time of the close of Dave’s</w:t>
      </w:r>
    </w:p>
    <w:p>
      <w:pPr>
        <w:spacing w:after="0" w:line="1" w:lineRule="exact"/>
        <w:rPr>
          <w:sz w:val="20"/>
          <w:szCs w:val="20"/>
          <w:color w:val="auto"/>
        </w:rPr>
      </w:pPr>
    </w:p>
    <w:p>
      <w:pPr>
        <w:ind w:left="1480" w:right="379"/>
        <w:spacing w:after="0" w:line="244" w:lineRule="auto"/>
        <w:rPr>
          <w:sz w:val="20"/>
          <w:szCs w:val="20"/>
          <w:color w:val="auto"/>
        </w:rPr>
      </w:pPr>
      <w:r>
        <w:rPr>
          <w:rFonts w:ascii="Times New Roman" w:cs="Times New Roman" w:eastAsia="Times New Roman" w:hAnsi="Times New Roman"/>
          <w:sz w:val="14"/>
          <w:szCs w:val="14"/>
          <w:color w:val="auto"/>
        </w:rPr>
        <w:t>Series B-1 and B-2 preferred equity financings (“Series B Financing”). Since no near-term exit was expected, the August 2019 Valuation was performed using the market approach, specifically the subject company transaction method was performed using a single option pricing model (“OPM”) as the allocation method. As a result, the fair value of our common stock was inferred from the Series B Financing. The August 2020 Valuation was performed using the market approach, specifically the guideline public company method (“GPCM”) and used a single OPM as the allocation methodology. The GPCM was performed by first considering the Series B Financing’s implied revenue multiple from the August 2019 valuation report, and then was adjusted based on changes in the guideline public company’s multiples since the Series B Financing occurred, with consideration for adjustments based on our comparative operational performance between the periods.</w:t>
      </w:r>
    </w:p>
    <w:p>
      <w:pPr>
        <w:spacing w:after="0" w:line="150" w:lineRule="exact"/>
        <w:rPr>
          <w:sz w:val="20"/>
          <w:szCs w:val="20"/>
          <w:color w:val="auto"/>
        </w:rPr>
      </w:pPr>
    </w:p>
    <w:p>
      <w:pPr>
        <w:ind w:left="1480" w:right="359"/>
        <w:spacing w:after="0" w:line="293" w:lineRule="auto"/>
        <w:rPr>
          <w:sz w:val="20"/>
          <w:szCs w:val="20"/>
          <w:color w:val="auto"/>
        </w:rPr>
      </w:pPr>
      <w:r>
        <w:rPr>
          <w:rFonts w:ascii="Times New Roman" w:cs="Times New Roman" w:eastAsia="Times New Roman" w:hAnsi="Times New Roman"/>
          <w:sz w:val="12"/>
          <w:szCs w:val="12"/>
          <w:color w:val="auto"/>
        </w:rPr>
        <w:t>The June 2021 Valuation and October 2021 Valuation both used the hybrid method, wherein a probability-weighted expected return model (“PWERM”) incorporated an expected near-term SPAC exit scenario as well as an OPM. The OPM was used to model the value of common stock in a delayed exit/stay private scenario. Total equity values for each scenario management identified were estimated as of the measurement date. The delayed exit/stay private scenario total equity value was estimated using the discounted cash flow method under the income approach and the GPCM under the market approach. The total equity value in the SPAC Transaction scenario included in the June 2021 Valuation was determined based on the expected Business Combination pre-money valuation. The common stock price per share in the SPAC Transaction scenario included in the October 2021 Valuation was determined based on the publicly traded price of the SPAC as of the valuation date. Our management’s estimated probability for each scenario occurring at each valuation date was applied to the respective scenario’s indicated common stock value to arrive at the estimated fair value of common stock.</w:t>
      </w:r>
    </w:p>
    <w:p>
      <w:pPr>
        <w:spacing w:after="0" w:line="123" w:lineRule="exact"/>
        <w:rPr>
          <w:sz w:val="20"/>
          <w:szCs w:val="20"/>
          <w:color w:val="auto"/>
        </w:rPr>
      </w:pPr>
    </w:p>
    <w:p>
      <w:pPr>
        <w:ind w:left="1480" w:right="359"/>
        <w:spacing w:after="0" w:line="288" w:lineRule="auto"/>
        <w:rPr>
          <w:sz w:val="20"/>
          <w:szCs w:val="20"/>
          <w:color w:val="auto"/>
        </w:rPr>
      </w:pPr>
      <w:r>
        <w:rPr>
          <w:rFonts w:ascii="Times New Roman" w:cs="Times New Roman" w:eastAsia="Times New Roman" w:hAnsi="Times New Roman"/>
          <w:sz w:val="12"/>
          <w:szCs w:val="12"/>
          <w:color w:val="auto"/>
        </w:rPr>
        <w:t>The increase in the fair value of our common stock between the August 2019 and August 2020 Valuations, and the June 2021 Valuation and the October 2021 Valuation was predominantly due to our progress towards completing the Business Combination that was not known or knowable at the earlier valuation dates. As previously discussed, the August 2019 Valuation utilized the Series B financing to determine the value of common stock in a single OPM. The August 2020 Valuation relied upon the GPCM with valuation multiples selected considering the implied multiples at the time of the Series B Financing, with appropriate adjustments to the multiples to account for changes in our financial and operational performance as well as to reflect changes in the guideline public companies’ multiples and comparative performance, from the close of the Series B financing to the August 2020 valuation date. In early 2021, we first contemplated a SPAC Transaction and began taking the necessary steps to prepare for a business combination with VPCC. The necessary steps undertaken to prepare for the Business Combination included meeting with VPCC and investment bankers, discussing timing expectations, and negotiating the preliminary letter of intent with VPCC. As our ongoing negotiations related to the Business Combination reflected an increased likelihood of a near-term exit transaction and/or liquidity event, the valuation of Dave’s equity as of the June 2021 Valuation took into consideration the indicated equity value implied by the negotiations as well as the uncertainty inherent in the future key milestones including execution of the Business Combination Agreement and VPCC’s shareholder vote. Similarly, the increase in the common stock value to $10.80 per share in the October 2021 Valuation resulted primarily from an increase in the probability of the near-term SPAC Transaction closing and an increase in the value of common stock in that scenario due to the passage of time and an increase in the SPAC’s publicly traded price as compared to the SPAC Transaction’s negotiated pre-money valuation. As a result, the increase in Dave’s common stock fair value between the valuation dates resulted directly from both the increase in the pre-money valuation and acceleration of the timing of an exit, from the Series B Financing to the Business Combination.</w:t>
      </w:r>
    </w:p>
    <w:p>
      <w:pPr>
        <w:spacing w:after="0" w:line="212" w:lineRule="exact"/>
        <w:rPr>
          <w:sz w:val="20"/>
          <w:szCs w:val="20"/>
          <w:color w:val="auto"/>
        </w:rPr>
      </w:pPr>
    </w:p>
    <w:p>
      <w:pPr>
        <w:ind w:left="1480" w:right="399"/>
        <w:spacing w:after="0" w:line="264" w:lineRule="auto"/>
        <w:rPr>
          <w:sz w:val="20"/>
          <w:szCs w:val="20"/>
          <w:color w:val="auto"/>
        </w:rPr>
      </w:pPr>
      <w:r>
        <w:rPr>
          <w:rFonts w:ascii="Times New Roman" w:cs="Times New Roman" w:eastAsia="Times New Roman" w:hAnsi="Times New Roman"/>
          <w:sz w:val="14"/>
          <w:szCs w:val="14"/>
          <w:color w:val="auto"/>
        </w:rPr>
        <w:t>Please refer to Note 3 in our accompanying unaudited condensed consolidated financial statements for the period ended March 31, 2022 included in this Form 10-Q.</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Allowance for Unrecoverable Advances</w:t>
      </w:r>
    </w:p>
    <w:p>
      <w:pPr>
        <w:spacing w:after="0" w:line="88" w:lineRule="exact"/>
        <w:rPr>
          <w:sz w:val="20"/>
          <w:szCs w:val="20"/>
          <w:color w:val="auto"/>
        </w:rPr>
      </w:pPr>
    </w:p>
    <w:p>
      <w:pPr>
        <w:ind w:left="1480" w:right="439"/>
        <w:spacing w:after="0" w:line="248" w:lineRule="auto"/>
        <w:rPr>
          <w:sz w:val="20"/>
          <w:szCs w:val="20"/>
          <w:color w:val="auto"/>
        </w:rPr>
      </w:pPr>
      <w:r>
        <w:rPr>
          <w:rFonts w:ascii="Times New Roman" w:cs="Times New Roman" w:eastAsia="Times New Roman" w:hAnsi="Times New Roman"/>
          <w:sz w:val="14"/>
          <w:szCs w:val="14"/>
          <w:color w:val="auto"/>
        </w:rPr>
        <w:t>We maintain an allowance for unrecoverable advances at a level estimated to be adequate to absorb credit losses inherent in outstanding Member advances. We currently estimate the allowance balance required using historical loss and collections experience, and, if relevant, the nature and volume of the portfolio, economic conditions, and other factors. Interpretations of the nature of volume of the portfolio and projections of future economic conditions involve a high degree of subjectivity. Changes to the allowance have a direct impact on the provision for unrecoverable advances in the unaudited condensed consolidated statement of operations.</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0159"/>
          </w:cols>
          <w:pgMar w:left="300" w:top="399"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31" w:lineRule="exact"/>
        <w:rPr>
          <w:sz w:val="20"/>
          <w:szCs w:val="20"/>
          <w:color w:val="auto"/>
        </w:rPr>
      </w:pPr>
    </w:p>
    <w:p>
      <w:pPr>
        <w:ind w:left="1480" w:right="419"/>
        <w:spacing w:after="0" w:line="248" w:lineRule="auto"/>
        <w:rPr>
          <w:sz w:val="20"/>
          <w:szCs w:val="20"/>
          <w:color w:val="auto"/>
        </w:rPr>
      </w:pPr>
      <w:r>
        <w:rPr>
          <w:rFonts w:ascii="Times New Roman" w:cs="Times New Roman" w:eastAsia="Times New Roman" w:hAnsi="Times New Roman"/>
          <w:sz w:val="14"/>
          <w:szCs w:val="14"/>
          <w:color w:val="auto"/>
        </w:rPr>
        <w:t>We consider advances over 120 days past due or which become uncollectible based on information available to us as impaired. All impaired advances are deemed uncollectible and subsequently written-off and are a direct reduction to the allowance for unrecoverable advances. Subsequent recoveries of Member advances written-off, if any, are recorded as a reduction to Member advances when collected, resulting in a reduction to the allowance for unrecoverable advances and a corresponding reduction to the provision for unrecoverable advances expense in the unaudited condensed consolidated statements of operations.</w:t>
      </w:r>
    </w:p>
    <w:p>
      <w:pPr>
        <w:spacing w:after="0" w:line="2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88" w:lineRule="exact"/>
        <w:rPr>
          <w:sz w:val="20"/>
          <w:szCs w:val="20"/>
          <w:color w:val="auto"/>
        </w:rPr>
      </w:pPr>
    </w:p>
    <w:p>
      <w:pPr>
        <w:ind w:left="1480" w:right="359"/>
        <w:spacing w:after="0" w:line="248" w:lineRule="auto"/>
        <w:rPr>
          <w:sz w:val="20"/>
          <w:szCs w:val="20"/>
          <w:color w:val="auto"/>
        </w:rPr>
      </w:pPr>
      <w:r>
        <w:rPr>
          <w:rFonts w:ascii="Times New Roman" w:cs="Times New Roman" w:eastAsia="Times New Roman" w:hAnsi="Times New Roman"/>
          <w:sz w:val="14"/>
          <w:szCs w:val="14"/>
          <w:color w:val="auto"/>
        </w:rPr>
        <w:t>We follow ASC 740, Income Taxes (“ASC 740”), which requires recognition of deferred tax assets and liabilities for the expected future tax consequences of events that have been included in the unaudited condensed consolidated financial statements or tax returns. Under this method, deferred tax assets and liabilities are based on the differences between the financial statement and tax basis of assets and liabilities using enacted tax rates in effect for the period in which the differences are expected to reverse. Deferred tax assets are reduced by a valuation allowance to the extent management concludes it is more-likely-than-not that the asset will not be realized.</w:t>
      </w:r>
    </w:p>
    <w:p>
      <w:pPr>
        <w:spacing w:after="0" w:line="149" w:lineRule="exact"/>
        <w:rPr>
          <w:sz w:val="20"/>
          <w:szCs w:val="20"/>
          <w:color w:val="auto"/>
        </w:rPr>
      </w:pPr>
    </w:p>
    <w:p>
      <w:pPr>
        <w:ind w:left="1480" w:right="399"/>
        <w:spacing w:after="0" w:line="248" w:lineRule="auto"/>
        <w:rPr>
          <w:sz w:val="20"/>
          <w:szCs w:val="20"/>
          <w:color w:val="auto"/>
        </w:rPr>
      </w:pPr>
      <w:r>
        <w:rPr>
          <w:rFonts w:ascii="Times New Roman" w:cs="Times New Roman" w:eastAsia="Times New Roman" w:hAnsi="Times New Roman"/>
          <w:sz w:val="14"/>
          <w:szCs w:val="14"/>
          <w:color w:val="auto"/>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upon examination, including compromise settlements. For tax positions not meeting the more-likely-than-not threshold, no tax benefit is recorded. We have estimated approximately $0.5 million of uncertain tax positions as of both March 31, 2022 and 2021, related to state income taxes and research tax credits.</w:t>
      </w:r>
    </w:p>
    <w:p>
      <w:pPr>
        <w:spacing w:after="0" w:line="149" w:lineRule="exact"/>
        <w:rPr>
          <w:sz w:val="20"/>
          <w:szCs w:val="20"/>
          <w:color w:val="auto"/>
        </w:rPr>
      </w:pPr>
    </w:p>
    <w:p>
      <w:pPr>
        <w:ind w:left="1480" w:right="379"/>
        <w:spacing w:after="0" w:line="250" w:lineRule="auto"/>
        <w:rPr>
          <w:sz w:val="20"/>
          <w:szCs w:val="20"/>
          <w:color w:val="auto"/>
        </w:rPr>
      </w:pPr>
      <w:r>
        <w:rPr>
          <w:rFonts w:ascii="Times New Roman" w:cs="Times New Roman" w:eastAsia="Times New Roman" w:hAnsi="Times New Roman"/>
          <w:sz w:val="14"/>
          <w:szCs w:val="14"/>
          <w:color w:val="auto"/>
        </w:rPr>
        <w:t>Our policy is to recognize interest and penalties accrued on any unrecognized tax benefits as a component of income tax expense within the statement of operations. We recognized approximately $0.001 million and $0.002 million of interest expense and penalties as a component of income tax expense during the periods ended March 31, 2022 and 2021, respectively. There was approximately $0.008 million and $0.007 million of accrued interest and penalties as of March 31, 2022 and December 31, 2021, respectively.</w:t>
      </w:r>
    </w:p>
    <w:p>
      <w:pPr>
        <w:spacing w:after="0" w:line="146" w:lineRule="exact"/>
        <w:rPr>
          <w:sz w:val="20"/>
          <w:szCs w:val="20"/>
          <w:color w:val="auto"/>
        </w:rPr>
      </w:pPr>
    </w:p>
    <w:p>
      <w:pPr>
        <w:ind w:left="1480" w:right="899"/>
        <w:spacing w:after="0" w:line="264" w:lineRule="auto"/>
        <w:rPr>
          <w:sz w:val="20"/>
          <w:szCs w:val="20"/>
          <w:color w:val="auto"/>
        </w:rPr>
      </w:pPr>
      <w:r>
        <w:rPr>
          <w:rFonts w:ascii="Times New Roman" w:cs="Times New Roman" w:eastAsia="Times New Roman" w:hAnsi="Times New Roman"/>
          <w:sz w:val="14"/>
          <w:szCs w:val="14"/>
          <w:color w:val="auto"/>
        </w:rPr>
        <w:t>We are subject to income tax in jurisdictions in which we operate, including the United States. For U.S. income tax purposes, we are taxed as a Subchapter C corporation.</w:t>
      </w:r>
    </w:p>
    <w:p>
      <w:pPr>
        <w:spacing w:after="0" w:line="136" w:lineRule="exact"/>
        <w:rPr>
          <w:sz w:val="20"/>
          <w:szCs w:val="20"/>
          <w:color w:val="auto"/>
        </w:rPr>
      </w:pPr>
    </w:p>
    <w:p>
      <w:pPr>
        <w:ind w:left="1480" w:right="499"/>
        <w:spacing w:after="0" w:line="250" w:lineRule="auto"/>
        <w:rPr>
          <w:sz w:val="20"/>
          <w:szCs w:val="20"/>
          <w:color w:val="auto"/>
        </w:rPr>
      </w:pPr>
      <w:r>
        <w:rPr>
          <w:rFonts w:ascii="Times New Roman" w:cs="Times New Roman" w:eastAsia="Times New Roman" w:hAnsi="Times New Roman"/>
          <w:sz w:val="14"/>
          <w:szCs w:val="14"/>
          <w:color w:val="auto"/>
        </w:rPr>
        <w:t>We recognize deferred taxes for temporary differences between the basis of assets and liabilities for financial statement and income tax purposes. We recorded a valuation allowance against our deferred tax assets, net of certain deferred tax liabilities, at March 31, 2022 and December 31, 2021. Based upon management’s assessment of all available evidence, we have concluded that it is more-likely-than-not that the deferred tax assets, net of certain deferred tax liabilities, will not be realized.</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Emerging Growth Company Status</w:t>
      </w:r>
    </w:p>
    <w:p>
      <w:pPr>
        <w:spacing w:after="0" w:line="88" w:lineRule="exact"/>
        <w:rPr>
          <w:sz w:val="20"/>
          <w:szCs w:val="20"/>
          <w:color w:val="auto"/>
        </w:rPr>
      </w:pPr>
    </w:p>
    <w:p>
      <w:pPr>
        <w:ind w:left="1480" w:right="419"/>
        <w:spacing w:after="0" w:line="292" w:lineRule="auto"/>
        <w:rPr>
          <w:sz w:val="20"/>
          <w:szCs w:val="20"/>
          <w:color w:val="auto"/>
        </w:rPr>
      </w:pPr>
      <w:r>
        <w:rPr>
          <w:rFonts w:ascii="Times New Roman" w:cs="Times New Roman" w:eastAsia="Times New Roman" w:hAnsi="Times New Roman"/>
          <w:sz w:val="12"/>
          <w:szCs w:val="12"/>
          <w:color w:val="auto"/>
        </w:rPr>
        <w:t>We are an “emerging growth company” as defined in Section 2(a) of the Securities Act of 1933, as amended, and has elected to take advantage of the benefits of the extended transition period for new or revised financial accounting standards. We expect to remain an emerging growth company and to continue to take advantage of the benefits of the extended transition period, although we may decide to early adopt such new or revised accounting standards to the extent permitted by such standards. We expect to use this extended transition period for complying with new or revised accounting standards that have different effective dates for public and non-public companies until the earlier of the date we (i) are no longer an emerging growth company or (ii) affirmatively and irrevocably opt out of the extended transition period provided in the JOBS Act.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Note 3 of our accompanying unaudited condensed consolidated financial statements included in this Form 10-Q for the recent accounting pronouncements adopted and the recent accounting pronouncements not yet adopted for the periods ended March 31, 2022 and 2021.</w:t>
      </w:r>
    </w:p>
    <w:p>
      <w:pPr>
        <w:spacing w:after="0" w:line="286" w:lineRule="exact"/>
        <w:rPr>
          <w:sz w:val="20"/>
          <w:szCs w:val="20"/>
          <w:color w:val="auto"/>
        </w:rPr>
      </w:pPr>
    </w:p>
    <w:p>
      <w:pPr>
        <w:ind w:left="1480" w:right="359"/>
        <w:spacing w:after="0" w:line="291" w:lineRule="auto"/>
        <w:rPr>
          <w:sz w:val="20"/>
          <w:szCs w:val="20"/>
          <w:color w:val="auto"/>
        </w:rPr>
      </w:pPr>
      <w:r>
        <w:rPr>
          <w:rFonts w:ascii="Times New Roman" w:cs="Times New Roman" w:eastAsia="Times New Roman" w:hAnsi="Times New Roman"/>
          <w:sz w:val="12"/>
          <w:szCs w:val="12"/>
          <w:color w:val="auto"/>
        </w:rPr>
        <w:t>In addition, we intend to rely on the other exemptions and reduced reporting requirements provided by the JOBS Act. Subject to certain conditions set forth in the JOBS Act, if, as an emerging growth company, we intend to rely on such exemptions, we are not required to, among other things: (a) provide an auditor’s attestation report on our system of internal control over financial reporting pursuant to Section 404(b) of the Sarbanes-Oxley Act;</w:t>
      </w:r>
    </w:p>
    <w:p>
      <w:pPr>
        <w:ind w:left="1480" w:right="379" w:hanging="3"/>
        <w:spacing w:after="0" w:line="295" w:lineRule="auto"/>
        <w:tabs>
          <w:tab w:leader="none" w:pos="1673"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all of the compensation disclosure that may be required of non-emerging growth public companies under the Dodd- Frank Wall Street Reform and Consumer Protection Act; (c) comply with any requirement that may be adopted by the Public Company Accounting Oversight Board regarding mandatory audit firm rotation or a supplement to the auditor’s report providing additional information about the unaudited condensed consolidated financial statements (auditor discussion and analysis); and (d) disclose certain executive compensation-related items such as the correlation between executive compensation and performance and comparisons of the Chief Executive Officer’s compensation to median employee compensation.</w:t>
      </w:r>
    </w:p>
    <w:p>
      <w:pPr>
        <w:spacing w:after="0" w:line="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0159"/>
          </w:cols>
          <w:pgMar w:left="300" w:top="399"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31" w:lineRule="exact"/>
        <w:rPr>
          <w:sz w:val="20"/>
          <w:szCs w:val="20"/>
          <w:color w:val="auto"/>
        </w:rPr>
      </w:pPr>
    </w:p>
    <w:p>
      <w:pPr>
        <w:ind w:left="1480" w:right="379"/>
        <w:spacing w:after="0" w:line="305" w:lineRule="auto"/>
        <w:rPr>
          <w:sz w:val="20"/>
          <w:szCs w:val="20"/>
          <w:color w:val="auto"/>
        </w:rPr>
      </w:pPr>
      <w:r>
        <w:rPr>
          <w:rFonts w:ascii="Times New Roman" w:cs="Times New Roman" w:eastAsia="Times New Roman" w:hAnsi="Times New Roman"/>
          <w:sz w:val="12"/>
          <w:szCs w:val="12"/>
          <w:color w:val="auto"/>
        </w:rPr>
        <w:t>We will remain an emerging growth company under the JOBS Act until the earliest of (1) the last day of the fiscal year (a) following March 4, 2026, (b) in which we have total annual gross revenue of at least $1.07 billion, (c) in which we are deemed to be a “large accelerated filer” under the rules of the SEC, which means the market value of our common equity that is held by non-affiliates exceeds $700 million as of the end of the prior fiscal year’s second fiscal quarter; and (2) the date on which we have issued more than $1.0 billion in non-convertible debt securities during the previous three years.</w:t>
      </w:r>
    </w:p>
    <w:p>
      <w:pPr>
        <w:spacing w:after="0" w:line="19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Recently Issued Accounting Standards</w:t>
      </w:r>
    </w:p>
    <w:p>
      <w:pPr>
        <w:spacing w:after="0" w:line="88" w:lineRule="exact"/>
        <w:rPr>
          <w:sz w:val="20"/>
          <w:szCs w:val="20"/>
          <w:color w:val="auto"/>
        </w:rPr>
      </w:pPr>
    </w:p>
    <w:p>
      <w:pPr>
        <w:ind w:left="1480" w:right="699"/>
        <w:spacing w:after="0" w:line="264" w:lineRule="auto"/>
        <w:rPr>
          <w:sz w:val="20"/>
          <w:szCs w:val="20"/>
          <w:color w:val="auto"/>
        </w:rPr>
      </w:pPr>
      <w:r>
        <w:rPr>
          <w:rFonts w:ascii="Times New Roman" w:cs="Times New Roman" w:eastAsia="Times New Roman" w:hAnsi="Times New Roman"/>
          <w:sz w:val="14"/>
          <w:szCs w:val="14"/>
          <w:color w:val="auto"/>
        </w:rPr>
        <w:t>Refer to Note 3, “Significant Accounting Policies,” of our unaudited condensed consolidated financial statements included in this Form 10-Q for a discussion of the impact of recent accounting pronouncements.</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88" w:lineRule="exact"/>
        <w:rPr>
          <w:sz w:val="20"/>
          <w:szCs w:val="20"/>
          <w:color w:val="auto"/>
        </w:rPr>
      </w:pPr>
    </w:p>
    <w:p>
      <w:pPr>
        <w:ind w:left="1480" w:right="379"/>
        <w:spacing w:after="0" w:line="264" w:lineRule="auto"/>
        <w:rPr>
          <w:sz w:val="20"/>
          <w:szCs w:val="20"/>
          <w:color w:val="auto"/>
        </w:rPr>
      </w:pPr>
      <w:r>
        <w:rPr>
          <w:rFonts w:ascii="Times New Roman" w:cs="Times New Roman" w:eastAsia="Times New Roman" w:hAnsi="Times New Roman"/>
          <w:sz w:val="14"/>
          <w:szCs w:val="14"/>
          <w:color w:val="auto"/>
        </w:rPr>
        <w:t>We are exposed to a variety of market and other risks, including the effects of changes in interest rates and inflation, as well as risks to the availability of funding sources, hazard events and specific asset risks.</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88" w:lineRule="exact"/>
        <w:rPr>
          <w:sz w:val="20"/>
          <w:szCs w:val="20"/>
          <w:color w:val="auto"/>
        </w:rPr>
      </w:pPr>
    </w:p>
    <w:p>
      <w:pPr>
        <w:ind w:left="1480" w:right="479"/>
        <w:spacing w:after="0" w:line="305" w:lineRule="auto"/>
        <w:rPr>
          <w:sz w:val="20"/>
          <w:szCs w:val="20"/>
          <w:color w:val="auto"/>
        </w:rPr>
      </w:pPr>
      <w:r>
        <w:rPr>
          <w:rFonts w:ascii="Times New Roman" w:cs="Times New Roman" w:eastAsia="Times New Roman" w:hAnsi="Times New Roman"/>
          <w:sz w:val="12"/>
          <w:szCs w:val="12"/>
          <w:color w:val="auto"/>
        </w:rPr>
        <w:t>We hold cash and cash equivalents and marketable securities for working capital purposes. We do not have significant exposure to market risk with respect to investments, as any investments we enter into are primarily highly liquid investments. As of March 31, 2022, we had cash and cash equivalents and marketable securities of $302.3 million, consisting of operating, savings and money market accounts which are not materially affected by changes in the general level of U.S. interest rates. Furthermore, all of the Convertible Notes issued by us accrue interest at a fixed rate.</w:t>
      </w:r>
    </w:p>
    <w:p>
      <w:pPr>
        <w:spacing w:after="0" w:line="116" w:lineRule="exact"/>
        <w:rPr>
          <w:sz w:val="20"/>
          <w:szCs w:val="20"/>
          <w:color w:val="auto"/>
        </w:rPr>
      </w:pPr>
    </w:p>
    <w:p>
      <w:pPr>
        <w:ind w:left="1480" w:right="459"/>
        <w:spacing w:after="0" w:line="248" w:lineRule="auto"/>
        <w:rPr>
          <w:sz w:val="20"/>
          <w:szCs w:val="20"/>
          <w:color w:val="auto"/>
        </w:rPr>
      </w:pPr>
      <w:r>
        <w:rPr>
          <w:rFonts w:ascii="Times New Roman" w:cs="Times New Roman" w:eastAsia="Times New Roman" w:hAnsi="Times New Roman"/>
          <w:sz w:val="14"/>
          <w:szCs w:val="14"/>
          <w:color w:val="auto"/>
        </w:rPr>
        <w:t>We also have interest rate exposure as a result of our outstanding term loans under the Credit Facility. As of March 31, 2022, the aggregate outstanding principal amounts of the term loans was $35.0 million. The term loans bear interest at an annual rate equal to 6.95% plus a base rate defined as the greater of three-month LIBOR (as of the last day of each calendar month) and 2.55%. The $20 million credit line under the Credit Facility has an interest rate of 8.95% annually plus a base rate defined as the greater of three-month LIBOR and 2.55% (a total of 11.5% as of March 31, 2022). If overall interest rates increase by 100 basis points, our interest expense would not be significantly affected.</w:t>
      </w:r>
    </w:p>
    <w:p>
      <w:pPr>
        <w:spacing w:after="0" w:line="2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Credit Risk</w:t>
      </w:r>
    </w:p>
    <w:p>
      <w:pPr>
        <w:spacing w:after="0" w:line="88" w:lineRule="exact"/>
        <w:rPr>
          <w:sz w:val="20"/>
          <w:szCs w:val="20"/>
          <w:color w:val="auto"/>
        </w:rPr>
      </w:pPr>
    </w:p>
    <w:p>
      <w:pPr>
        <w:ind w:left="1480" w:right="359"/>
        <w:spacing w:after="0" w:line="295" w:lineRule="auto"/>
        <w:rPr>
          <w:sz w:val="20"/>
          <w:szCs w:val="20"/>
          <w:color w:val="auto"/>
        </w:rPr>
      </w:pPr>
      <w:r>
        <w:rPr>
          <w:rFonts w:ascii="Times New Roman" w:cs="Times New Roman" w:eastAsia="Times New Roman" w:hAnsi="Times New Roman"/>
          <w:sz w:val="12"/>
          <w:szCs w:val="12"/>
          <w:color w:val="auto"/>
        </w:rPr>
        <w:t>Financial instruments that potentially subject us to credit risk consist of cash, Member advances and deposits. We maintain our cash with major financial institutions. At times, cash account balances with any one financial institution may exceed FDIC insurance limits ($250,000 per depositor per institution). We believe the financial institutions that hold our cash are financially sound and, accordingly, minimal credit risk exists with respect to cash. Our payment processors also collect cash on our behalf and will hold these cash balances temporarily until they are settled the next business day. The Member advances are also subject to credit risk. See “</w:t>
      </w:r>
      <w:r>
        <w:rPr>
          <w:rFonts w:ascii="Times New Roman" w:cs="Times New Roman" w:eastAsia="Times New Roman" w:hAnsi="Times New Roman"/>
          <w:sz w:val="12"/>
          <w:szCs w:val="12"/>
          <w:i w:val="1"/>
          <w:iCs w:val="1"/>
          <w:color w:val="auto"/>
        </w:rPr>
        <w:t>Risk Factors—Risk Related to Our Business and Industry—Our non-recourse cash advances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expose us to credit risk of our Members and if our underwriting criteria for making advances is not sufficient to mitigate against this risk, our financial condition and operating results could be adversely affected if a substantial number of our Members fail to repay the cash advance they receive</w:t>
      </w:r>
      <w:r>
        <w:rPr>
          <w:rFonts w:ascii="Times New Roman" w:cs="Times New Roman" w:eastAsia="Times New Roman" w:hAnsi="Times New Roman"/>
          <w:sz w:val="12"/>
          <w:szCs w:val="12"/>
          <w:color w:val="auto"/>
        </w:rPr>
        <w:t>.”</w:t>
      </w:r>
    </w:p>
    <w:p>
      <w:pPr>
        <w:spacing w:after="0" w:line="19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Inflation Risk</w:t>
      </w:r>
    </w:p>
    <w:p>
      <w:pPr>
        <w:spacing w:after="0" w:line="88" w:lineRule="exact"/>
        <w:rPr>
          <w:sz w:val="20"/>
          <w:szCs w:val="20"/>
          <w:color w:val="auto"/>
        </w:rPr>
      </w:pPr>
    </w:p>
    <w:p>
      <w:pPr>
        <w:ind w:left="1480" w:right="499"/>
        <w:spacing w:after="0" w:line="254" w:lineRule="auto"/>
        <w:rPr>
          <w:sz w:val="20"/>
          <w:szCs w:val="20"/>
          <w:color w:val="auto"/>
        </w:rPr>
      </w:pPr>
      <w:r>
        <w:rPr>
          <w:rFonts w:ascii="Times New Roman" w:cs="Times New Roman" w:eastAsia="Times New Roman" w:hAnsi="Times New Roman"/>
          <w:sz w:val="14"/>
          <w:szCs w:val="14"/>
          <w:color w:val="auto"/>
        </w:rPr>
        <w:t>Historically, inflation did not have a material effect on our business, results of operations, or financial condition. During 2021, inflation has begun to increase. If our costs were to become subject to significant inflationary pressures, we may not be able to fully offset such higher costs. Our inability or failure to do so could harm our business, results of operations and financial condition.</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0159"/>
          </w:cols>
          <w:pgMar w:left="300" w:top="399"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Item 4. Controls and Procedures (As Restated)</w:t>
      </w:r>
    </w:p>
    <w:p>
      <w:pPr>
        <w:spacing w:after="0" w:line="88" w:lineRule="exact"/>
        <w:rPr>
          <w:sz w:val="20"/>
          <w:szCs w:val="20"/>
          <w:color w:val="auto"/>
        </w:rPr>
      </w:pPr>
    </w:p>
    <w:p>
      <w:pPr>
        <w:ind w:left="1480" w:right="519"/>
        <w:spacing w:after="0" w:line="305" w:lineRule="auto"/>
        <w:rPr>
          <w:sz w:val="20"/>
          <w:szCs w:val="20"/>
          <w:color w:val="auto"/>
        </w:rPr>
      </w:pPr>
      <w:r>
        <w:rPr>
          <w:rFonts w:ascii="Times New Roman" w:cs="Times New Roman" w:eastAsia="Times New Roman" w:hAnsi="Times New Roman"/>
          <w:sz w:val="12"/>
          <w:szCs w:val="12"/>
          <w:color w:val="auto"/>
        </w:rPr>
        <w:t>As discussed in the Explanatory Note to this Amendment No. 1, we determined that we had material weaknesses in our internal control over financial reporting, namely that our controls over the classification of the Company’s member advances in the statement of cash flows and the accounting treatment of the earnout shares did not operate effectively, resulting in a restatement of our unaudited condensed financial statements for the three months ended March 31, 2022. Refer to Note 2 - Restatement of Prior Financial Information, for discussion regarding the restatement impacts.</w:t>
      </w:r>
    </w:p>
    <w:p>
      <w:pPr>
        <w:spacing w:after="0" w:line="19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88" w:lineRule="exact"/>
        <w:rPr>
          <w:sz w:val="20"/>
          <w:szCs w:val="20"/>
          <w:color w:val="auto"/>
        </w:rPr>
      </w:pPr>
    </w:p>
    <w:p>
      <w:pPr>
        <w:ind w:left="1480" w:right="399"/>
        <w:spacing w:after="0" w:line="247"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has evaluated the effectiveness of our disclosure controls and procedures (as defined in Rules 13a-15(e) and 15d-15(e) under the Exchange Act) as of the end of the fiscal quarter ended March 31, 2022. Based on this evaluation and for the reasons set forth below, our Chief Executive Officer and Chief Financial Officer have concluded that our disclosure controls and procedures were not effective as of March 31, 2022 due to the material weaknesses in internal control over financial reporting disclosed in Part II, Item 9A of our Annual Report on Form 10-K for the fiscal year ended December 31, 2021 (the “Annual Report”) and the material weaknesses described above.</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Previously Identified Material Weaknesses</w:t>
      </w:r>
    </w:p>
    <w:p>
      <w:pPr>
        <w:spacing w:after="0" w:line="88" w:lineRule="exact"/>
        <w:rPr>
          <w:sz w:val="20"/>
          <w:szCs w:val="20"/>
          <w:color w:val="auto"/>
        </w:rPr>
      </w:pPr>
    </w:p>
    <w:p>
      <w:pPr>
        <w:ind w:left="1480" w:right="419"/>
        <w:spacing w:after="0" w:line="246" w:lineRule="auto"/>
        <w:rPr>
          <w:sz w:val="20"/>
          <w:szCs w:val="20"/>
          <w:color w:val="auto"/>
        </w:rPr>
      </w:pPr>
      <w:r>
        <w:rPr>
          <w:rFonts w:ascii="Times New Roman" w:cs="Times New Roman" w:eastAsia="Times New Roman" w:hAnsi="Times New Roman"/>
          <w:sz w:val="14"/>
          <w:szCs w:val="14"/>
          <w:color w:val="auto"/>
        </w:rPr>
        <w:t>In connection with the audit of our consolidated financial statements for the years ended December 31, 2021 and 2020 material weaknesses in our internal control over financial reporting were identified.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For more information concerning the material weaknesses identified, see section titled “</w:t>
      </w:r>
      <w:r>
        <w:rPr>
          <w:rFonts w:ascii="Times New Roman" w:cs="Times New Roman" w:eastAsia="Times New Roman" w:hAnsi="Times New Roman"/>
          <w:sz w:val="14"/>
          <w:szCs w:val="14"/>
          <w:i w:val="1"/>
          <w:iCs w:val="1"/>
          <w:color w:val="auto"/>
        </w:rPr>
        <w:t>Risk Factors—Dave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identified material weaknesses in its internal control over financial reporting in its audited financial statements for the years ended December 31, 2021 and 2020 and if Dave is unable to remediate these material weaknesses, or if it identifies additional material weaknesses in the future or otherwise fails to maintain effective internal control over financial reporting, it may not be able to accurately or timely report its financial condition or results of operations, which may adversely affect Dave’s business and share price</w:t>
      </w:r>
      <w:r>
        <w:rPr>
          <w:rFonts w:ascii="Times New Roman" w:cs="Times New Roman" w:eastAsia="Times New Roman" w:hAnsi="Times New Roman"/>
          <w:sz w:val="14"/>
          <w:szCs w:val="14"/>
          <w:color w:val="auto"/>
        </w:rPr>
        <w:t>” included in our Annual Report.</w:t>
      </w:r>
    </w:p>
    <w:p>
      <w:pPr>
        <w:spacing w:after="0" w:line="69" w:lineRule="exact"/>
        <w:rPr>
          <w:sz w:val="20"/>
          <w:szCs w:val="20"/>
          <w:color w:val="auto"/>
        </w:rPr>
      </w:pPr>
    </w:p>
    <w:p>
      <w:pPr>
        <w:ind w:left="1480" w:right="439"/>
        <w:spacing w:after="0" w:line="250" w:lineRule="auto"/>
        <w:rPr>
          <w:sz w:val="20"/>
          <w:szCs w:val="20"/>
          <w:color w:val="auto"/>
        </w:rPr>
      </w:pPr>
      <w:r>
        <w:rPr>
          <w:rFonts w:ascii="Times New Roman" w:cs="Times New Roman" w:eastAsia="Times New Roman" w:hAnsi="Times New Roman"/>
          <w:sz w:val="14"/>
          <w:szCs w:val="14"/>
          <w:color w:val="auto"/>
        </w:rPr>
        <w:t>Notwithstanding the conclusion by our Chief Executive Officer and Chief Financial Officer that our disclosure controls and procedures as of March 31, 2022 were not effective, and notwithstanding the identified material weaknesses, management, including our Chief Executive Officer and Chief Financial Officer, believes the condensed consolidated financial statements included in this Form 10-Q fairly represent in all material respects our financial condition, results of operations and cash flows at and for the periods presented in accordance with U.S. GAAP.</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Remediation</w:t>
      </w:r>
    </w:p>
    <w:p>
      <w:pPr>
        <w:spacing w:after="0" w:line="88" w:lineRule="exact"/>
        <w:rPr>
          <w:sz w:val="20"/>
          <w:szCs w:val="20"/>
          <w:color w:val="auto"/>
        </w:rPr>
      </w:pPr>
    </w:p>
    <w:p>
      <w:pPr>
        <w:ind w:left="1480" w:right="359"/>
        <w:spacing w:after="0" w:line="305" w:lineRule="auto"/>
        <w:rPr>
          <w:sz w:val="20"/>
          <w:szCs w:val="20"/>
          <w:color w:val="auto"/>
        </w:rPr>
      </w:pPr>
      <w:r>
        <w:rPr>
          <w:rFonts w:ascii="Times New Roman" w:cs="Times New Roman" w:eastAsia="Times New Roman" w:hAnsi="Times New Roman"/>
          <w:sz w:val="12"/>
          <w:szCs w:val="12"/>
          <w:color w:val="auto"/>
        </w:rPr>
        <w:t>Management intends to implement remediation steps to improve our disclosure controls and procedures and our internal control over financial reporting. Specifically, we intend to expand and improve our review process for complex securities and related accounting standards. We have improved this process by enhancing access to accounting literature, identification of third-party professionals with whom to consult regarding complex accounting applications and consideration of additional staff with the requisite experience and training to supplement existing accounting professionals.</w:t>
      </w:r>
    </w:p>
    <w:p>
      <w:pPr>
        <w:spacing w:after="0" w:line="19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88" w:lineRule="exact"/>
        <w:rPr>
          <w:sz w:val="20"/>
          <w:szCs w:val="20"/>
          <w:color w:val="auto"/>
        </w:rPr>
      </w:pPr>
    </w:p>
    <w:p>
      <w:pPr>
        <w:ind w:left="1480" w:right="639"/>
        <w:spacing w:after="0" w:line="264"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during the quarter ended March 31, 2022 that have materially affected, or are reasonably likely to materially affect, our internal control over financial reporting.</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0159"/>
          </w:cols>
          <w:pgMar w:left="300" w:top="399" w:right="1440" w:bottom="1440" w:gutter="0" w:footer="0" w:header="0"/>
        </w:sectPr>
      </w:pPr>
    </w:p>
    <w:bookmarkStart w:id="60" w:name="page61"/>
    <w:bookmarkEnd w:id="60"/>
    <w:p>
      <w:pPr>
        <w:spacing w:after="0" w:line="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4075" cy="450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88" w:lineRule="exact"/>
        <w:rPr>
          <w:sz w:val="20"/>
          <w:szCs w:val="20"/>
          <w:color w:val="auto"/>
        </w:rPr>
      </w:pPr>
    </w:p>
    <w:p>
      <w:pPr>
        <w:ind w:left="1480" w:right="959"/>
        <w:spacing w:after="0" w:line="264" w:lineRule="auto"/>
        <w:rPr>
          <w:sz w:val="20"/>
          <w:szCs w:val="20"/>
          <w:color w:val="auto"/>
        </w:rPr>
      </w:pPr>
      <w:r>
        <w:rPr>
          <w:rFonts w:ascii="Times New Roman" w:cs="Times New Roman" w:eastAsia="Times New Roman" w:hAnsi="Times New Roman"/>
          <w:sz w:val="14"/>
          <w:szCs w:val="14"/>
          <w:color w:val="auto"/>
        </w:rPr>
        <w:t>For a description of our material pending legal proceedings, please see Note 15 Commitments and Contingencies, to the unaudited condensed consolidated financial statements included elsewhere in this report.</w:t>
      </w:r>
    </w:p>
    <w:p>
      <w:pPr>
        <w:spacing w:after="0" w:line="136" w:lineRule="exact"/>
        <w:rPr>
          <w:sz w:val="20"/>
          <w:szCs w:val="20"/>
          <w:color w:val="auto"/>
        </w:rPr>
      </w:pPr>
    </w:p>
    <w:p>
      <w:pPr>
        <w:ind w:left="1480" w:right="559"/>
        <w:spacing w:after="0" w:line="250" w:lineRule="auto"/>
        <w:rPr>
          <w:sz w:val="20"/>
          <w:szCs w:val="20"/>
          <w:color w:val="auto"/>
        </w:rPr>
      </w:pPr>
      <w:r>
        <w:rPr>
          <w:rFonts w:ascii="Times New Roman" w:cs="Times New Roman" w:eastAsia="Times New Roman" w:hAnsi="Times New Roman"/>
          <w:sz w:val="14"/>
          <w:szCs w:val="14"/>
          <w:color w:val="auto"/>
        </w:rPr>
        <w:t>From time to time, we may become involved in legal proceedings arising in the ordinary course of business.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and reputational harm and other factors.</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Item 1A. Risk Factors (As Restated)</w:t>
      </w:r>
    </w:p>
    <w:p>
      <w:pPr>
        <w:spacing w:after="0" w:line="88" w:lineRule="exact"/>
        <w:rPr>
          <w:sz w:val="20"/>
          <w:szCs w:val="20"/>
          <w:color w:val="auto"/>
        </w:rPr>
      </w:pPr>
    </w:p>
    <w:p>
      <w:pPr>
        <w:ind w:left="1480" w:right="379"/>
        <w:spacing w:after="0" w:line="248" w:lineRule="auto"/>
        <w:rPr>
          <w:sz w:val="20"/>
          <w:szCs w:val="20"/>
          <w:color w:val="auto"/>
        </w:rPr>
      </w:pPr>
      <w:r>
        <w:rPr>
          <w:rFonts w:ascii="Times New Roman" w:cs="Times New Roman" w:eastAsia="Times New Roman" w:hAnsi="Times New Roman"/>
          <w:sz w:val="14"/>
          <w:szCs w:val="14"/>
          <w:color w:val="auto"/>
        </w:rPr>
        <w:t>As of the date of this Quarterly Report on Form 10-Q, there have been no material changes to the risk factors disclosed in in our Annual Report for the year ended December 31, 2021 filed with the SEC on March 25, 2022. Any of these factors could result in a significant or material adverse effect on our results of operations or financial condition. Additional risk factors not presently known to us or that we currently deem immaterial may also impair our business or results of operations. We may disclose changes to such risk factors or disclose additional risk factors from time to time in our future filings with the SEC, including as set forth below.</w:t>
      </w:r>
    </w:p>
    <w:p>
      <w:pPr>
        <w:spacing w:after="0" w:line="2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The issuance of shares of our Common Stock pursuant to our Note may result in significant dilution to our stockholders.</w:t>
      </w:r>
    </w:p>
    <w:p>
      <w:pPr>
        <w:spacing w:after="0" w:line="88" w:lineRule="exact"/>
        <w:rPr>
          <w:sz w:val="20"/>
          <w:szCs w:val="20"/>
          <w:color w:val="auto"/>
        </w:rPr>
      </w:pPr>
    </w:p>
    <w:p>
      <w:pPr>
        <w:ind w:left="1480" w:right="359"/>
        <w:spacing w:after="0" w:line="246" w:lineRule="auto"/>
        <w:rPr>
          <w:sz w:val="20"/>
          <w:szCs w:val="20"/>
          <w:color w:val="auto"/>
        </w:rPr>
      </w:pPr>
      <w:r>
        <w:rPr>
          <w:rFonts w:ascii="Times New Roman" w:cs="Times New Roman" w:eastAsia="Times New Roman" w:hAnsi="Times New Roman"/>
          <w:sz w:val="14"/>
          <w:szCs w:val="14"/>
          <w:color w:val="auto"/>
        </w:rPr>
        <w:t>On March 21, 2022, Dave entered into a Convertible Note Purchase Agreement (“Purchase Agreement”) with FTX Ventures Ltd., owner and operator of FTX US (the “Purchaser”), providing for the purchase and sale of a Convertible Note in the initial principal amount of $100.0 million (the “Note”). The conversion of the Note could result in the issuance of a significant number of shares of our Common Stock. Currently, the $100.0 million principal amount of the Note is convertible, at the option of the Purchaser, at a price of $10.00 per share, which would result in the issuance of 10,000,000 shares of Common Stock upon its conversion in full. The Conversion Price of the Note is subject to adjustment for stock splits, dividends or distributions, recapitalizations, spinoffs or similar transactions. Conversion of the full initial principal amount of the Note would result in the issuance of 10,000,000 shares of Common Stock if converted at $10.00 per share, which amount is subject to increase by any interest paid in kind that is added to the outstanding principal under the terms of the Note.</w:t>
      </w:r>
    </w:p>
    <w:p>
      <w:pPr>
        <w:spacing w:after="0" w:line="6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color w:val="auto"/>
        </w:rPr>
        <w:t>Any conversion of the Note may result in significant dilution to our stockholders and could negatively impact the trading price of our Common Stock.</w:t>
      </w:r>
    </w:p>
    <w:p>
      <w:pPr>
        <w:spacing w:after="0" w:line="267" w:lineRule="exact"/>
        <w:rPr>
          <w:sz w:val="20"/>
          <w:szCs w:val="20"/>
          <w:color w:val="auto"/>
        </w:rPr>
      </w:pPr>
    </w:p>
    <w:p>
      <w:pPr>
        <w:ind w:left="1480" w:right="69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Purchaser has certain additional rights upon an event of default under the Note, which could harm our business, financial condition, and results of operations and could require us to reduce or cease or operations.</w:t>
      </w:r>
    </w:p>
    <w:p>
      <w:pPr>
        <w:spacing w:after="0" w:line="50" w:lineRule="exact"/>
        <w:rPr>
          <w:sz w:val="20"/>
          <w:szCs w:val="20"/>
          <w:color w:val="auto"/>
        </w:rPr>
      </w:pPr>
    </w:p>
    <w:p>
      <w:pPr>
        <w:jc w:val="both"/>
        <w:ind w:left="1480" w:right="379"/>
        <w:spacing w:after="0" w:line="305" w:lineRule="auto"/>
        <w:rPr>
          <w:sz w:val="20"/>
          <w:szCs w:val="20"/>
          <w:color w:val="auto"/>
        </w:rPr>
      </w:pPr>
      <w:r>
        <w:rPr>
          <w:rFonts w:ascii="Times New Roman" w:cs="Times New Roman" w:eastAsia="Times New Roman" w:hAnsi="Times New Roman"/>
          <w:sz w:val="12"/>
          <w:szCs w:val="12"/>
          <w:color w:val="auto"/>
        </w:rPr>
        <w:t>Under the Note, the Purchaser has certain rights upon an event of default. In the event of any event of default, the Company must accelerate its payment of the principal amount of the Note and must pay all reasonable attorneys’ fees and costs incurred by the Purchaser in enforcing its rights under the Note and collecting any amounts due and payable under the Note. The exercise of these rights upon an event of default could substantially harm our financial condition, substantially dilute our other shareholders and force us to reduce or cease operations and you may lose all or part of your investment.</w:t>
      </w:r>
    </w:p>
    <w:p>
      <w:pPr>
        <w:spacing w:after="0" w:line="193" w:lineRule="exact"/>
        <w:rPr>
          <w:sz w:val="20"/>
          <w:szCs w:val="20"/>
          <w:color w:val="auto"/>
        </w:rPr>
      </w:pPr>
    </w:p>
    <w:p>
      <w:pPr>
        <w:jc w:val="both"/>
        <w:ind w:left="1480" w:right="399"/>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Dave identified material weaknesses in its internal control over financial reporting in its audited financial statements for the years ended December 31, 2021 and 2020 and in its unaudited condensed financial statements for the three months ended March 31, 2022 and March 31, 2021. If Dave is unable to remediate these material weaknesses, or if it identifies additional material weaknesses in the future or otherwise fails to maintain effective internal control over financial reporting, it may not be able to accurately or timely report its financial condition or results of operations, which may adversely affect Dave’s business and share price.</w:t>
      </w:r>
    </w:p>
    <w:p>
      <w:pPr>
        <w:spacing w:after="0" w:line="64" w:lineRule="exact"/>
        <w:rPr>
          <w:sz w:val="20"/>
          <w:szCs w:val="20"/>
          <w:color w:val="auto"/>
        </w:rPr>
      </w:pPr>
    </w:p>
    <w:p>
      <w:pPr>
        <w:ind w:left="1480" w:right="399"/>
        <w:spacing w:after="0" w:line="246" w:lineRule="auto"/>
        <w:rPr>
          <w:sz w:val="20"/>
          <w:szCs w:val="20"/>
          <w:color w:val="auto"/>
        </w:rPr>
      </w:pPr>
      <w:r>
        <w:rPr>
          <w:rFonts w:ascii="Times New Roman" w:cs="Times New Roman" w:eastAsia="Times New Roman" w:hAnsi="Times New Roman"/>
          <w:sz w:val="14"/>
          <w:szCs w:val="14"/>
          <w:color w:val="auto"/>
        </w:rPr>
        <w:t>In connection with the preparation and audits of Dave’s consolidated financial statements for the years ended December 31, 2021 and 2020, material weaknesses were identified in Dave’s internal control over financial reporting. Additionally, we determined that we had additional material weaknesses in internal control over financial reporting, namely that [our review control over the accuracy of our accounting treatment of the Company’s member advances and earnout shares did not operate effectively], resulting in a restatement of our audited financial statements for the years ended December 31, 2021 and 2020 and our unaudited condensed financial statements as of and for the three months ended March 31, 2022 and 2021. A material weakness is a deficiency, or combination of deficiencies, in internal control over financial reporting such that there is a reasonable possibility that a material misstatement of its annual or interim consolidated financial statements will not be prevented or detected on a timely basis. The following have been identified as material weaknesses in addition to the material weaknesses described above:</w:t>
      </w:r>
    </w:p>
    <w:p>
      <w:pPr>
        <w:spacing w:after="0" w:line="79" w:lineRule="exact"/>
        <w:rPr>
          <w:sz w:val="20"/>
          <w:szCs w:val="20"/>
          <w:color w:val="auto"/>
        </w:rPr>
      </w:pPr>
    </w:p>
    <w:p>
      <w:pPr>
        <w:ind w:left="2220" w:right="359" w:hanging="334"/>
        <w:spacing w:after="0" w:line="247" w:lineRule="auto"/>
        <w:tabs>
          <w:tab w:leader="none" w:pos="22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Dave did not design and maintain certain formal accounting policies, procedures, and internal controls to achieve complete, accurate and timely financial accounting, reporting and disclosures, including internal controls over the period-end financial reporting process addressing financial statement and footnote presentation and disclosures, account reconciliations, and journal entries. Additionally, the lack of a sufficient number of accounting and finance professionals resulted in an inability to consistently establish appropriate authorities and responsibilities in pursuit of Dave’s financial reporting objectives, as demonstrated by, amongst other things, insufficient segregation of duties within the finance and accounting functions.</w:t>
      </w:r>
    </w:p>
    <w:p>
      <w:pPr>
        <w:spacing w:after="0" w:line="78" w:lineRule="exact"/>
        <w:rPr>
          <w:rFonts w:ascii="Times New Roman" w:cs="Times New Roman" w:eastAsia="Times New Roman" w:hAnsi="Times New Roman"/>
          <w:sz w:val="14"/>
          <w:szCs w:val="14"/>
          <w:color w:val="auto"/>
        </w:rPr>
      </w:pPr>
    </w:p>
    <w:p>
      <w:pPr>
        <w:ind w:left="2220" w:right="399" w:hanging="334"/>
        <w:spacing w:after="0" w:line="247" w:lineRule="auto"/>
        <w:tabs>
          <w:tab w:leader="none" w:pos="22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Dave did not design and maintain effective controls over information technology (“IT”) general controls for information systems that are relevant to the preparation of its financial statements, specifically, with respect to: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and (iii) computer operations controls to ensure that critical batch jobs are monitored and data backups are authorized and monitored.</w:t>
      </w:r>
    </w:p>
    <w:p>
      <w:pPr>
        <w:spacing w:after="0" w:line="150" w:lineRule="exact"/>
        <w:rPr>
          <w:sz w:val="20"/>
          <w:szCs w:val="20"/>
          <w:color w:val="auto"/>
        </w:rPr>
      </w:pPr>
    </w:p>
    <w:p>
      <w:pPr>
        <w:ind w:left="1480" w:right="499"/>
        <w:spacing w:after="0" w:line="247" w:lineRule="auto"/>
        <w:rPr>
          <w:sz w:val="20"/>
          <w:szCs w:val="20"/>
          <w:color w:val="auto"/>
        </w:rPr>
      </w:pPr>
      <w:r>
        <w:rPr>
          <w:rFonts w:ascii="Times New Roman" w:cs="Times New Roman" w:eastAsia="Times New Roman" w:hAnsi="Times New Roman"/>
          <w:sz w:val="14"/>
          <w:szCs w:val="14"/>
          <w:color w:val="auto"/>
        </w:rPr>
        <w:t>Dave is implementing a plan to remediate the material weaknesses described above. Those remediation measures are ongoing and include (i) hiring additional accounting and IT personnel to bolster its technical reporting, transactional accounting and IT capabilities; (ii) designing and implementing controls to formalize roles and review responsibilities and designing and implementing formal controls over segregation of duties; (iii) designing and implementing formal processes, accounting policies, procedures, and controls supporting Dave’s financial close process, including creating standard balance sheet reconciliation templates and journal entry controls; (iv) designing and implementing IT general controls, including controls over change management, the review and update of user access rights and privileges and computer operations controls; and (v) redesigning its internal controls around the allowance for unrecoverable advances to detect and prevent future errors.</w:t>
      </w:r>
    </w:p>
    <w:p>
      <w:pPr>
        <w:spacing w:after="0" w:line="147" w:lineRule="exact"/>
        <w:rPr>
          <w:sz w:val="20"/>
          <w:szCs w:val="20"/>
          <w:color w:val="auto"/>
        </w:rPr>
      </w:pPr>
    </w:p>
    <w:p>
      <w:pPr>
        <w:ind w:left="1480" w:right="399"/>
        <w:spacing w:after="0" w:line="245" w:lineRule="auto"/>
        <w:rPr>
          <w:sz w:val="20"/>
          <w:szCs w:val="20"/>
          <w:color w:val="auto"/>
        </w:rPr>
      </w:pPr>
      <w:r>
        <w:rPr>
          <w:rFonts w:ascii="Times New Roman" w:cs="Times New Roman" w:eastAsia="Times New Roman" w:hAnsi="Times New Roman"/>
          <w:sz w:val="14"/>
          <w:szCs w:val="14"/>
          <w:color w:val="auto"/>
        </w:rPr>
        <w:t>While Dave believes these efforts will remediate the material weaknesses, Dave may not be able to complete its evaluation, testing or any required remediation in a timely fashion, or at all. Dave cannot assure you that the measures it has taken to date and may take in the future will be sufficient to remediate the control deficiencies that led to its material weaknesses in internal control over financial reporting or that they will prevent or avoid potential future material weaknesses. The effectiveness of Dave’s internal control over financial reporting is subject to various inherent limitations, including cost limitations, judgments used in decision making, assumptions about the likelihood of future events, the possibility of human error and the risk of fraud. If Dave is unable to remediate the material weaknesses or identifies additional material weakness in the future, Dave’s ability to record, process and report financial information accurately, and to prepare financial statements within the time periods specified by the forms of the SEC, could be adversely affected which, in turn, to may adversely affect Dave’s reputation and business and the market price of the Company. In addition, any such failures could result in litigation or regulatory actions by the SEC or other regulatory authorities, loss of investor confidence, delisting of Dave’s securities and harm to Dave’s reputation and financial condition, or diversion of financial and management resources from the operation of Dave’s business.</w:t>
      </w:r>
    </w:p>
    <w:p>
      <w:pPr>
        <w:spacing w:after="0" w:line="2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None.</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None.</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ectPr>
          <w:pgSz w:w="11900" w:h="16855" w:orient="portrait"/>
          <w:cols w:equalWidth="0" w:num="1">
            <w:col w:w="10159"/>
          </w:cols>
          <w:pgMar w:left="300" w:top="399" w:right="1440" w:bottom="0" w:gutter="0" w:footer="0" w:header="0"/>
        </w:sectPr>
      </w:pPr>
    </w:p>
    <w:bookmarkStart w:id="61" w:name="page62"/>
    <w:bookmarkEnd w:id="61"/>
    <w:p>
      <w:pPr>
        <w:ind w:left="340"/>
        <w:spacing w:after="0"/>
        <w:rPr>
          <w:sz w:val="20"/>
          <w:szCs w:val="20"/>
          <w:color w:val="auto"/>
        </w:rPr>
      </w:pPr>
      <w:r>
        <w:rPr>
          <w:rFonts w:ascii="Times New Roman" w:cs="Times New Roman" w:eastAsia="Times New Roman" w:hAnsi="Times New Roman"/>
          <w:sz w:val="14"/>
          <w:szCs w:val="14"/>
          <w:color w:val="auto"/>
        </w:rPr>
        <w:t>None.</w:t>
      </w: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None.</w:t>
      </w: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88" w:lineRule="exact"/>
        <w:rPr>
          <w:sz w:val="20"/>
          <w:szCs w:val="20"/>
          <w:color w:val="auto"/>
        </w:rPr>
      </w:pPr>
    </w:p>
    <w:p>
      <w:pPr>
        <w:ind w:left="340" w:right="399"/>
        <w:spacing w:after="0" w:line="264" w:lineRule="auto"/>
        <w:rPr>
          <w:sz w:val="20"/>
          <w:szCs w:val="20"/>
          <w:color w:val="auto"/>
        </w:rPr>
      </w:pPr>
      <w:r>
        <w:rPr>
          <w:rFonts w:ascii="Times New Roman" w:cs="Times New Roman" w:eastAsia="Times New Roman" w:hAnsi="Times New Roman"/>
          <w:sz w:val="14"/>
          <w:szCs w:val="14"/>
          <w:color w:val="auto"/>
        </w:rPr>
        <w:t>Exhibits designated by an asterisk (*) are filed herewith and those designated by two asterisks (**) are furnished herewith; all exhibits not so designated are incorporated by reference to a prior filing as indicated.</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9019"/>
          </w:cols>
          <w:pgMar w:left="1440" w:top="127"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4" w:lineRule="exact"/>
        <w:rPr>
          <w:sz w:val="20"/>
          <w:szCs w:val="20"/>
          <w:color w:val="auto"/>
        </w:rPr>
      </w:pPr>
    </w:p>
    <w:tbl>
      <w:tblPr>
        <w:tblLayout w:type="fixed"/>
        <w:tblInd w:w="1480" w:type="dxa"/>
        <w:tblCellMar>
          <w:top w:w="0" w:type="dxa"/>
          <w:left w:w="0" w:type="dxa"/>
          <w:bottom w:w="0" w:type="dxa"/>
          <w:right w:w="0" w:type="dxa"/>
        </w:tblCellMar>
      </w:tblPr>
      <w:tr>
        <w:trPr>
          <w:trHeight w:val="142"/>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6"/>
              </w:rPr>
              <w:t>Exhibit Number</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20" w:type="dxa"/>
            <w:vAlign w:val="bottom"/>
            <w:tcBorders>
              <w:bottom w:val="single" w:sz="8" w:color="auto"/>
            </w:tcBorders>
            <w:gridSpan w:val="14"/>
          </w:tcPr>
          <w:p>
            <w:pPr>
              <w:ind w:left="32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194"/>
        </w:trPr>
        <w:tc>
          <w:tcPr>
            <w:tcW w:w="760" w:type="dxa"/>
            <w:vAlign w:val="bottom"/>
          </w:tcPr>
          <w:p>
            <w:pPr>
              <w:jc w:val="right"/>
              <w:ind w:right="453"/>
              <w:spacing w:after="0"/>
              <w:rPr>
                <w:sz w:val="20"/>
                <w:szCs w:val="20"/>
                <w:color w:val="auto"/>
              </w:rPr>
            </w:pPr>
            <w:r>
              <w:rPr>
                <w:rFonts w:ascii="Times New Roman" w:cs="Times New Roman" w:eastAsia="Times New Roman" w:hAnsi="Times New Roman"/>
                <w:sz w:val="14"/>
                <w:szCs w:val="14"/>
                <w:color w:val="auto"/>
              </w:rPr>
              <w:t>2.1</w:t>
            </w:r>
          </w:p>
        </w:tc>
        <w:tc>
          <w:tcPr>
            <w:tcW w:w="700" w:type="dxa"/>
            <w:vAlign w:val="bottom"/>
          </w:tcPr>
          <w:p>
            <w:pPr>
              <w:spacing w:after="0"/>
              <w:rPr>
                <w:sz w:val="16"/>
                <w:szCs w:val="16"/>
                <w:color w:val="auto"/>
              </w:rPr>
            </w:pPr>
          </w:p>
        </w:tc>
        <w:tc>
          <w:tcPr>
            <w:tcW w:w="660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w w:val="96"/>
              </w:rPr>
            </w:pPr>
            <w:hyperlink r:id="rId114">
              <w:r>
                <w:rPr>
                  <w:rFonts w:ascii="Times New Roman" w:cs="Times New Roman" w:eastAsia="Times New Roman" w:hAnsi="Times New Roman"/>
                  <w:sz w:val="14"/>
                  <w:szCs w:val="14"/>
                  <w:color w:val="0000EE"/>
                  <w:w w:val="96"/>
                </w:rPr>
                <w:t>Agreement and Plan of Merger, dated as of June 7, 2021, by and among VPC Impact Acquisition Holdings III, Inc., Bear</w:t>
              </w:r>
            </w:hyperlink>
          </w:p>
        </w:tc>
        <w:tc>
          <w:tcPr>
            <w:tcW w:w="280" w:type="dxa"/>
            <w:vAlign w:val="bottom"/>
            <w:gridSpan w:val="4"/>
          </w:tcPr>
          <w:p>
            <w:pPr>
              <w:spacing w:after="0"/>
              <w:rPr>
                <w:sz w:val="16"/>
                <w:szCs w:val="16"/>
                <w:color w:val="auto"/>
              </w:rPr>
            </w:pPr>
          </w:p>
        </w:tc>
      </w:tr>
      <w:tr>
        <w:trPr>
          <w:trHeight w:val="143"/>
        </w:trPr>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60" w:type="dxa"/>
            <w:vAlign w:val="bottom"/>
            <w:tcBorders>
              <w:bottom w:val="single" w:sz="8" w:color="0000EE"/>
            </w:tcBorders>
            <w:gridSpan w:val="12"/>
          </w:tcPr>
          <w:p>
            <w:pPr>
              <w:spacing w:after="0" w:line="143" w:lineRule="exact"/>
              <w:rPr>
                <w:rFonts w:ascii="Times New Roman" w:cs="Times New Roman" w:eastAsia="Times New Roman" w:hAnsi="Times New Roman"/>
                <w:sz w:val="14"/>
                <w:szCs w:val="14"/>
                <w:color w:val="0000EE"/>
                <w:w w:val="97"/>
              </w:rPr>
            </w:pPr>
            <w:hyperlink r:id="rId114">
              <w:r>
                <w:rPr>
                  <w:rFonts w:ascii="Times New Roman" w:cs="Times New Roman" w:eastAsia="Times New Roman" w:hAnsi="Times New Roman"/>
                  <w:sz w:val="14"/>
                  <w:szCs w:val="14"/>
                  <w:color w:val="0000EE"/>
                  <w:w w:val="97"/>
                </w:rPr>
                <w:t>Merger Company I Inc., Bear Merger Company II LLC, and Dave Inc. (incorporated by reference to Exhibit 2.1 to the</w:t>
              </w:r>
            </w:hyperlink>
          </w:p>
        </w:tc>
        <w:tc>
          <w:tcPr>
            <w:tcW w:w="420" w:type="dxa"/>
            <w:vAlign w:val="bottom"/>
            <w:gridSpan w:val="6"/>
          </w:tcPr>
          <w:p>
            <w:pPr>
              <w:spacing w:after="0"/>
              <w:rPr>
                <w:sz w:val="12"/>
                <w:szCs w:val="12"/>
                <w:color w:val="auto"/>
              </w:rPr>
            </w:pPr>
          </w:p>
        </w:tc>
      </w:tr>
      <w:tr>
        <w:trPr>
          <w:trHeight w:val="143"/>
        </w:trPr>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760" w:type="dxa"/>
            <w:vAlign w:val="bottom"/>
            <w:tcBorders>
              <w:bottom w:val="single" w:sz="8" w:color="0000EE"/>
            </w:tcBorders>
            <w:gridSpan w:val="7"/>
          </w:tcPr>
          <w:p>
            <w:pPr>
              <w:spacing w:after="0" w:line="143" w:lineRule="exact"/>
              <w:rPr>
                <w:rFonts w:ascii="Times New Roman" w:cs="Times New Roman" w:eastAsia="Times New Roman" w:hAnsi="Times New Roman"/>
                <w:sz w:val="14"/>
                <w:szCs w:val="14"/>
                <w:color w:val="0000EE"/>
                <w:w w:val="96"/>
              </w:rPr>
            </w:pPr>
            <w:hyperlink r:id="rId114">
              <w:r>
                <w:rPr>
                  <w:rFonts w:ascii="Times New Roman" w:cs="Times New Roman" w:eastAsia="Times New Roman" w:hAnsi="Times New Roman"/>
                  <w:sz w:val="14"/>
                  <w:szCs w:val="14"/>
                  <w:color w:val="0000EE"/>
                  <w:w w:val="96"/>
                </w:rPr>
                <w:t>Company’s Current Report on Form 8-K filed with the Commission on June 10, 2021.)</w:t>
              </w:r>
            </w:hyperlink>
          </w:p>
        </w:tc>
        <w:tc>
          <w:tcPr>
            <w:tcW w:w="2120" w:type="dxa"/>
            <w:vAlign w:val="bottom"/>
            <w:gridSpan w:val="11"/>
          </w:tcPr>
          <w:p>
            <w:pPr>
              <w:spacing w:after="0"/>
              <w:rPr>
                <w:sz w:val="12"/>
                <w:szCs w:val="12"/>
                <w:color w:val="auto"/>
              </w:rPr>
            </w:pPr>
          </w:p>
        </w:tc>
      </w:tr>
      <w:tr>
        <w:trPr>
          <w:trHeight w:val="225"/>
        </w:trPr>
        <w:tc>
          <w:tcPr>
            <w:tcW w:w="760" w:type="dxa"/>
            <w:vAlign w:val="bottom"/>
          </w:tcPr>
          <w:p>
            <w:pPr>
              <w:jc w:val="right"/>
              <w:ind w:right="453"/>
              <w:spacing w:after="0"/>
              <w:rPr>
                <w:sz w:val="20"/>
                <w:szCs w:val="20"/>
                <w:color w:val="auto"/>
              </w:rPr>
            </w:pPr>
            <w:r>
              <w:rPr>
                <w:rFonts w:ascii="Times New Roman" w:cs="Times New Roman" w:eastAsia="Times New Roman" w:hAnsi="Times New Roman"/>
                <w:sz w:val="14"/>
                <w:szCs w:val="14"/>
                <w:color w:val="auto"/>
              </w:rPr>
              <w:t>3.1</w:t>
            </w:r>
          </w:p>
        </w:tc>
        <w:tc>
          <w:tcPr>
            <w:tcW w:w="700" w:type="dxa"/>
            <w:vAlign w:val="bottom"/>
          </w:tcPr>
          <w:p>
            <w:pPr>
              <w:spacing w:after="0"/>
              <w:rPr>
                <w:sz w:val="19"/>
                <w:szCs w:val="19"/>
                <w:color w:val="auto"/>
              </w:rPr>
            </w:pPr>
          </w:p>
        </w:tc>
        <w:tc>
          <w:tcPr>
            <w:tcW w:w="6880" w:type="dxa"/>
            <w:vAlign w:val="bottom"/>
            <w:gridSpan w:val="18"/>
          </w:tcPr>
          <w:p>
            <w:pPr>
              <w:spacing w:after="0"/>
              <w:rPr>
                <w:rFonts w:ascii="Times New Roman" w:cs="Times New Roman" w:eastAsia="Times New Roman" w:hAnsi="Times New Roman"/>
                <w:sz w:val="14"/>
                <w:szCs w:val="14"/>
                <w:color w:val="0000EE"/>
              </w:rPr>
            </w:pPr>
            <w:hyperlink r:id="rId115">
              <w:r>
                <w:rPr>
                  <w:rFonts w:ascii="Times New Roman" w:cs="Times New Roman" w:eastAsia="Times New Roman" w:hAnsi="Times New Roman"/>
                  <w:sz w:val="14"/>
                  <w:szCs w:val="14"/>
                  <w:color w:val="0000EE"/>
                </w:rPr>
                <w:t>Second Amended and Restated Certificate of Incorporation of Dave Inc. (incorporated by reference to Exhibit 3.1 to the</w:t>
              </w:r>
            </w:hyperlink>
          </w:p>
        </w:tc>
      </w:tr>
      <w:tr>
        <w:trPr>
          <w:trHeight w:val="143"/>
        </w:trPr>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540" w:type="dxa"/>
            <w:vAlign w:val="bottom"/>
            <w:tcBorders>
              <w:top w:val="single" w:sz="8" w:color="0000EE"/>
            </w:tcBorders>
            <w:gridSpan w:val="13"/>
          </w:tcPr>
          <w:p>
            <w:pPr>
              <w:spacing w:after="0" w:line="143" w:lineRule="exact"/>
              <w:rPr>
                <w:rFonts w:ascii="Times New Roman" w:cs="Times New Roman" w:eastAsia="Times New Roman" w:hAnsi="Times New Roman"/>
                <w:sz w:val="14"/>
                <w:szCs w:val="14"/>
                <w:color w:val="0000EE"/>
              </w:rPr>
            </w:pPr>
            <w:hyperlink r:id="rId115">
              <w:r>
                <w:rPr>
                  <w:rFonts w:ascii="Times New Roman" w:cs="Times New Roman" w:eastAsia="Times New Roman" w:hAnsi="Times New Roman"/>
                  <w:sz w:val="14"/>
                  <w:szCs w:val="14"/>
                  <w:color w:val="0000EE"/>
                </w:rPr>
                <w:t>Company’s Current Report on Form 8-K filed with the Commission on January 11, 2022.)</w:t>
              </w:r>
            </w:hyperlink>
          </w:p>
        </w:tc>
        <w:tc>
          <w:tcPr>
            <w:tcW w:w="340" w:type="dxa"/>
            <w:vAlign w:val="bottom"/>
            <w:gridSpan w:val="5"/>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760" w:type="dxa"/>
            <w:vAlign w:val="bottom"/>
          </w:tcPr>
          <w:p>
            <w:pPr>
              <w:jc w:val="right"/>
              <w:ind w:right="453"/>
              <w:spacing w:after="0"/>
              <w:rPr>
                <w:sz w:val="20"/>
                <w:szCs w:val="20"/>
                <w:color w:val="auto"/>
              </w:rPr>
            </w:pPr>
            <w:r>
              <w:rPr>
                <w:rFonts w:ascii="Times New Roman" w:cs="Times New Roman" w:eastAsia="Times New Roman" w:hAnsi="Times New Roman"/>
                <w:sz w:val="14"/>
                <w:szCs w:val="14"/>
                <w:color w:val="auto"/>
              </w:rPr>
              <w:t>3.2</w:t>
            </w:r>
          </w:p>
        </w:tc>
        <w:tc>
          <w:tcPr>
            <w:tcW w:w="700" w:type="dxa"/>
            <w:vAlign w:val="bottom"/>
          </w:tcPr>
          <w:p>
            <w:pPr>
              <w:spacing w:after="0"/>
              <w:rPr>
                <w:sz w:val="19"/>
                <w:szCs w:val="19"/>
                <w:color w:val="auto"/>
              </w:rPr>
            </w:pPr>
          </w:p>
        </w:tc>
        <w:tc>
          <w:tcPr>
            <w:tcW w:w="670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w w:val="96"/>
              </w:rPr>
            </w:pPr>
            <w:hyperlink r:id="rId116">
              <w:r>
                <w:rPr>
                  <w:rFonts w:ascii="Times New Roman" w:cs="Times New Roman" w:eastAsia="Times New Roman" w:hAnsi="Times New Roman"/>
                  <w:sz w:val="14"/>
                  <w:szCs w:val="14"/>
                  <w:color w:val="0000EE"/>
                  <w:w w:val="96"/>
                </w:rPr>
                <w:t>Amended and Restated Bylaws of Dave Inc. (incorporated by reference to Exhibit 3.2 to the Company’s Current Report on</w:t>
              </w:r>
            </w:hyperlink>
          </w:p>
        </w:tc>
        <w:tc>
          <w:tcPr>
            <w:tcW w:w="180" w:type="dxa"/>
            <w:vAlign w:val="bottom"/>
            <w:gridSpan w:val="3"/>
          </w:tcPr>
          <w:p>
            <w:pPr>
              <w:spacing w:after="0"/>
              <w:rPr>
                <w:sz w:val="19"/>
                <w:szCs w:val="19"/>
                <w:color w:val="auto"/>
              </w:rPr>
            </w:pPr>
          </w:p>
        </w:tc>
      </w:tr>
      <w:tr>
        <w:trPr>
          <w:trHeight w:val="143"/>
        </w:trPr>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80" w:type="dxa"/>
            <w:vAlign w:val="bottom"/>
            <w:gridSpan w:val="18"/>
          </w:tcPr>
          <w:p>
            <w:pPr>
              <w:spacing w:after="0" w:line="143" w:lineRule="exact"/>
              <w:rPr>
                <w:rFonts w:ascii="Times New Roman" w:cs="Times New Roman" w:eastAsia="Times New Roman" w:hAnsi="Times New Roman"/>
                <w:sz w:val="14"/>
                <w:szCs w:val="14"/>
                <w:color w:val="0000EE"/>
              </w:rPr>
            </w:pPr>
            <w:hyperlink r:id="rId116">
              <w:r>
                <w:rPr>
                  <w:rFonts w:ascii="Times New Roman" w:cs="Times New Roman" w:eastAsia="Times New Roman" w:hAnsi="Times New Roman"/>
                  <w:sz w:val="14"/>
                  <w:szCs w:val="14"/>
                  <w:color w:val="0000EE"/>
                </w:rPr>
                <w:t>Form 8-K filed with the Commission on January 11, 2022.)</w:t>
              </w:r>
            </w:hyperlink>
          </w:p>
        </w:tc>
      </w:tr>
      <w:tr>
        <w:trPr>
          <w:trHeight w:val="20"/>
        </w:trPr>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760" w:type="dxa"/>
            <w:vAlign w:val="bottom"/>
          </w:tcPr>
          <w:p>
            <w:pPr>
              <w:jc w:val="right"/>
              <w:ind w:right="453"/>
              <w:spacing w:after="0"/>
              <w:rPr>
                <w:sz w:val="20"/>
                <w:szCs w:val="20"/>
                <w:color w:val="auto"/>
              </w:rPr>
            </w:pPr>
            <w:r>
              <w:rPr>
                <w:rFonts w:ascii="Times New Roman" w:cs="Times New Roman" w:eastAsia="Times New Roman" w:hAnsi="Times New Roman"/>
                <w:sz w:val="14"/>
                <w:szCs w:val="14"/>
                <w:color w:val="auto"/>
              </w:rPr>
              <w:t>4.1</w:t>
            </w:r>
          </w:p>
        </w:tc>
        <w:tc>
          <w:tcPr>
            <w:tcW w:w="700" w:type="dxa"/>
            <w:vAlign w:val="bottom"/>
          </w:tcPr>
          <w:p>
            <w:pPr>
              <w:spacing w:after="0"/>
              <w:rPr>
                <w:sz w:val="19"/>
                <w:szCs w:val="19"/>
                <w:color w:val="auto"/>
              </w:rPr>
            </w:pPr>
          </w:p>
        </w:tc>
        <w:tc>
          <w:tcPr>
            <w:tcW w:w="6880" w:type="dxa"/>
            <w:vAlign w:val="bottom"/>
            <w:gridSpan w:val="18"/>
          </w:tcPr>
          <w:p>
            <w:pPr>
              <w:spacing w:after="0"/>
              <w:rPr>
                <w:rFonts w:ascii="Times New Roman" w:cs="Times New Roman" w:eastAsia="Times New Roman" w:hAnsi="Times New Roman"/>
                <w:sz w:val="14"/>
                <w:szCs w:val="14"/>
                <w:color w:val="0000EE"/>
              </w:rPr>
            </w:pPr>
            <w:hyperlink r:id="rId117">
              <w:r>
                <w:rPr>
                  <w:rFonts w:ascii="Times New Roman" w:cs="Times New Roman" w:eastAsia="Times New Roman" w:hAnsi="Times New Roman"/>
                  <w:sz w:val="14"/>
                  <w:szCs w:val="14"/>
                  <w:color w:val="0000EE"/>
                </w:rPr>
                <w:t>Convertible Note, dated March 21, 2022, by and between Dave Inc. and FTX Ventures Ltd. (incorporated by reference to</w:t>
              </w:r>
            </w:hyperlink>
          </w:p>
        </w:tc>
      </w:tr>
      <w:tr>
        <w:trPr>
          <w:trHeight w:val="143"/>
        </w:trPr>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40" w:type="dxa"/>
            <w:vAlign w:val="bottom"/>
            <w:tcBorders>
              <w:top w:val="single" w:sz="8" w:color="0000EE"/>
              <w:bottom w:val="single" w:sz="8" w:color="0000EE"/>
            </w:tcBorders>
            <w:gridSpan w:val="9"/>
          </w:tcPr>
          <w:p>
            <w:pPr>
              <w:spacing w:after="0" w:line="143" w:lineRule="exact"/>
              <w:rPr>
                <w:rFonts w:ascii="Times New Roman" w:cs="Times New Roman" w:eastAsia="Times New Roman" w:hAnsi="Times New Roman"/>
                <w:sz w:val="14"/>
                <w:szCs w:val="14"/>
                <w:color w:val="0000EE"/>
                <w:w w:val="96"/>
              </w:rPr>
            </w:pPr>
            <w:hyperlink r:id="rId117">
              <w:r>
                <w:rPr>
                  <w:rFonts w:ascii="Times New Roman" w:cs="Times New Roman" w:eastAsia="Times New Roman" w:hAnsi="Times New Roman"/>
                  <w:sz w:val="14"/>
                  <w:szCs w:val="14"/>
                  <w:color w:val="0000EE"/>
                  <w:w w:val="96"/>
                </w:rPr>
                <w:t>Exhibit 4.1 to the Company’s Current Report on Form 8-K filed with the Commission on March 21, 2022).</w:t>
              </w:r>
            </w:hyperlink>
          </w:p>
        </w:tc>
        <w:tc>
          <w:tcPr>
            <w:tcW w:w="760" w:type="dxa"/>
            <w:vAlign w:val="bottom"/>
            <w:tcBorders>
              <w:top w:val="single" w:sz="8" w:color="0000EE"/>
            </w:tcBorders>
            <w:gridSpan w:val="5"/>
          </w:tcPr>
          <w:p>
            <w:pPr>
              <w:spacing w:after="0"/>
              <w:rPr>
                <w:sz w:val="12"/>
                <w:szCs w:val="12"/>
                <w:color w:val="auto"/>
              </w:rPr>
            </w:pPr>
          </w:p>
        </w:tc>
        <w:tc>
          <w:tcPr>
            <w:tcW w:w="280" w:type="dxa"/>
            <w:vAlign w:val="bottom"/>
            <w:gridSpan w:val="4"/>
          </w:tcPr>
          <w:p>
            <w:pPr>
              <w:spacing w:after="0"/>
              <w:rPr>
                <w:sz w:val="12"/>
                <w:szCs w:val="12"/>
                <w:color w:val="auto"/>
              </w:rPr>
            </w:pPr>
          </w:p>
        </w:tc>
      </w:tr>
      <w:tr>
        <w:trPr>
          <w:trHeight w:val="225"/>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10.10</w:t>
            </w:r>
          </w:p>
        </w:tc>
        <w:tc>
          <w:tcPr>
            <w:tcW w:w="700" w:type="dxa"/>
            <w:vAlign w:val="bottom"/>
          </w:tcPr>
          <w:p>
            <w:pPr>
              <w:spacing w:after="0"/>
              <w:rPr>
                <w:sz w:val="19"/>
                <w:szCs w:val="19"/>
                <w:color w:val="auto"/>
              </w:rPr>
            </w:pPr>
          </w:p>
        </w:tc>
        <w:tc>
          <w:tcPr>
            <w:tcW w:w="636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w w:val="96"/>
              </w:rPr>
            </w:pPr>
            <w:hyperlink r:id="rId118">
              <w:r>
                <w:rPr>
                  <w:rFonts w:ascii="Times New Roman" w:cs="Times New Roman" w:eastAsia="Times New Roman" w:hAnsi="Times New Roman"/>
                  <w:sz w:val="14"/>
                  <w:szCs w:val="14"/>
                  <w:color w:val="0000EE"/>
                  <w:w w:val="96"/>
                </w:rPr>
                <w:t>Convertible Note Purchase Agreement, dated March 21, 2022, by and between the Company and FTX Ventures Ltd.</w:t>
              </w:r>
            </w:hyperlink>
          </w:p>
        </w:tc>
        <w:tc>
          <w:tcPr>
            <w:tcW w:w="520" w:type="dxa"/>
            <w:vAlign w:val="bottom"/>
            <w:gridSpan w:val="8"/>
          </w:tcPr>
          <w:p>
            <w:pPr>
              <w:spacing w:after="0"/>
              <w:rPr>
                <w:sz w:val="19"/>
                <w:szCs w:val="19"/>
                <w:color w:val="auto"/>
              </w:rPr>
            </w:pPr>
          </w:p>
        </w:tc>
      </w:tr>
      <w:tr>
        <w:trPr>
          <w:trHeight w:val="143"/>
        </w:trPr>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80" w:type="dxa"/>
            <w:vAlign w:val="bottom"/>
            <w:gridSpan w:val="18"/>
          </w:tcPr>
          <w:p>
            <w:pPr>
              <w:spacing w:after="0" w:line="143" w:lineRule="exact"/>
              <w:rPr>
                <w:rFonts w:ascii="Times New Roman" w:cs="Times New Roman" w:eastAsia="Times New Roman" w:hAnsi="Times New Roman"/>
                <w:sz w:val="14"/>
                <w:szCs w:val="14"/>
                <w:color w:val="0000EE"/>
              </w:rPr>
            </w:pPr>
            <w:hyperlink r:id="rId118">
              <w:r>
                <w:rPr>
                  <w:rFonts w:ascii="Times New Roman" w:cs="Times New Roman" w:eastAsia="Times New Roman" w:hAnsi="Times New Roman"/>
                  <w:sz w:val="14"/>
                  <w:szCs w:val="14"/>
                  <w:color w:val="0000EE"/>
                </w:rPr>
                <w:t>(incorporated by reference to Exhibit 10.1 to the Company’s Current Report on Form 8-K filed with the Commission on</w:t>
              </w:r>
            </w:hyperlink>
          </w:p>
        </w:tc>
      </w:tr>
      <w:tr>
        <w:trPr>
          <w:trHeight w:val="143"/>
        </w:trPr>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Borders>
              <w:top w:val="single" w:sz="8" w:color="0000EE"/>
              <w:bottom w:val="single" w:sz="8" w:color="0000EE"/>
            </w:tcBorders>
            <w:gridSpan w:val="2"/>
          </w:tcPr>
          <w:p>
            <w:pPr>
              <w:spacing w:after="0" w:line="143" w:lineRule="exact"/>
              <w:rPr>
                <w:rFonts w:ascii="Times New Roman" w:cs="Times New Roman" w:eastAsia="Times New Roman" w:hAnsi="Times New Roman"/>
                <w:sz w:val="14"/>
                <w:szCs w:val="14"/>
                <w:color w:val="0000EE"/>
                <w:w w:val="96"/>
              </w:rPr>
            </w:pPr>
            <w:hyperlink r:id="rId118">
              <w:r>
                <w:rPr>
                  <w:rFonts w:ascii="Times New Roman" w:cs="Times New Roman" w:eastAsia="Times New Roman" w:hAnsi="Times New Roman"/>
                  <w:sz w:val="14"/>
                  <w:szCs w:val="14"/>
                  <w:color w:val="0000EE"/>
                  <w:w w:val="96"/>
                </w:rPr>
                <w:t>March 21, 2022).</w:t>
              </w:r>
            </w:hyperlink>
          </w:p>
        </w:tc>
        <w:tc>
          <w:tcPr>
            <w:tcW w:w="5580" w:type="dxa"/>
            <w:vAlign w:val="bottom"/>
            <w:tcBorders>
              <w:top w:val="single" w:sz="8" w:color="0000EE"/>
            </w:tcBorders>
            <w:gridSpan w:val="11"/>
          </w:tcPr>
          <w:p>
            <w:pPr>
              <w:spacing w:after="0"/>
              <w:rPr>
                <w:sz w:val="12"/>
                <w:szCs w:val="12"/>
                <w:color w:val="auto"/>
              </w:rPr>
            </w:pPr>
          </w:p>
        </w:tc>
        <w:tc>
          <w:tcPr>
            <w:tcW w:w="340" w:type="dxa"/>
            <w:vAlign w:val="bottom"/>
            <w:gridSpan w:val="5"/>
          </w:tcPr>
          <w:p>
            <w:pPr>
              <w:spacing w:after="0"/>
              <w:rPr>
                <w:sz w:val="12"/>
                <w:szCs w:val="12"/>
                <w:color w:val="auto"/>
              </w:rPr>
            </w:pPr>
          </w:p>
        </w:tc>
      </w:tr>
      <w:tr>
        <w:trPr>
          <w:trHeight w:val="225"/>
        </w:trPr>
        <w:tc>
          <w:tcPr>
            <w:tcW w:w="760" w:type="dxa"/>
            <w:vAlign w:val="bottom"/>
          </w:tcPr>
          <w:p>
            <w:pPr>
              <w:jc w:val="right"/>
              <w:ind w:right="393"/>
              <w:spacing w:after="0"/>
              <w:rPr>
                <w:sz w:val="20"/>
                <w:szCs w:val="20"/>
                <w:color w:val="auto"/>
              </w:rPr>
            </w:pPr>
            <w:r>
              <w:rPr>
                <w:rFonts w:ascii="Times New Roman" w:cs="Times New Roman" w:eastAsia="Times New Roman" w:hAnsi="Times New Roman"/>
                <w:sz w:val="14"/>
                <w:szCs w:val="14"/>
                <w:color w:val="auto"/>
                <w:w w:val="88"/>
              </w:rPr>
              <w:t>31.1*</w:t>
            </w:r>
          </w:p>
        </w:tc>
        <w:tc>
          <w:tcPr>
            <w:tcW w:w="700" w:type="dxa"/>
            <w:vAlign w:val="bottom"/>
          </w:tcPr>
          <w:p>
            <w:pPr>
              <w:spacing w:after="0"/>
              <w:rPr>
                <w:sz w:val="19"/>
                <w:szCs w:val="19"/>
                <w:color w:val="auto"/>
              </w:rPr>
            </w:pPr>
          </w:p>
        </w:tc>
        <w:tc>
          <w:tcPr>
            <w:tcW w:w="64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4"/>
                <w:szCs w:val="14"/>
                <w:color w:val="0000EE"/>
                <w:w w:val="97"/>
              </w:rPr>
              <w:t>Certification of the Chief Executive Officer pursuant to Rule 13a-14(a) under the Securities Exchange Act of 1934, as</w:t>
            </w:r>
          </w:p>
        </w:tc>
        <w:tc>
          <w:tcPr>
            <w:tcW w:w="440" w:type="dxa"/>
            <w:vAlign w:val="bottom"/>
            <w:gridSpan w:val="7"/>
          </w:tcPr>
          <w:p>
            <w:pPr>
              <w:spacing w:after="0"/>
              <w:rPr>
                <w:sz w:val="19"/>
                <w:szCs w:val="19"/>
                <w:color w:val="auto"/>
              </w:rPr>
            </w:pPr>
          </w:p>
        </w:tc>
      </w:tr>
      <w:tr>
        <w:trPr>
          <w:trHeight w:val="143"/>
        </w:trPr>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80" w:type="dxa"/>
            <w:vAlign w:val="bottom"/>
            <w:gridSpan w:val="18"/>
          </w:tcPr>
          <w:p>
            <w:pPr>
              <w:spacing w:after="0" w:line="143" w:lineRule="exact"/>
              <w:rPr>
                <w:sz w:val="20"/>
                <w:szCs w:val="20"/>
                <w:color w:val="auto"/>
              </w:rPr>
            </w:pPr>
            <w:r>
              <w:rPr>
                <w:rFonts w:ascii="Times New Roman" w:cs="Times New Roman" w:eastAsia="Times New Roman" w:hAnsi="Times New Roman"/>
                <w:sz w:val="14"/>
                <w:szCs w:val="14"/>
                <w:color w:val="0000EE"/>
              </w:rPr>
              <w:t>adopted pursuant to §302 of the Sarbanes-Oxley Act of 2002</w:t>
            </w:r>
          </w:p>
        </w:tc>
      </w:tr>
      <w:tr>
        <w:trPr>
          <w:trHeight w:val="20"/>
        </w:trPr>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8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760" w:type="dxa"/>
            <w:vAlign w:val="bottom"/>
          </w:tcPr>
          <w:p>
            <w:pPr>
              <w:jc w:val="right"/>
              <w:ind w:right="393"/>
              <w:spacing w:after="0"/>
              <w:rPr>
                <w:sz w:val="20"/>
                <w:szCs w:val="20"/>
                <w:color w:val="auto"/>
              </w:rPr>
            </w:pPr>
            <w:r>
              <w:rPr>
                <w:rFonts w:ascii="Times New Roman" w:cs="Times New Roman" w:eastAsia="Times New Roman" w:hAnsi="Times New Roman"/>
                <w:sz w:val="14"/>
                <w:szCs w:val="14"/>
                <w:color w:val="auto"/>
                <w:w w:val="88"/>
              </w:rPr>
              <w:t>31.2*</w:t>
            </w:r>
          </w:p>
        </w:tc>
        <w:tc>
          <w:tcPr>
            <w:tcW w:w="700" w:type="dxa"/>
            <w:vAlign w:val="bottom"/>
          </w:tcPr>
          <w:p>
            <w:pPr>
              <w:spacing w:after="0"/>
              <w:rPr>
                <w:sz w:val="19"/>
                <w:szCs w:val="19"/>
                <w:color w:val="auto"/>
              </w:rPr>
            </w:pPr>
          </w:p>
        </w:tc>
        <w:tc>
          <w:tcPr>
            <w:tcW w:w="68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4"/>
                <w:szCs w:val="14"/>
                <w:color w:val="0000EE"/>
                <w:w w:val="97"/>
              </w:rPr>
              <w:t>Certification of the Chief Financial Officer pursuant to Rule 13a-14(a) under the Securities Exchange Act of 1934, as adopted</w:t>
            </w:r>
          </w:p>
        </w:tc>
        <w:tc>
          <w:tcPr>
            <w:tcW w:w="20" w:type="dxa"/>
            <w:vAlign w:val="bottom"/>
          </w:tcPr>
          <w:p>
            <w:pPr>
              <w:spacing w:after="0"/>
              <w:rPr>
                <w:sz w:val="19"/>
                <w:szCs w:val="19"/>
                <w:color w:val="auto"/>
              </w:rPr>
            </w:pPr>
          </w:p>
        </w:tc>
      </w:tr>
      <w:tr>
        <w:trPr>
          <w:trHeight w:val="143"/>
        </w:trPr>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60" w:type="dxa"/>
            <w:vAlign w:val="bottom"/>
            <w:tcBorders>
              <w:bottom w:val="single" w:sz="8" w:color="0000EE"/>
            </w:tcBorders>
            <w:gridSpan w:val="4"/>
          </w:tcPr>
          <w:p>
            <w:pPr>
              <w:spacing w:after="0" w:line="143" w:lineRule="exact"/>
              <w:rPr>
                <w:sz w:val="20"/>
                <w:szCs w:val="20"/>
                <w:color w:val="auto"/>
              </w:rPr>
            </w:pPr>
            <w:r>
              <w:rPr>
                <w:rFonts w:ascii="Times New Roman" w:cs="Times New Roman" w:eastAsia="Times New Roman" w:hAnsi="Times New Roman"/>
                <w:sz w:val="14"/>
                <w:szCs w:val="14"/>
                <w:color w:val="0000EE"/>
                <w:w w:val="96"/>
              </w:rPr>
              <w:t>pursuant to §302 of the Sarbanes-Oxley Act of 2002</w:t>
            </w:r>
          </w:p>
        </w:tc>
        <w:tc>
          <w:tcPr>
            <w:tcW w:w="4020" w:type="dxa"/>
            <w:vAlign w:val="bottom"/>
            <w:gridSpan w:val="14"/>
          </w:tcPr>
          <w:p>
            <w:pPr>
              <w:spacing w:after="0"/>
              <w:rPr>
                <w:sz w:val="12"/>
                <w:szCs w:val="12"/>
                <w:color w:val="auto"/>
              </w:rPr>
            </w:pPr>
          </w:p>
        </w:tc>
      </w:tr>
      <w:tr>
        <w:trPr>
          <w:trHeight w:val="225"/>
        </w:trPr>
        <w:tc>
          <w:tcPr>
            <w:tcW w:w="760" w:type="dxa"/>
            <w:vAlign w:val="bottom"/>
          </w:tcPr>
          <w:p>
            <w:pPr>
              <w:jc w:val="right"/>
              <w:ind w:right="313"/>
              <w:spacing w:after="0"/>
              <w:rPr>
                <w:sz w:val="20"/>
                <w:szCs w:val="20"/>
                <w:color w:val="auto"/>
              </w:rPr>
            </w:pPr>
            <w:r>
              <w:rPr>
                <w:rFonts w:ascii="Times New Roman" w:cs="Times New Roman" w:eastAsia="Times New Roman" w:hAnsi="Times New Roman"/>
                <w:sz w:val="14"/>
                <w:szCs w:val="14"/>
                <w:color w:val="auto"/>
                <w:w w:val="93"/>
              </w:rPr>
              <w:t>32.1**</w:t>
            </w:r>
          </w:p>
        </w:tc>
        <w:tc>
          <w:tcPr>
            <w:tcW w:w="700" w:type="dxa"/>
            <w:vAlign w:val="bottom"/>
          </w:tcPr>
          <w:p>
            <w:pPr>
              <w:spacing w:after="0"/>
              <w:rPr>
                <w:sz w:val="19"/>
                <w:szCs w:val="19"/>
                <w:color w:val="auto"/>
              </w:rPr>
            </w:pPr>
          </w:p>
        </w:tc>
        <w:tc>
          <w:tcPr>
            <w:tcW w:w="68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4"/>
                <w:szCs w:val="14"/>
                <w:color w:val="0000EE"/>
                <w:w w:val="97"/>
              </w:rPr>
              <w:t>Certification of the Chief Executive Officer and Chief Financial Officer pursuant to 18 U.S.C. §1350, as adopted pursuant to</w:t>
            </w:r>
          </w:p>
        </w:tc>
        <w:tc>
          <w:tcPr>
            <w:tcW w:w="80" w:type="dxa"/>
            <w:vAlign w:val="bottom"/>
            <w:gridSpan w:val="2"/>
          </w:tcPr>
          <w:p>
            <w:pPr>
              <w:spacing w:after="0"/>
              <w:rPr>
                <w:sz w:val="19"/>
                <w:szCs w:val="19"/>
                <w:color w:val="auto"/>
              </w:rPr>
            </w:pPr>
          </w:p>
        </w:tc>
      </w:tr>
      <w:tr>
        <w:trPr>
          <w:trHeight w:val="143"/>
        </w:trPr>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20" w:type="dxa"/>
            <w:vAlign w:val="bottom"/>
            <w:tcBorders>
              <w:bottom w:val="single" w:sz="8" w:color="0000EE"/>
            </w:tcBorders>
            <w:gridSpan w:val="3"/>
          </w:tcPr>
          <w:p>
            <w:pPr>
              <w:spacing w:after="0" w:line="143" w:lineRule="exact"/>
              <w:rPr>
                <w:sz w:val="20"/>
                <w:szCs w:val="20"/>
                <w:color w:val="auto"/>
              </w:rPr>
            </w:pPr>
            <w:r>
              <w:rPr>
                <w:rFonts w:ascii="Times New Roman" w:cs="Times New Roman" w:eastAsia="Times New Roman" w:hAnsi="Times New Roman"/>
                <w:sz w:val="14"/>
                <w:szCs w:val="14"/>
                <w:color w:val="0000EE"/>
                <w:w w:val="96"/>
              </w:rPr>
              <w:t>§906 of the Sarbanes-Oxley Act of 2002</w:t>
            </w:r>
          </w:p>
        </w:tc>
        <w:tc>
          <w:tcPr>
            <w:tcW w:w="4660" w:type="dxa"/>
            <w:vAlign w:val="bottom"/>
            <w:gridSpan w:val="15"/>
          </w:tcPr>
          <w:p>
            <w:pPr>
              <w:spacing w:after="0"/>
              <w:rPr>
                <w:sz w:val="12"/>
                <w:szCs w:val="12"/>
                <w:color w:val="auto"/>
              </w:rPr>
            </w:pPr>
          </w:p>
        </w:tc>
      </w:tr>
    </w:tbl>
    <w:p>
      <w:pPr>
        <w:spacing w:after="0" w:line="89" w:lineRule="exact"/>
        <w:rPr>
          <w:sz w:val="20"/>
          <w:szCs w:val="20"/>
          <w:color w:val="auto"/>
        </w:rPr>
      </w:pPr>
    </w:p>
    <w:p>
      <w:pPr>
        <w:ind w:left="2940" w:right="479" w:hanging="1327"/>
        <w:spacing w:after="0" w:line="250" w:lineRule="auto"/>
        <w:tabs>
          <w:tab w:leader="none" w:pos="2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financial information from this quarterly report on Form 10-Q/A for the fiscal quarter ended March 31, 2022 formatted in Inline XBRL: (i) Condensed Consolidated Balance Sheets; (ii) Condensed Consolidated Statements of Operations; (iii) Condensed Consolidated Statement of Stockholders’ Equity; (iv) Condensed Consolidated Statements of Cash Flows; and (v) Notes to Unaudited Condensed Consolidated Financial Statements</w:t>
      </w:r>
    </w:p>
    <w:p>
      <w:pPr>
        <w:spacing w:after="0" w:line="65" w:lineRule="exact"/>
        <w:rPr>
          <w:sz w:val="20"/>
          <w:szCs w:val="20"/>
          <w:color w:val="auto"/>
        </w:rPr>
      </w:pPr>
    </w:p>
    <w:p>
      <w:pPr>
        <w:ind w:left="5580" w:right="2279" w:hanging="3967"/>
        <w:spacing w:after="0" w:line="432" w:lineRule="auto"/>
        <w:tabs>
          <w:tab w:leader="none" w:pos="295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 59</w:t>
      </w:r>
    </w:p>
    <w:p>
      <w:pPr>
        <w:sectPr>
          <w:pgSz w:w="11900" w:h="16838" w:orient="portrait"/>
          <w:cols w:equalWidth="0" w:num="1">
            <w:col w:w="10159"/>
          </w:cols>
          <w:pgMar w:left="300" w:top="399"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50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204075" cy="45085"/>
                    </a:xfrm>
                    <a:prstGeom prst="rect">
                      <a:avLst/>
                    </a:prstGeom>
                    <a:noFill/>
                  </pic:spPr>
                </pic:pic>
              </a:graphicData>
            </a:graphic>
          </wp:anchor>
        </w:drawing>
        <w:t>Table of Contents</w:t>
      </w:r>
    </w:p>
    <w:p>
      <w:pPr>
        <w:spacing w:after="0" w:line="2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0" w:lineRule="exact"/>
        <w:rPr>
          <w:sz w:val="20"/>
          <w:szCs w:val="20"/>
          <w:color w:val="auto"/>
        </w:rPr>
      </w:pPr>
    </w:p>
    <w:p>
      <w:pPr>
        <w:ind w:left="1480" w:right="579" w:firstLine="333"/>
        <w:spacing w:after="0" w:line="264"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5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b w:val="1"/>
          <w:bCs w:val="1"/>
          <w:color w:val="auto"/>
        </w:rPr>
        <w:t>Dave Inc.</w:t>
      </w:r>
    </w:p>
    <w:p>
      <w:pPr>
        <w:spacing w:after="0" w:line="170" w:lineRule="exact"/>
        <w:rPr>
          <w:sz w:val="20"/>
          <w:szCs w:val="20"/>
          <w:color w:val="auto"/>
        </w:rPr>
      </w:pPr>
    </w:p>
    <w:p>
      <w:pPr>
        <w:ind w:left="1480"/>
        <w:spacing w:after="0"/>
        <w:tabs>
          <w:tab w:leader="none" w:pos="5880" w:val="left"/>
        </w:tabs>
        <w:rPr>
          <w:sz w:val="20"/>
          <w:szCs w:val="20"/>
          <w:color w:val="auto"/>
        </w:rPr>
      </w:pPr>
      <w:r>
        <w:rPr>
          <w:rFonts w:ascii="Times New Roman" w:cs="Times New Roman" w:eastAsia="Times New Roman" w:hAnsi="Times New Roman"/>
          <w:sz w:val="14"/>
          <w:szCs w:val="14"/>
          <w:color w:val="auto"/>
        </w:rPr>
        <w:t>Dated: August 22, 2022</w:t>
      </w:r>
      <w:r>
        <w:rPr>
          <w:sz w:val="20"/>
          <w:szCs w:val="20"/>
          <w:color w:val="auto"/>
        </w:rPr>
        <w:tab/>
      </w:r>
      <w:r>
        <w:rPr>
          <w:rFonts w:ascii="Times New Roman" w:cs="Times New Roman" w:eastAsia="Times New Roman" w:hAnsi="Times New Roman"/>
          <w:sz w:val="12"/>
          <w:szCs w:val="12"/>
          <w:color w:val="auto"/>
        </w:rPr>
        <w:t>/s/ Jason Wilk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3749040</wp:posOffset>
            </wp:positionH>
            <wp:positionV relativeFrom="paragraph">
              <wp:posOffset>9525</wp:posOffset>
            </wp:positionV>
            <wp:extent cx="248348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2483485" cy="6350"/>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color w:val="auto"/>
        </w:rPr>
        <w:t>Jason Wilk</w:t>
      </w:r>
    </w:p>
    <w:p>
      <w:pPr>
        <w:spacing w:after="0" w:line="1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color w:val="auto"/>
        </w:rPr>
        <w:t>Chief Executive Officer and Director</w:t>
      </w:r>
    </w:p>
    <w:p>
      <w:pPr>
        <w:spacing w:after="0" w:line="154" w:lineRule="exact"/>
        <w:rPr>
          <w:sz w:val="20"/>
          <w:szCs w:val="20"/>
          <w:color w:val="auto"/>
        </w:rPr>
      </w:pPr>
    </w:p>
    <w:p>
      <w:pPr>
        <w:ind w:left="1480"/>
        <w:spacing w:after="0"/>
        <w:tabs>
          <w:tab w:leader="none" w:pos="5880" w:val="left"/>
        </w:tabs>
        <w:rPr>
          <w:sz w:val="20"/>
          <w:szCs w:val="20"/>
          <w:color w:val="auto"/>
        </w:rPr>
      </w:pPr>
      <w:r>
        <w:rPr>
          <w:rFonts w:ascii="Times New Roman" w:cs="Times New Roman" w:eastAsia="Times New Roman" w:hAnsi="Times New Roman"/>
          <w:sz w:val="14"/>
          <w:szCs w:val="14"/>
          <w:color w:val="auto"/>
        </w:rPr>
        <w:t>Dated: August 22, 2022</w:t>
      </w:r>
      <w:r>
        <w:rPr>
          <w:sz w:val="20"/>
          <w:szCs w:val="20"/>
          <w:color w:val="auto"/>
        </w:rPr>
        <w:tab/>
      </w:r>
      <w:r>
        <w:rPr>
          <w:rFonts w:ascii="Times New Roman" w:cs="Times New Roman" w:eastAsia="Times New Roman" w:hAnsi="Times New Roman"/>
          <w:sz w:val="12"/>
          <w:szCs w:val="12"/>
          <w:color w:val="auto"/>
        </w:rPr>
        <w:t>/s/ Kyle Beilman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3749040</wp:posOffset>
            </wp:positionH>
            <wp:positionV relativeFrom="paragraph">
              <wp:posOffset>9525</wp:posOffset>
            </wp:positionV>
            <wp:extent cx="248348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2483485" cy="6350"/>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color w:val="auto"/>
        </w:rPr>
        <w:t>Kyle Beilman</w:t>
      </w:r>
    </w:p>
    <w:p>
      <w:pPr>
        <w:spacing w:after="0" w:line="1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0159"/>
          </w:cols>
          <w:pgMar w:left="300" w:top="399" w:right="1440" w:bottom="1440" w:gutter="0" w:footer="0" w:header="0"/>
        </w:sectPr>
      </w:pPr>
    </w:p>
    <w:bookmarkStart w:id="64" w:name="page65"/>
    <w:bookmarkEnd w:id="64"/>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 w:lineRule="exact"/>
        <w:rPr>
          <w:sz w:val="20"/>
          <w:szCs w:val="20"/>
          <w:color w:val="auto"/>
        </w:rPr>
      </w:pPr>
    </w:p>
    <w:p>
      <w:pPr>
        <w:jc w:val="center"/>
        <w:ind w:left="1780" w:right="1640"/>
        <w:spacing w:after="0" w:line="245" w:lineRule="auto"/>
        <w:rPr>
          <w:sz w:val="20"/>
          <w:szCs w:val="20"/>
          <w:color w:val="auto"/>
        </w:rPr>
      </w:pPr>
      <w:r>
        <w:rPr>
          <w:rFonts w:ascii="Times New Roman" w:cs="Times New Roman" w:eastAsia="Times New Roman" w:hAnsi="Times New Roman"/>
          <w:sz w:val="14"/>
          <w:szCs w:val="14"/>
          <w:color w:val="auto"/>
        </w:rPr>
        <w:t>CERTIFICATION PURSUANT TO RULES 13a-14(a) AND 15d-14(a) UNDER THE SECURITIES EXCHANGE ACT OF 1934, AS ADOPTED PURSUANT TO SECTION 302 OF THE SARBANES-OXLEY ACT OF 2002</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 Jason Wilk, certify</w:t>
      </w:r>
    </w:p>
    <w:p>
      <w:pPr>
        <w:spacing w:after="0" w:line="94" w:lineRule="exact"/>
        <w:rPr>
          <w:sz w:val="20"/>
          <w:szCs w:val="20"/>
          <w:color w:val="auto"/>
        </w:rPr>
      </w:pPr>
    </w:p>
    <w:p>
      <w:pPr>
        <w:ind w:left="660" w:hanging="323"/>
        <w:spacing w:after="0"/>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Amendment No. 1 to the Quarterly Report on Form 10-Q for the quarter ended March 31, 2022 of Dave Inc.;</w:t>
      </w:r>
    </w:p>
    <w:p>
      <w:pPr>
        <w:spacing w:after="0" w:line="94" w:lineRule="exact"/>
        <w:rPr>
          <w:rFonts w:ascii="Times New Roman" w:cs="Times New Roman" w:eastAsia="Times New Roman" w:hAnsi="Times New Roman"/>
          <w:sz w:val="14"/>
          <w:szCs w:val="14"/>
          <w:color w:val="auto"/>
        </w:rPr>
      </w:pPr>
    </w:p>
    <w:p>
      <w:pPr>
        <w:jc w:val="both"/>
        <w:ind w:left="660" w:right="439" w:hanging="323"/>
        <w:spacing w:after="0" w:line="254" w:lineRule="auto"/>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Times New Roman" w:cs="Times New Roman" w:eastAsia="Times New Roman" w:hAnsi="Times New Roman"/>
          <w:sz w:val="14"/>
          <w:szCs w:val="14"/>
          <w:color w:val="auto"/>
        </w:rPr>
      </w:pPr>
    </w:p>
    <w:p>
      <w:pPr>
        <w:ind w:left="660" w:right="419" w:hanging="323"/>
        <w:spacing w:after="0" w:line="264" w:lineRule="auto"/>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Times New Roman" w:cs="Times New Roman" w:eastAsia="Times New Roman" w:hAnsi="Times New Roman"/>
          <w:sz w:val="14"/>
          <w:szCs w:val="14"/>
          <w:color w:val="auto"/>
        </w:rPr>
      </w:pPr>
    </w:p>
    <w:p>
      <w:pPr>
        <w:ind w:left="660" w:right="539" w:hanging="323"/>
        <w:spacing w:after="0" w:line="264" w:lineRule="auto"/>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64" w:lineRule="exact"/>
        <w:rPr>
          <w:rFonts w:ascii="Times New Roman" w:cs="Times New Roman" w:eastAsia="Times New Roman" w:hAnsi="Times New Roman"/>
          <w:sz w:val="14"/>
          <w:szCs w:val="14"/>
          <w:color w:val="auto"/>
        </w:rPr>
      </w:pPr>
    </w:p>
    <w:p>
      <w:pPr>
        <w:ind w:left="1080" w:right="359" w:hanging="416"/>
        <w:spacing w:after="0" w:line="254" w:lineRule="auto"/>
        <w:tabs>
          <w:tab w:leader="none" w:pos="108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4"/>
          <w:szCs w:val="14"/>
          <w:color w:val="auto"/>
        </w:rPr>
      </w:pPr>
    </w:p>
    <w:p>
      <w:pPr>
        <w:ind w:left="1080" w:hanging="416"/>
        <w:spacing w:after="0"/>
        <w:tabs>
          <w:tab w:leader="none" w:pos="108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Paragraph omitted pursuant to SEC Release Nos. 33-8238/34-47986 and 33-8392/34-49313;</w:t>
      </w:r>
    </w:p>
    <w:p>
      <w:pPr>
        <w:spacing w:after="0" w:line="94" w:lineRule="exact"/>
        <w:rPr>
          <w:rFonts w:ascii="Times New Roman" w:cs="Times New Roman" w:eastAsia="Times New Roman" w:hAnsi="Times New Roman"/>
          <w:sz w:val="14"/>
          <w:szCs w:val="14"/>
          <w:color w:val="auto"/>
        </w:rPr>
      </w:pPr>
    </w:p>
    <w:p>
      <w:pPr>
        <w:jc w:val="both"/>
        <w:ind w:left="1080" w:right="599" w:hanging="416"/>
        <w:spacing w:after="0" w:line="349" w:lineRule="auto"/>
        <w:tabs>
          <w:tab w:leader="none" w:pos="1080" w:val="left"/>
        </w:tabs>
        <w:numPr>
          <w:ilvl w:val="1"/>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Times New Roman" w:cs="Times New Roman" w:eastAsia="Times New Roman" w:hAnsi="Times New Roman"/>
          <w:sz w:val="12"/>
          <w:szCs w:val="12"/>
          <w:color w:val="auto"/>
        </w:rPr>
      </w:pPr>
    </w:p>
    <w:p>
      <w:pPr>
        <w:ind w:left="1080" w:right="359" w:hanging="416"/>
        <w:spacing w:after="0" w:line="254" w:lineRule="auto"/>
        <w:tabs>
          <w:tab w:leader="none" w:pos="108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Times New Roman" w:cs="Times New Roman" w:eastAsia="Times New Roman" w:hAnsi="Times New Roman"/>
          <w:sz w:val="14"/>
          <w:szCs w:val="14"/>
          <w:color w:val="auto"/>
        </w:rPr>
      </w:pPr>
    </w:p>
    <w:p>
      <w:pPr>
        <w:ind w:left="660" w:right="499" w:hanging="323"/>
        <w:spacing w:after="0" w:line="349" w:lineRule="auto"/>
        <w:tabs>
          <w:tab w:leader="none" w:pos="66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 w:lineRule="exact"/>
        <w:rPr>
          <w:rFonts w:ascii="Times New Roman" w:cs="Times New Roman" w:eastAsia="Times New Roman" w:hAnsi="Times New Roman"/>
          <w:sz w:val="12"/>
          <w:szCs w:val="12"/>
          <w:color w:val="auto"/>
        </w:rPr>
      </w:pPr>
    </w:p>
    <w:p>
      <w:pPr>
        <w:ind w:left="1080" w:right="779" w:hanging="416"/>
        <w:spacing w:after="0" w:line="349" w:lineRule="auto"/>
        <w:tabs>
          <w:tab w:leader="none" w:pos="1080" w:val="left"/>
        </w:tabs>
        <w:numPr>
          <w:ilvl w:val="1"/>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Times New Roman" w:cs="Times New Roman" w:eastAsia="Times New Roman" w:hAnsi="Times New Roman"/>
          <w:sz w:val="12"/>
          <w:szCs w:val="12"/>
          <w:color w:val="auto"/>
        </w:rPr>
      </w:pPr>
    </w:p>
    <w:p>
      <w:pPr>
        <w:ind w:left="1080" w:right="539" w:hanging="416"/>
        <w:spacing w:after="0" w:line="264" w:lineRule="auto"/>
        <w:tabs>
          <w:tab w:leader="none" w:pos="108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controls over financial reporting.</w:t>
      </w:r>
    </w:p>
    <w:p>
      <w:pPr>
        <w:spacing w:after="0" w:line="156" w:lineRule="exact"/>
        <w:rPr>
          <w:sz w:val="20"/>
          <w:szCs w:val="20"/>
          <w:color w:val="auto"/>
        </w:rPr>
      </w:pPr>
    </w:p>
    <w:p>
      <w:pPr>
        <w:ind w:left="340"/>
        <w:spacing w:after="0"/>
        <w:tabs>
          <w:tab w:leader="none" w:pos="4580" w:val="left"/>
          <w:tab w:leader="none" w:pos="4900" w:val="left"/>
        </w:tabs>
        <w:rPr>
          <w:sz w:val="20"/>
          <w:szCs w:val="20"/>
          <w:color w:val="auto"/>
        </w:rPr>
      </w:pPr>
      <w:r>
        <w:rPr>
          <w:rFonts w:ascii="Times New Roman" w:cs="Times New Roman" w:eastAsia="Times New Roman" w:hAnsi="Times New Roman"/>
          <w:sz w:val="14"/>
          <w:szCs w:val="14"/>
          <w:color w:val="auto"/>
        </w:rPr>
        <w:t>Date: August 22, 2022</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2"/>
          <w:szCs w:val="12"/>
          <w:color w:val="auto"/>
        </w:rPr>
        <w:t>/s/ Jason Wilk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3129280</wp:posOffset>
            </wp:positionH>
            <wp:positionV relativeFrom="paragraph">
              <wp:posOffset>9525</wp:posOffset>
            </wp:positionV>
            <wp:extent cx="237998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2379980" cy="6350"/>
                    </a:xfrm>
                    <a:prstGeom prst="rect">
                      <a:avLst/>
                    </a:prstGeom>
                    <a:noFill/>
                  </pic:spPr>
                </pic:pic>
              </a:graphicData>
            </a:graphic>
          </wp:anchor>
        </w:drawing>
      </w:r>
    </w:p>
    <w:p>
      <w:pPr>
        <w:spacing w:after="0" w:line="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Jason Wilk</w:t>
      </w:r>
    </w:p>
    <w:p>
      <w:pPr>
        <w:spacing w:after="0" w:line="1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Chief Executive Officer and Director</w:t>
      </w:r>
    </w:p>
    <w:p>
      <w:pPr>
        <w:spacing w:after="0" w:line="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9019"/>
          </w:cols>
          <w:pgMar w:left="1440" w:top="123" w:right="1440" w:bottom="1440" w:gutter="0" w:footer="0" w:header="0"/>
        </w:sectPr>
      </w:pPr>
    </w:p>
    <w:bookmarkStart w:id="65" w:name="page66"/>
    <w:bookmarkEnd w:id="65"/>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 w:lineRule="exact"/>
        <w:rPr>
          <w:sz w:val="20"/>
          <w:szCs w:val="20"/>
          <w:color w:val="auto"/>
        </w:rPr>
      </w:pPr>
    </w:p>
    <w:p>
      <w:pPr>
        <w:jc w:val="center"/>
        <w:ind w:left="1780" w:right="1640"/>
        <w:spacing w:after="0" w:line="245" w:lineRule="auto"/>
        <w:rPr>
          <w:sz w:val="20"/>
          <w:szCs w:val="20"/>
          <w:color w:val="auto"/>
        </w:rPr>
      </w:pPr>
      <w:r>
        <w:rPr>
          <w:rFonts w:ascii="Times New Roman" w:cs="Times New Roman" w:eastAsia="Times New Roman" w:hAnsi="Times New Roman"/>
          <w:sz w:val="14"/>
          <w:szCs w:val="14"/>
          <w:color w:val="auto"/>
        </w:rPr>
        <w:t>CERTIFICATION PURSUANT TO RULES 13a-14(a) AND 15d-14(a) UNDER THE SECURITIES EXCHANGE ACT OF 1934, AS ADOPTED PURSUANT TO SECTION 302 OF THE SARBANES-OXLEY ACT OF 2002</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 Kyle Beilman, certify</w:t>
      </w:r>
    </w:p>
    <w:p>
      <w:pPr>
        <w:spacing w:after="0" w:line="94" w:lineRule="exact"/>
        <w:rPr>
          <w:sz w:val="20"/>
          <w:szCs w:val="20"/>
          <w:color w:val="auto"/>
        </w:rPr>
      </w:pPr>
    </w:p>
    <w:p>
      <w:pPr>
        <w:ind w:left="660" w:hanging="323"/>
        <w:spacing w:after="0"/>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Amendment No. 1 to the Quarterly Report on Form 10-Q for the quarter ended March 31, 2022 of Dave Inc.;</w:t>
      </w:r>
    </w:p>
    <w:p>
      <w:pPr>
        <w:spacing w:after="0" w:line="94" w:lineRule="exact"/>
        <w:rPr>
          <w:rFonts w:ascii="Times New Roman" w:cs="Times New Roman" w:eastAsia="Times New Roman" w:hAnsi="Times New Roman"/>
          <w:sz w:val="14"/>
          <w:szCs w:val="14"/>
          <w:color w:val="auto"/>
        </w:rPr>
      </w:pPr>
    </w:p>
    <w:p>
      <w:pPr>
        <w:jc w:val="both"/>
        <w:ind w:left="660" w:right="439" w:hanging="323"/>
        <w:spacing w:after="0" w:line="254" w:lineRule="auto"/>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Times New Roman" w:cs="Times New Roman" w:eastAsia="Times New Roman" w:hAnsi="Times New Roman"/>
          <w:sz w:val="14"/>
          <w:szCs w:val="14"/>
          <w:color w:val="auto"/>
        </w:rPr>
      </w:pPr>
    </w:p>
    <w:p>
      <w:pPr>
        <w:ind w:left="660" w:right="419" w:hanging="323"/>
        <w:spacing w:after="0" w:line="264" w:lineRule="auto"/>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Times New Roman" w:cs="Times New Roman" w:eastAsia="Times New Roman" w:hAnsi="Times New Roman"/>
          <w:sz w:val="14"/>
          <w:szCs w:val="14"/>
          <w:color w:val="auto"/>
        </w:rPr>
      </w:pPr>
    </w:p>
    <w:p>
      <w:pPr>
        <w:ind w:left="660" w:right="539" w:hanging="323"/>
        <w:spacing w:after="0" w:line="264" w:lineRule="auto"/>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64" w:lineRule="exact"/>
        <w:rPr>
          <w:rFonts w:ascii="Times New Roman" w:cs="Times New Roman" w:eastAsia="Times New Roman" w:hAnsi="Times New Roman"/>
          <w:sz w:val="14"/>
          <w:szCs w:val="14"/>
          <w:color w:val="auto"/>
        </w:rPr>
      </w:pPr>
    </w:p>
    <w:p>
      <w:pPr>
        <w:ind w:left="1080" w:right="359" w:hanging="416"/>
        <w:spacing w:after="0" w:line="254" w:lineRule="auto"/>
        <w:tabs>
          <w:tab w:leader="none" w:pos="108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4"/>
          <w:szCs w:val="14"/>
          <w:color w:val="auto"/>
        </w:rPr>
      </w:pPr>
    </w:p>
    <w:p>
      <w:pPr>
        <w:ind w:left="1080" w:hanging="416"/>
        <w:spacing w:after="0"/>
        <w:tabs>
          <w:tab w:leader="none" w:pos="108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Paragraph omitted pursuant to SEC Release Nos. 33-8238/34-47986 and 33-8392/34-49313;</w:t>
      </w:r>
    </w:p>
    <w:p>
      <w:pPr>
        <w:spacing w:after="0" w:line="94" w:lineRule="exact"/>
        <w:rPr>
          <w:rFonts w:ascii="Times New Roman" w:cs="Times New Roman" w:eastAsia="Times New Roman" w:hAnsi="Times New Roman"/>
          <w:sz w:val="14"/>
          <w:szCs w:val="14"/>
          <w:color w:val="auto"/>
        </w:rPr>
      </w:pPr>
    </w:p>
    <w:p>
      <w:pPr>
        <w:jc w:val="both"/>
        <w:ind w:left="1080" w:right="599" w:hanging="416"/>
        <w:spacing w:after="0" w:line="349" w:lineRule="auto"/>
        <w:tabs>
          <w:tab w:leader="none" w:pos="1080" w:val="left"/>
        </w:tabs>
        <w:numPr>
          <w:ilvl w:val="1"/>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Times New Roman" w:cs="Times New Roman" w:eastAsia="Times New Roman" w:hAnsi="Times New Roman"/>
          <w:sz w:val="12"/>
          <w:szCs w:val="12"/>
          <w:color w:val="auto"/>
        </w:rPr>
      </w:pPr>
    </w:p>
    <w:p>
      <w:pPr>
        <w:ind w:left="1080" w:right="359" w:hanging="416"/>
        <w:spacing w:after="0" w:line="254" w:lineRule="auto"/>
        <w:tabs>
          <w:tab w:leader="none" w:pos="108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Times New Roman" w:cs="Times New Roman" w:eastAsia="Times New Roman" w:hAnsi="Times New Roman"/>
          <w:sz w:val="14"/>
          <w:szCs w:val="14"/>
          <w:color w:val="auto"/>
        </w:rPr>
      </w:pPr>
    </w:p>
    <w:p>
      <w:pPr>
        <w:ind w:left="660" w:right="499" w:hanging="323"/>
        <w:spacing w:after="0" w:line="349" w:lineRule="auto"/>
        <w:tabs>
          <w:tab w:leader="none" w:pos="66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 w:lineRule="exact"/>
        <w:rPr>
          <w:rFonts w:ascii="Times New Roman" w:cs="Times New Roman" w:eastAsia="Times New Roman" w:hAnsi="Times New Roman"/>
          <w:sz w:val="12"/>
          <w:szCs w:val="12"/>
          <w:color w:val="auto"/>
        </w:rPr>
      </w:pPr>
    </w:p>
    <w:p>
      <w:pPr>
        <w:ind w:left="1080" w:right="779" w:hanging="416"/>
        <w:spacing w:after="0" w:line="349" w:lineRule="auto"/>
        <w:tabs>
          <w:tab w:leader="none" w:pos="1080" w:val="left"/>
        </w:tabs>
        <w:numPr>
          <w:ilvl w:val="1"/>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Times New Roman" w:cs="Times New Roman" w:eastAsia="Times New Roman" w:hAnsi="Times New Roman"/>
          <w:sz w:val="12"/>
          <w:szCs w:val="12"/>
          <w:color w:val="auto"/>
        </w:rPr>
      </w:pPr>
    </w:p>
    <w:p>
      <w:pPr>
        <w:ind w:left="1080" w:right="539" w:hanging="416"/>
        <w:spacing w:after="0" w:line="264" w:lineRule="auto"/>
        <w:tabs>
          <w:tab w:leader="none" w:pos="108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controls over financial reporting.</w:t>
      </w:r>
    </w:p>
    <w:p>
      <w:pPr>
        <w:spacing w:after="0" w:line="156" w:lineRule="exact"/>
        <w:rPr>
          <w:sz w:val="20"/>
          <w:szCs w:val="20"/>
          <w:color w:val="auto"/>
        </w:rPr>
      </w:pPr>
    </w:p>
    <w:p>
      <w:pPr>
        <w:ind w:left="340"/>
        <w:spacing w:after="0"/>
        <w:tabs>
          <w:tab w:leader="none" w:pos="4580" w:val="left"/>
          <w:tab w:leader="none" w:pos="4900" w:val="left"/>
        </w:tabs>
        <w:rPr>
          <w:sz w:val="20"/>
          <w:szCs w:val="20"/>
          <w:color w:val="auto"/>
        </w:rPr>
      </w:pPr>
      <w:r>
        <w:rPr>
          <w:rFonts w:ascii="Times New Roman" w:cs="Times New Roman" w:eastAsia="Times New Roman" w:hAnsi="Times New Roman"/>
          <w:sz w:val="14"/>
          <w:szCs w:val="14"/>
          <w:color w:val="auto"/>
        </w:rPr>
        <w:t>Date: August 22, 2022</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2"/>
          <w:szCs w:val="12"/>
          <w:color w:val="auto"/>
        </w:rPr>
        <w:t>/s/ Kyle Beilman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3129280</wp:posOffset>
            </wp:positionH>
            <wp:positionV relativeFrom="paragraph">
              <wp:posOffset>9525</wp:posOffset>
            </wp:positionV>
            <wp:extent cx="237998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2379980" cy="6350"/>
                    </a:xfrm>
                    <a:prstGeom prst="rect">
                      <a:avLst/>
                    </a:prstGeom>
                    <a:noFill/>
                  </pic:spPr>
                </pic:pic>
              </a:graphicData>
            </a:graphic>
          </wp:anchor>
        </w:drawing>
      </w:r>
    </w:p>
    <w:p>
      <w:pPr>
        <w:spacing w:after="0" w:line="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Kyle Beilman</w:t>
      </w:r>
    </w:p>
    <w:p>
      <w:pPr>
        <w:spacing w:after="0" w:line="1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(Principal Financial Officer)</w:t>
      </w:r>
    </w:p>
    <w:p>
      <w:pPr>
        <w:sectPr>
          <w:pgSz w:w="11900" w:h="16838" w:orient="portrait"/>
          <w:cols w:equalWidth="0" w:num="1">
            <w:col w:w="9019"/>
          </w:cols>
          <w:pgMar w:left="1440" w:top="123" w:right="1440" w:bottom="1440" w:gutter="0" w:footer="0" w:header="0"/>
        </w:sectPr>
      </w:pPr>
    </w:p>
    <w:bookmarkStart w:id="66" w:name="page67"/>
    <w:bookmarkEnd w:id="66"/>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54" w:lineRule="exact"/>
        <w:rPr>
          <w:sz w:val="20"/>
          <w:szCs w:val="20"/>
          <w:color w:val="auto"/>
        </w:rPr>
      </w:pPr>
    </w:p>
    <w:p>
      <w:pPr>
        <w:ind w:left="340" w:right="459"/>
        <w:spacing w:after="0" w:line="250" w:lineRule="auto"/>
        <w:rPr>
          <w:sz w:val="20"/>
          <w:szCs w:val="20"/>
          <w:color w:val="auto"/>
        </w:rPr>
      </w:pPr>
      <w:r>
        <w:rPr>
          <w:rFonts w:ascii="Times New Roman" w:cs="Times New Roman" w:eastAsia="Times New Roman" w:hAnsi="Times New Roman"/>
          <w:sz w:val="14"/>
          <w:szCs w:val="14"/>
          <w:color w:val="auto"/>
        </w:rPr>
        <w:t>In connection with Amendment No. 1 to the Quarterly Report of Dave Inc. (the “Company”) on Form 10-Q for the period ended March 31, 2022, as filed with the Securities and Exchange Commission on the date hereof (the “Report”), Jason Wilk, Chief Executive Officer of the Company, and Kyle Beilman, Chief Financial Officer of the Company, do each hereby certify pursuant to 18 of U.S.C. §1350, as adopted pursuant to §906 of the Sarbanes-Oxley Act of 2002, that:</w:t>
      </w:r>
    </w:p>
    <w:p>
      <w:pPr>
        <w:spacing w:after="0" w:line="75" w:lineRule="exact"/>
        <w:rPr>
          <w:sz w:val="20"/>
          <w:szCs w:val="20"/>
          <w:color w:val="auto"/>
        </w:rPr>
      </w:pPr>
    </w:p>
    <w:p>
      <w:pPr>
        <w:ind w:left="1080" w:hanging="416"/>
        <w:spacing w:after="0"/>
        <w:tabs>
          <w:tab w:leader="none" w:pos="10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94" w:lineRule="exact"/>
        <w:rPr>
          <w:rFonts w:ascii="Times New Roman" w:cs="Times New Roman" w:eastAsia="Times New Roman" w:hAnsi="Times New Roman"/>
          <w:sz w:val="14"/>
          <w:szCs w:val="14"/>
          <w:color w:val="auto"/>
        </w:rPr>
      </w:pPr>
    </w:p>
    <w:p>
      <w:pPr>
        <w:ind w:left="1080" w:right="679" w:hanging="416"/>
        <w:spacing w:after="0" w:line="264" w:lineRule="auto"/>
        <w:tabs>
          <w:tab w:leader="none" w:pos="10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56" w:lineRule="exact"/>
        <w:rPr>
          <w:sz w:val="20"/>
          <w:szCs w:val="20"/>
          <w:color w:val="auto"/>
        </w:rPr>
      </w:pPr>
    </w:p>
    <w:p>
      <w:pPr>
        <w:ind w:left="340"/>
        <w:spacing w:after="0"/>
        <w:tabs>
          <w:tab w:leader="none" w:pos="4740" w:val="left"/>
        </w:tabs>
        <w:rPr>
          <w:sz w:val="20"/>
          <w:szCs w:val="20"/>
          <w:color w:val="auto"/>
        </w:rPr>
      </w:pPr>
      <w:r>
        <w:rPr>
          <w:rFonts w:ascii="Times New Roman" w:cs="Times New Roman" w:eastAsia="Times New Roman" w:hAnsi="Times New Roman"/>
          <w:sz w:val="14"/>
          <w:szCs w:val="14"/>
          <w:color w:val="auto"/>
        </w:rPr>
        <w:t>Date: August 22, 2022</w:t>
      </w:r>
      <w:r>
        <w:rPr>
          <w:sz w:val="20"/>
          <w:szCs w:val="20"/>
          <w:color w:val="auto"/>
        </w:rPr>
        <w:tab/>
      </w:r>
      <w:r>
        <w:rPr>
          <w:rFonts w:ascii="Times New Roman" w:cs="Times New Roman" w:eastAsia="Times New Roman" w:hAnsi="Times New Roman"/>
          <w:sz w:val="12"/>
          <w:szCs w:val="12"/>
          <w:color w:val="auto"/>
        </w:rPr>
        <w:t>/s/ Jason Wilk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9525</wp:posOffset>
            </wp:positionV>
            <wp:extent cx="248348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2483485" cy="6350"/>
                    </a:xfrm>
                    <a:prstGeom prst="rect">
                      <a:avLst/>
                    </a:prstGeom>
                    <a:noFill/>
                  </pic:spPr>
                </pic:pic>
              </a:graphicData>
            </a:graphic>
          </wp:anchor>
        </w:drawing>
      </w:r>
    </w:p>
    <w:p>
      <w:pPr>
        <w:spacing w:after="0" w:line="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Jason Wilk</w:t>
      </w:r>
    </w:p>
    <w:p>
      <w:pPr>
        <w:spacing w:after="0" w:line="1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Chief Executive Officer and Director</w:t>
      </w:r>
    </w:p>
    <w:p>
      <w:pPr>
        <w:spacing w:after="0" w:line="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/s/ Kyle Beilman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9525</wp:posOffset>
            </wp:positionV>
            <wp:extent cx="248348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2483485" cy="6350"/>
                    </a:xfrm>
                    <a:prstGeom prst="rect">
                      <a:avLst/>
                    </a:prstGeom>
                    <a:noFill/>
                  </pic:spPr>
                </pic:pic>
              </a:graphicData>
            </a:graphic>
          </wp:anchor>
        </w:drawing>
      </w:r>
    </w:p>
    <w:p>
      <w:pPr>
        <w:spacing w:after="0" w:line="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Kyle Beilman</w:t>
      </w:r>
    </w:p>
    <w:p>
      <w:pPr>
        <w:spacing w:after="0" w:line="1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r>
        <w:rPr>
          <w:rFonts w:ascii="Times New Roman" w:cs="Times New Roman" w:eastAsia="Times New Roman" w:hAnsi="Times New Roman"/>
          <w:sz w:val="14"/>
          <w:szCs w:val="14"/>
          <w:color w:val="auto"/>
        </w:rPr>
        <w:t>)</w:t>
      </w:r>
    </w:p>
    <w:sectPr>
      <w:pgSz w:w="11900" w:h="16838" w:orient="portrait"/>
      <w:cols w:equalWidth="0" w:num="1">
        <w:col w:w="9019"/>
      </w:cols>
      <w:pgMar w:left="1440" w:top="1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emdash "/>
      <w:numFmt w:val="bullet"/>
      <w:start w:val="1"/>
    </w:lvl>
  </w:abstractNum>
  <w:abstractNum w:abstractNumId="5">
    <w:nsid w:val="6B68079A"/>
    <w:multiLevelType w:val="hybridMultilevel"/>
    <w:lvl w:ilvl="0">
      <w:lvlJc w:val="left"/>
      <w:lvlText w:val="\emdash "/>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lowerRoman"/>
      <w:start w:val="1"/>
    </w:lvl>
  </w:abstractNum>
  <w:abstractNum w:abstractNumId="9">
    <w:nsid w:val="431BD7B7"/>
    <w:multiLevelType w:val="hybridMultilevel"/>
    <w:lvl w:ilvl="0">
      <w:lvlJc w:val="left"/>
      <w:lvlText w:val="(%1)"/>
      <w:numFmt w:val="lowerRoman"/>
      <w:start w:val="3"/>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lowerRoman"/>
      <w:start w:val="4"/>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lowerLetter"/>
      <w:start w:val="2"/>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101"/>
    </w:lvl>
  </w:abstractNum>
  <w:abstractNum w:abstractNumId="22">
    <w:nsid w:val="8EDBDAB"/>
    <w:multiLevelType w:val="hybridMultilevel"/>
    <w:lvl w:ilvl="0">
      <w:lvlJc w:val="left"/>
      <w:lvlText w:val="%1"/>
      <w:numFmt w:val="decimal"/>
      <w:start w:val="104"/>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14" Type="http://schemas.openxmlformats.org/officeDocument/2006/relationships/hyperlink" Target="http://www.sec.gov/Archives/edgar/data/1841408/000119312521183575/d165916dex21.htm" TargetMode="External"/><Relationship Id="rId115" Type="http://schemas.openxmlformats.org/officeDocument/2006/relationships/hyperlink" Target="http://www.sec.gov/Archives/edgar/data/1841408/000119312522006854/d253532dex31.htm" TargetMode="External"/><Relationship Id="rId116" Type="http://schemas.openxmlformats.org/officeDocument/2006/relationships/hyperlink" Target="http://www.sec.gov/Archives/edgar/data/1841408/000119312522006854/d253532dex32.htm" TargetMode="External"/><Relationship Id="rId117" Type="http://schemas.openxmlformats.org/officeDocument/2006/relationships/hyperlink" Target="http://www.sec.gov/Archives/edgar/data/1841408/000119312522080609/d325306dex41.htm" TargetMode="External"/><Relationship Id="rId118" Type="http://schemas.openxmlformats.org/officeDocument/2006/relationships/hyperlink" Target="http://www.sec.gov/Archives/edgar/data/1841408/000119312522080609/d32530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2022-08-22T15:50:28Z</dcterms:created>
  <dcterms:modified xsi:type="dcterms:W3CDTF">2022-08-22T15:50:28Z</dcterms:modified>
</cp:coreProperties>
</file>