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40" w:after="0"/>
        <w:jc w:val="center"/>
        <w:rPr>
          <w:rFonts w:ascii="Times New Roman" w:hAnsi="Times New Roman"/>
          <w:sz w:val="20"/>
        </w:rPr>
      </w:pPr>
      <w:bookmarkStart w:id="0" w:name="dave-20230331.htm"/>
      <w:bookmarkStart w:id="1" w:name="ksdave20230331"/>
      <w:bookmarkEnd w:id="0"/>
      <w:bookmarkEnd w:id="1"/>
      <w:r>
        <w:rPr>
          <w:rFonts w:ascii="Times New Roman;serif" w:hAnsi="Times New Roman;serif"/>
          <w:b/>
          <w:sz w:val="35"/>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35"/>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35"/>
        </w:rPr>
        <w:t>Washington, D.C. 20549</w:t>
      </w:r>
      <w:r>
        <w:rPr>
          <w:rFonts w:ascii="Times New Roman" w:hAnsi="Times New Roman"/>
          <w:sz w:val="20"/>
        </w:rPr>
        <w:t xml:space="preserve"> </w:t>
      </w:r>
    </w:p>
    <w:p>
      <w:pPr>
        <w:pStyle w:val="TextBody"/>
        <w:pBdr>
          <w:bottom w:val="single" w:sz="8" w:space="1" w:color="000000"/>
        </w:pBdr>
        <w:spacing w:before="40" w:after="0"/>
        <w:jc w:val="center"/>
        <w:rPr/>
      </w:pPr>
      <w:r>
        <w:rPr/>
        <w:t> </w:t>
      </w:r>
    </w:p>
    <w:p>
      <w:pPr>
        <w:pStyle w:val="TextBody"/>
        <w:spacing w:before="40" w:after="0"/>
        <w:jc w:val="center"/>
        <w:rPr>
          <w:rFonts w:ascii="Times New Roman" w:hAnsi="Times New Roman"/>
          <w:sz w:val="20"/>
        </w:rPr>
      </w:pPr>
      <w:r>
        <w:rPr>
          <w:rFonts w:ascii="Times New Roman;serif" w:hAnsi="Times New Roman;serif"/>
          <w:b/>
          <w:sz w:val="35"/>
        </w:rPr>
        <w:t>Form 10-Q</w:t>
      </w:r>
      <w:r>
        <w:rPr>
          <w:rFonts w:ascii="Times New Roman" w:hAnsi="Times New Roman"/>
          <w:sz w:val="20"/>
        </w:rPr>
        <w:t xml:space="preserve"> </w:t>
      </w:r>
    </w:p>
    <w:p>
      <w:pPr>
        <w:pStyle w:val="TextBody"/>
        <w:pBdr>
          <w:bottom w:val="single" w:sz="8" w:space="1" w:color="000000"/>
        </w:pBdr>
        <w:spacing w:before="40" w:after="0"/>
        <w:jc w:val="center"/>
        <w:rPr/>
      </w:pPr>
      <w:r>
        <w:rPr/>
        <w:t> </w:t>
      </w:r>
    </w:p>
    <w:p>
      <w:pPr>
        <w:pStyle w:val="TextBody"/>
        <w:spacing w:before="40" w:after="0"/>
        <w:jc w:val="left"/>
        <w:rPr>
          <w:rFonts w:ascii="Times New Roman" w:hAnsi="Times New Roman"/>
          <w:sz w:val="20"/>
        </w:rPr>
      </w:pPr>
      <w:r>
        <w:rPr>
          <w:rFonts w:ascii="Times New Roman;serif" w:hAnsi="Times New Roman;serif"/>
          <w:b/>
          <w:sz w:val="20"/>
        </w:rPr>
        <w:t>(Mark One)</w:t>
      </w:r>
      <w:r>
        <w:rPr>
          <w:rFonts w:ascii="Times New Roman" w:hAnsi="Times New Roman"/>
          <w:sz w:val="20"/>
        </w:rPr>
        <w:t xml:space="preserve"> </w:t>
      </w:r>
    </w:p>
    <w:p>
      <w:pPr>
        <w:pStyle w:val="TextBody"/>
        <w:spacing w:before="0" w:after="0"/>
        <w:jc w:val="left"/>
        <w:rPr/>
      </w:pPr>
      <w:r>
        <w:rPr/>
        <w:t xml:space="preserve">☒ </w:t>
      </w:r>
      <w:r>
        <w:rPr>
          <w:rFonts w:ascii="Times New Roman;serif" w:hAnsi="Times New Roman;serif"/>
          <w:b/>
          <w:sz w:val="20"/>
        </w:rPr>
        <w:t>QUARTERLY REPORT PURSUANT TO SECTION 13 OR 15(d) OF THE SECURITIES EXCHANGE ACT OF 1934</w:t>
      </w:r>
      <w:r>
        <w:rPr>
          <w:rFonts w:ascii="Times New Roman" w:hAnsi="Times New Roman"/>
          <w:sz w:val="20"/>
        </w:rPr>
        <w:t xml:space="preserve"> </w:t>
      </w:r>
    </w:p>
    <w:p>
      <w:pPr>
        <w:pStyle w:val="TextBody"/>
        <w:spacing w:before="40" w:after="0"/>
        <w:jc w:val="center"/>
        <w:rPr>
          <w:rFonts w:ascii="Times New Roman" w:hAnsi="Times New Roman"/>
          <w:sz w:val="20"/>
        </w:rPr>
      </w:pPr>
      <w:r>
        <w:rPr>
          <w:rFonts w:ascii="Times New Roman;serif" w:hAnsi="Times New Roman;serif"/>
          <w:b/>
          <w:sz w:val="20"/>
        </w:rPr>
        <w:t>For the quarterly period ended March 31, 2023</w:t>
      </w:r>
      <w:r>
        <w:rPr>
          <w:rFonts w:ascii="Times New Roman" w:hAnsi="Times New Roman"/>
          <w:sz w:val="20"/>
        </w:rPr>
        <w:t xml:space="preserve"> </w:t>
      </w:r>
    </w:p>
    <w:p>
      <w:pPr>
        <w:pStyle w:val="TextBody"/>
        <w:spacing w:before="4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p>
      <w:pPr>
        <w:pStyle w:val="TextBody"/>
        <w:spacing w:before="40" w:after="0"/>
        <w:jc w:val="left"/>
        <w:rPr/>
      </w:pPr>
      <w:r>
        <w:rPr/>
        <w:t xml:space="preserve">☐ </w:t>
      </w:r>
      <w:r>
        <w:rPr>
          <w:rFonts w:ascii="Times New Roman;serif" w:hAnsi="Times New Roman;serif"/>
          <w:b/>
          <w:sz w:val="20"/>
        </w:rPr>
        <w:t>TRANSITION REPORT PURSUANT TO SECTION 13 OR 15(d) OF THE SECURITIES EXCHANGE ACT OF 1934</w:t>
      </w:r>
      <w:r>
        <w:rPr>
          <w:rFonts w:ascii="Times New Roman" w:hAnsi="Times New Roman"/>
          <w:sz w:val="20"/>
        </w:rPr>
        <w:t xml:space="preserve"> </w:t>
      </w:r>
    </w:p>
    <w:p>
      <w:pPr>
        <w:pStyle w:val="TextBody"/>
        <w:spacing w:before="40" w:after="0"/>
        <w:jc w:val="center"/>
        <w:rPr>
          <w:rFonts w:ascii="Times New Roman" w:hAnsi="Times New Roman"/>
          <w:sz w:val="20"/>
        </w:rPr>
      </w:pPr>
      <w:r>
        <w:rPr>
          <w:rFonts w:ascii="Times New Roman;serif" w:hAnsi="Times New Roman;serif"/>
          <w:b/>
          <w:sz w:val="20"/>
        </w:rPr>
        <w:t>For the transition period from to _______</w:t>
      </w:r>
      <w:r>
        <w:rPr>
          <w:rFonts w:ascii="Times New Roman" w:hAnsi="Times New Roman"/>
          <w:sz w:val="20"/>
        </w:rPr>
        <w:t xml:space="preserve"> </w:t>
      </w:r>
    </w:p>
    <w:p>
      <w:pPr>
        <w:pStyle w:val="TextBody"/>
        <w:spacing w:before="40" w:after="0"/>
        <w:jc w:val="center"/>
        <w:rPr>
          <w:rFonts w:ascii="Times New Roman" w:hAnsi="Times New Roman"/>
          <w:sz w:val="20"/>
        </w:rPr>
      </w:pPr>
      <w:r>
        <w:rPr>
          <w:rFonts w:ascii="Times New Roman;serif" w:hAnsi="Times New Roman;serif"/>
          <w:b/>
          <w:sz w:val="20"/>
        </w:rPr>
        <w:t>Commission file number: 001-40161</w:t>
      </w:r>
      <w:r>
        <w:rPr>
          <w:rFonts w:ascii="Times New Roman" w:hAnsi="Times New Roman"/>
          <w:sz w:val="20"/>
        </w:rPr>
        <w:t xml:space="preserve"> </w:t>
      </w:r>
    </w:p>
    <w:p>
      <w:pPr>
        <w:pStyle w:val="TextBody"/>
        <w:pBdr>
          <w:bottom w:val="single" w:sz="8" w:space="1" w:color="000000"/>
        </w:pBdr>
        <w:spacing w:before="40" w:after="0"/>
        <w:jc w:val="center"/>
        <w:rPr/>
      </w:pPr>
      <w:r>
        <w:rPr/>
        <w:t> </w:t>
      </w:r>
    </w:p>
    <w:p>
      <w:pPr>
        <w:pStyle w:val="TextBody"/>
        <w:spacing w:before="40" w:after="0"/>
        <w:jc w:val="center"/>
        <w:rPr>
          <w:rFonts w:ascii="Times New Roman" w:hAnsi="Times New Roman"/>
          <w:sz w:val="20"/>
        </w:rPr>
      </w:pPr>
      <w:r>
        <w:rPr>
          <w:rFonts w:ascii="Times New Roman;serif" w:hAnsi="Times New Roman;serif"/>
          <w:b/>
          <w:sz w:val="48"/>
        </w:rPr>
        <w:t>DAVE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pBdr>
          <w:bottom w:val="single" w:sz="8" w:space="1" w:color="000000"/>
        </w:pBdr>
        <w:spacing w:before="40" w:after="0"/>
        <w:jc w:val="center"/>
        <w:rPr/>
      </w:pPr>
      <w:r>
        <w:rPr/>
        <w:t> </w:t>
      </w:r>
    </w:p>
    <w:tbl>
      <w:tblPr>
        <w:tblW w:w="3722" w:type="dxa"/>
        <w:jc w:val="left"/>
        <w:tblInd w:w="0" w:type="dxa"/>
        <w:tblCellMar>
          <w:top w:w="28" w:type="dxa"/>
          <w:left w:w="28" w:type="dxa"/>
          <w:bottom w:w="28" w:type="dxa"/>
          <w:right w:w="28" w:type="dxa"/>
        </w:tblCellMar>
      </w:tblPr>
      <w:tblGrid>
        <w:gridCol w:w="2431"/>
        <w:gridCol w:w="1291"/>
      </w:tblGrid>
      <w:tr>
        <w:trPr/>
        <w:tc>
          <w:tcPr>
            <w:tcW w:w="2431"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r>
      <w:tr>
        <w:trPr/>
        <w:tc>
          <w:tcPr>
            <w:tcW w:w="2431"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left"/>
              <w:rPr/>
            </w:pPr>
            <w:r>
              <w:rPr/>
              <w:t> </w:t>
            </w:r>
          </w:p>
        </w:tc>
      </w:tr>
      <w:tr>
        <w:trPr/>
        <w:tc>
          <w:tcPr>
            <w:tcW w:w="243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9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86-1481509</w:t>
            </w:r>
          </w:p>
        </w:tc>
      </w:tr>
      <w:tr>
        <w:trPr/>
        <w:tc>
          <w:tcPr>
            <w:tcW w:w="2431" w:type="dxa"/>
            <w:tcBorders/>
            <w:shd w:fill="auto" w:val="cle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4"/>
              </w:rPr>
              <w:t>(State or other jurisdiction of</w:t>
              <w:br/>
              <w:t>incorporation or organization)</w:t>
            </w:r>
            <w:r>
              <w:rPr>
                <w:rFonts w:ascii="Times New Roman" w:hAnsi="Times New Roman"/>
                <w:sz w:val="16"/>
              </w:rPr>
              <w:t xml:space="preserve"> </w:t>
            </w:r>
          </w:p>
        </w:tc>
        <w:tc>
          <w:tcPr>
            <w:tcW w:w="1291" w:type="dxa"/>
            <w:tcBorders/>
            <w:shd w:fill="auto" w:val="cle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4"/>
              </w:rPr>
              <w:t>(I.R.S. Employer</w:t>
              <w:br/>
              <w:t>Identification No.)</w:t>
            </w:r>
            <w:r>
              <w:rPr>
                <w:rFonts w:ascii="Times New Roman" w:hAnsi="Times New Roman"/>
                <w:sz w:val="16"/>
              </w:rPr>
              <w:t xml:space="preserve"> </w:t>
            </w:r>
          </w:p>
        </w:tc>
      </w:tr>
      <w:tr>
        <w:trPr/>
        <w:tc>
          <w:tcPr>
            <w:tcW w:w="2431" w:type="dxa"/>
            <w:tcBorders/>
            <w:shd w:fill="auto" w:val="clear"/>
            <w:vAlign w:val="center"/>
          </w:tcPr>
          <w:p>
            <w:pPr>
              <w:pStyle w:val="TableContents"/>
              <w:spacing w:before="40" w:after="0"/>
              <w:ind w:left="0" w:right="0" w:hanging="0"/>
              <w:jc w:val="center"/>
              <w:rPr>
                <w:rFonts w:ascii="Times New Roman" w:hAnsi="Times New Roman"/>
                <w:sz w:val="20"/>
              </w:rPr>
            </w:pPr>
            <w:r>
              <w:rPr>
                <w:rFonts w:ascii="Times New Roman;serif" w:hAnsi="Times New Roman;serif"/>
                <w:b/>
                <w:sz w:val="20"/>
              </w:rPr>
              <w:t>1265 South Cochran Ave</w:t>
            </w:r>
            <w:r>
              <w:rPr>
                <w:rFonts w:ascii="Times New Roman" w:hAnsi="Times New Roman"/>
                <w:sz w:val="20"/>
              </w:rPr>
              <w:t xml:space="preserve">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Los Angeles, CA</w:t>
            </w:r>
          </w:p>
        </w:tc>
        <w:tc>
          <w:tcPr>
            <w:tcW w:w="129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90019</w:t>
            </w:r>
          </w:p>
        </w:tc>
      </w:tr>
      <w:tr>
        <w:trPr/>
        <w:tc>
          <w:tcPr>
            <w:tcW w:w="2431"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91"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spacing w:before="0" w:after="0"/>
        <w:jc w:val="center"/>
        <w:rPr>
          <w:rFonts w:ascii="Times New Roman" w:hAnsi="Times New Roman"/>
          <w:sz w:val="20"/>
        </w:rPr>
      </w:pPr>
      <w:r>
        <w:rPr>
          <w:rFonts w:ascii="Times New Roman;serif" w:hAnsi="Times New Roman;serif"/>
          <w:b/>
          <w:sz w:val="20"/>
        </w:rPr>
        <w:t>Registrant's telephone number, including area code: (844) 857-3283</w:t>
      </w:r>
      <w:r>
        <w:rPr>
          <w:rFonts w:ascii="Times New Roman" w:hAnsi="Times New Roman"/>
          <w:sz w:val="20"/>
        </w:rPr>
        <w:t xml:space="preserve"> </w:t>
      </w:r>
    </w:p>
    <w:p>
      <w:pPr>
        <w:pStyle w:val="TextBody"/>
        <w:spacing w:before="0" w:after="0"/>
        <w:jc w:val="center"/>
        <w:rPr/>
      </w:pPr>
      <w:r>
        <w:rPr/>
        <w:t> </w:t>
      </w:r>
    </w:p>
    <w:p>
      <w:pPr>
        <w:pStyle w:val="TextBody"/>
        <w:spacing w:before="40" w:after="0"/>
        <w:jc w:val="center"/>
        <w:rPr>
          <w:rFonts w:ascii="Times New Roman" w:hAnsi="Times New Roman"/>
          <w:sz w:val="20"/>
        </w:rPr>
      </w:pPr>
      <w:r>
        <w:rPr>
          <w:rFonts w:ascii="Times New Roman;serif" w:hAnsi="Times New Roman;serif"/>
          <w:b/>
          <w:sz w:val="16"/>
        </w:rPr>
        <w:t>Securities registered pursuant to Section 12(b) of the Act:</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6557"/>
        <w:gridCol w:w="1175"/>
        <w:gridCol w:w="2473"/>
      </w:tblGrid>
      <w:tr>
        <w:trPr/>
        <w:tc>
          <w:tcPr>
            <w:tcW w:w="6557"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473" w:type="dxa"/>
            <w:tcBorders/>
            <w:shd w:fill="auto" w:val="clear"/>
            <w:vAlign w:val="center"/>
          </w:tcPr>
          <w:p>
            <w:pPr>
              <w:pStyle w:val="TableContents"/>
              <w:spacing w:before="0" w:after="283"/>
              <w:rPr>
                <w:sz w:val="4"/>
                <w:szCs w:val="4"/>
              </w:rPr>
            </w:pPr>
            <w:r>
              <w:rPr>
                <w:sz w:val="4"/>
                <w:szCs w:val="4"/>
              </w:rPr>
            </w:r>
          </w:p>
        </w:tc>
      </w:tr>
      <w:tr>
        <w:trPr/>
        <w:tc>
          <w:tcPr>
            <w:tcW w:w="6557"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175"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 Symbol(s)</w:t>
            </w:r>
          </w:p>
        </w:tc>
        <w:tc>
          <w:tcPr>
            <w:tcW w:w="2473"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6557"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pPr>
            <w:r>
              <w:rPr/>
              <w:t> </w:t>
            </w:r>
          </w:p>
        </w:tc>
        <w:tc>
          <w:tcPr>
            <w:tcW w:w="2473" w:type="dxa"/>
            <w:tcBorders/>
            <w:shd w:fill="auto" w:val="clear"/>
            <w:vAlign w:val="center"/>
          </w:tcPr>
          <w:p>
            <w:pPr>
              <w:pStyle w:val="TableContents"/>
              <w:spacing w:before="0" w:after="0"/>
              <w:ind w:left="0" w:right="0" w:hanging="0"/>
              <w:jc w:val="left"/>
              <w:rPr/>
            </w:pPr>
            <w:r>
              <w:rPr/>
              <w:t> </w:t>
            </w:r>
          </w:p>
        </w:tc>
      </w:tr>
      <w:tr>
        <w:trPr/>
        <w:tc>
          <w:tcPr>
            <w:tcW w:w="6557"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Class A common stock, par value $0.0001</w:t>
            </w:r>
          </w:p>
        </w:tc>
        <w:tc>
          <w:tcPr>
            <w:tcW w:w="1175"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DAVE</w:t>
            </w:r>
          </w:p>
        </w:tc>
        <w:tc>
          <w:tcPr>
            <w:tcW w:w="2473"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The Nasdaq Stock Market LLC</w:t>
            </w:r>
          </w:p>
        </w:tc>
      </w:tr>
      <w:tr>
        <w:trPr/>
        <w:tc>
          <w:tcPr>
            <w:tcW w:w="6557"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Redeemable warrants, each whole warrant exercisable for one share of Class A common stock, each at an exercise price of $368 per share</w:t>
            </w:r>
          </w:p>
        </w:tc>
        <w:tc>
          <w:tcPr>
            <w:tcW w:w="1175"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DAVEW</w:t>
            </w:r>
          </w:p>
        </w:tc>
        <w:tc>
          <w:tcPr>
            <w:tcW w:w="2473"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The Nasdaq Stock Market LLC</w:t>
            </w:r>
          </w:p>
        </w:tc>
      </w:tr>
    </w:tbl>
    <w:p>
      <w:pPr>
        <w:pStyle w:val="TextBody"/>
        <w:spacing w:before="4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w:t>
      </w:r>
      <w:r>
        <w:rPr>
          <w:rFonts w:ascii="Times New Roman;serif" w:hAnsi="Times New Roman;serif"/>
          <w:b w:val="false"/>
          <w:caps/>
          <w:sz w:val="18"/>
        </w:rPr>
        <w:t>es</w:t>
      </w:r>
      <w:r>
        <w:rPr>
          <w:rFonts w:ascii="Times New Roman" w:hAnsi="Times New Roman"/>
          <w:sz w:val="20"/>
        </w:rPr>
        <w:t xml:space="preserve"> ☒ </w:t>
      </w:r>
      <w:r>
        <w:rPr>
          <w:rFonts w:ascii="Times New Roman;serif" w:hAnsi="Times New Roman;serif"/>
          <w:b w:val="false"/>
          <w:sz w:val="18"/>
        </w:rPr>
        <w:t>NO ☐</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w:t>
      </w:r>
      <w:r>
        <w:rPr>
          <w:rFonts w:ascii="Times New Roman;serif" w:hAnsi="Times New Roman;serif"/>
          <w:b w:val="false"/>
          <w:caps/>
          <w:sz w:val="18"/>
        </w:rPr>
        <w:t>es</w:t>
      </w:r>
      <w:r>
        <w:rPr>
          <w:rFonts w:ascii="Times New Roman" w:hAnsi="Times New Roman"/>
          <w:sz w:val="20"/>
        </w:rPr>
        <w:t xml:space="preserve"> ☒ </w:t>
      </w:r>
      <w:r>
        <w:rPr>
          <w:rFonts w:ascii="Times New Roman;serif" w:hAnsi="Times New Roman;serif"/>
          <w:b w:val="false"/>
          <w:sz w:val="18"/>
        </w:rPr>
        <w:t>NO ☐</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spacing w:before="0" w:after="0"/>
        <w:jc w:val="left"/>
        <w:rPr/>
      </w:pPr>
      <w:r>
        <w:rPr/>
        <w:t> </w:t>
      </w:r>
    </w:p>
    <w:tbl>
      <w:tblPr>
        <w:tblW w:w="4384" w:type="dxa"/>
        <w:jc w:val="left"/>
        <w:tblInd w:w="0" w:type="dxa"/>
        <w:tblCellMar>
          <w:top w:w="28" w:type="dxa"/>
          <w:left w:w="28" w:type="dxa"/>
          <w:bottom w:w="28" w:type="dxa"/>
          <w:right w:w="28" w:type="dxa"/>
        </w:tblCellMar>
      </w:tblPr>
      <w:tblGrid>
        <w:gridCol w:w="1666"/>
        <w:gridCol w:w="316"/>
        <w:gridCol w:w="2041"/>
        <w:gridCol w:w="361"/>
      </w:tblGrid>
      <w:tr>
        <w:trPr/>
        <w:tc>
          <w:tcPr>
            <w:tcW w:w="16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316" w:type="dxa"/>
            <w:tcBorders/>
            <w:shd w:fill="auto" w:val="clear"/>
            <w:vAlign w:val="center"/>
          </w:tcPr>
          <w:p>
            <w:pPr>
              <w:pStyle w:val="TableContents"/>
              <w:spacing w:before="0" w:after="0"/>
              <w:ind w:left="0" w:right="0" w:hanging="0"/>
              <w:jc w:val="left"/>
              <w:rPr/>
            </w:pPr>
            <w:r>
              <w:rPr/>
              <w:t>☐</w:t>
            </w:r>
          </w:p>
        </w:tc>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361" w:type="dxa"/>
            <w:tcBorders/>
            <w:shd w:fill="auto" w:val="clear"/>
            <w:vAlign w:val="center"/>
          </w:tcPr>
          <w:p>
            <w:pPr>
              <w:pStyle w:val="TableContents"/>
              <w:spacing w:before="0" w:after="0"/>
              <w:ind w:left="0" w:right="0" w:hanging="0"/>
              <w:jc w:val="left"/>
              <w:rPr/>
            </w:pPr>
            <w:r>
              <w:rPr/>
              <w:t>☒</w:t>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316" w:type="dxa"/>
            <w:tcBorders/>
            <w:shd w:fill="auto" w:val="clear"/>
            <w:vAlign w:val="center"/>
          </w:tcPr>
          <w:p>
            <w:pPr>
              <w:pStyle w:val="TableContents"/>
              <w:spacing w:before="0" w:after="0"/>
              <w:ind w:left="0" w:right="0" w:hanging="0"/>
              <w:jc w:val="left"/>
              <w:rPr/>
            </w:pPr>
            <w:r>
              <w:rPr/>
              <w:t>☐</w:t>
            </w:r>
          </w:p>
        </w:tc>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361" w:type="dxa"/>
            <w:tcBorders/>
            <w:shd w:fill="auto" w:val="clear"/>
            <w:vAlign w:val="center"/>
          </w:tcPr>
          <w:p>
            <w:pPr>
              <w:pStyle w:val="TableContents"/>
              <w:spacing w:before="0" w:after="0"/>
              <w:ind w:left="0" w:right="0" w:hanging="0"/>
              <w:jc w:val="left"/>
              <w:rPr/>
            </w:pPr>
            <w:r>
              <w:rPr/>
              <w:t>☒</w:t>
            </w:r>
          </w:p>
        </w:tc>
      </w:tr>
      <w:tr>
        <w:trPr/>
        <w:tc>
          <w:tcPr>
            <w:tcW w:w="166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361" w:type="dxa"/>
            <w:tcBorders/>
            <w:shd w:fill="auto" w:val="clear"/>
            <w:vAlign w:val="center"/>
          </w:tcPr>
          <w:p>
            <w:pPr>
              <w:pStyle w:val="TableContents"/>
              <w:spacing w:before="0" w:after="0"/>
              <w:ind w:left="0" w:right="0" w:hanging="0"/>
              <w:jc w:val="left"/>
              <w:rPr/>
            </w:pPr>
            <w:r>
              <w:rPr/>
              <w:t>☒</w:t>
            </w:r>
          </w:p>
        </w:tc>
      </w:tr>
    </w:tbl>
    <w:p>
      <w:pPr>
        <w:pStyle w:val="TextBody"/>
        <w:spacing w:before="4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Act). YES ☐ NO </w:t>
      </w:r>
      <w:r>
        <w:rPr>
          <w:rFonts w:ascii="Times New Roman" w:hAnsi="Times New Roman"/>
          <w:sz w:val="20"/>
        </w:rPr>
        <w:t xml:space="preserve">☒ </w:t>
      </w:r>
    </w:p>
    <w:p>
      <w:pPr>
        <w:pStyle w:val="TextBody"/>
        <w:spacing w:before="4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18"/>
        </w:rPr>
        <w:t>As of May 1, 2023, there were 10,402,531</w:t>
      </w:r>
      <w:r>
        <w:rPr>
          <w:rFonts w:ascii="Times New Roman" w:hAnsi="Times New Roman"/>
          <w:sz w:val="20"/>
        </w:rPr>
        <w:t xml:space="preserve"> </w:t>
      </w:r>
      <w:r>
        <w:rPr>
          <w:rFonts w:ascii="Times New Roman;serif" w:hAnsi="Times New Roman;serif"/>
          <w:b w:val="false"/>
          <w:sz w:val="18"/>
        </w:rPr>
        <w:t>shares of Class A common stock, $0.0001 par value and 1,514,082</w:t>
      </w:r>
      <w:r>
        <w:rPr>
          <w:rFonts w:ascii="Times New Roman" w:hAnsi="Times New Roman"/>
          <w:sz w:val="20"/>
        </w:rPr>
        <w:t xml:space="preserve"> </w:t>
      </w:r>
      <w:r>
        <w:rPr>
          <w:rFonts w:ascii="Times New Roman;serif" w:hAnsi="Times New Roman;serif"/>
          <w:b w:val="false"/>
          <w:sz w:val="18"/>
        </w:rPr>
        <w:t>shares of Class V common stock, $0.0001 par value, issued and outstanding.</w:t>
      </w:r>
      <w:r>
        <w:rPr>
          <w:rFonts w:ascii="Times New Roman" w:hAnsi="Times New Roman"/>
          <w:sz w:val="20"/>
        </w:rPr>
        <w:t xml:space="preserve"> </w:t>
      </w:r>
    </w:p>
    <w:p>
      <w:pPr>
        <w:pStyle w:val="TextBody"/>
        <w:spacing w:before="0" w:after="0"/>
        <w:jc w:val="left"/>
        <w:rPr/>
      </w:pPr>
      <w:r>
        <w:rPr/>
        <w:t> </w:t>
      </w:r>
    </w:p>
    <w:p>
      <w:pPr>
        <w:pStyle w:val="TextBody"/>
        <w:spacing w:before="200" w:after="0"/>
        <w:jc w:val="center"/>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DAVE INC.</w:t>
      </w:r>
    </w:p>
    <w:p>
      <w:pPr>
        <w:pStyle w:val="TextBody"/>
        <w:spacing w:before="0" w:after="0"/>
        <w:jc w:val="center"/>
        <w:rPr>
          <w:rFonts w:ascii="Times New Roman" w:hAnsi="Times New Roman"/>
          <w:sz w:val="20"/>
        </w:rPr>
      </w:pPr>
      <w:r>
        <w:rPr>
          <w:rFonts w:ascii="Times New Roman;serif" w:hAnsi="Times New Roman;serif"/>
          <w:b/>
          <w:sz w:val="20"/>
        </w:rPr>
        <w:t>TABLE OF CONTENTS</w:t>
      </w:r>
      <w:r>
        <w:rPr>
          <w:rFonts w:ascii="Times New Roman" w:hAnsi="Times New Roman"/>
          <w:sz w:val="20"/>
        </w:rPr>
        <w:t xml:space="preserve"> </w:t>
      </w:r>
    </w:p>
    <w:p>
      <w:pPr>
        <w:pStyle w:val="TextBody"/>
        <w:spacing w:before="0" w:after="0"/>
        <w:jc w:val="center"/>
        <w:rPr/>
      </w:pPr>
      <w:r>
        <w:rPr/>
        <w:t> </w:t>
      </w:r>
    </w:p>
    <w:tbl>
      <w:tblPr>
        <w:tblW w:w="8853" w:type="dxa"/>
        <w:jc w:val="left"/>
        <w:tblInd w:w="0" w:type="dxa"/>
        <w:tblCellMar>
          <w:top w:w="28" w:type="dxa"/>
          <w:left w:w="28" w:type="dxa"/>
          <w:bottom w:w="28" w:type="dxa"/>
          <w:right w:w="28" w:type="dxa"/>
        </w:tblCellMar>
      </w:tblPr>
      <w:tblGrid>
        <w:gridCol w:w="976"/>
        <w:gridCol w:w="7336"/>
        <w:gridCol w:w="541"/>
      </w:tblGrid>
      <w:tr>
        <w:trPr/>
        <w:tc>
          <w:tcPr>
            <w:tcW w:w="976" w:type="dxa"/>
            <w:tcBorders/>
            <w:shd w:fill="auto" w:val="clear"/>
            <w:vAlign w:val="center"/>
          </w:tcPr>
          <w:p>
            <w:pPr>
              <w:pStyle w:val="TableContents"/>
              <w:spacing w:before="0" w:after="283"/>
              <w:rPr>
                <w:sz w:val="4"/>
                <w:szCs w:val="4"/>
              </w:rPr>
            </w:pPr>
            <w:r>
              <w:rPr>
                <w:sz w:val="4"/>
                <w:szCs w:val="4"/>
              </w:rPr>
            </w:r>
          </w:p>
        </w:tc>
        <w:tc>
          <w:tcPr>
            <w:tcW w:w="733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Page</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1_financial_information">
              <w:r>
                <w:rPr>
                  <w:rStyle w:val="InternetLink"/>
                  <w:rFonts w:ascii="Times New Roman;serif" w:hAnsi="Times New Roman;serif"/>
                  <w:b/>
                  <w:sz w:val="20"/>
                  <w:u w:val="single"/>
                </w:rPr>
                <w:t>FINANCIAL INFORMATION</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financialstatements">
              <w:r>
                <w:rPr>
                  <w:rStyle w:val="InternetLink"/>
                  <w:rFonts w:ascii="Times New Roman;serif" w:hAnsi="Times New Roman;serif"/>
                  <w:b w:val="false"/>
                  <w:sz w:val="20"/>
                  <w:u w:val="single"/>
                </w:rPr>
                <w:t>Financial Statements (Unaudited)</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balancesheet">
              <w:r>
                <w:rPr>
                  <w:rStyle w:val="InternetLink"/>
                  <w:rFonts w:ascii="Times New Roman;serif" w:hAnsi="Times New Roman;serif"/>
                  <w:b w:val="false"/>
                  <w:sz w:val="20"/>
                  <w:u w:val="single"/>
                </w:rPr>
                <w:t>Condensed Consolidated Balance Sheets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balancesheet_daveodfunding">
              <w:r>
                <w:rPr>
                  <w:rStyle w:val="InternetLink"/>
                  <w:rFonts w:ascii="Times New Roman;serif" w:hAnsi="Times New Roman;serif"/>
                  <w:b w:val="false"/>
                  <w:sz w:val="20"/>
                  <w:u w:val="single"/>
                </w:rPr>
                <w:t>Condensed Consolidated Balance Sheets, Continued</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36" w:type="dxa"/>
            <w:tcBorders/>
            <w:shd w:fill="auto" w:val="clear"/>
            <w:tcMar>
              <w:top w:w="0" w:type="dxa"/>
              <w:left w:w="0" w:type="dxa"/>
              <w:bottom w:w="0" w:type="dxa"/>
              <w:right w:w="0" w:type="dxa"/>
            </w:tcMar>
            <w:vAlign w:val="center"/>
          </w:tcPr>
          <w:p>
            <w:pPr>
              <w:pStyle w:val="TableContents"/>
              <w:spacing w:before="7" w:after="0"/>
              <w:ind w:left="0" w:right="0" w:hanging="0"/>
              <w:jc w:val="left"/>
              <w:rPr/>
            </w:pPr>
            <w:hyperlink w:anchor="statementsofoperatrions">
              <w:r>
                <w:rPr>
                  <w:rStyle w:val="InternetLink"/>
                  <w:rFonts w:ascii="Times New Roman;serif" w:hAnsi="Times New Roman;serif"/>
                  <w:b w:val="false"/>
                  <w:sz w:val="20"/>
                  <w:u w:val="single"/>
                </w:rPr>
                <w:t>Condensed Consolidated Statements of Operations</w:t>
              </w:r>
            </w:hyperlink>
          </w:p>
        </w:tc>
        <w:tc>
          <w:tcPr>
            <w:tcW w:w="541" w:type="dxa"/>
            <w:tcBorders/>
            <w:shd w:fill="auto" w:val="clear"/>
            <w:tcMar>
              <w:top w:w="0" w:type="dxa"/>
              <w:left w:w="0" w:type="dxa"/>
              <w:bottom w:w="0" w:type="dxa"/>
              <w:right w:w="0" w:type="dxa"/>
            </w:tcMar>
            <w:vAlign w:val="center"/>
          </w:tcPr>
          <w:p>
            <w:pPr>
              <w:pStyle w:val="TableContents"/>
              <w:spacing w:before="7"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statementofcomprehensiveloss">
              <w:r>
                <w:rPr>
                  <w:rStyle w:val="InternetLink"/>
                  <w:rFonts w:ascii="Times New Roman;serif" w:hAnsi="Times New Roman;serif"/>
                  <w:b w:val="false"/>
                  <w:sz w:val="20"/>
                  <w:u w:val="single"/>
                </w:rPr>
                <w:t>Condensed Consolidated Statements of Comprehensive Loss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statementstockholdersequity">
              <w:r>
                <w:rPr>
                  <w:rStyle w:val="InternetLink"/>
                  <w:rFonts w:ascii="Times New Roman;serif" w:hAnsi="Times New Roman;serif"/>
                  <w:b w:val="false"/>
                  <w:sz w:val="20"/>
                  <w:u w:val="single"/>
                </w:rPr>
                <w:t>Condensed Consolidated Statement of Stockholders’ Equity</w:t>
              </w:r>
            </w:hyperlink>
            <w:hyperlink w:anchor="consolidatedstatementstockholdersequity">
              <w:r>
                <w:rPr>
                  <w:rStyle w:val="InternetLink"/>
                  <w:rFonts w:ascii="Times New Roman" w:hAnsi="Times New Roman"/>
                  <w:sz w:val="20"/>
                </w:rPr>
                <w:t xml:space="preserve"> </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statementsofcashflows">
              <w:r>
                <w:rPr>
                  <w:rStyle w:val="InternetLink"/>
                  <w:rFonts w:ascii="Times New Roman;serif" w:hAnsi="Times New Roman;serif"/>
                  <w:b w:val="false"/>
                  <w:sz w:val="20"/>
                  <w:u w:val="single"/>
                </w:rPr>
                <w:t>Condensed Consolidated Statements of Cash Flows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toconsolidatedfinancialstatements">
              <w:r>
                <w:rPr>
                  <w:rStyle w:val="InternetLink"/>
                  <w:rFonts w:ascii="Times New Roman;serif" w:hAnsi="Times New Roman;serif"/>
                  <w:b w:val="false"/>
                  <w:sz w:val="20"/>
                  <w:u w:val="single"/>
                </w:rPr>
                <w:t>Notes to Unaudited Condensed Consolidated Financial Statements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2_mda">
              <w:r>
                <w:rPr>
                  <w:rStyle w:val="InternetLink"/>
                  <w:rFonts w:ascii="Times New Roman;serif" w:hAnsi="Times New Roman;serif"/>
                  <w:b w:val="false"/>
                  <w:sz w:val="20"/>
                  <w:u w:val="single"/>
                </w:rPr>
                <w:t>Management's Discussion and Analysis of Financial Condition and Results of Operations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3_quantitativeandqualitative">
              <w:r>
                <w:rPr>
                  <w:rStyle w:val="InternetLink"/>
                  <w:rFonts w:ascii="Times New Roman;serif" w:hAnsi="Times New Roman;serif"/>
                  <w:b w:val="false"/>
                  <w:sz w:val="20"/>
                  <w:u w:val="single"/>
                </w:rPr>
                <w:t>Quantitative and Qualitative Disclosures About Market Risk</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4_controlsandprocedures">
              <w:r>
                <w:rPr>
                  <w:rStyle w:val="InternetLink"/>
                  <w:rFonts w:ascii="Times New Roman;serif" w:hAnsi="Times New Roman;serif"/>
                  <w:b w:val="false"/>
                  <w:sz w:val="20"/>
                  <w:u w:val="single"/>
                </w:rPr>
                <w:t>Controls and Procedures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ii_other_information">
              <w:r>
                <w:rPr>
                  <w:rStyle w:val="InternetLink"/>
                  <w:rFonts w:ascii="Times New Roman;serif" w:hAnsi="Times New Roman;serif"/>
                  <w:b/>
                  <w:sz w:val="20"/>
                  <w:u w:val="single"/>
                </w:rPr>
                <w:t>OTHER INFORMATION</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42</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1_legalproceedings">
              <w:r>
                <w:rPr>
                  <w:rStyle w:val="InternetLink"/>
                  <w:rFonts w:ascii="Times New Roman;serif" w:hAnsi="Times New Roman;serif"/>
                  <w:b w:val="false"/>
                  <w:sz w:val="20"/>
                  <w:u w:val="single"/>
                </w:rPr>
                <w:t>Legal Proceedings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1a_riskfactors">
              <w:r>
                <w:rPr>
                  <w:rStyle w:val="InternetLink"/>
                  <w:rFonts w:ascii="Times New Roman;serif" w:hAnsi="Times New Roman;serif"/>
                  <w:b w:val="false"/>
                  <w:sz w:val="20"/>
                  <w:u w:val="single"/>
                </w:rPr>
                <w:t>Risk Factors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2_unregisteredsalesofequity">
              <w:r>
                <w:rPr>
                  <w:rStyle w:val="InternetLink"/>
                  <w:rFonts w:ascii="Times New Roman;serif" w:hAnsi="Times New Roman;serif"/>
                  <w:b w:val="false"/>
                  <w:sz w:val="20"/>
                  <w:u w:val="single"/>
                </w:rPr>
                <w:t>Unregistered Sales of Equity Securities and Use of Proceeds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3_defaultsuponseniorsecurities">
              <w:r>
                <w:rPr>
                  <w:rStyle w:val="InternetLink"/>
                  <w:rFonts w:ascii="Times New Roman;serif" w:hAnsi="Times New Roman;serif"/>
                  <w:b w:val="false"/>
                  <w:sz w:val="20"/>
                  <w:u w:val="single"/>
                </w:rPr>
                <w:t>Defaults Upon Senior Securities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4_minesafetydisclosures">
              <w:r>
                <w:rPr>
                  <w:rStyle w:val="InternetLink"/>
                  <w:rFonts w:ascii="Times New Roman;serif" w:hAnsi="Times New Roman;serif"/>
                  <w:b w:val="false"/>
                  <w:sz w:val="20"/>
                  <w:u w:val="single"/>
                </w:rPr>
                <w:t>Mine Safety Disclosures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5_otherinformation">
              <w:r>
                <w:rPr>
                  <w:rStyle w:val="InternetLink"/>
                  <w:rFonts w:ascii="Times New Roman;serif" w:hAnsi="Times New Roman;serif"/>
                  <w:b w:val="false"/>
                  <w:sz w:val="20"/>
                  <w:u w:val="single"/>
                </w:rPr>
                <w:t>Other Information</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6_exhibits">
              <w:r>
                <w:rPr>
                  <w:rStyle w:val="InternetLink"/>
                  <w:rFonts w:ascii="Times New Roman;serif" w:hAnsi="Times New Roman;serif"/>
                  <w:b w:val="false"/>
                  <w:sz w:val="20"/>
                  <w:u w:val="single"/>
                </w:rPr>
                <w:t>Exhibits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73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r>
    </w:tbl>
    <w:p>
      <w:pPr>
        <w:pStyle w:val="TextBody"/>
        <w:spacing w:before="0" w:after="0"/>
        <w:jc w:val="left"/>
        <w:rPr/>
      </w:pPr>
      <w:r>
        <w:rPr/>
        <w:t> </w:t>
      </w:r>
    </w:p>
    <w:p>
      <w:pPr>
        <w:pStyle w:val="TextBody"/>
        <w:spacing w:before="200" w:after="0"/>
        <w:jc w:val="center"/>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CAUTIONARY NOTE REGARDING FORWARD-LOOKING STATEMENTS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Quarterly Report on Form 10-Q (this “Form 10-Q” or this “report”) contains forward-looking statements within the meaning of Section 27A of the Securities Act of 1933, as amended (the “Securities Act”), and Section 21E of the Securities Exchange Act of 1934, as amended (the “Exchange Act”), that are forward looking and as such are not historical facts. All statements contained in this Form 10-Q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our Annual Report on Form 10-K for the year ended December 31, 2022 filed with the Securities and Exchange Commission (the “SEC”) on March 13, 2023 (the “Annual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Form 10-Q may not occur, and actual results could differ materially and adversely from those anticipated or implied in the forward-looking statements. Forward-looking statements contained in this Form 10-Q involve a number of judgments, risks and uncertainties, including, without limitation, risks related to:</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ability of Dave to compete in its highly competitive industry;</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ability of Dave to keep pace with the rapid technological developments in its industry and the larger financial services industry;</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ability of Dave to manage its growth as a public company;</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ability of Dave to protect intellectual property and trade secrets;</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changes in applicable laws or regulations and extensive and evolving government regulations that impact operations and business;</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ability to attract or maintain a qualified workforce;</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level of product service failures that could lead Dave members (“Members”) to use competitors’ services;</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investigations, claims, disputes, enforcement actions, litigation and/or other regulatory or legal proceedings;</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ability to maintain the listing of Dave Class A Common Stock on Nasdaq;</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effects of the COVID-19 pandemic, the Russia-Ukraine war or rising inflation on Dave’s business;</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possibility that Dave may be adversely affected by other economic, business, and/or competitive factors; and</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other risks and uncertainties described in this Form 10-Q, including those described under Item 1A, “Risk Factors” of the Annual Report.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caution you that the foregoing list of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and our actual future results, levels of activity, performance and events and circumstances may be materially different from what we expect.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Except as required by law, we do not intend to update any of these forward-looking statements after the date of this report or to conform these statements to actual results or revised expectations.</w:t>
      </w:r>
    </w:p>
    <w:p>
      <w:pPr>
        <w:pStyle w:val="TextBody"/>
        <w:spacing w:before="200" w:after="0"/>
        <w:jc w:val="center"/>
        <w:rPr/>
      </w:pPr>
      <w:r>
        <w:rPr/>
        <w:t> </w:t>
      </w:r>
    </w:p>
    <w:p>
      <w:pPr>
        <w:pStyle w:val="HorizontalLine"/>
        <w:rPr/>
      </w:pPr>
      <w:r>
        <w:rPr/>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As used in this report, the “Company,” “Dave,” “we,” “us,” “our” and similar terms refer Dave Inc. (f/k/a VPC Impact Acquisition Holdings III, Inc. (“VPCC”)) and its consolidated subsidiaries, unless otherwise noted or the context otherwise requires. “Business Combination” refers to the business combination pursuant we consummated on January 5, 2022 pursuant to the Agreement and Plan of Merger, dated as of June 7, 2021 among VPCC, Dave Inc., a Delaware corporation, and other entities.</w:t>
      </w:r>
    </w:p>
    <w:p>
      <w:pPr>
        <w:pStyle w:val="TextBody"/>
        <w:spacing w:before="0" w:after="0"/>
        <w:jc w:val="left"/>
        <w:rPr>
          <w:rFonts w:ascii="Times New Roman" w:hAnsi="Times New Roman"/>
          <w:sz w:val="20"/>
        </w:rPr>
      </w:pPr>
      <w:r>
        <w:rPr>
          <w:rFonts w:ascii="Times New Roman;serif" w:hAnsi="Times New Roman;serif"/>
          <w:b w:val="false"/>
          <w:i/>
          <w:sz w:val="20"/>
        </w:rPr>
        <w:br/>
      </w:r>
      <w:r>
        <w:rPr>
          <w:rFonts w:ascii="Times New Roman" w:hAnsi="Times New Roman"/>
          <w:sz w:val="20"/>
        </w:rPr>
        <w:t> </w:t>
      </w:r>
    </w:p>
    <w:p>
      <w:pPr>
        <w:pStyle w:val="TextBody"/>
        <w:spacing w:before="200" w:after="0"/>
        <w:jc w:val="center"/>
        <w:rPr/>
      </w:pPr>
      <w:r>
        <w:rPr/>
        <w:t> </w:t>
      </w:r>
    </w:p>
    <w:p>
      <w:pPr>
        <w:pStyle w:val="HorizontalLine"/>
        <w:rPr/>
      </w:pPr>
      <w:r>
        <w:rPr/>
      </w:r>
    </w:p>
    <w:p>
      <w:pPr>
        <w:pStyle w:val="TextBody"/>
        <w:spacing w:before="0" w:after="0"/>
        <w:jc w:val="center"/>
        <w:rPr>
          <w:rFonts w:ascii="Times New Roman;serif" w:hAnsi="Times New Roman;serif"/>
          <w:b/>
          <w:sz w:val="20"/>
        </w:rPr>
      </w:pPr>
      <w:bookmarkStart w:id="2" w:name="part_1_financial_information"/>
      <w:bookmarkEnd w:id="2"/>
      <w:r>
        <w:rPr>
          <w:rFonts w:ascii="Times New Roman;serif" w:hAnsi="Times New Roman;serif"/>
          <w:b/>
          <w:sz w:val="20"/>
        </w:rPr>
        <w:t>PART I—FINANCIAL INFORMATION</w:t>
      </w:r>
    </w:p>
    <w:p>
      <w:pPr>
        <w:pStyle w:val="TextBody"/>
        <w:spacing w:before="0" w:after="0"/>
        <w:jc w:val="left"/>
        <w:rPr>
          <w:rFonts w:ascii="Times New Roman" w:hAnsi="Times New Roman"/>
          <w:sz w:val="20"/>
        </w:rPr>
      </w:pPr>
      <w:bookmarkStart w:id="3" w:name="item_1_financialstatements"/>
      <w:bookmarkEnd w:id="3"/>
      <w:r>
        <w:rPr>
          <w:rFonts w:ascii="Times New Roman;serif" w:hAnsi="Times New Roman;serif"/>
          <w:b/>
          <w:sz w:val="20"/>
        </w:rPr>
        <w:t>Item 1. Financial Statements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Dave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4" w:name="balancesheet"/>
      <w:bookmarkEnd w:id="4"/>
      <w:r>
        <w:rPr>
          <w:rFonts w:ascii="Times New Roman;serif" w:hAnsi="Times New Roman;serif"/>
          <w:b/>
          <w:sz w:val="20"/>
        </w:rPr>
        <w:t>Condensed Consolidated</w:t>
      </w:r>
      <w:r>
        <w:rPr>
          <w:rFonts w:ascii="Times New Roman" w:hAnsi="Times New Roman"/>
          <w:sz w:val="20"/>
        </w:rPr>
        <w:t xml:space="preserve"> </w:t>
      </w:r>
      <w:r>
        <w:rPr>
          <w:rFonts w:ascii="Times New Roman;serif" w:hAnsi="Times New Roman;serif"/>
          <w:b/>
          <w:sz w:val="20"/>
        </w:rPr>
        <w:t>Balance Sheets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(in thousands; except share data)</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7212"/>
        <w:gridCol w:w="216"/>
        <w:gridCol w:w="830"/>
        <w:gridCol w:w="166"/>
        <w:gridCol w:w="146"/>
        <w:gridCol w:w="231"/>
        <w:gridCol w:w="889"/>
        <w:gridCol w:w="515"/>
      </w:tblGrid>
      <w:tr>
        <w:trPr/>
        <w:tc>
          <w:tcPr>
            <w:tcW w:w="7212"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r>
      <w:tr>
        <w:trPr/>
        <w:tc>
          <w:tcPr>
            <w:tcW w:w="7212" w:type="dxa"/>
            <w:tcBorders/>
            <w:shd w:fill="auto" w:val="clear"/>
            <w:vAlign w:val="center"/>
          </w:tcPr>
          <w:p>
            <w:pPr>
              <w:pStyle w:val="TableContents"/>
              <w:spacing w:before="0" w:after="0"/>
              <w:ind w:left="0" w:right="0" w:hanging="0"/>
              <w:jc w:val="left"/>
              <w:rPr/>
            </w:pPr>
            <w:r>
              <w:rPr/>
              <w:t> </w:t>
            </w:r>
          </w:p>
        </w:tc>
        <w:tc>
          <w:tcPr>
            <w:tcW w:w="104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March 31,</w:t>
              <w:br/>
              <w:t>2023</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December 31,</w:t>
              <w:br/>
              <w:t>2022</w:t>
            </w:r>
          </w:p>
        </w:tc>
        <w:tc>
          <w:tcPr>
            <w:tcW w:w="515" w:type="dxa"/>
            <w:tcBorders/>
            <w:shd w:fill="auto" w:val="clear"/>
            <w:vAlign w:val="center"/>
          </w:tcPr>
          <w:p>
            <w:pPr>
              <w:pStyle w:val="TableContents"/>
              <w:spacing w:before="0" w:after="0"/>
              <w:ind w:left="0" w:right="0" w:hanging="0"/>
              <w:jc w:val="center"/>
              <w:rPr/>
            </w:pPr>
            <w:r>
              <w:rPr/>
              <w:t> </w:t>
            </w:r>
          </w:p>
        </w:tc>
      </w:tr>
      <w:tr>
        <w:trPr/>
        <w:tc>
          <w:tcPr>
            <w:tcW w:w="7212" w:type="dxa"/>
            <w:tcBorders/>
            <w:shd w:fill="auto" w:val="clear"/>
            <w:vAlign w:val="center"/>
          </w:tcPr>
          <w:p>
            <w:pPr>
              <w:pStyle w:val="TableContents"/>
              <w:spacing w:before="0" w:after="0"/>
              <w:ind w:left="0" w:right="0" w:hanging="0"/>
              <w:jc w:val="left"/>
              <w:rPr/>
            </w:pPr>
            <w:r>
              <w:rPr/>
              <w:t> </w:t>
            </w:r>
          </w:p>
        </w:tc>
        <w:tc>
          <w:tcPr>
            <w:tcW w:w="10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i/>
                <w:sz w:val="16"/>
              </w:rPr>
            </w:pPr>
            <w:r>
              <w:rPr>
                <w:rFonts w:ascii="Times New Roman;serif" w:hAnsi="Times New Roman;serif"/>
                <w:b w:val="false"/>
                <w:i/>
                <w:sz w:val="16"/>
              </w:rPr>
              <w:t>(unaudited)</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212"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Assets</w:t>
            </w:r>
          </w:p>
        </w:tc>
        <w:tc>
          <w:tcPr>
            <w:tcW w:w="104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0" w:type="dxa"/>
            <w:gridSpan w:val="2"/>
            <w:tcBorders/>
            <w:shd w:fill="auto" w:val="clear"/>
            <w:vAlign w:val="center"/>
          </w:tcPr>
          <w:p>
            <w:pPr>
              <w:pStyle w:val="TableContents"/>
              <w:spacing w:before="0" w:after="0"/>
              <w:ind w:left="0" w:right="0" w:hanging="0"/>
              <w:jc w:val="left"/>
              <w:rPr/>
            </w:pPr>
            <w:r>
              <w:rPr/>
              <w:t> </w:t>
            </w:r>
          </w:p>
        </w:tc>
        <w:tc>
          <w:tcPr>
            <w:tcW w:w="515" w:type="dxa"/>
            <w:tcBorders/>
            <w:shd w:fill="auto" w:val="clear"/>
            <w:vAlign w:val="center"/>
          </w:tcPr>
          <w:p>
            <w:pPr>
              <w:pStyle w:val="TableContents"/>
              <w:spacing w:before="0" w:after="0"/>
              <w:ind w:left="0" w:right="0" w:hanging="0"/>
              <w:jc w:val="left"/>
              <w:rPr/>
            </w:pPr>
            <w:r>
              <w:rPr/>
              <w:t> </w:t>
            </w:r>
          </w:p>
        </w:tc>
      </w:tr>
      <w:tr>
        <w:trPr/>
        <w:tc>
          <w:tcPr>
            <w:tcW w:w="7212"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Current assets:</w:t>
            </w:r>
          </w:p>
        </w:tc>
        <w:tc>
          <w:tcPr>
            <w:tcW w:w="104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0" w:type="dxa"/>
            <w:gridSpan w:val="2"/>
            <w:tcBorders/>
            <w:shd w:fill="auto" w:val="clear"/>
            <w:vAlign w:val="center"/>
          </w:tcPr>
          <w:p>
            <w:pPr>
              <w:pStyle w:val="TableContents"/>
              <w:spacing w:before="0" w:after="0"/>
              <w:ind w:left="0" w:right="0" w:hanging="0"/>
              <w:jc w:val="left"/>
              <w:rPr/>
            </w:pPr>
            <w:r>
              <w:rPr/>
              <w:t> </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2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51,754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22,889</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Marketable securities</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34,423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285</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16"/>
              </w:rPr>
              <w:t>Member advances, net of allowance for credit losses of $17,365</w:t>
            </w:r>
            <w:r>
              <w:rPr>
                <w:rFonts w:ascii="Times New Roman" w:hAnsi="Times New Roman"/>
                <w:sz w:val="20"/>
              </w:rPr>
              <w:t> </w:t>
            </w:r>
            <w:r>
              <w:rPr>
                <w:rFonts w:ascii="Times New Roman;serif" w:hAnsi="Times New Roman;serif"/>
                <w:b w:val="false"/>
                <w:sz w:val="16"/>
              </w:rPr>
              <w:t>and $24,501</w:t>
            </w:r>
            <w:r>
              <w:rPr>
                <w:rFonts w:ascii="Times New Roman" w:hAnsi="Times New Roman"/>
                <w:sz w:val="20"/>
              </w:rPr>
              <w:t> </w:t>
            </w:r>
            <w:r>
              <w:rPr>
                <w:rFonts w:ascii="Times New Roman;serif" w:hAnsi="Times New Roman;serif"/>
                <w:b w:val="false"/>
                <w:sz w:val="16"/>
              </w:rPr>
              <w:t>as of March 31, 2023 and December 31, 2022, respectively</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80,161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104,183</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Short-term investments</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108,831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168,789</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Prepaid income taxes</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831</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Prepaid expenses and other current assets</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15,653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11,591</w:t>
            </w:r>
          </w:p>
        </w:tc>
        <w:tc>
          <w:tcPr>
            <w:tcW w:w="5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7212" w:type="dxa"/>
            <w:tcBorders/>
            <w:shd w:fill="auto" w:val="clear"/>
            <w:vAlign w:val="center"/>
          </w:tcPr>
          <w:p>
            <w:pPr>
              <w:pStyle w:val="TableContents"/>
              <w:spacing w:before="0" w:after="0"/>
              <w:ind w:left="300" w:right="0" w:hanging="0"/>
              <w:jc w:val="left"/>
              <w:rPr>
                <w:rFonts w:ascii="Times New Roman;serif" w:hAnsi="Times New Roman;serif"/>
                <w:b/>
                <w:sz w:val="16"/>
              </w:rPr>
            </w:pPr>
            <w:r>
              <w:rPr>
                <w:rFonts w:ascii="Times New Roman;serif" w:hAnsi="Times New Roman;serif"/>
                <w:b/>
                <w:sz w:val="16"/>
              </w:rPr>
              <w:t>Total current assets</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291,646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308,568</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Property and equipment, net</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1,026</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16"/>
              </w:rPr>
              <w:t>Lease right-of-use assets (related-party of $672</w:t>
            </w:r>
            <w:r>
              <w:rPr>
                <w:rFonts w:ascii="Times New Roman" w:hAnsi="Times New Roman"/>
                <w:sz w:val="20"/>
              </w:rPr>
              <w:t> </w:t>
            </w:r>
            <w:r>
              <w:rPr>
                <w:rFonts w:ascii="Times New Roman;serif" w:hAnsi="Times New Roman;serif"/>
                <w:b w:val="false"/>
                <w:sz w:val="16"/>
              </w:rPr>
              <w:t>and $735</w:t>
            </w:r>
            <w:r>
              <w:rPr>
                <w:rFonts w:ascii="Times New Roman" w:hAnsi="Times New Roman"/>
                <w:sz w:val="20"/>
              </w:rPr>
              <w:t> </w:t>
            </w:r>
            <w:r>
              <w:rPr>
                <w:rFonts w:ascii="Times New Roman;serif" w:hAnsi="Times New Roman;serif"/>
                <w:b w:val="false"/>
                <w:sz w:val="16"/>
              </w:rPr>
              <w:t>as of March 31, 2023 and December 31, 2022, respectively)</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735</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Intangible assets, net</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11,029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10,163</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Debt facility commitment fee, long-term</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75</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Restricted cash</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788</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Other non-current assets</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w:t>
            </w:r>
          </w:p>
        </w:tc>
        <w:tc>
          <w:tcPr>
            <w:tcW w:w="5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7212" w:type="dxa"/>
            <w:tcBorders/>
            <w:shd w:fill="auto" w:val="clear"/>
            <w:vAlign w:val="center"/>
          </w:tcPr>
          <w:p>
            <w:pPr>
              <w:pStyle w:val="TableContents"/>
              <w:spacing w:before="0" w:after="0"/>
              <w:ind w:left="300" w:right="0" w:hanging="0"/>
              <w:jc w:val="left"/>
              <w:rPr>
                <w:rFonts w:ascii="Times New Roman;serif" w:hAnsi="Times New Roman;serif"/>
                <w:b/>
                <w:sz w:val="16"/>
              </w:rPr>
            </w:pPr>
            <w:r>
              <w:rPr>
                <w:rFonts w:ascii="Times New Roman;serif" w:hAnsi="Times New Roman;serif"/>
                <w:b/>
                <w:sz w:val="16"/>
              </w:rPr>
              <w:t>Total assets</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305,443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321,492</w:t>
            </w:r>
          </w:p>
        </w:tc>
        <w:tc>
          <w:tcPr>
            <w:tcW w:w="5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12"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Liabilities, and stockholders’ equity</w:t>
            </w:r>
          </w:p>
        </w:tc>
        <w:tc>
          <w:tcPr>
            <w:tcW w:w="104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0" w:type="dxa"/>
            <w:gridSpan w:val="2"/>
            <w:tcBorders/>
            <w:shd w:fill="auto" w:val="clear"/>
            <w:vAlign w:val="center"/>
          </w:tcPr>
          <w:p>
            <w:pPr>
              <w:pStyle w:val="TableContents"/>
              <w:spacing w:before="0" w:after="0"/>
              <w:ind w:left="0" w:right="0" w:hanging="0"/>
              <w:jc w:val="left"/>
              <w:rPr/>
            </w:pPr>
            <w:r>
              <w:rPr/>
              <w:t> </w:t>
            </w:r>
          </w:p>
        </w:tc>
        <w:tc>
          <w:tcPr>
            <w:tcW w:w="515" w:type="dxa"/>
            <w:tcBorders/>
            <w:shd w:fill="auto" w:val="clear"/>
            <w:vAlign w:val="center"/>
          </w:tcPr>
          <w:p>
            <w:pPr>
              <w:pStyle w:val="TableContents"/>
              <w:spacing w:before="0" w:after="0"/>
              <w:ind w:left="0" w:right="0" w:hanging="0"/>
              <w:jc w:val="left"/>
              <w:rPr/>
            </w:pPr>
            <w:r>
              <w:rPr/>
              <w:t> </w:t>
            </w:r>
          </w:p>
        </w:tc>
      </w:tr>
      <w:tr>
        <w:trPr/>
        <w:tc>
          <w:tcPr>
            <w:tcW w:w="7212"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Current liabilities:</w:t>
            </w:r>
          </w:p>
        </w:tc>
        <w:tc>
          <w:tcPr>
            <w:tcW w:w="104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0" w:type="dxa"/>
            <w:gridSpan w:val="2"/>
            <w:tcBorders/>
            <w:shd w:fill="auto" w:val="clear"/>
            <w:vAlign w:val="center"/>
          </w:tcPr>
          <w:p>
            <w:pPr>
              <w:pStyle w:val="TableContents"/>
              <w:spacing w:before="0" w:after="0"/>
              <w:ind w:left="0" w:right="0" w:hanging="0"/>
              <w:jc w:val="left"/>
              <w:rPr/>
            </w:pPr>
            <w:r>
              <w:rPr/>
              <w:t> </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Accounts payable</w:t>
            </w:r>
          </w:p>
        </w:tc>
        <w:tc>
          <w:tcPr>
            <w:tcW w:w="2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11,418</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Accrued expenses</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10,965</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16"/>
              </w:rPr>
              <w:t>Lease liabilities, short-term (related-party of $265</w:t>
            </w:r>
            <w:r>
              <w:rPr>
                <w:rFonts w:ascii="Times New Roman" w:hAnsi="Times New Roman"/>
                <w:sz w:val="20"/>
              </w:rPr>
              <w:t> </w:t>
            </w:r>
            <w:r>
              <w:rPr>
                <w:rFonts w:ascii="Times New Roman;serif" w:hAnsi="Times New Roman;serif"/>
                <w:b w:val="false"/>
                <w:sz w:val="16"/>
              </w:rPr>
              <w:t>and $273</w:t>
            </w:r>
            <w:r>
              <w:rPr>
                <w:rFonts w:ascii="Times New Roman" w:hAnsi="Times New Roman"/>
                <w:sz w:val="20"/>
              </w:rPr>
              <w:t> </w:t>
            </w:r>
            <w:r>
              <w:rPr>
                <w:rFonts w:ascii="Times New Roman;serif" w:hAnsi="Times New Roman;serif"/>
                <w:b w:val="false"/>
                <w:sz w:val="16"/>
              </w:rPr>
              <w:t>as of March 31, 2023 and December 31, 2022, respectively)</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273</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Legal settlement accrual</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9,450</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Other current liabilities</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4,182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4,311</w:t>
            </w:r>
          </w:p>
        </w:tc>
        <w:tc>
          <w:tcPr>
            <w:tcW w:w="5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7212" w:type="dxa"/>
            <w:tcBorders/>
            <w:shd w:fill="auto" w:val="clear"/>
            <w:vAlign w:val="center"/>
          </w:tcPr>
          <w:p>
            <w:pPr>
              <w:pStyle w:val="TableContents"/>
              <w:spacing w:before="0" w:after="0"/>
              <w:ind w:left="300" w:right="0" w:hanging="0"/>
              <w:jc w:val="left"/>
              <w:rPr>
                <w:rFonts w:ascii="Times New Roman;serif" w:hAnsi="Times New Roman;serif"/>
                <w:b/>
                <w:sz w:val="16"/>
              </w:rPr>
            </w:pPr>
            <w:r>
              <w:rPr>
                <w:rFonts w:ascii="Times New Roman;serif" w:hAnsi="Times New Roman;serif"/>
                <w:b/>
                <w:sz w:val="16"/>
              </w:rPr>
              <w:t>Total current liabilities</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26,318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36,417</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16"/>
              </w:rPr>
              <w:t>Lease liabilities, long-term (related-party of $489</w:t>
            </w:r>
            <w:r>
              <w:rPr>
                <w:rFonts w:ascii="Times New Roman" w:hAnsi="Times New Roman"/>
                <w:sz w:val="20"/>
              </w:rPr>
              <w:t> </w:t>
            </w:r>
            <w:r>
              <w:rPr>
                <w:rFonts w:ascii="Times New Roman;serif" w:hAnsi="Times New Roman;serif"/>
                <w:b w:val="false"/>
                <w:sz w:val="16"/>
              </w:rPr>
              <w:t>and $550</w:t>
            </w:r>
            <w:r>
              <w:rPr>
                <w:rFonts w:ascii="Times New Roman" w:hAnsi="Times New Roman"/>
                <w:sz w:val="20"/>
              </w:rPr>
              <w:t> </w:t>
            </w:r>
            <w:r>
              <w:rPr>
                <w:rFonts w:ascii="Times New Roman;serif" w:hAnsi="Times New Roman;serif"/>
                <w:b w:val="false"/>
                <w:sz w:val="16"/>
              </w:rPr>
              <w:t>as of March 31, 2023 and December 31, 2022, respectively)</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550</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Debt facility, long-term</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75,000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75,000</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Convertible debt, long-term</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103,087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102,325</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Warrant and earnout liabilities</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516</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Other non-current liabilities</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124</w:t>
            </w:r>
          </w:p>
        </w:tc>
        <w:tc>
          <w:tcPr>
            <w:tcW w:w="5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7212" w:type="dxa"/>
            <w:tcBorders/>
            <w:shd w:fill="auto" w:val="clear"/>
            <w:vAlign w:val="center"/>
          </w:tcPr>
          <w:p>
            <w:pPr>
              <w:pStyle w:val="TableContents"/>
              <w:spacing w:before="0" w:after="0"/>
              <w:ind w:left="300" w:right="0" w:hanging="0"/>
              <w:jc w:val="left"/>
              <w:rPr>
                <w:rFonts w:ascii="Times New Roman;serif" w:hAnsi="Times New Roman;serif"/>
                <w:b/>
                <w:sz w:val="16"/>
              </w:rPr>
            </w:pPr>
            <w:r>
              <w:rPr>
                <w:rFonts w:ascii="Times New Roman;serif" w:hAnsi="Times New Roman;serif"/>
                <w:b/>
                <w:sz w:val="16"/>
              </w:rPr>
              <w:t>Total liabilities</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205,363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214,932</w:t>
            </w:r>
          </w:p>
        </w:tc>
        <w:tc>
          <w:tcPr>
            <w:tcW w:w="5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Commitments and contingencies (Note 11)</w:t>
            </w:r>
          </w:p>
        </w:tc>
        <w:tc>
          <w:tcPr>
            <w:tcW w:w="104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0" w:type="dxa"/>
            <w:gridSpan w:val="2"/>
            <w:tcBorders/>
            <w:shd w:fill="auto" w:val="clear"/>
            <w:vAlign w:val="center"/>
          </w:tcPr>
          <w:p>
            <w:pPr>
              <w:pStyle w:val="TableContents"/>
              <w:spacing w:before="0" w:after="0"/>
              <w:ind w:left="0" w:right="0" w:hanging="0"/>
              <w:jc w:val="left"/>
              <w:rPr/>
            </w:pPr>
            <w:r>
              <w:rPr/>
              <w:t> </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sz w:val="16"/>
              </w:rPr>
            </w:pPr>
            <w:r>
              <w:rPr>
                <w:rFonts w:ascii="Times New Roman;serif" w:hAnsi="Times New Roman;serif"/>
                <w:b/>
                <w:sz w:val="16"/>
              </w:rPr>
              <w:t>Stockholders’ equity:</w:t>
            </w:r>
          </w:p>
        </w:tc>
        <w:tc>
          <w:tcPr>
            <w:tcW w:w="104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0" w:type="dxa"/>
            <w:gridSpan w:val="2"/>
            <w:tcBorders/>
            <w:shd w:fill="auto" w:val="clear"/>
            <w:vAlign w:val="center"/>
          </w:tcPr>
          <w:p>
            <w:pPr>
              <w:pStyle w:val="TableContents"/>
              <w:spacing w:before="0" w:after="0"/>
              <w:ind w:left="0" w:right="0" w:hanging="0"/>
              <w:jc w:val="left"/>
              <w:rPr/>
            </w:pPr>
            <w:r>
              <w:rPr/>
              <w:t> </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16"/>
              </w:rPr>
              <w:t>Preferred stock, par value per share $0.0001, 10,000,000</w:t>
            </w:r>
            <w:r>
              <w:rPr>
                <w:rFonts w:ascii="Times New Roman" w:hAnsi="Times New Roman"/>
                <w:sz w:val="20"/>
              </w:rPr>
              <w:t> </w:t>
            </w:r>
            <w:r>
              <w:rPr>
                <w:rFonts w:ascii="Times New Roman;serif" w:hAnsi="Times New Roman;serif"/>
                <w:b w:val="false"/>
                <w:sz w:val="16"/>
              </w:rPr>
              <w:t>shares authorized; 0</w:t>
            </w:r>
            <w:r>
              <w:rPr>
                <w:rFonts w:ascii="Times New Roman" w:hAnsi="Times New Roman"/>
                <w:sz w:val="20"/>
              </w:rPr>
              <w:t> </w:t>
            </w:r>
            <w:r>
              <w:rPr>
                <w:rFonts w:ascii="Times New Roman;serif" w:hAnsi="Times New Roman;serif"/>
                <w:b w:val="false"/>
                <w:sz w:val="16"/>
              </w:rPr>
              <w:t>shares issued and outstanding at March 31, 2023 and December 31, 2022</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16"/>
              </w:rPr>
              <w:t>Class A common stock, par value per share $0.0001, 500,000,000</w:t>
            </w:r>
            <w:r>
              <w:rPr>
                <w:rFonts w:ascii="Times New Roman" w:hAnsi="Times New Roman"/>
                <w:sz w:val="20"/>
              </w:rPr>
              <w:t> </w:t>
            </w:r>
            <w:r>
              <w:rPr>
                <w:rFonts w:ascii="Times New Roman;serif" w:hAnsi="Times New Roman;serif"/>
                <w:b w:val="false"/>
                <w:sz w:val="16"/>
              </w:rPr>
              <w:t>shares authorized; 10,402,531</w:t>
            </w:r>
            <w:r>
              <w:rPr>
                <w:rFonts w:ascii="Times New Roman" w:hAnsi="Times New Roman"/>
                <w:sz w:val="20"/>
              </w:rPr>
              <w:t> </w:t>
            </w:r>
            <w:r>
              <w:rPr>
                <w:rFonts w:ascii="Times New Roman;serif" w:hAnsi="Times New Roman;serif"/>
                <w:b w:val="false"/>
                <w:sz w:val="16"/>
              </w:rPr>
              <w:t>and 10,334,220</w:t>
            </w:r>
            <w:r>
              <w:rPr>
                <w:rFonts w:ascii="Times New Roman" w:hAnsi="Times New Roman"/>
                <w:sz w:val="20"/>
              </w:rPr>
              <w:t> </w:t>
            </w:r>
            <w:r>
              <w:rPr>
                <w:rFonts w:ascii="Times New Roman;serif" w:hAnsi="Times New Roman;serif"/>
                <w:b w:val="false"/>
                <w:sz w:val="16"/>
              </w:rPr>
              <w:t>shares issued at March 31, 2023 and December 31, 2022, respectively; 10,352,968</w:t>
            </w:r>
            <w:r>
              <w:rPr>
                <w:rFonts w:ascii="Times New Roman" w:hAnsi="Times New Roman"/>
                <w:sz w:val="20"/>
              </w:rPr>
              <w:t> </w:t>
            </w:r>
            <w:r>
              <w:rPr>
                <w:rFonts w:ascii="Times New Roman;serif" w:hAnsi="Times New Roman;serif"/>
                <w:b w:val="false"/>
                <w:sz w:val="16"/>
              </w:rPr>
              <w:t>and 10,284,657</w:t>
            </w:r>
            <w:r>
              <w:rPr>
                <w:rFonts w:ascii="Times New Roman" w:hAnsi="Times New Roman"/>
                <w:sz w:val="20"/>
              </w:rPr>
              <w:t> </w:t>
            </w:r>
            <w:r>
              <w:rPr>
                <w:rFonts w:ascii="Times New Roman;serif" w:hAnsi="Times New Roman;serif"/>
                <w:b w:val="false"/>
                <w:sz w:val="16"/>
              </w:rPr>
              <w:t>shares outstanding at March 31, 2023 and December 31, 2022, respectively;</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16"/>
              </w:rPr>
              <w:t>Class V common stock, par value per share $0.0001, 100,000,000</w:t>
            </w:r>
            <w:r>
              <w:rPr>
                <w:rFonts w:ascii="Times New Roman" w:hAnsi="Times New Roman"/>
                <w:sz w:val="20"/>
              </w:rPr>
              <w:t> </w:t>
            </w:r>
            <w:r>
              <w:rPr>
                <w:rFonts w:ascii="Times New Roman;serif" w:hAnsi="Times New Roman;serif"/>
                <w:b w:val="false"/>
                <w:sz w:val="16"/>
              </w:rPr>
              <w:t>shares authorized; 1,514,082</w:t>
            </w:r>
            <w:r>
              <w:rPr>
                <w:rFonts w:ascii="Times New Roman" w:hAnsi="Times New Roman"/>
                <w:sz w:val="20"/>
              </w:rPr>
              <w:t> </w:t>
            </w:r>
            <w:r>
              <w:rPr>
                <w:rFonts w:ascii="Times New Roman;serif" w:hAnsi="Times New Roman;serif"/>
                <w:b w:val="false"/>
                <w:sz w:val="16"/>
              </w:rPr>
              <w:t>shares issued and outstanding at March 31, 2023 and December 31, 2022, respectively;</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Additional paid-in capital</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276,799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270,037</w:t>
            </w:r>
          </w:p>
        </w:tc>
        <w:tc>
          <w:tcPr>
            <w:tcW w:w="515" w:type="dxa"/>
            <w:tcBorders/>
            <w:shd w:fill="auto" w:val="clear"/>
            <w:vAlign w:val="center"/>
          </w:tcPr>
          <w:p>
            <w:pPr>
              <w:pStyle w:val="TableContents"/>
              <w:spacing w:before="0" w:after="0"/>
              <w:ind w:left="0" w:right="0" w:firstLine="100"/>
              <w:jc w:val="left"/>
              <w:rPr/>
            </w:pPr>
            <w:r>
              <w:rPr/>
              <w:t> </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Accumulated other comprehensive loss</w:t>
            </w:r>
          </w:p>
        </w:tc>
        <w:tc>
          <w:tcPr>
            <w:tcW w:w="216"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(1,675</w:t>
            </w:r>
          </w:p>
        </w:tc>
        <w:tc>
          <w:tcPr>
            <w:tcW w:w="515" w:type="dxa"/>
            <w:tcBorders/>
            <w:shd w:fill="auto" w:val="clear"/>
            <w:vAlign w:val="center"/>
          </w:tcPr>
          <w:p>
            <w:pPr>
              <w:pStyle w:val="TableContents"/>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721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Accumulated deficit</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(175,828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(161,803</w:t>
            </w:r>
          </w:p>
        </w:tc>
        <w:tc>
          <w:tcPr>
            <w:tcW w:w="5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rFonts w:ascii="Times New Roman;serif" w:hAnsi="Times New Roman;serif"/>
                <w:b w:val="false"/>
                <w:sz w:val="16"/>
              </w:rPr>
            </w:pPr>
            <w:r>
              <w:rPr>
                <w:rFonts w:ascii="Times New Roman;serif" w:hAnsi="Times New Roman;serif"/>
                <w:b w:val="false"/>
                <w:sz w:val="16"/>
              </w:rPr>
              <w:t>)</w:t>
            </w:r>
          </w:p>
        </w:tc>
      </w:tr>
      <w:tr>
        <w:trPr/>
        <w:tc>
          <w:tcPr>
            <w:tcW w:w="7212" w:type="dxa"/>
            <w:tcBorders/>
            <w:shd w:fill="auto" w:val="clear"/>
            <w:vAlign w:val="center"/>
          </w:tcPr>
          <w:p>
            <w:pPr>
              <w:pStyle w:val="TableContents"/>
              <w:spacing w:before="0" w:after="0"/>
              <w:ind w:left="300" w:right="0" w:hanging="0"/>
              <w:jc w:val="left"/>
              <w:rPr>
                <w:rFonts w:ascii="Times New Roman;serif" w:hAnsi="Times New Roman;serif"/>
                <w:b/>
                <w:sz w:val="16"/>
              </w:rPr>
            </w:pPr>
            <w:r>
              <w:rPr>
                <w:rFonts w:ascii="Times New Roman;serif" w:hAnsi="Times New Roman;serif"/>
                <w:b/>
                <w:sz w:val="16"/>
              </w:rPr>
              <w:t>Total stockholders’ equity</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100,080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106,560</w:t>
            </w:r>
          </w:p>
        </w:tc>
        <w:tc>
          <w:tcPr>
            <w:tcW w:w="5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7212" w:type="dxa"/>
            <w:tcBorders/>
            <w:shd w:fill="auto" w:val="clear"/>
            <w:vAlign w:val="center"/>
          </w:tcPr>
          <w:p>
            <w:pPr>
              <w:pStyle w:val="TableContents"/>
              <w:spacing w:before="0" w:after="0"/>
              <w:ind w:left="300" w:right="0" w:hanging="0"/>
              <w:jc w:val="left"/>
              <w:rPr>
                <w:rFonts w:ascii="Times New Roman;serif" w:hAnsi="Times New Roman;serif"/>
                <w:b/>
                <w:sz w:val="16"/>
              </w:rPr>
            </w:pPr>
            <w:r>
              <w:rPr>
                <w:rFonts w:ascii="Times New Roman;serif" w:hAnsi="Times New Roman;serif"/>
                <w:b/>
                <w:sz w:val="16"/>
              </w:rPr>
              <w:t>Total liabilities, and stockholders’ equity</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305,443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321,492</w:t>
            </w:r>
          </w:p>
        </w:tc>
        <w:tc>
          <w:tcPr>
            <w:tcW w:w="5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the condensed consolidated financial statements.</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Dave Inc.</w:t>
      </w:r>
    </w:p>
    <w:p>
      <w:pPr>
        <w:pStyle w:val="TextBody"/>
        <w:spacing w:before="0" w:after="0"/>
        <w:jc w:val="center"/>
        <w:rPr>
          <w:rFonts w:ascii="Times New Roman;serif" w:hAnsi="Times New Roman;serif"/>
          <w:b/>
          <w:sz w:val="20"/>
        </w:rPr>
      </w:pPr>
      <w:bookmarkStart w:id="5" w:name="balancesheet_daveodfunding"/>
      <w:bookmarkEnd w:id="5"/>
      <w:r>
        <w:rPr>
          <w:rFonts w:ascii="Times New Roman;serif" w:hAnsi="Times New Roman;serif"/>
          <w:b/>
          <w:sz w:val="20"/>
        </w:rPr>
        <w:t>Condensed Consolidated Balance Sheets, Continued</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(in thousands)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following table presents the assets and liabilities of a consolidated variable interest entity (“VIE”), which are included in the condensed consolidated balance sheets above. The assets in the table below may only be used to settle obligations of consolidated VIEs and are in excess of those obligations. All intercompany accounts have been eliminated.</w:t>
      </w:r>
      <w:r>
        <w:rPr>
          <w:rFonts w:ascii="Times New Roman" w:hAnsi="Times New Roman"/>
          <w:sz w:val="20"/>
        </w:rPr>
        <w:t xml:space="preserve"> </w:t>
      </w:r>
    </w:p>
    <w:p>
      <w:pPr>
        <w:pStyle w:val="TextBody"/>
        <w:spacing w:before="0" w:after="0"/>
        <w:jc w:val="left"/>
        <w:rPr/>
      </w:pPr>
      <w:r>
        <w:rPr/>
        <w:t> </w:t>
      </w:r>
    </w:p>
    <w:tbl>
      <w:tblPr>
        <w:tblW w:w="9345" w:type="dxa"/>
        <w:jc w:val="left"/>
        <w:tblInd w:w="0" w:type="dxa"/>
        <w:tblCellMar>
          <w:top w:w="28" w:type="dxa"/>
          <w:left w:w="28" w:type="dxa"/>
          <w:bottom w:w="28" w:type="dxa"/>
          <w:right w:w="28" w:type="dxa"/>
        </w:tblCellMar>
      </w:tblPr>
      <w:tblGrid>
        <w:gridCol w:w="4321"/>
        <w:gridCol w:w="146"/>
        <w:gridCol w:w="453"/>
        <w:gridCol w:w="1452"/>
        <w:gridCol w:w="146"/>
        <w:gridCol w:w="146"/>
        <w:gridCol w:w="519"/>
        <w:gridCol w:w="1671"/>
        <w:gridCol w:w="491"/>
      </w:tblGrid>
      <w:tr>
        <w:trPr/>
        <w:tc>
          <w:tcPr>
            <w:tcW w:w="43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67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43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 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05" w:type="dxa"/>
            <w:gridSpan w:val="2"/>
            <w:tcBorders/>
            <w:shd w:fill="auto" w:val="clear"/>
            <w:vAlign w:val="center"/>
          </w:tcPr>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(unaudited)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0" w:type="dxa"/>
            <w:gridSpan w:val="2"/>
            <w:tcBorders/>
            <w:shd w:fill="auto" w:val="clear"/>
            <w:vAlign w:val="center"/>
          </w:tcPr>
          <w:p>
            <w:pPr>
              <w:pStyle w:val="TableContents"/>
              <w:spacing w:before="0" w:after="0"/>
              <w:ind w:left="0" w:right="0" w:hanging="0"/>
              <w:jc w:val="center"/>
              <w:rPr/>
            </w:pPr>
            <w:r>
              <w:rPr/>
              <w:t> </w:t>
            </w:r>
          </w:p>
        </w:tc>
        <w:tc>
          <w:tcPr>
            <w:tcW w:w="491" w:type="dxa"/>
            <w:tcBorders/>
            <w:shd w:fill="auto" w:val="cle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90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0"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100"/>
              <w:jc w:val="left"/>
              <w:rPr/>
            </w:pPr>
            <w:r>
              <w:rPr/>
              <w:t> </w:t>
            </w:r>
          </w:p>
        </w:tc>
      </w:tr>
      <w:tr>
        <w:trPr/>
        <w:tc>
          <w:tcPr>
            <w:tcW w:w="43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4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33,919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12,030</w:t>
            </w:r>
          </w:p>
        </w:tc>
        <w:tc>
          <w:tcPr>
            <w:tcW w:w="491" w:type="dxa"/>
            <w:tcBorders/>
            <w:shd w:fill="auto" w:val="clear"/>
            <w:vAlign w:val="center"/>
          </w:tcPr>
          <w:p>
            <w:pPr>
              <w:pStyle w:val="TableContents"/>
              <w:spacing w:before="0" w:after="0"/>
              <w:ind w:left="0" w:right="0" w:firstLine="100"/>
              <w:jc w:val="left"/>
              <w:rPr/>
            </w:pPr>
            <w:r>
              <w:rPr/>
              <w:t> </w:t>
            </w:r>
          </w:p>
        </w:tc>
      </w:tr>
      <w:tr>
        <w:trPr/>
        <w:tc>
          <w:tcPr>
            <w:tcW w:w="43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Member advances, net of allowance for credit losses</w:t>
            </w:r>
          </w:p>
        </w:tc>
        <w:tc>
          <w:tcPr>
            <w:tcW w:w="146" w:type="dxa"/>
            <w:tcBorders/>
            <w:shd w:fill="auto" w:val="clear"/>
            <w:vAlign w:val="center"/>
          </w:tcPr>
          <w:p>
            <w:pPr>
              <w:pStyle w:val="TableContents"/>
              <w:spacing w:before="0" w:after="0"/>
              <w:ind w:left="0" w:right="0" w:hanging="0"/>
              <w:jc w:val="left"/>
              <w:rPr/>
            </w:pPr>
            <w:r>
              <w:rPr/>
              <w:t> </w:t>
            </w:r>
          </w:p>
        </w:tc>
        <w:tc>
          <w:tcPr>
            <w:tcW w:w="453" w:type="dxa"/>
            <w:tcBorders/>
            <w:shd w:fill="auto" w:val="clear"/>
            <w:vAlign w:val="center"/>
          </w:tcPr>
          <w:p>
            <w:pPr>
              <w:pStyle w:val="TableContents"/>
              <w:spacing w:before="0" w:after="0"/>
              <w:ind w:left="0" w:right="0" w:hanging="0"/>
              <w:jc w:val="left"/>
              <w:rPr/>
            </w:pPr>
            <w:r>
              <w:rPr/>
              <w:t> </w:t>
            </w:r>
          </w:p>
        </w:tc>
        <w:tc>
          <w:tcPr>
            <w:tcW w:w="14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55,627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16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71,545</w:t>
            </w:r>
          </w:p>
        </w:tc>
        <w:tc>
          <w:tcPr>
            <w:tcW w:w="491" w:type="dxa"/>
            <w:tcBorders/>
            <w:shd w:fill="auto" w:val="clear"/>
            <w:vAlign w:val="center"/>
          </w:tcPr>
          <w:p>
            <w:pPr>
              <w:pStyle w:val="TableContents"/>
              <w:spacing w:before="0" w:after="0"/>
              <w:ind w:left="0" w:right="0" w:firstLine="100"/>
              <w:jc w:val="left"/>
              <w:rPr/>
            </w:pPr>
            <w:r>
              <w:rPr/>
              <w:t> </w:t>
            </w:r>
          </w:p>
        </w:tc>
      </w:tr>
      <w:tr>
        <w:trPr/>
        <w:tc>
          <w:tcPr>
            <w:tcW w:w="43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Debt facility commitment fee, current</w:t>
            </w:r>
          </w:p>
        </w:tc>
        <w:tc>
          <w:tcPr>
            <w:tcW w:w="146" w:type="dxa"/>
            <w:tcBorders/>
            <w:shd w:fill="auto" w:val="clear"/>
            <w:vAlign w:val="center"/>
          </w:tcPr>
          <w:p>
            <w:pPr>
              <w:pStyle w:val="TableContents"/>
              <w:spacing w:before="0" w:after="0"/>
              <w:ind w:left="0" w:right="0" w:hanging="0"/>
              <w:jc w:val="left"/>
              <w:rPr/>
            </w:pPr>
            <w:r>
              <w:rPr/>
              <w:t> </w:t>
            </w:r>
          </w:p>
        </w:tc>
        <w:tc>
          <w:tcPr>
            <w:tcW w:w="453" w:type="dxa"/>
            <w:tcBorders/>
            <w:shd w:fill="auto" w:val="clear"/>
            <w:vAlign w:val="center"/>
          </w:tcPr>
          <w:p>
            <w:pPr>
              <w:pStyle w:val="TableContents"/>
              <w:spacing w:before="0" w:after="0"/>
              <w:ind w:left="0" w:right="0" w:hanging="0"/>
              <w:jc w:val="left"/>
              <w:rPr/>
            </w:pPr>
            <w:r>
              <w:rPr/>
              <w:t> </w:t>
            </w:r>
          </w:p>
        </w:tc>
        <w:tc>
          <w:tcPr>
            <w:tcW w:w="14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16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491" w:type="dxa"/>
            <w:tcBorders/>
            <w:shd w:fill="auto" w:val="clear"/>
            <w:vAlign w:val="center"/>
          </w:tcPr>
          <w:p>
            <w:pPr>
              <w:pStyle w:val="TableContents"/>
              <w:spacing w:before="0" w:after="0"/>
              <w:ind w:left="0" w:right="0" w:firstLine="100"/>
              <w:jc w:val="left"/>
              <w:rPr/>
            </w:pPr>
            <w:r>
              <w:rPr/>
              <w:t> </w:t>
            </w:r>
          </w:p>
        </w:tc>
      </w:tr>
      <w:tr>
        <w:trPr/>
        <w:tc>
          <w:tcPr>
            <w:tcW w:w="43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Debt facility commitment fee, long-term</w:t>
            </w:r>
          </w:p>
        </w:tc>
        <w:tc>
          <w:tcPr>
            <w:tcW w:w="146" w:type="dxa"/>
            <w:tcBorders/>
            <w:shd w:fill="auto" w:val="clear"/>
            <w:vAlign w:val="center"/>
          </w:tcPr>
          <w:p>
            <w:pPr>
              <w:pStyle w:val="TableContents"/>
              <w:spacing w:before="0" w:after="0"/>
              <w:ind w:left="0" w:right="0" w:hanging="0"/>
              <w:jc w:val="left"/>
              <w:rPr/>
            </w:pPr>
            <w:r>
              <w:rPr/>
              <w:t> </w:t>
            </w:r>
          </w:p>
        </w:tc>
        <w:tc>
          <w:tcPr>
            <w:tcW w:w="4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4321" w:type="dxa"/>
            <w:tcBorders/>
            <w:shd w:fill="auto" w:val="clear"/>
            <w:vAlign w:val="center"/>
          </w:tcPr>
          <w:p>
            <w:pPr>
              <w:pStyle w:val="TableContents"/>
              <w:spacing w:before="0" w:after="0"/>
              <w:ind w:left="30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4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89,654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6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83,712</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190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0"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100"/>
              <w:jc w:val="left"/>
              <w:rPr/>
            </w:pPr>
            <w:r>
              <w:rPr/>
              <w:t> </w:t>
            </w:r>
          </w:p>
        </w:tc>
      </w:tr>
      <w:tr>
        <w:trPr/>
        <w:tc>
          <w:tcPr>
            <w:tcW w:w="43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453" w:type="dxa"/>
            <w:tcBorders/>
            <w:shd w:fill="auto" w:val="clear"/>
            <w:vAlign w:val="center"/>
          </w:tcPr>
          <w:p>
            <w:pPr>
              <w:pStyle w:val="TableContents"/>
              <w:spacing w:before="0" w:after="0"/>
              <w:ind w:left="0" w:right="0" w:hanging="0"/>
              <w:jc w:val="left"/>
              <w:rPr/>
            </w:pPr>
            <w:r>
              <w:rPr/>
              <w:t> </w:t>
            </w:r>
          </w:p>
        </w:tc>
        <w:tc>
          <w:tcPr>
            <w:tcW w:w="14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16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531</w:t>
            </w:r>
          </w:p>
        </w:tc>
        <w:tc>
          <w:tcPr>
            <w:tcW w:w="491" w:type="dxa"/>
            <w:tcBorders/>
            <w:shd w:fill="auto" w:val="clear"/>
            <w:vAlign w:val="center"/>
          </w:tcPr>
          <w:p>
            <w:pPr>
              <w:pStyle w:val="TableContents"/>
              <w:spacing w:before="0" w:after="0"/>
              <w:ind w:left="0" w:right="0" w:firstLine="100"/>
              <w:jc w:val="left"/>
              <w:rPr/>
            </w:pPr>
            <w:r>
              <w:rPr/>
              <w:t> </w:t>
            </w:r>
          </w:p>
        </w:tc>
      </w:tr>
      <w:tr>
        <w:trPr/>
        <w:tc>
          <w:tcPr>
            <w:tcW w:w="43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Long-term debt facility</w:t>
            </w:r>
          </w:p>
        </w:tc>
        <w:tc>
          <w:tcPr>
            <w:tcW w:w="146" w:type="dxa"/>
            <w:tcBorders/>
            <w:shd w:fill="auto" w:val="clear"/>
            <w:vAlign w:val="center"/>
          </w:tcPr>
          <w:p>
            <w:pPr>
              <w:pStyle w:val="TableContents"/>
              <w:spacing w:before="0" w:after="0"/>
              <w:ind w:left="0" w:right="0" w:hanging="0"/>
              <w:jc w:val="left"/>
              <w:rPr/>
            </w:pPr>
            <w:r>
              <w:rPr/>
              <w:t> </w:t>
            </w:r>
          </w:p>
        </w:tc>
        <w:tc>
          <w:tcPr>
            <w:tcW w:w="4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75,000</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4321" w:type="dxa"/>
            <w:tcBorders/>
            <w:shd w:fill="auto" w:val="clear"/>
            <w:vAlign w:val="center"/>
          </w:tcPr>
          <w:p>
            <w:pPr>
              <w:pStyle w:val="TableContents"/>
              <w:spacing w:before="0" w:after="0"/>
              <w:ind w:left="300" w:right="0" w:hanging="0"/>
              <w:jc w:val="left"/>
              <w:rPr>
                <w:rFonts w:ascii="Times New Roman;serif" w:hAnsi="Times New Roman;serif"/>
                <w:b/>
                <w:sz w:val="20"/>
              </w:rPr>
            </w:pPr>
            <w:r>
              <w:rPr>
                <w:rFonts w:ascii="Times New Roman;serif" w:hAnsi="Times New Roman;serif"/>
                <w:b/>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4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77,121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6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75,531</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the condensed consolidated financial statements.</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Dave Inc.</w:t>
      </w:r>
      <w:r>
        <w:rPr>
          <w:rFonts w:ascii="Times New Roman" w:hAnsi="Times New Roman"/>
          <w:sz w:val="20"/>
        </w:rPr>
        <w:t xml:space="preserve"> </w:t>
      </w:r>
    </w:p>
    <w:p>
      <w:pPr>
        <w:pStyle w:val="TextBody"/>
        <w:spacing w:before="7" w:after="0"/>
        <w:jc w:val="center"/>
        <w:rPr>
          <w:rFonts w:ascii="Times New Roman;serif" w:hAnsi="Times New Roman;serif"/>
          <w:b/>
          <w:sz w:val="20"/>
        </w:rPr>
      </w:pPr>
      <w:bookmarkStart w:id="6" w:name="statementsofoperatrions"/>
      <w:bookmarkEnd w:id="6"/>
      <w:r>
        <w:rPr>
          <w:rFonts w:ascii="Times New Roman;serif" w:hAnsi="Times New Roman;serif"/>
          <w:b/>
          <w:sz w:val="20"/>
        </w:rPr>
        <w:t>Condensed Consolidated Statements of Operations</w:t>
      </w:r>
    </w:p>
    <w:p>
      <w:pPr>
        <w:pStyle w:val="TextBody"/>
        <w:spacing w:before="12" w:after="0"/>
        <w:jc w:val="center"/>
        <w:rPr>
          <w:rFonts w:ascii="Times New Roman;serif" w:hAnsi="Times New Roman;serif"/>
          <w:b w:val="false"/>
          <w:i/>
          <w:sz w:val="20"/>
        </w:rPr>
      </w:pPr>
      <w:r>
        <w:rPr>
          <w:rFonts w:ascii="Times New Roman;serif" w:hAnsi="Times New Roman;serif"/>
          <w:b w:val="false"/>
          <w:i/>
          <w:sz w:val="20"/>
        </w:rPr>
        <w:t>(in thousands; except share data)</w:t>
      </w:r>
    </w:p>
    <w:p>
      <w:pPr>
        <w:pStyle w:val="TextBody"/>
        <w:spacing w:before="12"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spacing w:before="12" w:after="0"/>
        <w:jc w:val="center"/>
        <w:rPr/>
      </w:pPr>
      <w:r>
        <w:rPr/>
        <w:t> </w:t>
      </w:r>
    </w:p>
    <w:tbl>
      <w:tblPr>
        <w:tblW w:w="9135" w:type="dxa"/>
        <w:jc w:val="left"/>
        <w:tblInd w:w="0" w:type="dxa"/>
        <w:tblCellMar>
          <w:top w:w="28" w:type="dxa"/>
          <w:left w:w="28" w:type="dxa"/>
          <w:bottom w:w="28" w:type="dxa"/>
          <w:right w:w="28" w:type="dxa"/>
        </w:tblCellMar>
      </w:tblPr>
      <w:tblGrid>
        <w:gridCol w:w="5486"/>
        <w:gridCol w:w="146"/>
        <w:gridCol w:w="243"/>
        <w:gridCol w:w="1197"/>
        <w:gridCol w:w="166"/>
        <w:gridCol w:w="146"/>
        <w:gridCol w:w="243"/>
        <w:gridCol w:w="1197"/>
        <w:gridCol w:w="311"/>
      </w:tblGrid>
      <w:tr>
        <w:trPr/>
        <w:tc>
          <w:tcPr>
            <w:tcW w:w="54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54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2"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w:t>
            </w:r>
          </w:p>
        </w:tc>
        <w:tc>
          <w:tcPr>
            <w:tcW w:w="311" w:type="dxa"/>
            <w:tcBorders/>
            <w:shd w:fill="auto" w:val="clear"/>
            <w:vAlign w:val="center"/>
          </w:tcPr>
          <w:p>
            <w:pPr>
              <w:pStyle w:val="TableContents"/>
              <w:spacing w:before="0" w:after="0"/>
              <w:ind w:left="0" w:right="0" w:hanging="0"/>
              <w:jc w:val="center"/>
              <w:rPr/>
            </w:pPr>
            <w:r>
              <w:rPr/>
              <w:t> </w:t>
            </w:r>
          </w:p>
        </w:tc>
      </w:tr>
      <w:tr>
        <w:trPr/>
        <w:tc>
          <w:tcPr>
            <w:tcW w:w="54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2022</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revenues:</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firstLine="100"/>
              <w:jc w:val="left"/>
              <w:rPr/>
            </w:pPr>
            <w:r>
              <w:rPr/>
              <w:t> </w:t>
            </w:r>
          </w:p>
        </w:tc>
      </w:tr>
      <w:tr>
        <w:trPr/>
        <w:tc>
          <w:tcPr>
            <w:tcW w:w="548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Service based revenue, net</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52,576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39,268</w:t>
            </w:r>
          </w:p>
        </w:tc>
        <w:tc>
          <w:tcPr>
            <w:tcW w:w="311" w:type="dxa"/>
            <w:tcBorders/>
            <w:shd w:fill="auto" w:val="clear"/>
            <w:vAlign w:val="center"/>
          </w:tcPr>
          <w:p>
            <w:pPr>
              <w:pStyle w:val="TableContents"/>
              <w:spacing w:before="0" w:after="0"/>
              <w:ind w:left="0" w:right="0" w:firstLine="100"/>
              <w:jc w:val="left"/>
              <w:rPr/>
            </w:pPr>
            <w:r>
              <w:rPr/>
              <w:t> </w:t>
            </w:r>
          </w:p>
        </w:tc>
      </w:tr>
      <w:tr>
        <w:trPr/>
        <w:tc>
          <w:tcPr>
            <w:tcW w:w="548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Transaction based revenue, net</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3,283</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486" w:type="dxa"/>
            <w:tcBorders/>
            <w:shd w:fill="auto" w:val="clear"/>
            <w:vAlign w:val="center"/>
          </w:tcPr>
          <w:p>
            <w:pPr>
              <w:pStyle w:val="TableContents"/>
              <w:spacing w:before="0" w:after="0"/>
              <w:ind w:left="0" w:right="0" w:firstLine="100"/>
              <w:jc w:val="left"/>
              <w:rPr>
                <w:rFonts w:ascii="Times New Roman;serif" w:hAnsi="Times New Roman;serif"/>
                <w:b/>
                <w:sz w:val="20"/>
              </w:rPr>
            </w:pPr>
            <w:r>
              <w:rPr>
                <w:rFonts w:ascii="Times New Roman;serif" w:hAnsi="Times New Roman;serif"/>
                <w:b/>
                <w:sz w:val="20"/>
              </w:rPr>
              <w:t>Total operating revenues, net</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58,928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42,551</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4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firstLine="100"/>
              <w:jc w:val="left"/>
              <w:rPr/>
            </w:pPr>
            <w:r>
              <w:rPr/>
              <w:t> </w:t>
            </w:r>
          </w:p>
        </w:tc>
      </w:tr>
      <w:tr>
        <w:trPr/>
        <w:tc>
          <w:tcPr>
            <w:tcW w:w="548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13,785</w:t>
            </w:r>
          </w:p>
        </w:tc>
        <w:tc>
          <w:tcPr>
            <w:tcW w:w="311" w:type="dxa"/>
            <w:tcBorders/>
            <w:shd w:fill="auto" w:val="clear"/>
            <w:vAlign w:val="center"/>
          </w:tcPr>
          <w:p>
            <w:pPr>
              <w:pStyle w:val="TableContents"/>
              <w:spacing w:before="0" w:after="0"/>
              <w:ind w:left="0" w:right="0" w:firstLine="100"/>
              <w:jc w:val="left"/>
              <w:rPr/>
            </w:pPr>
            <w:r>
              <w:rPr/>
              <w:t> </w:t>
            </w:r>
          </w:p>
        </w:tc>
      </w:tr>
      <w:tr>
        <w:trPr/>
        <w:tc>
          <w:tcPr>
            <w:tcW w:w="548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Processing and servicing costs</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6,543</w:t>
            </w:r>
          </w:p>
        </w:tc>
        <w:tc>
          <w:tcPr>
            <w:tcW w:w="311" w:type="dxa"/>
            <w:tcBorders/>
            <w:shd w:fill="auto" w:val="clear"/>
            <w:vAlign w:val="center"/>
          </w:tcPr>
          <w:p>
            <w:pPr>
              <w:pStyle w:val="TableContents"/>
              <w:spacing w:before="0" w:after="0"/>
              <w:ind w:left="0" w:right="0" w:firstLine="100"/>
              <w:jc w:val="left"/>
              <w:rPr/>
            </w:pPr>
            <w:r>
              <w:rPr/>
              <w:t> </w:t>
            </w:r>
          </w:p>
        </w:tc>
      </w:tr>
      <w:tr>
        <w:trPr/>
        <w:tc>
          <w:tcPr>
            <w:tcW w:w="548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Advertising and marketing</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12,204</w:t>
            </w:r>
          </w:p>
        </w:tc>
        <w:tc>
          <w:tcPr>
            <w:tcW w:w="311" w:type="dxa"/>
            <w:tcBorders/>
            <w:shd w:fill="auto" w:val="clear"/>
            <w:vAlign w:val="center"/>
          </w:tcPr>
          <w:p>
            <w:pPr>
              <w:pStyle w:val="TableContents"/>
              <w:spacing w:before="0" w:after="0"/>
              <w:ind w:left="0" w:right="0" w:firstLine="100"/>
              <w:jc w:val="left"/>
              <w:rPr/>
            </w:pPr>
            <w:r>
              <w:rPr/>
              <w:t> </w:t>
            </w:r>
          </w:p>
        </w:tc>
      </w:tr>
      <w:tr>
        <w:trPr/>
        <w:tc>
          <w:tcPr>
            <w:tcW w:w="548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Compensation and benefits</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17,894</w:t>
            </w:r>
          </w:p>
        </w:tc>
        <w:tc>
          <w:tcPr>
            <w:tcW w:w="311" w:type="dxa"/>
            <w:tcBorders/>
            <w:shd w:fill="auto" w:val="clear"/>
            <w:vAlign w:val="center"/>
          </w:tcPr>
          <w:p>
            <w:pPr>
              <w:pStyle w:val="TableContents"/>
              <w:spacing w:before="0" w:after="0"/>
              <w:ind w:left="0" w:right="0" w:firstLine="100"/>
              <w:jc w:val="left"/>
              <w:rPr/>
            </w:pPr>
            <w:r>
              <w:rPr/>
              <w:t> </w:t>
            </w:r>
          </w:p>
        </w:tc>
      </w:tr>
      <w:tr>
        <w:trPr/>
        <w:tc>
          <w:tcPr>
            <w:tcW w:w="548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operating expenses</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14,798</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486" w:type="dxa"/>
            <w:tcBorders/>
            <w:shd w:fill="auto" w:val="clear"/>
            <w:vAlign w:val="center"/>
          </w:tcPr>
          <w:p>
            <w:pPr>
              <w:pStyle w:val="TableContents"/>
              <w:spacing w:before="0" w:after="0"/>
              <w:ind w:left="0" w:right="0" w:firstLine="100"/>
              <w:jc w:val="left"/>
              <w:rPr>
                <w:rFonts w:ascii="Times New Roman;serif" w:hAnsi="Times New Roman;serif"/>
                <w:b/>
                <w:sz w:val="20"/>
              </w:rPr>
            </w:pPr>
            <w:r>
              <w:rPr>
                <w:rFonts w:ascii="Times New Roman;serif" w:hAnsi="Times New Roman;serif"/>
                <w:b/>
                <w:sz w:val="20"/>
              </w:rPr>
              <w:t>Total operating expenses</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71,410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65,224</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4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Other (income) expenses:</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firstLine="100"/>
              <w:jc w:val="left"/>
              <w:rPr/>
            </w:pPr>
            <w:r>
              <w:rPr/>
              <w:t> </w:t>
            </w:r>
          </w:p>
        </w:tc>
      </w:tr>
      <w:tr>
        <w:trPr/>
        <w:tc>
          <w:tcPr>
            <w:tcW w:w="548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48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1,555</w:t>
            </w:r>
          </w:p>
        </w:tc>
        <w:tc>
          <w:tcPr>
            <w:tcW w:w="311" w:type="dxa"/>
            <w:tcBorders/>
            <w:shd w:fill="auto" w:val="clear"/>
            <w:vAlign w:val="center"/>
          </w:tcPr>
          <w:p>
            <w:pPr>
              <w:pStyle w:val="TableContents"/>
              <w:spacing w:before="0" w:after="0"/>
              <w:ind w:left="0" w:right="0" w:firstLine="100"/>
              <w:jc w:val="left"/>
              <w:rPr/>
            </w:pPr>
            <w:r>
              <w:rPr/>
              <w:t> </w:t>
            </w:r>
          </w:p>
        </w:tc>
      </w:tr>
      <w:tr>
        <w:trPr/>
        <w:tc>
          <w:tcPr>
            <w:tcW w:w="548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strategic financing and transactional expenses</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961</w:t>
            </w:r>
          </w:p>
        </w:tc>
        <w:tc>
          <w:tcPr>
            <w:tcW w:w="311" w:type="dxa"/>
            <w:tcBorders/>
            <w:shd w:fill="auto" w:val="clear"/>
            <w:vAlign w:val="center"/>
          </w:tcPr>
          <w:p>
            <w:pPr>
              <w:pStyle w:val="TableContents"/>
              <w:spacing w:before="0" w:after="0"/>
              <w:ind w:left="0" w:right="0" w:firstLine="100"/>
              <w:jc w:val="left"/>
              <w:rPr/>
            </w:pPr>
            <w:r>
              <w:rPr/>
              <w:t> </w:t>
            </w:r>
          </w:p>
        </w:tc>
      </w:tr>
      <w:tr>
        <w:trPr/>
        <w:tc>
          <w:tcPr>
            <w:tcW w:w="548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Changes in fair value of earnout liabilities</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(2,040</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48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Changes in fair value of derivative asset on loans to stockholders</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5,572</w:t>
            </w:r>
          </w:p>
        </w:tc>
        <w:tc>
          <w:tcPr>
            <w:tcW w:w="311" w:type="dxa"/>
            <w:tcBorders/>
            <w:shd w:fill="auto" w:val="clear"/>
            <w:vAlign w:val="center"/>
          </w:tcPr>
          <w:p>
            <w:pPr>
              <w:pStyle w:val="TableContents"/>
              <w:spacing w:before="0" w:after="0"/>
              <w:ind w:left="0" w:right="0" w:firstLine="100"/>
              <w:jc w:val="left"/>
              <w:rPr/>
            </w:pPr>
            <w:r>
              <w:rPr/>
              <w:t> </w:t>
            </w:r>
          </w:p>
        </w:tc>
      </w:tr>
      <w:tr>
        <w:trPr/>
        <w:tc>
          <w:tcPr>
            <w:tcW w:w="548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Changes in fair value of public and private warrant liabilities</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4,065</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486" w:type="dxa"/>
            <w:tcBorders/>
            <w:shd w:fill="auto" w:val="clear"/>
            <w:vAlign w:val="center"/>
          </w:tcPr>
          <w:p>
            <w:pPr>
              <w:pStyle w:val="TableContents"/>
              <w:spacing w:before="0" w:after="0"/>
              <w:ind w:left="0" w:right="0" w:firstLine="100"/>
              <w:jc w:val="left"/>
              <w:rPr>
                <w:rFonts w:ascii="Times New Roman;serif" w:hAnsi="Times New Roman;serif"/>
                <w:b/>
                <w:sz w:val="20"/>
              </w:rPr>
            </w:pPr>
            <w:r>
              <w:rPr>
                <w:rFonts w:ascii="Times New Roman;serif" w:hAnsi="Times New Roman;serif"/>
                <w:b/>
                <w:sz w:val="20"/>
              </w:rPr>
              <w:t>Total other expense, net</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1,535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10,100</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4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loss before 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(14,017</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(32,773</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sz w:val="20"/>
              </w:rPr>
            </w:pPr>
            <w:r>
              <w:rPr>
                <w:rFonts w:ascii="Times New Roman;serif" w:hAnsi="Times New Roman;serif"/>
                <w:b/>
                <w:sz w:val="20"/>
              </w:rPr>
              <w:t>)</w:t>
            </w:r>
          </w:p>
        </w:tc>
      </w:tr>
      <w:tr>
        <w:trPr/>
        <w:tc>
          <w:tcPr>
            <w:tcW w:w="548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486" w:type="dxa"/>
            <w:tcBorders/>
            <w:shd w:fill="auto" w:val="clear"/>
            <w:vAlign w:val="center"/>
          </w:tcPr>
          <w:p>
            <w:pPr>
              <w:pStyle w:val="TableContents"/>
              <w:spacing w:before="0" w:after="0"/>
              <w:ind w:left="0" w:right="0" w:firstLine="100"/>
              <w:jc w:val="left"/>
              <w:rPr>
                <w:rFonts w:ascii="Times New Roman;serif" w:hAnsi="Times New Roman;serif"/>
                <w:b/>
                <w:sz w:val="20"/>
              </w:rPr>
            </w:pPr>
            <w:r>
              <w:rPr>
                <w:rFonts w:ascii="Times New Roman;serif" w:hAnsi="Times New Roman;serif"/>
                <w:b/>
                <w:sz w:val="20"/>
              </w:rPr>
              <w:t>Net loss</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(14,025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(32,795</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4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40" w:type="dxa"/>
            <w:gridSpan w:val="2"/>
            <w:tcBorders/>
            <w:shd w:fill="auto" w:val="clear"/>
            <w:vAlign w:val="center"/>
          </w:tcPr>
          <w:p>
            <w:pPr>
              <w:pStyle w:val="TableContents"/>
              <w:spacing w:before="0" w:after="0"/>
              <w:ind w:left="0" w:right="0" w:hanging="0"/>
              <w:jc w:val="center"/>
              <w:rPr/>
            </w:pPr>
            <w:r>
              <w:rPr/>
              <w:t> </w:t>
            </w:r>
          </w:p>
        </w:tc>
        <w:tc>
          <w:tcPr>
            <w:tcW w:w="311" w:type="dxa"/>
            <w:tcBorders/>
            <w:shd w:fill="auto" w:val="clear"/>
            <w:vAlign w:val="center"/>
          </w:tcPr>
          <w:p>
            <w:pPr>
              <w:pStyle w:val="TableContents"/>
              <w:spacing w:before="0" w:after="0"/>
              <w:ind w:left="0" w:right="0" w:hanging="0"/>
              <w:jc w:val="center"/>
              <w:rPr/>
            </w:pPr>
            <w:r>
              <w:rPr/>
              <w:t> </w:t>
            </w:r>
          </w:p>
        </w:tc>
      </w:tr>
      <w:tr>
        <w:trPr/>
        <w:tc>
          <w:tcPr>
            <w:tcW w:w="54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loss per share:</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r>
      <w:tr>
        <w:trPr/>
        <w:tc>
          <w:tcPr>
            <w:tcW w:w="54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Weighted-average shares used to compute net loss per share</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r>
      <w:tr>
        <w:trPr/>
        <w:tc>
          <w:tcPr>
            <w:tcW w:w="54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11,815,448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11,259,025</w:t>
            </w:r>
          </w:p>
        </w:tc>
        <w:tc>
          <w:tcPr>
            <w:tcW w:w="311" w:type="dxa"/>
            <w:tcBorders/>
            <w:shd w:fill="auto" w:val="clear"/>
            <w:vAlign w:val="center"/>
          </w:tcPr>
          <w:p>
            <w:pPr>
              <w:pStyle w:val="TableContents"/>
              <w:spacing w:before="0" w:after="0"/>
              <w:ind w:left="0" w:right="0" w:hanging="0"/>
              <w:jc w:val="left"/>
              <w:rPr/>
            </w:pPr>
            <w:r>
              <w:rPr/>
              <w:t> </w:t>
            </w:r>
          </w:p>
        </w:tc>
      </w:tr>
      <w:tr>
        <w:trPr/>
        <w:tc>
          <w:tcPr>
            <w:tcW w:w="54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11,815,448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11,259,025</w:t>
            </w:r>
          </w:p>
        </w:tc>
        <w:tc>
          <w:tcPr>
            <w:tcW w:w="3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6" w:after="0"/>
        <w:jc w:val="left"/>
        <w:rPr/>
      </w:pPr>
      <w:r>
        <w:rPr/>
        <w:t> </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See accompanying notes to the condensed consolidated financial statements.</w:t>
      </w:r>
    </w:p>
    <w:p>
      <w:pPr>
        <w:pStyle w:val="TextBody"/>
        <w:spacing w:before="0" w:after="0"/>
        <w:jc w:val="left"/>
        <w:rPr/>
      </w:pPr>
      <w:r>
        <w:rPr/>
        <w:t> </w:t>
      </w:r>
    </w:p>
    <w:p>
      <w:pPr>
        <w:pStyle w:val="TextBody"/>
        <w:spacing w:before="0" w:after="0"/>
        <w:jc w:val="left"/>
        <w:rPr/>
      </w:pPr>
      <w:r>
        <w:rPr/>
        <w:t>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center"/>
        <w:rPr>
          <w:rFonts w:ascii="Times New Roman;serif" w:hAnsi="Times New Roman;serif"/>
          <w:b/>
          <w:sz w:val="18"/>
        </w:rPr>
      </w:pPr>
      <w:r>
        <w:rPr>
          <w:rFonts w:ascii="Times New Roman;serif" w:hAnsi="Times New Roman;serif"/>
          <w:b/>
          <w:sz w:val="18"/>
        </w:rPr>
        <w:t>Dave Inc.</w:t>
      </w:r>
    </w:p>
    <w:p>
      <w:pPr>
        <w:pStyle w:val="TextBody"/>
        <w:spacing w:before="0" w:after="0"/>
        <w:jc w:val="center"/>
        <w:rPr>
          <w:rFonts w:ascii="Times New Roman;serif" w:hAnsi="Times New Roman;serif"/>
          <w:b/>
          <w:sz w:val="18"/>
        </w:rPr>
      </w:pPr>
      <w:bookmarkStart w:id="7" w:name="consolidatedstatementofcomprehensiveloss"/>
      <w:bookmarkEnd w:id="7"/>
      <w:r>
        <w:rPr>
          <w:rFonts w:ascii="Times New Roman;serif" w:hAnsi="Times New Roman;serif"/>
          <w:b/>
          <w:sz w:val="18"/>
        </w:rPr>
        <w:t>Condensed Consolidated Statements of Comprehensive Loss</w:t>
      </w:r>
    </w:p>
    <w:p>
      <w:pPr>
        <w:pStyle w:val="TextBody"/>
        <w:spacing w:before="0" w:after="0"/>
        <w:jc w:val="center"/>
        <w:rPr>
          <w:rFonts w:ascii="Times New Roman;serif" w:hAnsi="Times New Roman;serif"/>
          <w:b w:val="false"/>
          <w:i/>
          <w:sz w:val="18"/>
        </w:rPr>
      </w:pPr>
      <w:r>
        <w:rPr>
          <w:rFonts w:ascii="Times New Roman;serif" w:hAnsi="Times New Roman;serif"/>
          <w:b w:val="false"/>
          <w:i/>
          <w:sz w:val="18"/>
        </w:rPr>
        <w:t>(in thousands)</w:t>
      </w:r>
    </w:p>
    <w:p>
      <w:pPr>
        <w:pStyle w:val="TextBody"/>
        <w:spacing w:before="0" w:after="0"/>
        <w:jc w:val="center"/>
        <w:rPr>
          <w:rFonts w:ascii="Times New Roman" w:hAnsi="Times New Roman"/>
          <w:sz w:val="20"/>
        </w:rPr>
      </w:pPr>
      <w:r>
        <w:rPr>
          <w:rFonts w:ascii="Times New Roman;serif" w:hAnsi="Times New Roman;serif"/>
          <w:b w:val="false"/>
          <w:i/>
          <w:sz w:val="18"/>
        </w:rPr>
        <w:t>(unaudited)</w:t>
      </w:r>
      <w:r>
        <w:rPr>
          <w:rFonts w:ascii="Times New Roman" w:hAnsi="Times New Roman"/>
          <w:sz w:val="20"/>
        </w:rPr>
        <w:t xml:space="preserve"> </w:t>
      </w:r>
    </w:p>
    <w:p>
      <w:pPr>
        <w:pStyle w:val="TextBody"/>
        <w:spacing w:before="0" w:after="0"/>
        <w:jc w:val="center"/>
        <w:rPr/>
      </w:pPr>
      <w:r>
        <w:rPr/>
        <w:t> </w:t>
      </w:r>
    </w:p>
    <w:tbl>
      <w:tblPr>
        <w:tblW w:w="7755" w:type="dxa"/>
        <w:jc w:val="left"/>
        <w:tblInd w:w="0" w:type="dxa"/>
        <w:tblCellMar>
          <w:top w:w="28" w:type="dxa"/>
          <w:left w:w="28" w:type="dxa"/>
          <w:bottom w:w="28" w:type="dxa"/>
          <w:right w:w="28" w:type="dxa"/>
        </w:tblCellMar>
      </w:tblPr>
      <w:tblGrid>
        <w:gridCol w:w="4131"/>
        <w:gridCol w:w="146"/>
        <w:gridCol w:w="320"/>
        <w:gridCol w:w="1120"/>
        <w:gridCol w:w="207"/>
        <w:gridCol w:w="320"/>
        <w:gridCol w:w="1120"/>
        <w:gridCol w:w="391"/>
      </w:tblGrid>
      <w:tr>
        <w:trPr/>
        <w:tc>
          <w:tcPr>
            <w:tcW w:w="41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1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87"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(14,025</w:t>
            </w:r>
          </w:p>
        </w:tc>
        <w:tc>
          <w:tcPr>
            <w:tcW w:w="2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(32,795</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413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Unrealized gain on available-for-sale securities</w:t>
            </w:r>
          </w:p>
        </w:tc>
        <w:tc>
          <w:tcPr>
            <w:tcW w:w="146" w:type="dxa"/>
            <w:tcBorders/>
            <w:shd w:fill="auto" w:val="clear"/>
            <w:vAlign w:val="center"/>
          </w:tcPr>
          <w:p>
            <w:pPr>
              <w:pStyle w:val="TableContents"/>
              <w:spacing w:before="0" w:after="0"/>
              <w:ind w:left="200" w:right="0" w:hanging="0"/>
              <w:jc w:val="left"/>
              <w:rPr/>
            </w:pPr>
            <w:r>
              <w:rPr/>
              <w:t> </w:t>
            </w:r>
          </w:p>
        </w:tc>
        <w:tc>
          <w:tcPr>
            <w:tcW w:w="3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783</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(13,242</w:t>
            </w:r>
          </w:p>
        </w:tc>
        <w:tc>
          <w:tcPr>
            <w:tcW w:w="20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32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(32,795</w:t>
            </w:r>
          </w:p>
        </w:tc>
        <w:tc>
          <w:tcPr>
            <w:tcW w:w="3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spacing w:before="0" w:after="0"/>
        <w:jc w:val="center"/>
        <w:rPr/>
      </w:pPr>
      <w:r>
        <w:rPr/>
        <w:t> </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See accompanying notes to the condensed consolidated financial statements.</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Dave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8" w:name="consolidatedstatementstockholdersequity"/>
      <w:bookmarkEnd w:id="8"/>
      <w:r>
        <w:rPr>
          <w:rFonts w:ascii="Times New Roman;serif" w:hAnsi="Times New Roman;serif"/>
          <w:b/>
          <w:sz w:val="20"/>
        </w:rPr>
        <w:t>Condensed Consolidated Statement of</w:t>
      </w:r>
      <w:r>
        <w:rPr>
          <w:rFonts w:ascii="Times New Roman" w:hAnsi="Times New Roman"/>
          <w:sz w:val="20"/>
        </w:rPr>
        <w:t xml:space="preserve"> </w:t>
      </w:r>
      <w:r>
        <w:rPr>
          <w:rFonts w:ascii="Times New Roman;serif" w:hAnsi="Times New Roman;serif"/>
          <w:b/>
          <w:sz w:val="20"/>
        </w:rPr>
        <w:t>Stockholders’ Equity</w:t>
      </w:r>
      <w:r>
        <w:rPr>
          <w:rFonts w:ascii="Times New Roman" w:hAnsi="Times New Roman"/>
          <w:sz w:val="20"/>
        </w:rPr>
        <w:t xml:space="preserve">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(in thousands, except share data)</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spacing w:before="0" w:after="0"/>
        <w:jc w:val="left"/>
        <w:rPr/>
      </w:pPr>
      <w:r>
        <w:rPr/>
        <w:t> </w:t>
      </w:r>
    </w:p>
    <w:tbl>
      <w:tblPr>
        <w:tblW w:w="11361" w:type="dxa"/>
        <w:jc w:val="left"/>
        <w:tblInd w:w="0" w:type="dxa"/>
        <w:tblCellMar>
          <w:top w:w="28" w:type="dxa"/>
          <w:left w:w="28" w:type="dxa"/>
          <w:bottom w:w="28" w:type="dxa"/>
          <w:right w:w="28" w:type="dxa"/>
        </w:tblCellMar>
      </w:tblPr>
      <w:tblGrid>
        <w:gridCol w:w="1126"/>
        <w:gridCol w:w="146"/>
        <w:gridCol w:w="796"/>
        <w:gridCol w:w="146"/>
        <w:gridCol w:w="315"/>
        <w:gridCol w:w="316"/>
        <w:gridCol w:w="146"/>
        <w:gridCol w:w="146"/>
        <w:gridCol w:w="146"/>
        <w:gridCol w:w="721"/>
        <w:gridCol w:w="146"/>
        <w:gridCol w:w="344"/>
        <w:gridCol w:w="287"/>
        <w:gridCol w:w="146"/>
        <w:gridCol w:w="181"/>
        <w:gridCol w:w="601"/>
        <w:gridCol w:w="151"/>
        <w:gridCol w:w="146"/>
        <w:gridCol w:w="499"/>
        <w:gridCol w:w="417"/>
        <w:gridCol w:w="146"/>
        <w:gridCol w:w="376"/>
        <w:gridCol w:w="315"/>
        <w:gridCol w:w="146"/>
        <w:gridCol w:w="280"/>
        <w:gridCol w:w="771"/>
        <w:gridCol w:w="151"/>
        <w:gridCol w:w="207"/>
        <w:gridCol w:w="739"/>
        <w:gridCol w:w="151"/>
        <w:gridCol w:w="222"/>
        <w:gridCol w:w="739"/>
        <w:gridCol w:w="196"/>
      </w:tblGrid>
      <w:tr>
        <w:trPr/>
        <w:tc>
          <w:tcPr>
            <w:tcW w:w="11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1126" w:type="dxa"/>
            <w:tcBorders/>
            <w:shd w:fill="auto" w:val="clear"/>
            <w:vAlign w:val="center"/>
          </w:tcPr>
          <w:p>
            <w:pPr>
              <w:pStyle w:val="TableContents"/>
              <w:spacing w:before="0" w:after="0"/>
              <w:ind w:left="0" w:right="0" w:hanging="0"/>
              <w:jc w:val="center"/>
              <w:rPr/>
            </w:pPr>
            <w:r>
              <w:rPr/>
              <w:t> </w:t>
            </w:r>
          </w:p>
        </w:tc>
        <w:tc>
          <w:tcPr>
            <w:tcW w:w="3655" w:type="dxa"/>
            <w:gridSpan w:val="1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Common stock</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1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1"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946"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961" w:type="dxa"/>
            <w:gridSpan w:val="2"/>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1719"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Class 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4"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Class V</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79" w:type="dxa"/>
            <w:gridSpan w:val="4"/>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Additional paid-in capital</w:t>
            </w:r>
          </w:p>
        </w:tc>
        <w:tc>
          <w:tcPr>
            <w:tcW w:w="916"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Loans to stockholders</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Treasury stock</w:t>
            </w:r>
          </w:p>
        </w:tc>
        <w:tc>
          <w:tcPr>
            <w:tcW w:w="146" w:type="dxa"/>
            <w:tcBorders/>
            <w:shd w:fill="auto" w:val="clear"/>
            <w:vAlign w:val="center"/>
          </w:tcPr>
          <w:p>
            <w:pPr>
              <w:pStyle w:val="TableContents"/>
              <w:spacing w:before="0" w:after="0"/>
              <w:ind w:left="0" w:right="0" w:hanging="0"/>
              <w:jc w:val="center"/>
              <w:rPr/>
            </w:pPr>
            <w:r>
              <w:rPr/>
              <w:t> </w:t>
            </w:r>
          </w:p>
        </w:tc>
        <w:tc>
          <w:tcPr>
            <w:tcW w:w="1051"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Accumulated other comprehensive loss</w:t>
            </w:r>
          </w:p>
        </w:tc>
        <w:tc>
          <w:tcPr>
            <w:tcW w:w="151" w:type="dxa"/>
            <w:tcBorders/>
            <w:shd w:fill="auto" w:val="clear"/>
            <w:vAlign w:val="center"/>
          </w:tcPr>
          <w:p>
            <w:pPr>
              <w:pStyle w:val="TableContents"/>
              <w:spacing w:before="0" w:after="0"/>
              <w:ind w:left="0" w:right="0" w:hanging="0"/>
              <w:jc w:val="center"/>
              <w:rPr/>
            </w:pPr>
            <w:r>
              <w:rPr/>
              <w:t> </w:t>
            </w:r>
          </w:p>
        </w:tc>
        <w:tc>
          <w:tcPr>
            <w:tcW w:w="946"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Accumulated deficit</w:t>
            </w:r>
          </w:p>
        </w:tc>
        <w:tc>
          <w:tcPr>
            <w:tcW w:w="151" w:type="dxa"/>
            <w:tcBorders/>
            <w:shd w:fill="auto" w:val="clear"/>
            <w:vAlign w:val="center"/>
          </w:tcPr>
          <w:p>
            <w:pPr>
              <w:pStyle w:val="TableContents"/>
              <w:spacing w:before="0" w:after="0"/>
              <w:ind w:left="0" w:right="0" w:hanging="0"/>
              <w:jc w:val="center"/>
              <w:rPr/>
            </w:pPr>
            <w:r>
              <w:rPr/>
              <w:t> </w:t>
            </w:r>
          </w:p>
        </w:tc>
        <w:tc>
          <w:tcPr>
            <w:tcW w:w="961"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Total stockholders’ equity</w:t>
            </w:r>
          </w:p>
        </w:tc>
        <w:tc>
          <w:tcPr>
            <w:tcW w:w="196" w:type="dxa"/>
            <w:tcBorders/>
            <w:shd w:fill="auto" w:val="cle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9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79" w:type="dxa"/>
            <w:gridSpan w:val="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Balance at January 1, 2023</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10,284,657</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316" w:type="dxa"/>
            <w:tcBorders/>
            <w:shd w:fill="auto" w:val="cle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1,514,082</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287" w:type="dxa"/>
            <w:tcBorders/>
            <w:shd w:fill="auto" w:val="cle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270,037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99"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417" w:type="dxa"/>
            <w:tcBorders/>
            <w:shd w:fill="auto" w:val="cle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315" w:type="dxa"/>
            <w:tcBorders/>
            <w:shd w:fill="auto" w:val="cle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771" w:type="dxa"/>
            <w:tcBorders/>
            <w:shd w:fill="auto" w:val="cle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(1,675</w:t>
            </w:r>
          </w:p>
        </w:tc>
        <w:tc>
          <w:tcPr>
            <w:tcW w:w="151"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207"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739" w:type="dxa"/>
            <w:tcBorders/>
            <w:shd w:fill="auto" w:val="cle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(161,803</w:t>
            </w:r>
          </w:p>
        </w:tc>
        <w:tc>
          <w:tcPr>
            <w:tcW w:w="151"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222"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739" w:type="dxa"/>
            <w:tcBorders/>
            <w:shd w:fill="auto" w:val="cle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106,560</w:t>
            </w:r>
          </w:p>
        </w:tc>
        <w:tc>
          <w:tcPr>
            <w:tcW w:w="196" w:type="dxa"/>
            <w:tcBorders/>
            <w:shd w:fill="auto" w:val="clear"/>
            <w:vAlign w:val="center"/>
          </w:tcPr>
          <w:p>
            <w:pPr>
              <w:pStyle w:val="TableContents"/>
              <w:spacing w:before="0" w:after="0"/>
              <w:ind w:left="0" w:right="0" w:hanging="0"/>
              <w:jc w:val="left"/>
              <w:rPr/>
            </w:pPr>
            <w:r>
              <w:rPr/>
              <w:t> </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Issuance of Class A common stock in connection with stock plans</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68,311</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287"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99"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51"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51"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39" w:type="dxa"/>
            <w:tcBorders/>
            <w:shd w:fill="auto" w:val="cle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1</w:t>
            </w:r>
          </w:p>
        </w:tc>
        <w:tc>
          <w:tcPr>
            <w:tcW w:w="196" w:type="dxa"/>
            <w:tcBorders/>
            <w:shd w:fill="auto" w:val="clear"/>
            <w:vAlign w:val="center"/>
          </w:tcPr>
          <w:p>
            <w:pPr>
              <w:pStyle w:val="TableContents"/>
              <w:spacing w:before="0" w:after="0"/>
              <w:ind w:left="0" w:right="0" w:hanging="0"/>
              <w:jc w:val="left"/>
              <w:rPr/>
            </w:pPr>
            <w:r>
              <w:rPr/>
              <w:t> </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Payment for fractional shares after reverse stock split</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287"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(13</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right"/>
              <w:rPr/>
            </w:pPr>
            <w:r>
              <w:rPr/>
              <w:t> </w:t>
            </w:r>
          </w:p>
        </w:tc>
        <w:tc>
          <w:tcPr>
            <w:tcW w:w="499"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51"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51"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39" w:type="dxa"/>
            <w:tcBorders/>
            <w:shd w:fill="auto" w:val="cle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(13</w:t>
            </w:r>
          </w:p>
        </w:tc>
        <w:tc>
          <w:tcPr>
            <w:tcW w:w="196"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287"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6,774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99"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51"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51"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39" w:type="dxa"/>
            <w:tcBorders/>
            <w:shd w:fill="auto" w:val="cle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6,774</w:t>
            </w:r>
          </w:p>
        </w:tc>
        <w:tc>
          <w:tcPr>
            <w:tcW w:w="196" w:type="dxa"/>
            <w:tcBorders/>
            <w:shd w:fill="auto" w:val="clear"/>
            <w:vAlign w:val="center"/>
          </w:tcPr>
          <w:p>
            <w:pPr>
              <w:pStyle w:val="TableContents"/>
              <w:spacing w:before="0" w:after="0"/>
              <w:ind w:left="0" w:right="0" w:hanging="0"/>
              <w:jc w:val="left"/>
              <w:rPr/>
            </w:pPr>
            <w:r>
              <w:rPr/>
              <w:t> </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Unrealized gain on available-for-sale securities</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287"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99"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783</w:t>
            </w:r>
          </w:p>
        </w:tc>
        <w:tc>
          <w:tcPr>
            <w:tcW w:w="151"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51"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39" w:type="dxa"/>
            <w:tcBorders/>
            <w:shd w:fill="auto" w:val="cle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783</w:t>
            </w:r>
          </w:p>
        </w:tc>
        <w:tc>
          <w:tcPr>
            <w:tcW w:w="196" w:type="dxa"/>
            <w:tcBorders/>
            <w:shd w:fill="auto" w:val="clear"/>
            <w:vAlign w:val="center"/>
          </w:tcPr>
          <w:p>
            <w:pPr>
              <w:pStyle w:val="TableContents"/>
              <w:spacing w:before="0" w:after="0"/>
              <w:ind w:left="0" w:right="0" w:hanging="0"/>
              <w:jc w:val="left"/>
              <w:rPr/>
            </w:pPr>
            <w:r>
              <w:rPr/>
              <w:t> </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Net 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(14,025</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(14,025</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Balance at March 31, 2023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10,352,968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1,514,082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2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276,799</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4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7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(892</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2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7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(175,828</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w:t>
            </w:r>
          </w:p>
        </w:tc>
        <w:tc>
          <w:tcPr>
            <w:tcW w:w="7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5"/>
              </w:rPr>
            </w:pPr>
            <w:r>
              <w:rPr>
                <w:rFonts w:ascii="Times New Roman;serif" w:hAnsi="Times New Roman;serif"/>
                <w:b/>
                <w:sz w:val="15"/>
              </w:rPr>
              <w:t>100,080</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12841" w:type="dxa"/>
        <w:jc w:val="left"/>
        <w:tblInd w:w="0" w:type="dxa"/>
        <w:tblCellMar>
          <w:top w:w="28" w:type="dxa"/>
          <w:left w:w="28" w:type="dxa"/>
          <w:bottom w:w="28" w:type="dxa"/>
          <w:right w:w="28" w:type="dxa"/>
        </w:tblCellMar>
      </w:tblPr>
      <w:tblGrid>
        <w:gridCol w:w="1096"/>
        <w:gridCol w:w="146"/>
        <w:gridCol w:w="916"/>
        <w:gridCol w:w="166"/>
        <w:gridCol w:w="375"/>
        <w:gridCol w:w="376"/>
        <w:gridCol w:w="146"/>
        <w:gridCol w:w="146"/>
        <w:gridCol w:w="146"/>
        <w:gridCol w:w="826"/>
        <w:gridCol w:w="146"/>
        <w:gridCol w:w="406"/>
        <w:gridCol w:w="345"/>
        <w:gridCol w:w="146"/>
        <w:gridCol w:w="196"/>
        <w:gridCol w:w="691"/>
        <w:gridCol w:w="166"/>
        <w:gridCol w:w="146"/>
        <w:gridCol w:w="247"/>
        <w:gridCol w:w="834"/>
        <w:gridCol w:w="166"/>
        <w:gridCol w:w="351"/>
        <w:gridCol w:w="460"/>
        <w:gridCol w:w="166"/>
        <w:gridCol w:w="674"/>
        <w:gridCol w:w="572"/>
        <w:gridCol w:w="146"/>
        <w:gridCol w:w="257"/>
        <w:gridCol w:w="869"/>
        <w:gridCol w:w="166"/>
        <w:gridCol w:w="252"/>
        <w:gridCol w:w="889"/>
        <w:gridCol w:w="211"/>
      </w:tblGrid>
      <w:tr>
        <w:trPr/>
        <w:tc>
          <w:tcPr>
            <w:tcW w:w="10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096" w:type="dxa"/>
            <w:tcBorders/>
            <w:shd w:fill="auto" w:val="clear"/>
            <w:vAlign w:val="center"/>
          </w:tcPr>
          <w:p>
            <w:pPr>
              <w:pStyle w:val="TableContents"/>
              <w:spacing w:before="0" w:after="0"/>
              <w:ind w:left="0" w:right="0" w:hanging="0"/>
              <w:jc w:val="center"/>
              <w:rPr/>
            </w:pPr>
            <w:r>
              <w:rPr/>
              <w:t> </w:t>
            </w:r>
          </w:p>
        </w:tc>
        <w:tc>
          <w:tcPr>
            <w:tcW w:w="4140" w:type="dxa"/>
            <w:gridSpan w:val="1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81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24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141"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1096" w:type="dxa"/>
            <w:tcBorders/>
            <w:shd w:fill="auto" w:val="clear"/>
            <w:vAlign w:val="center"/>
          </w:tcPr>
          <w:p>
            <w:pPr>
              <w:pStyle w:val="TableContents"/>
              <w:spacing w:before="0" w:after="0"/>
              <w:ind w:left="0" w:right="0" w:hanging="0"/>
              <w:jc w:val="left"/>
              <w:rPr/>
            </w:pPr>
            <w:r>
              <w:rPr/>
              <w:t> </w:t>
            </w:r>
          </w:p>
        </w:tc>
        <w:tc>
          <w:tcPr>
            <w:tcW w:w="1979"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Class 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69"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Class V</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99" w:type="dxa"/>
            <w:gridSpan w:val="4"/>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Additional paid-in capital</w:t>
            </w:r>
          </w:p>
        </w:tc>
        <w:tc>
          <w:tcPr>
            <w:tcW w:w="108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Loans to stockholders</w:t>
            </w:r>
          </w:p>
        </w:tc>
        <w:tc>
          <w:tcPr>
            <w:tcW w:w="166" w:type="dxa"/>
            <w:tcBorders/>
            <w:shd w:fill="auto" w:val="clear"/>
            <w:vAlign w:val="center"/>
          </w:tcPr>
          <w:p>
            <w:pPr>
              <w:pStyle w:val="TableContents"/>
              <w:spacing w:before="0" w:after="0"/>
              <w:ind w:left="0" w:right="0" w:hanging="0"/>
              <w:jc w:val="center"/>
              <w:rPr/>
            </w:pPr>
            <w:r>
              <w:rPr/>
              <w:t> </w:t>
            </w:r>
          </w:p>
        </w:tc>
        <w:tc>
          <w:tcPr>
            <w:tcW w:w="81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Treasury stock</w:t>
            </w:r>
          </w:p>
        </w:tc>
        <w:tc>
          <w:tcPr>
            <w:tcW w:w="166" w:type="dxa"/>
            <w:tcBorders/>
            <w:shd w:fill="auto" w:val="clear"/>
            <w:vAlign w:val="center"/>
          </w:tcPr>
          <w:p>
            <w:pPr>
              <w:pStyle w:val="TableContents"/>
              <w:spacing w:before="0" w:after="0"/>
              <w:ind w:left="0" w:right="0" w:hanging="0"/>
              <w:jc w:val="center"/>
              <w:rPr/>
            </w:pPr>
            <w:r>
              <w:rPr/>
              <w:t> </w:t>
            </w:r>
          </w:p>
        </w:tc>
        <w:tc>
          <w:tcPr>
            <w:tcW w:w="124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Accumulated other comprehensive loss</w:t>
            </w:r>
          </w:p>
        </w:tc>
        <w:tc>
          <w:tcPr>
            <w:tcW w:w="146" w:type="dxa"/>
            <w:tcBorders/>
            <w:shd w:fill="auto" w:val="clear"/>
            <w:vAlign w:val="center"/>
          </w:tcPr>
          <w:p>
            <w:pPr>
              <w:pStyle w:val="TableContents"/>
              <w:spacing w:before="0" w:after="0"/>
              <w:ind w:left="0" w:right="0" w:hanging="0"/>
              <w:jc w:val="center"/>
              <w:rPr/>
            </w:pPr>
            <w:r>
              <w:rPr/>
              <w:t> </w:t>
            </w:r>
          </w:p>
        </w:tc>
        <w:tc>
          <w:tcPr>
            <w:tcW w:w="112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Accumulated deficit</w:t>
            </w:r>
          </w:p>
        </w:tc>
        <w:tc>
          <w:tcPr>
            <w:tcW w:w="166" w:type="dxa"/>
            <w:tcBorders/>
            <w:shd w:fill="auto" w:val="clear"/>
            <w:vAlign w:val="center"/>
          </w:tcPr>
          <w:p>
            <w:pPr>
              <w:pStyle w:val="TableContents"/>
              <w:spacing w:before="0" w:after="0"/>
              <w:ind w:left="0" w:right="0" w:hanging="0"/>
              <w:jc w:val="center"/>
              <w:rPr/>
            </w:pPr>
            <w:r>
              <w:rPr/>
              <w:t> </w:t>
            </w:r>
          </w:p>
        </w:tc>
        <w:tc>
          <w:tcPr>
            <w:tcW w:w="114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 stockholders’ equity</w:t>
            </w:r>
          </w:p>
        </w:tc>
        <w:tc>
          <w:tcPr>
            <w:tcW w:w="211" w:type="dxa"/>
            <w:tcBorders/>
            <w:shd w:fill="auto" w:val="clear"/>
            <w:vAlign w:val="center"/>
          </w:tcPr>
          <w:p>
            <w:pPr>
              <w:pStyle w:val="TableContents"/>
              <w:spacing w:before="0" w:after="0"/>
              <w:ind w:left="0" w:right="0" w:hanging="0"/>
              <w:jc w:val="center"/>
              <w:rPr/>
            </w:pPr>
            <w:r>
              <w:rPr/>
              <w:t> </w:t>
            </w:r>
          </w:p>
        </w:tc>
      </w:tr>
      <w:tr>
        <w:trPr/>
        <w:tc>
          <w:tcPr>
            <w:tcW w:w="1096" w:type="dxa"/>
            <w:tcBorders/>
            <w:shd w:fill="auto" w:val="clear"/>
            <w:vAlign w:val="center"/>
          </w:tcPr>
          <w:p>
            <w:pPr>
              <w:pStyle w:val="TableContents"/>
              <w:spacing w:before="0" w:after="0"/>
              <w:ind w:left="0" w:right="0" w:hanging="0"/>
              <w:jc w:val="left"/>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99" w:type="dxa"/>
            <w:gridSpan w:val="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Balance at January 1, 2022</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9,283,010</w:t>
            </w:r>
          </w:p>
        </w:tc>
        <w:tc>
          <w:tcPr>
            <w:tcW w:w="16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1,514,082</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345"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86,830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834"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(15,192</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35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460"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(5</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674"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572"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869"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(32,897</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252"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889"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38,737</w:t>
            </w:r>
          </w:p>
        </w:tc>
        <w:tc>
          <w:tcPr>
            <w:tcW w:w="211" w:type="dxa"/>
            <w:tcBorders/>
            <w:shd w:fill="auto" w:val="clear"/>
            <w:vAlign w:val="center"/>
          </w:tcPr>
          <w:p>
            <w:pPr>
              <w:pStyle w:val="TableContents"/>
              <w:spacing w:before="0" w:after="0"/>
              <w:ind w:left="0" w:right="0" w:hanging="0"/>
              <w:jc w:val="left"/>
              <w:rPr/>
            </w:pPr>
            <w:r>
              <w:rPr/>
              <w:t> </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Class A common stock in connection with stock plans</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104,271</w:t>
            </w:r>
          </w:p>
        </w:tc>
        <w:tc>
          <w:tcPr>
            <w:tcW w:w="16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46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674" w:type="dxa"/>
            <w:tcBorders/>
            <w:shd w:fill="auto" w:val="clear"/>
            <w:vAlign w:val="center"/>
          </w:tcPr>
          <w:p>
            <w:pPr>
              <w:pStyle w:val="TableContents"/>
              <w:spacing w:before="0" w:after="0"/>
              <w:ind w:left="0" w:right="0" w:hanging="0"/>
              <w:jc w:val="left"/>
              <w:rPr/>
            </w:pPr>
            <w:r>
              <w:rPr/>
              <w:t> </w:t>
            </w:r>
          </w:p>
        </w:tc>
        <w:tc>
          <w:tcPr>
            <w:tcW w:w="57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righ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1,558</w:t>
            </w:r>
          </w:p>
        </w:tc>
        <w:tc>
          <w:tcPr>
            <w:tcW w:w="211" w:type="dxa"/>
            <w:tcBorders/>
            <w:shd w:fill="auto" w:val="clear"/>
            <w:vAlign w:val="center"/>
          </w:tcPr>
          <w:p>
            <w:pPr>
              <w:pStyle w:val="TableContents"/>
              <w:spacing w:before="0" w:after="0"/>
              <w:ind w:left="0" w:right="0" w:hanging="0"/>
              <w:jc w:val="left"/>
              <w:rPr/>
            </w:pPr>
            <w:r>
              <w:rPr/>
              <w:t> </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Class A common stock pursuant to the PIPE financing</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656,247</w:t>
            </w:r>
          </w:p>
        </w:tc>
        <w:tc>
          <w:tcPr>
            <w:tcW w:w="16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210,000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46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674" w:type="dxa"/>
            <w:tcBorders/>
            <w:shd w:fill="auto" w:val="clear"/>
            <w:vAlign w:val="center"/>
          </w:tcPr>
          <w:p>
            <w:pPr>
              <w:pStyle w:val="TableContents"/>
              <w:spacing w:before="0" w:after="0"/>
              <w:ind w:left="0" w:right="0" w:hanging="0"/>
              <w:jc w:val="left"/>
              <w:rPr/>
            </w:pPr>
            <w:r>
              <w:rPr/>
              <w:t> </w:t>
            </w:r>
          </w:p>
        </w:tc>
        <w:tc>
          <w:tcPr>
            <w:tcW w:w="57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210,000</w:t>
            </w:r>
          </w:p>
        </w:tc>
        <w:tc>
          <w:tcPr>
            <w:tcW w:w="211" w:type="dxa"/>
            <w:tcBorders/>
            <w:shd w:fill="auto" w:val="clear"/>
            <w:vAlign w:val="center"/>
          </w:tcPr>
          <w:p>
            <w:pPr>
              <w:pStyle w:val="TableContents"/>
              <w:spacing w:before="0" w:after="0"/>
              <w:ind w:left="0" w:right="0" w:hanging="0"/>
              <w:jc w:val="left"/>
              <w:rPr/>
            </w:pPr>
            <w:r>
              <w:rPr/>
              <w:t> </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Class A common stock pursuant to the Merger Agreement</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211,415</w:t>
            </w:r>
          </w:p>
        </w:tc>
        <w:tc>
          <w:tcPr>
            <w:tcW w:w="16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(26,702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108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46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674" w:type="dxa"/>
            <w:tcBorders/>
            <w:shd w:fill="auto" w:val="clear"/>
            <w:vAlign w:val="center"/>
          </w:tcPr>
          <w:p>
            <w:pPr>
              <w:pStyle w:val="TableContents"/>
              <w:spacing w:before="0" w:after="0"/>
              <w:ind w:left="0" w:right="0" w:hanging="0"/>
              <w:jc w:val="left"/>
              <w:rPr/>
            </w:pPr>
            <w:r>
              <w:rPr/>
              <w:t> </w:t>
            </w:r>
          </w:p>
        </w:tc>
        <w:tc>
          <w:tcPr>
            <w:tcW w:w="57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(26,702</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Exercise of Series B-1 preferred stock warrants, net of settlement</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14,087</w:t>
            </w:r>
          </w:p>
        </w:tc>
        <w:tc>
          <w:tcPr>
            <w:tcW w:w="16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3,365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46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674" w:type="dxa"/>
            <w:tcBorders/>
            <w:shd w:fill="auto" w:val="clear"/>
            <w:vAlign w:val="center"/>
          </w:tcPr>
          <w:p>
            <w:pPr>
              <w:pStyle w:val="TableContents"/>
              <w:spacing w:before="0" w:after="0"/>
              <w:ind w:left="0" w:right="0" w:hanging="0"/>
              <w:jc w:val="left"/>
              <w:rPr/>
            </w:pPr>
            <w:r>
              <w:rPr/>
              <w:t> </w:t>
            </w:r>
          </w:p>
        </w:tc>
        <w:tc>
          <w:tcPr>
            <w:tcW w:w="57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3,365</w:t>
            </w:r>
          </w:p>
        </w:tc>
        <w:tc>
          <w:tcPr>
            <w:tcW w:w="211" w:type="dxa"/>
            <w:tcBorders/>
            <w:shd w:fill="auto" w:val="clear"/>
            <w:vAlign w:val="center"/>
          </w:tcPr>
          <w:p>
            <w:pPr>
              <w:pStyle w:val="TableContents"/>
              <w:spacing w:before="0" w:after="0"/>
              <w:ind w:left="0" w:right="0" w:hanging="0"/>
              <w:jc w:val="left"/>
              <w:rPr/>
            </w:pPr>
            <w:r>
              <w:rPr/>
              <w:t> </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Conversion of 2019 convertible notes and accrued interest to Class A common stock</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7,040</w:t>
            </w:r>
          </w:p>
        </w:tc>
        <w:tc>
          <w:tcPr>
            <w:tcW w:w="16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46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674" w:type="dxa"/>
            <w:tcBorders/>
            <w:shd w:fill="auto" w:val="clear"/>
            <w:vAlign w:val="center"/>
          </w:tcPr>
          <w:p>
            <w:pPr>
              <w:pStyle w:val="TableContents"/>
              <w:spacing w:before="0" w:after="0"/>
              <w:ind w:left="0" w:right="0" w:hanging="0"/>
              <w:jc w:val="left"/>
              <w:rPr/>
            </w:pPr>
            <w:r>
              <w:rPr/>
              <w:t> </w:t>
            </w:r>
          </w:p>
        </w:tc>
        <w:tc>
          <w:tcPr>
            <w:tcW w:w="57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720</w:t>
            </w:r>
          </w:p>
        </w:tc>
        <w:tc>
          <w:tcPr>
            <w:tcW w:w="211" w:type="dxa"/>
            <w:tcBorders/>
            <w:shd w:fill="auto" w:val="clear"/>
            <w:vAlign w:val="center"/>
          </w:tcPr>
          <w:p>
            <w:pPr>
              <w:pStyle w:val="TableContents"/>
              <w:spacing w:before="0" w:after="0"/>
              <w:ind w:left="0" w:right="0" w:hanging="0"/>
              <w:jc w:val="left"/>
              <w:rPr/>
            </w:pPr>
            <w:r>
              <w:rPr/>
              <w:t> </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Repurchase of Class A common stock</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(6,203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75"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(1,588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46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166" w:type="dxa"/>
            <w:tcBorders/>
            <w:shd w:fill="auto" w:val="clear"/>
            <w:vAlign w:val="center"/>
          </w:tcPr>
          <w:p>
            <w:pPr>
              <w:pStyle w:val="TableContents"/>
              <w:spacing w:before="0" w:after="0"/>
              <w:ind w:left="0" w:right="0" w:hanging="0"/>
              <w:jc w:val="left"/>
              <w:rPr/>
            </w:pPr>
            <w:r>
              <w:rPr/>
              <w:t> </w:t>
            </w:r>
          </w:p>
        </w:tc>
        <w:tc>
          <w:tcPr>
            <w:tcW w:w="674" w:type="dxa"/>
            <w:tcBorders/>
            <w:shd w:fill="auto" w:val="clear"/>
            <w:vAlign w:val="center"/>
          </w:tcPr>
          <w:p>
            <w:pPr>
              <w:pStyle w:val="TableContents"/>
              <w:spacing w:before="0" w:after="0"/>
              <w:ind w:left="0" w:right="0" w:hanging="0"/>
              <w:jc w:val="left"/>
              <w:rPr/>
            </w:pPr>
            <w:r>
              <w:rPr/>
              <w:t> </w:t>
            </w:r>
          </w:p>
        </w:tc>
        <w:tc>
          <w:tcPr>
            <w:tcW w:w="57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(1,583</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Exercise of warrant for Class A common stock</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6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46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674" w:type="dxa"/>
            <w:tcBorders/>
            <w:shd w:fill="auto" w:val="clear"/>
            <w:vAlign w:val="center"/>
          </w:tcPr>
          <w:p>
            <w:pPr>
              <w:pStyle w:val="TableContents"/>
              <w:spacing w:before="0" w:after="0"/>
              <w:ind w:left="0" w:right="0" w:hanging="0"/>
              <w:jc w:val="left"/>
              <w:rPr/>
            </w:pPr>
            <w:r>
              <w:rPr/>
              <w:t> </w:t>
            </w:r>
          </w:p>
        </w:tc>
        <w:tc>
          <w:tcPr>
            <w:tcW w:w="57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Stockholder loans interest</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51" w:type="dxa"/>
            <w:tcBorders/>
            <w:shd w:fill="auto" w:val="clear"/>
            <w:vAlign w:val="center"/>
          </w:tcPr>
          <w:p>
            <w:pPr>
              <w:pStyle w:val="TableContents"/>
              <w:spacing w:before="0" w:after="0"/>
              <w:ind w:left="0" w:right="0" w:hanging="0"/>
              <w:jc w:val="left"/>
              <w:rPr/>
            </w:pPr>
            <w:r>
              <w:rPr/>
              <w:t> </w:t>
            </w:r>
          </w:p>
        </w:tc>
        <w:tc>
          <w:tcPr>
            <w:tcW w:w="46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674" w:type="dxa"/>
            <w:tcBorders/>
            <w:shd w:fill="auto" w:val="clear"/>
            <w:vAlign w:val="center"/>
          </w:tcPr>
          <w:p>
            <w:pPr>
              <w:pStyle w:val="TableContents"/>
              <w:spacing w:before="0" w:after="0"/>
              <w:ind w:left="0" w:right="0" w:hanging="0"/>
              <w:jc w:val="left"/>
              <w:rPr/>
            </w:pPr>
            <w:r>
              <w:rPr/>
              <w:t> </w:t>
            </w:r>
          </w:p>
        </w:tc>
        <w:tc>
          <w:tcPr>
            <w:tcW w:w="57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(12</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Exercise of derivative asset and paydown of stockholder loans</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(187,945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75"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(44,885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15,204</w:t>
            </w:r>
          </w:p>
        </w:tc>
        <w:tc>
          <w:tcPr>
            <w:tcW w:w="16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46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674" w:type="dxa"/>
            <w:tcBorders/>
            <w:shd w:fill="auto" w:val="clear"/>
            <w:vAlign w:val="center"/>
          </w:tcPr>
          <w:p>
            <w:pPr>
              <w:pStyle w:val="TableContents"/>
              <w:spacing w:before="0" w:after="0"/>
              <w:ind w:left="0" w:right="0" w:hanging="0"/>
              <w:jc w:val="left"/>
              <w:rPr/>
            </w:pPr>
            <w:r>
              <w:rPr/>
              <w:t> </w:t>
            </w:r>
          </w:p>
        </w:tc>
        <w:tc>
          <w:tcPr>
            <w:tcW w:w="57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(29,681</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46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674" w:type="dxa"/>
            <w:tcBorders/>
            <w:shd w:fill="auto" w:val="clear"/>
            <w:vAlign w:val="center"/>
          </w:tcPr>
          <w:p>
            <w:pPr>
              <w:pStyle w:val="TableContents"/>
              <w:spacing w:before="0" w:after="0"/>
              <w:ind w:left="0" w:right="0" w:hanging="0"/>
              <w:jc w:val="left"/>
              <w:rPr/>
            </w:pPr>
            <w:r>
              <w:rPr/>
              <w:t> </w:t>
            </w:r>
          </w:p>
        </w:tc>
        <w:tc>
          <w:tcPr>
            <w:tcW w:w="57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righ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89"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3,190</w:t>
            </w:r>
          </w:p>
        </w:tc>
        <w:tc>
          <w:tcPr>
            <w:tcW w:w="211" w:type="dxa"/>
            <w:tcBorders/>
            <w:shd w:fill="auto" w:val="clear"/>
            <w:vAlign w:val="center"/>
          </w:tcPr>
          <w:p>
            <w:pPr>
              <w:pStyle w:val="TableContents"/>
              <w:spacing w:before="0" w:after="0"/>
              <w:ind w:left="0" w:right="0" w:hanging="0"/>
              <w:jc w:val="left"/>
              <w:rPr/>
            </w:pPr>
            <w:r>
              <w:rPr/>
              <w:t> </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(32,795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(32,795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Balance at March 31, 2022</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10,081,925</w:t>
            </w:r>
          </w:p>
        </w:tc>
        <w:tc>
          <w:tcPr>
            <w:tcW w:w="16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1,514,082</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345"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232,488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834"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w:t>
            </w:r>
          </w:p>
        </w:tc>
        <w:tc>
          <w:tcPr>
            <w:tcW w:w="16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460"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w:t>
            </w:r>
          </w:p>
        </w:tc>
        <w:tc>
          <w:tcPr>
            <w:tcW w:w="166" w:type="dxa"/>
            <w:tcBorders/>
            <w:shd w:fill="auto" w:val="clear"/>
            <w:vAlign w:val="center"/>
          </w:tcPr>
          <w:p>
            <w:pPr>
              <w:pStyle w:val="TableContents"/>
              <w:spacing w:before="0" w:after="0"/>
              <w:ind w:left="0" w:right="0" w:hanging="0"/>
              <w:jc w:val="left"/>
              <w:rPr/>
            </w:pPr>
            <w:r>
              <w:rPr/>
              <w:t> </w:t>
            </w:r>
          </w:p>
        </w:tc>
        <w:tc>
          <w:tcPr>
            <w:tcW w:w="674"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572"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869"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(65,692</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252"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889"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166,797</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the condensed consolidated financial statements.</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Dave Inc.</w:t>
      </w:r>
    </w:p>
    <w:p>
      <w:pPr>
        <w:pStyle w:val="TextBody"/>
        <w:spacing w:before="0" w:after="0"/>
        <w:jc w:val="center"/>
        <w:rPr>
          <w:rFonts w:ascii="Times New Roman" w:hAnsi="Times New Roman"/>
          <w:sz w:val="20"/>
        </w:rPr>
      </w:pPr>
      <w:bookmarkStart w:id="9" w:name="consolidatedstatementsofcashflows"/>
      <w:bookmarkEnd w:id="9"/>
      <w:r>
        <w:rPr>
          <w:rFonts w:ascii="Times New Roman;serif" w:hAnsi="Times New Roman;serif"/>
          <w:b/>
          <w:sz w:val="20"/>
        </w:rPr>
        <w:t>Condensed Consolidated Statements of</w:t>
      </w:r>
      <w:r>
        <w:rPr>
          <w:rFonts w:ascii="Times New Roman" w:hAnsi="Times New Roman"/>
          <w:sz w:val="20"/>
        </w:rPr>
        <w:t xml:space="preserve"> </w:t>
      </w:r>
      <w:r>
        <w:rPr>
          <w:rFonts w:ascii="Times New Roman;serif" w:hAnsi="Times New Roman;serif"/>
          <w:b/>
          <w:sz w:val="20"/>
        </w:rPr>
        <w:t>Cash Flows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(in thousands)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(unaudited)</w:t>
      </w:r>
    </w:p>
    <w:tbl>
      <w:tblPr>
        <w:tblW w:w="10205" w:type="dxa"/>
        <w:jc w:val="left"/>
        <w:tblInd w:w="0" w:type="dxa"/>
        <w:tblCellMar>
          <w:top w:w="28" w:type="dxa"/>
          <w:left w:w="28" w:type="dxa"/>
          <w:bottom w:w="28" w:type="dxa"/>
          <w:right w:w="28" w:type="dxa"/>
        </w:tblCellMar>
      </w:tblPr>
      <w:tblGrid>
        <w:gridCol w:w="361"/>
        <w:gridCol w:w="6075"/>
        <w:gridCol w:w="146"/>
        <w:gridCol w:w="311"/>
        <w:gridCol w:w="1087"/>
        <w:gridCol w:w="244"/>
        <w:gridCol w:w="215"/>
        <w:gridCol w:w="311"/>
        <w:gridCol w:w="1241"/>
        <w:gridCol w:w="214"/>
      </w:tblGrid>
      <w:tr>
        <w:trPr/>
        <w:tc>
          <w:tcPr>
            <w:tcW w:w="361" w:type="dxa"/>
            <w:tcBorders/>
            <w:shd w:fill="auto" w:val="clear"/>
            <w:vAlign w:val="center"/>
          </w:tcPr>
          <w:p>
            <w:pPr>
              <w:pStyle w:val="TableContents"/>
              <w:spacing w:before="0" w:after="283"/>
              <w:rPr>
                <w:sz w:val="4"/>
                <w:szCs w:val="4"/>
              </w:rPr>
            </w:pPr>
            <w:r>
              <w:rPr>
                <w:sz w:val="4"/>
                <w:szCs w:val="4"/>
              </w:rPr>
            </w:r>
          </w:p>
        </w:tc>
        <w:tc>
          <w:tcPr>
            <w:tcW w:w="60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361" w:type="dxa"/>
            <w:tcBorders/>
            <w:shd w:fill="auto" w:val="clear"/>
            <w:vAlign w:val="center"/>
          </w:tcPr>
          <w:p>
            <w:pPr>
              <w:pStyle w:val="TableContents"/>
              <w:spacing w:before="0" w:after="0"/>
              <w:ind w:left="0" w:right="0" w:hanging="0"/>
              <w:jc w:val="left"/>
              <w:rPr/>
            </w:pPr>
            <w:r>
              <w:rPr/>
              <w:t> </w:t>
            </w:r>
          </w:p>
        </w:tc>
        <w:tc>
          <w:tcPr>
            <w:tcW w:w="60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 March 31,</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1" w:type="dxa"/>
            <w:tcBorders/>
            <w:shd w:fill="auto" w:val="clear"/>
            <w:vAlign w:val="center"/>
          </w:tcPr>
          <w:p>
            <w:pPr>
              <w:pStyle w:val="TableContents"/>
              <w:spacing w:before="0" w:after="0"/>
              <w:ind w:left="0" w:right="0" w:hanging="0"/>
              <w:jc w:val="left"/>
              <w:rPr/>
            </w:pPr>
            <w:r>
              <w:rPr/>
              <w:t> </w:t>
            </w:r>
          </w:p>
        </w:tc>
        <w:tc>
          <w:tcPr>
            <w:tcW w:w="60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5" w:type="dxa"/>
            <w:tcBorders/>
            <w:shd w:fill="auto" w:val="clear"/>
            <w:vAlign w:val="center"/>
          </w:tcPr>
          <w:p>
            <w:pPr>
              <w:pStyle w:val="TableContents"/>
              <w:spacing w:before="0" w:after="0"/>
              <w:ind w:left="0" w:right="0" w:hanging="0"/>
              <w:jc w:val="center"/>
              <w:rPr/>
            </w:pPr>
            <w:r>
              <w:rPr/>
              <w:t> </w:t>
            </w:r>
          </w:p>
        </w:tc>
        <w:tc>
          <w:tcPr>
            <w:tcW w:w="15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1" w:type="dxa"/>
            <w:tcBorders/>
            <w:shd w:fill="auto" w:val="clear"/>
            <w:vAlign w:val="center"/>
          </w:tcPr>
          <w:p>
            <w:pPr>
              <w:pStyle w:val="TableContents"/>
              <w:spacing w:before="0" w:after="0"/>
              <w:ind w:left="0" w:right="0" w:hanging="0"/>
              <w:jc w:val="left"/>
              <w:rPr/>
            </w:pPr>
            <w:r>
              <w:rPr/>
              <w:t> </w:t>
            </w:r>
          </w:p>
        </w:tc>
        <w:tc>
          <w:tcPr>
            <w:tcW w:w="60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8" w:type="dxa"/>
            <w:gridSpan w:val="2"/>
            <w:tcBorders/>
            <w:shd w:fill="auto" w:val="clear"/>
            <w:vAlign w:val="center"/>
          </w:tcPr>
          <w:p>
            <w:pPr>
              <w:pStyle w:val="TableContents"/>
              <w:spacing w:before="0" w:after="0"/>
              <w:ind w:left="0" w:right="0" w:hanging="0"/>
              <w:jc w:val="center"/>
              <w:rPr/>
            </w:pPr>
            <w:r>
              <w:rPr/>
              <w:t> </w:t>
            </w:r>
          </w:p>
        </w:tc>
        <w:tc>
          <w:tcPr>
            <w:tcW w:w="244" w:type="dxa"/>
            <w:tcBorders/>
            <w:shd w:fill="auto" w:val="clear"/>
            <w:vAlign w:val="center"/>
          </w:tcPr>
          <w:p>
            <w:pPr>
              <w:pStyle w:val="TableContents"/>
              <w:spacing w:before="0" w:after="0"/>
              <w:ind w:left="0" w:right="0" w:hanging="0"/>
              <w:jc w:val="center"/>
              <w:rPr/>
            </w:pPr>
            <w:r>
              <w:rPr/>
              <w:t> </w:t>
            </w:r>
          </w:p>
        </w:tc>
        <w:tc>
          <w:tcPr>
            <w:tcW w:w="215" w:type="dxa"/>
            <w:tcBorders/>
            <w:shd w:fill="auto" w:val="clear"/>
            <w:vAlign w:val="center"/>
          </w:tcPr>
          <w:p>
            <w:pPr>
              <w:pStyle w:val="TableContents"/>
              <w:spacing w:before="0" w:after="0"/>
              <w:ind w:left="0" w:right="0" w:hanging="0"/>
              <w:jc w:val="center"/>
              <w:rPr/>
            </w:pPr>
            <w:r>
              <w:rPr/>
              <w:t> </w:t>
            </w:r>
          </w:p>
        </w:tc>
        <w:tc>
          <w:tcPr>
            <w:tcW w:w="1552" w:type="dxa"/>
            <w:gridSpan w:val="2"/>
            <w:tcBorders/>
            <w:shd w:fill="auto" w:val="clear"/>
            <w:vAlign w:val="center"/>
          </w:tcPr>
          <w:p>
            <w:pPr>
              <w:pStyle w:val="TableContents"/>
              <w:spacing w:before="0" w:after="0"/>
              <w:ind w:left="0" w:right="0" w:hanging="0"/>
              <w:jc w:val="center"/>
              <w:rPr/>
            </w:pPr>
            <w:r>
              <w:rPr/>
              <w:t> </w:t>
            </w:r>
          </w:p>
        </w:tc>
        <w:tc>
          <w:tcPr>
            <w:tcW w:w="214" w:type="dxa"/>
            <w:tcBorders/>
            <w:shd w:fill="auto" w:val="clear"/>
            <w:vAlign w:val="center"/>
          </w:tcPr>
          <w:p>
            <w:pPr>
              <w:pStyle w:val="TableContents"/>
              <w:spacing w:before="0" w:after="0"/>
              <w:ind w:left="0" w:right="0" w:hanging="0"/>
              <w:jc w:val="center"/>
              <w:rPr/>
            </w:pPr>
            <w:r>
              <w:rPr/>
              <w:t> </w:t>
            </w:r>
          </w:p>
        </w:tc>
      </w:tr>
      <w:tr>
        <w:trPr/>
        <w:tc>
          <w:tcPr>
            <w:tcW w:w="361" w:type="dxa"/>
            <w:tcBorders/>
            <w:shd w:fill="auto" w:val="clear"/>
            <w:vAlign w:val="center"/>
          </w:tcPr>
          <w:p>
            <w:pPr>
              <w:pStyle w:val="TableContents"/>
              <w:spacing w:before="0" w:after="0"/>
              <w:ind w:left="0" w:right="0" w:hanging="0"/>
              <w:jc w:val="left"/>
              <w:rPr/>
            </w:pPr>
            <w:r>
              <w:rPr/>
              <w:t> </w:t>
            </w:r>
          </w:p>
        </w:tc>
        <w:tc>
          <w:tcPr>
            <w:tcW w:w="607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1398" w:type="dxa"/>
            <w:gridSpan w:val="2"/>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552" w:type="dxa"/>
            <w:gridSpan w:val="2"/>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hanging="0"/>
              <w:jc w:val="left"/>
              <w:rPr/>
            </w:pPr>
            <w:r>
              <w:rPr/>
              <w:t> </w:t>
            </w:r>
          </w:p>
        </w:tc>
        <w:tc>
          <w:tcPr>
            <w:tcW w:w="60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(14,025</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(32,795</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shd w:fill="auto" w:val="clear"/>
            <w:vAlign w:val="center"/>
          </w:tcPr>
          <w:p>
            <w:pPr>
              <w:pStyle w:val="TableContents"/>
              <w:spacing w:before="0" w:after="0"/>
              <w:ind w:left="0" w:right="0" w:hanging="0"/>
              <w:jc w:val="left"/>
              <w:rPr/>
            </w:pPr>
            <w:r>
              <w:rPr/>
              <w:t> </w:t>
            </w:r>
          </w:p>
        </w:tc>
        <w:tc>
          <w:tcPr>
            <w:tcW w:w="607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Adjustments to reconcile net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398" w:type="dxa"/>
            <w:gridSpan w:val="2"/>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552" w:type="dxa"/>
            <w:gridSpan w:val="2"/>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1,200</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1,158</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11,953</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13,785</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Changes in fair value of derivative asset on loans to stockholders</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5,572</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Changes in fair value of earnout liabilities</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(2,040</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Changes in fair value of warrant liabilities</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4,065</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6,774</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3,190</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Non-cash interest</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759</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Non-cash lease expense</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Changes in fair value of marketable securities and short-term investments</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hanging="0"/>
              <w:jc w:val="left"/>
              <w:rPr/>
            </w:pPr>
            <w:r>
              <w:rPr/>
              <w:t> </w:t>
            </w:r>
          </w:p>
        </w:tc>
        <w:tc>
          <w:tcPr>
            <w:tcW w:w="607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398" w:type="dxa"/>
            <w:gridSpan w:val="2"/>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552" w:type="dxa"/>
            <w:gridSpan w:val="2"/>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Member advances, service based revenue</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(1,618</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Prepaid income taxes</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(4,061</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(4,847</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(6,891</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2,489</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2,617</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(1,039</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Legal settlement accrual</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(5,749</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Other current liabilities</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hanging="0"/>
              <w:jc w:val="left"/>
              <w:rPr/>
            </w:pPr>
            <w:r>
              <w:rPr/>
              <w:t> </w:t>
            </w:r>
          </w:p>
        </w:tc>
        <w:tc>
          <w:tcPr>
            <w:tcW w:w="607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(6,929</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(12,512</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361" w:type="dxa"/>
            <w:tcBorders/>
            <w:shd w:fill="auto" w:val="clear"/>
            <w:vAlign w:val="center"/>
          </w:tcPr>
          <w:p>
            <w:pPr>
              <w:pStyle w:val="TableContents"/>
              <w:spacing w:before="0" w:after="0"/>
              <w:ind w:left="0" w:right="0" w:hanging="0"/>
              <w:jc w:val="left"/>
              <w:rPr/>
            </w:pPr>
            <w:r>
              <w:rPr/>
              <w:t> </w:t>
            </w:r>
          </w:p>
        </w:tc>
        <w:tc>
          <w:tcPr>
            <w:tcW w:w="60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8" w:type="dxa"/>
            <w:gridSpan w:val="2"/>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552" w:type="dxa"/>
            <w:gridSpan w:val="2"/>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hanging="0"/>
              <w:jc w:val="left"/>
              <w:rPr/>
            </w:pPr>
            <w:r>
              <w:rPr/>
              <w:t> </w:t>
            </w:r>
          </w:p>
        </w:tc>
        <w:tc>
          <w:tcPr>
            <w:tcW w:w="607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1398" w:type="dxa"/>
            <w:gridSpan w:val="2"/>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552" w:type="dxa"/>
            <w:gridSpan w:val="2"/>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Payments for internally developed software costs</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(1,946</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(2,258</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Net disbursements and collections of Member advances</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11,853</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(24,967</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Purchase of short-term investments</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(5,082</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Sale and maturity of short-term investments</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65,390</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Purchase of marketable securities</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(34,145</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(302,115</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Sale of marketable securities</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32,000</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hanging="0"/>
              <w:jc w:val="left"/>
              <w:rPr/>
            </w:pPr>
            <w:r>
              <w:rPr/>
              <w:t> </w:t>
            </w:r>
          </w:p>
        </w:tc>
        <w:tc>
          <w:tcPr>
            <w:tcW w:w="607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cash provided by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35,806</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(297,568</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361" w:type="dxa"/>
            <w:tcBorders/>
            <w:shd w:fill="auto" w:val="clear"/>
            <w:vAlign w:val="center"/>
          </w:tcPr>
          <w:p>
            <w:pPr>
              <w:pStyle w:val="TableContents"/>
              <w:spacing w:before="0" w:after="0"/>
              <w:ind w:left="0" w:right="0" w:hanging="0"/>
              <w:jc w:val="left"/>
              <w:rPr/>
            </w:pPr>
            <w:r>
              <w:rPr/>
              <w:t> </w:t>
            </w:r>
          </w:p>
        </w:tc>
        <w:tc>
          <w:tcPr>
            <w:tcW w:w="6075"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398" w:type="dxa"/>
            <w:gridSpan w:val="2"/>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552" w:type="dxa"/>
            <w:gridSpan w:val="2"/>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hanging="0"/>
              <w:jc w:val="left"/>
              <w:rPr/>
            </w:pPr>
            <w:r>
              <w:rPr/>
              <w:t> </w:t>
            </w:r>
          </w:p>
        </w:tc>
        <w:tc>
          <w:tcPr>
            <w:tcW w:w="607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1398" w:type="dxa"/>
            <w:gridSpan w:val="2"/>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552" w:type="dxa"/>
            <w:gridSpan w:val="2"/>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Proceeds from PIPE offering</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195,000</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Proceeds from escrow account</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29,688</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Payment of issuance costs</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(22,944</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Payment for fractional shares on reverse stock split</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Proceeds from issuance of common stock for stock option exercises</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1,563</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Repurchase of common stock</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(1,583</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shd w:fill="auto" w:val="clear"/>
            <w:vAlign w:val="center"/>
          </w:tcPr>
          <w:p>
            <w:pPr>
              <w:pStyle w:val="TableContents"/>
              <w:spacing w:before="0" w:after="0"/>
              <w:ind w:left="0" w:right="0" w:firstLine="200"/>
              <w:jc w:val="left"/>
              <w:rPr/>
            </w:pPr>
            <w:r>
              <w:rPr/>
              <w:t> </w:t>
            </w:r>
          </w:p>
        </w:tc>
        <w:tc>
          <w:tcPr>
            <w:tcW w:w="607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Proceeds from borrowings on convertible debt</w:t>
            </w:r>
          </w:p>
        </w:tc>
        <w:tc>
          <w:tcPr>
            <w:tcW w:w="146" w:type="dxa"/>
            <w:tcBorders/>
            <w:shd w:fill="auto" w:val="clear"/>
            <w:vAlign w:val="center"/>
          </w:tcPr>
          <w:p>
            <w:pPr>
              <w:pStyle w:val="TableContents"/>
              <w:spacing w:before="0" w:after="0"/>
              <w:ind w:left="20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100,000</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hanging="0"/>
              <w:jc w:val="left"/>
              <w:rPr/>
            </w:pPr>
            <w:r>
              <w:rPr/>
              <w:t> </w:t>
            </w:r>
          </w:p>
        </w:tc>
        <w:tc>
          <w:tcPr>
            <w:tcW w:w="607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cash (used in)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301,724</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hanging="0"/>
              <w:jc w:val="left"/>
              <w:rPr/>
            </w:pPr>
            <w:r>
              <w:rPr/>
              <w:t> </w:t>
            </w:r>
          </w:p>
        </w:tc>
        <w:tc>
          <w:tcPr>
            <w:tcW w:w="60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8" w:type="dxa"/>
            <w:gridSpan w:val="2"/>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552" w:type="dxa"/>
            <w:gridSpan w:val="2"/>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hanging="0"/>
              <w:jc w:val="left"/>
              <w:rPr/>
            </w:pPr>
            <w:r>
              <w:rPr/>
              <w:t> </w:t>
            </w:r>
          </w:p>
        </w:tc>
        <w:tc>
          <w:tcPr>
            <w:tcW w:w="60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and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28,865</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(8,356</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 w:type="dxa"/>
            <w:tcBorders/>
            <w:shd w:fill="auto" w:val="clear"/>
            <w:vAlign w:val="center"/>
          </w:tcPr>
          <w:p>
            <w:pPr>
              <w:pStyle w:val="TableContents"/>
              <w:spacing w:before="0" w:after="0"/>
              <w:ind w:left="0" w:right="0" w:hanging="0"/>
              <w:jc w:val="left"/>
              <w:rPr/>
            </w:pPr>
            <w:r>
              <w:rPr/>
              <w:t> </w:t>
            </w:r>
          </w:p>
        </w:tc>
        <w:tc>
          <w:tcPr>
            <w:tcW w:w="60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and restricted cash, beginning of the period</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23,677</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32,372</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hanging="0"/>
              <w:jc w:val="left"/>
              <w:rPr/>
            </w:pPr>
            <w:r>
              <w:rPr/>
              <w:t> </w:t>
            </w:r>
          </w:p>
        </w:tc>
        <w:tc>
          <w:tcPr>
            <w:tcW w:w="607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and cash equivalents and restricted cash, end of the period</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52,542</w:t>
            </w:r>
          </w:p>
        </w:tc>
        <w:tc>
          <w:tcPr>
            <w:tcW w:w="2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24,016</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hanging="0"/>
              <w:jc w:val="left"/>
              <w:rPr/>
            </w:pPr>
            <w:r>
              <w:rPr/>
              <w:t> </w:t>
            </w:r>
          </w:p>
        </w:tc>
        <w:tc>
          <w:tcPr>
            <w:tcW w:w="7619" w:type="dxa"/>
            <w:gridSpan w:val="4"/>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552" w:type="dxa"/>
            <w:gridSpan w:val="2"/>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r>
      <w:tr>
        <w:trPr/>
        <w:tc>
          <w:tcPr>
            <w:tcW w:w="361" w:type="dxa"/>
            <w:tcBorders/>
            <w:shd w:fill="auto" w:val="clear"/>
            <w:vAlign w:val="center"/>
          </w:tcPr>
          <w:p>
            <w:pPr>
              <w:pStyle w:val="TableContents"/>
              <w:spacing w:before="0" w:after="0"/>
              <w:ind w:left="0" w:right="0" w:hanging="0"/>
              <w:jc w:val="left"/>
              <w:rPr/>
            </w:pPr>
            <w:r>
              <w:rPr/>
              <w:t> </w:t>
            </w:r>
          </w:p>
        </w:tc>
        <w:tc>
          <w:tcPr>
            <w:tcW w:w="60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8" w:type="dxa"/>
            <w:gridSpan w:val="2"/>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552" w:type="dxa"/>
            <w:gridSpan w:val="2"/>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tbl>
      <w:tblPr>
        <w:tblW w:w="10205" w:type="dxa"/>
        <w:jc w:val="left"/>
        <w:tblInd w:w="0" w:type="dxa"/>
        <w:tblCellMar>
          <w:top w:w="28" w:type="dxa"/>
          <w:left w:w="28" w:type="dxa"/>
          <w:bottom w:w="28" w:type="dxa"/>
          <w:right w:w="28" w:type="dxa"/>
        </w:tblCellMar>
      </w:tblPr>
      <w:tblGrid>
        <w:gridCol w:w="261"/>
        <w:gridCol w:w="7375"/>
        <w:gridCol w:w="146"/>
        <w:gridCol w:w="211"/>
        <w:gridCol w:w="676"/>
        <w:gridCol w:w="146"/>
        <w:gridCol w:w="146"/>
        <w:gridCol w:w="211"/>
        <w:gridCol w:w="676"/>
        <w:gridCol w:w="166"/>
        <w:gridCol w:w="191"/>
      </w:tblGrid>
      <w:tr>
        <w:trPr/>
        <w:tc>
          <w:tcPr>
            <w:tcW w:w="261" w:type="dxa"/>
            <w:tcBorders/>
            <w:shd w:fill="auto" w:val="clear"/>
            <w:vAlign w:val="center"/>
          </w:tcPr>
          <w:p>
            <w:pPr>
              <w:pStyle w:val="TableContents"/>
              <w:spacing w:before="0" w:after="283"/>
              <w:rPr>
                <w:sz w:val="4"/>
                <w:szCs w:val="4"/>
              </w:rPr>
            </w:pPr>
            <w:r>
              <w:rPr>
                <w:sz w:val="4"/>
                <w:szCs w:val="4"/>
              </w:rPr>
            </w:r>
          </w:p>
        </w:tc>
        <w:tc>
          <w:tcPr>
            <w:tcW w:w="73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61" w:type="dxa"/>
            <w:tcBorders/>
            <w:shd w:fill="auto" w:val="clear"/>
            <w:vAlign w:val="center"/>
          </w:tcPr>
          <w:p>
            <w:pPr>
              <w:pStyle w:val="TableContents"/>
              <w:spacing w:before="0" w:after="0"/>
              <w:ind w:left="0" w:right="0" w:hanging="0"/>
              <w:jc w:val="left"/>
              <w:rPr/>
            </w:pPr>
            <w:r>
              <w:rPr/>
              <w:t> </w:t>
            </w:r>
          </w:p>
        </w:tc>
        <w:tc>
          <w:tcPr>
            <w:tcW w:w="73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61" w:type="dxa"/>
            <w:tcBorders/>
            <w:shd w:fill="auto" w:val="clear"/>
            <w:vAlign w:val="center"/>
          </w:tcPr>
          <w:p>
            <w:pPr>
              <w:pStyle w:val="TableContents"/>
              <w:spacing w:before="0" w:after="0"/>
              <w:ind w:left="0" w:right="0" w:hanging="0"/>
              <w:jc w:val="left"/>
              <w:rPr/>
            </w:pPr>
            <w:r>
              <w:rPr/>
              <w:t> </w:t>
            </w:r>
          </w:p>
        </w:tc>
        <w:tc>
          <w:tcPr>
            <w:tcW w:w="737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disclosure of non-cash investing and financing activities: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61" w:type="dxa"/>
            <w:tcBorders/>
            <w:shd w:fill="auto" w:val="clear"/>
            <w:vAlign w:val="center"/>
          </w:tcPr>
          <w:p>
            <w:pPr>
              <w:pStyle w:val="TableContents"/>
              <w:spacing w:before="0" w:after="0"/>
              <w:ind w:left="0" w:right="0" w:firstLine="100"/>
              <w:jc w:val="left"/>
              <w:rPr/>
            </w:pPr>
            <w:r>
              <w:rPr/>
              <w:t> </w:t>
            </w:r>
          </w:p>
        </w:tc>
        <w:tc>
          <w:tcPr>
            <w:tcW w:w="7375"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Property and equipment purchases in accounts payable and accrued liabilities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61" w:type="dxa"/>
            <w:tcBorders/>
            <w:shd w:fill="auto" w:val="clear"/>
            <w:vAlign w:val="center"/>
          </w:tcPr>
          <w:p>
            <w:pPr>
              <w:pStyle w:val="TableContents"/>
              <w:spacing w:before="0" w:after="0"/>
              <w:ind w:left="0" w:right="0" w:firstLine="100"/>
              <w:jc w:val="left"/>
              <w:rPr/>
            </w:pPr>
            <w:r>
              <w:rPr/>
              <w:t> </w:t>
            </w:r>
          </w:p>
        </w:tc>
        <w:tc>
          <w:tcPr>
            <w:tcW w:w="7375"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Conversion of convertible preferred stock to Class A common stock in connection with the reverse recapitalization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72,173</w:t>
            </w:r>
          </w:p>
        </w:tc>
        <w:tc>
          <w:tcPr>
            <w:tcW w:w="16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61" w:type="dxa"/>
            <w:tcBorders/>
            <w:shd w:fill="auto" w:val="clear"/>
            <w:vAlign w:val="center"/>
          </w:tcPr>
          <w:p>
            <w:pPr>
              <w:pStyle w:val="TableContents"/>
              <w:spacing w:before="0" w:after="0"/>
              <w:ind w:left="0" w:right="0" w:firstLine="100"/>
              <w:jc w:val="left"/>
              <w:rPr/>
            </w:pPr>
            <w:r>
              <w:rPr/>
              <w:t> </w:t>
            </w:r>
          </w:p>
        </w:tc>
        <w:tc>
          <w:tcPr>
            <w:tcW w:w="7375"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Recapitalization transaction costs liability incurred</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6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61" w:type="dxa"/>
            <w:tcBorders/>
            <w:shd w:fill="auto" w:val="clear"/>
            <w:vAlign w:val="center"/>
          </w:tcPr>
          <w:p>
            <w:pPr>
              <w:pStyle w:val="TableContents"/>
              <w:spacing w:before="0" w:after="0"/>
              <w:ind w:left="0" w:right="0" w:firstLine="100"/>
              <w:jc w:val="left"/>
              <w:rPr/>
            </w:pPr>
            <w:r>
              <w:rPr/>
              <w:t> </w:t>
            </w:r>
          </w:p>
        </w:tc>
        <w:tc>
          <w:tcPr>
            <w:tcW w:w="7375"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Conversion of convertible notes and accrued interest to Class A common stock in connection with the reverse recapitalization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720</w:t>
            </w:r>
          </w:p>
        </w:tc>
        <w:tc>
          <w:tcPr>
            <w:tcW w:w="16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61" w:type="dxa"/>
            <w:tcBorders/>
            <w:shd w:fill="auto" w:val="clear"/>
            <w:vAlign w:val="center"/>
          </w:tcPr>
          <w:p>
            <w:pPr>
              <w:pStyle w:val="TableContents"/>
              <w:spacing w:before="0" w:after="0"/>
              <w:ind w:left="0" w:right="0" w:firstLine="100"/>
              <w:jc w:val="left"/>
              <w:rPr/>
            </w:pPr>
            <w:r>
              <w:rPr/>
              <w:t> </w:t>
            </w:r>
          </w:p>
        </w:tc>
        <w:tc>
          <w:tcPr>
            <w:tcW w:w="7375"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Conversion of B-1 warrants to Class A common stock in connection with the reverse recapitalization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3,365</w:t>
            </w:r>
          </w:p>
        </w:tc>
        <w:tc>
          <w:tcPr>
            <w:tcW w:w="16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61" w:type="dxa"/>
            <w:tcBorders/>
            <w:shd w:fill="auto" w:val="clear"/>
            <w:vAlign w:val="center"/>
          </w:tcPr>
          <w:p>
            <w:pPr>
              <w:pStyle w:val="TableContents"/>
              <w:spacing w:before="0" w:after="0"/>
              <w:ind w:left="0" w:right="0" w:firstLine="100"/>
              <w:jc w:val="left"/>
              <w:rPr/>
            </w:pPr>
            <w:r>
              <w:rPr/>
              <w:t> </w:t>
            </w:r>
          </w:p>
        </w:tc>
        <w:tc>
          <w:tcPr>
            <w:tcW w:w="7375"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Discharge of PIPE promissory note in connection with the reverse recapitalization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16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61" w:type="dxa"/>
            <w:tcBorders/>
            <w:shd w:fill="auto" w:val="clear"/>
            <w:vAlign w:val="center"/>
          </w:tcPr>
          <w:p>
            <w:pPr>
              <w:pStyle w:val="TableContents"/>
              <w:spacing w:before="0" w:after="0"/>
              <w:ind w:left="0" w:right="0" w:hanging="0"/>
              <w:jc w:val="left"/>
              <w:rPr/>
            </w:pPr>
            <w:r>
              <w:rPr/>
              <w:t> </w:t>
            </w:r>
          </w:p>
        </w:tc>
        <w:tc>
          <w:tcPr>
            <w:tcW w:w="73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61" w:type="dxa"/>
            <w:tcBorders/>
            <w:shd w:fill="auto" w:val="clear"/>
            <w:vAlign w:val="center"/>
          </w:tcPr>
          <w:p>
            <w:pPr>
              <w:pStyle w:val="TableContents"/>
              <w:spacing w:before="0" w:after="0"/>
              <w:ind w:left="0" w:right="0" w:hanging="0"/>
              <w:jc w:val="left"/>
              <w:rPr/>
            </w:pPr>
            <w:r>
              <w:rPr/>
              <w:t> </w:t>
            </w:r>
          </w:p>
        </w:tc>
        <w:tc>
          <w:tcPr>
            <w:tcW w:w="737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disclosure of cash (received) paid for:</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61" w:type="dxa"/>
            <w:tcBorders/>
            <w:shd w:fill="auto" w:val="clear"/>
            <w:vAlign w:val="center"/>
          </w:tcPr>
          <w:p>
            <w:pPr>
              <w:pStyle w:val="TableContents"/>
              <w:spacing w:before="0" w:after="0"/>
              <w:ind w:left="0" w:right="0" w:firstLine="100"/>
              <w:jc w:val="left"/>
              <w:rPr/>
            </w:pPr>
            <w:r>
              <w:rPr/>
              <w:t> </w:t>
            </w:r>
          </w:p>
        </w:tc>
        <w:tc>
          <w:tcPr>
            <w:tcW w:w="7375"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Income taxes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right"/>
              <w:rPr/>
            </w:pPr>
            <w:r>
              <w:rPr/>
              <w:t> </w:t>
            </w:r>
          </w:p>
        </w:tc>
      </w:tr>
      <w:tr>
        <w:trPr/>
        <w:tc>
          <w:tcPr>
            <w:tcW w:w="261" w:type="dxa"/>
            <w:tcBorders/>
            <w:shd w:fill="auto" w:val="clear"/>
            <w:vAlign w:val="center"/>
          </w:tcPr>
          <w:p>
            <w:pPr>
              <w:pStyle w:val="TableContents"/>
              <w:spacing w:before="0" w:after="0"/>
              <w:ind w:left="0" w:right="0" w:firstLine="100"/>
              <w:jc w:val="left"/>
              <w:rPr/>
            </w:pPr>
            <w:r>
              <w:rPr/>
              <w:t> </w:t>
            </w:r>
          </w:p>
        </w:tc>
        <w:tc>
          <w:tcPr>
            <w:tcW w:w="7375"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1,392</w:t>
            </w:r>
          </w:p>
        </w:tc>
        <w:tc>
          <w:tcPr>
            <w:tcW w:w="16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61" w:type="dxa"/>
            <w:tcBorders/>
            <w:shd w:fill="auto" w:val="clear"/>
            <w:vAlign w:val="center"/>
          </w:tcPr>
          <w:p>
            <w:pPr>
              <w:pStyle w:val="TableContents"/>
              <w:spacing w:before="0" w:after="0"/>
              <w:ind w:left="0" w:right="0" w:hanging="0"/>
              <w:jc w:val="left"/>
              <w:rPr/>
            </w:pPr>
            <w:r>
              <w:rPr/>
              <w:t> </w:t>
            </w:r>
          </w:p>
        </w:tc>
        <w:tc>
          <w:tcPr>
            <w:tcW w:w="73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61" w:type="dxa"/>
            <w:tcBorders/>
            <w:shd w:fill="auto" w:val="clear"/>
            <w:vAlign w:val="center"/>
          </w:tcPr>
          <w:p>
            <w:pPr>
              <w:pStyle w:val="TableContents"/>
              <w:spacing w:before="0" w:after="0"/>
              <w:ind w:left="0" w:right="0" w:hanging="0"/>
              <w:jc w:val="left"/>
              <w:rPr/>
            </w:pPr>
            <w:r>
              <w:rPr/>
              <w:t> </w:t>
            </w:r>
          </w:p>
        </w:tc>
        <w:tc>
          <w:tcPr>
            <w:tcW w:w="73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following table provides a reconciliation of cash and cash equivalents, and restricted cash reported within the condensed consolidated balance sheet with the same as shown in the condensed consolidated statement of cash flows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61" w:type="dxa"/>
            <w:tcBorders/>
            <w:shd w:fill="auto" w:val="clear"/>
            <w:vAlign w:val="center"/>
          </w:tcPr>
          <w:p>
            <w:pPr>
              <w:pStyle w:val="TableContents"/>
              <w:spacing w:before="0" w:after="0"/>
              <w:ind w:left="0" w:right="0" w:hanging="0"/>
              <w:jc w:val="left"/>
              <w:rPr/>
            </w:pPr>
            <w:r>
              <w:rPr/>
              <w:t> </w:t>
            </w:r>
          </w:p>
        </w:tc>
        <w:tc>
          <w:tcPr>
            <w:tcW w:w="73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51,754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23,569</w:t>
            </w:r>
          </w:p>
        </w:tc>
        <w:tc>
          <w:tcPr>
            <w:tcW w:w="16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61" w:type="dxa"/>
            <w:tcBorders/>
            <w:shd w:fill="auto" w:val="clear"/>
            <w:vAlign w:val="center"/>
          </w:tcPr>
          <w:p>
            <w:pPr>
              <w:pStyle w:val="TableContents"/>
              <w:spacing w:before="0" w:after="0"/>
              <w:ind w:left="0" w:right="0" w:hanging="0"/>
              <w:jc w:val="left"/>
              <w:rPr/>
            </w:pPr>
            <w:r>
              <w:rPr/>
              <w:t> </w:t>
            </w:r>
          </w:p>
        </w:tc>
        <w:tc>
          <w:tcPr>
            <w:tcW w:w="73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61" w:type="dxa"/>
            <w:tcBorders/>
            <w:shd w:fill="auto" w:val="clear"/>
            <w:vAlign w:val="center"/>
          </w:tcPr>
          <w:p>
            <w:pPr>
              <w:pStyle w:val="TableContents"/>
              <w:spacing w:before="0" w:after="0"/>
              <w:ind w:left="0" w:right="0" w:hanging="0"/>
              <w:jc w:val="left"/>
              <w:rPr/>
            </w:pPr>
            <w:r>
              <w:rPr/>
              <w:t> </w:t>
            </w:r>
          </w:p>
        </w:tc>
        <w:tc>
          <w:tcPr>
            <w:tcW w:w="737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cash, cash equivalents, and restricted cash, end of the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52,542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24,016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61" w:type="dxa"/>
            <w:tcBorders/>
            <w:shd w:fill="auto" w:val="clear"/>
            <w:vAlign w:val="center"/>
          </w:tcPr>
          <w:p>
            <w:pPr>
              <w:pStyle w:val="TableContents"/>
              <w:spacing w:before="0" w:after="0"/>
              <w:ind w:left="0" w:right="0" w:hanging="0"/>
              <w:jc w:val="left"/>
              <w:rPr/>
            </w:pPr>
            <w:r>
              <w:rPr/>
              <w:t> </w:t>
            </w:r>
          </w:p>
        </w:tc>
        <w:tc>
          <w:tcPr>
            <w:tcW w:w="73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See accompanying notes to the condensed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360" w:after="0"/>
        <w:jc w:val="left"/>
        <w:rPr>
          <w:rFonts w:ascii="Times New Roman;serif" w:hAnsi="Times New Roman;serif"/>
          <w:b/>
          <w:sz w:val="20"/>
        </w:rPr>
      </w:pPr>
      <w:bookmarkStart w:id="10" w:name="notestoconsolidatedfinancialstatements"/>
      <w:bookmarkEnd w:id="10"/>
      <w:r>
        <w:rPr>
          <w:rFonts w:ascii="Times New Roman;serif" w:hAnsi="Times New Roman;serif"/>
          <w:b/>
          <w:sz w:val="20"/>
        </w:rPr>
        <w:t>Note 1 Organization and Nature of Business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Overview:</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Dave Inc. (“Dave” or the “Company”), a Delaware corporation, with headquarters located in Los Angeles, California, is a financial services company. Dave was originally incorporated in the State of Delaware on January 14, 2021 as a special purpose acquisition company under the name VPC Impact Acquisition Holdings III, Inc. (“VPCC”) and formed for the purpose of effecting a merger, capital stock exchange, asset acquisition, stock purchase, reorganization or similar business combination with one or more businesses. On January 5, 2022, we consummated the transactions contemplated by that certain Agreement and Plan of Merger, dated as of June 7, 2021 among VPCC, Dave Inc., a Delaware corporation (“Legacy Dave”), and other entities (the “Business Combination”). In connection with the closing of the Business Combination, we changed our name from “VPC Impact Acquisition Holdings III, Inc.” to “Dave Inc.”</w:t>
      </w:r>
    </w:p>
    <w:p>
      <w:pPr>
        <w:pStyle w:val="TextBody"/>
        <w:spacing w:before="240" w:after="0"/>
        <w:jc w:val="left"/>
        <w:rPr>
          <w:rFonts w:ascii="Times New Roman" w:hAnsi="Times New Roman"/>
          <w:sz w:val="20"/>
        </w:rPr>
      </w:pPr>
      <w:r>
        <w:rPr>
          <w:rFonts w:ascii="Times New Roman;serif" w:hAnsi="Times New Roman;serif"/>
          <w:b w:val="false"/>
          <w:sz w:val="20"/>
        </w:rPr>
        <w:t>Dave offers a suite of innovative financial products aimed at helping Members improve their financial health. To help Members avoid punitive overdraft fees and access short-term liquidity, Dave offers cash advances through its flagship 0% interest ExtraCash product. Through Dave Banking, the Company provides a digital checking account experience with valuable tools for building long-term financial health. Dave also helps Members generate extra income for spending or emergencies through Dave’s Side Hustle product and Surveys, where Dave presents Members with supplemental work and income opportunities.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ExtraCash:</w:t>
      </w:r>
    </w:p>
    <w:p>
      <w:pPr>
        <w:pStyle w:val="TextBody"/>
        <w:spacing w:before="240" w:after="0"/>
        <w:jc w:val="left"/>
        <w:rPr>
          <w:rFonts w:ascii="Times New Roman" w:hAnsi="Times New Roman"/>
          <w:sz w:val="20"/>
        </w:rPr>
      </w:pPr>
      <w:r>
        <w:rPr>
          <w:rFonts w:ascii="Times New Roman;serif" w:hAnsi="Times New Roman;serif"/>
          <w:b w:val="false"/>
          <w:sz w:val="20"/>
        </w:rPr>
        <w:t>Many Americans are often unable to maintain a positive balance between paychecks, driving a reliance on overdraft, payday loans, auto title loans and other forms of expensive credit to put food on the table, gas in their car or pay for unexpected emergencies. For example, traditional banks charge up to $34</w:t>
      </w:r>
      <w:r>
        <w:rPr>
          <w:rFonts w:ascii="Times New Roman" w:hAnsi="Times New Roman"/>
          <w:sz w:val="20"/>
        </w:rPr>
        <w:t xml:space="preserve"> </w:t>
      </w:r>
      <w:r>
        <w:rPr>
          <w:rFonts w:ascii="Times New Roman;serif" w:hAnsi="Times New Roman;serif"/>
          <w:b w:val="false"/>
          <w:sz w:val="20"/>
        </w:rPr>
        <w:t>for access to as little as $5</w:t>
      </w:r>
      <w:r>
        <w:rPr>
          <w:rFonts w:ascii="Times New Roman" w:hAnsi="Times New Roman"/>
          <w:sz w:val="20"/>
        </w:rPr>
        <w:t xml:space="preserve"> </w:t>
      </w:r>
      <w:r>
        <w:rPr>
          <w:rFonts w:ascii="Times New Roman;serif" w:hAnsi="Times New Roman;serif"/>
          <w:b w:val="false"/>
          <w:sz w:val="20"/>
        </w:rPr>
        <w:t>of overdraft, and many others in the financial services sector do not allow for overdraft at all. Dave invented a short-term liquidity alternative called ExtraCash, which allows Members to advance funds to their account and avoid a fee altogether. Members may receive an advance of up to $500</w:t>
      </w:r>
      <w:r>
        <w:rPr>
          <w:rFonts w:ascii="Times New Roman" w:hAnsi="Times New Roman"/>
          <w:sz w:val="20"/>
        </w:rPr>
        <w:t xml:space="preserve"> </w:t>
      </w:r>
      <w:r>
        <w:rPr>
          <w:rFonts w:ascii="Times New Roman;serif" w:hAnsi="Times New Roman;serif"/>
          <w:b w:val="false"/>
          <w:sz w:val="20"/>
        </w:rPr>
        <w:t>and may only have one advance outstanding at any given time.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Dave Banking: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Dave offers a full-service digital checking account through its partnership with Evolve Bank and Trust (“Evolve”). The Dave Spending Account does not have overdraft or minimum balance fees.</w:t>
      </w:r>
    </w:p>
    <w:p>
      <w:pPr>
        <w:pStyle w:val="TextBody"/>
        <w:spacing w:before="360" w:after="0"/>
        <w:jc w:val="left"/>
        <w:rPr>
          <w:rFonts w:ascii="Times New Roman" w:hAnsi="Times New Roman"/>
          <w:sz w:val="20"/>
        </w:rPr>
      </w:pPr>
      <w:r>
        <w:rPr>
          <w:rFonts w:ascii="Times New Roman;serif" w:hAnsi="Times New Roman;serif"/>
          <w:b w:val="false"/>
          <w:sz w:val="20"/>
        </w:rPr>
        <w:t>Budget: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Dave’s automated financial management tool leverages historical bank account data to help Members understand both recurring and commonly occurring charges. Budget notifies Members when there is a chance of an overdraft and allows Members to qualify for Dave’s ExtraCash product for up to $500</w:t>
      </w:r>
      <w:r>
        <w:rPr>
          <w:rFonts w:ascii="Times New Roman" w:hAnsi="Times New Roman"/>
          <w:sz w:val="20"/>
        </w:rPr>
        <w:t xml:space="preserve"> </w:t>
      </w:r>
      <w:r>
        <w:rPr>
          <w:rFonts w:ascii="Times New Roman;serif" w:hAnsi="Times New Roman;serif"/>
          <w:b w:val="false"/>
          <w:sz w:val="20"/>
        </w:rPr>
        <w:t>of additional liquidity. Dave charges a $1</w:t>
      </w:r>
      <w:r>
        <w:rPr>
          <w:rFonts w:ascii="Times New Roman" w:hAnsi="Times New Roman"/>
          <w:sz w:val="20"/>
        </w:rPr>
        <w:t xml:space="preserve"> </w:t>
      </w:r>
      <w:r>
        <w:rPr>
          <w:rFonts w:ascii="Times New Roman;serif" w:hAnsi="Times New Roman;serif"/>
          <w:b w:val="false"/>
          <w:sz w:val="20"/>
        </w:rPr>
        <w:t>monthly subscription for access to the Budget product.</w:t>
      </w:r>
      <w:r>
        <w:rPr>
          <w:rFonts w:ascii="Times New Roman" w:hAnsi="Times New Roman"/>
          <w:sz w:val="20"/>
        </w:rPr>
        <w:t xml:space="preserve"> </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Side Hustle: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Dave seeks to help Members improve their financial health by presenting new job opportunities to them. Through Dave’s partnership with leading employers, Members can quickly submit applications to improve their income with flexible employment.</w:t>
      </w:r>
    </w:p>
    <w:p>
      <w:pPr>
        <w:pStyle w:val="TextBody"/>
        <w:spacing w:before="360" w:after="0"/>
        <w:jc w:val="left"/>
        <w:rPr>
          <w:rFonts w:ascii="Times New Roman" w:hAnsi="Times New Roman"/>
          <w:sz w:val="20"/>
        </w:rPr>
      </w:pPr>
      <w:r>
        <w:rPr>
          <w:rFonts w:ascii="Times New Roman;serif" w:hAnsi="Times New Roman;serif"/>
          <w:b w:val="false"/>
          <w:sz w:val="20"/>
        </w:rPr>
        <w:t>Surveys: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Dave’s Surveys product allows for additional income earning opportunities, allowing Members to take paid surveys anytime within the Dave mobile application. This functionality drives engagement within the Dave ecosystem and deepens the Company’s relationship to its Members’ financial wellbeing.</w:t>
      </w:r>
    </w:p>
    <w:p>
      <w:pPr>
        <w:pStyle w:val="TextBody"/>
        <w:spacing w:before="360" w:after="0"/>
        <w:jc w:val="left"/>
        <w:rPr>
          <w:rFonts w:ascii="Times New Roman;serif" w:hAnsi="Times New Roman;serif"/>
          <w:b/>
          <w:sz w:val="20"/>
        </w:rPr>
      </w:pPr>
      <w:r>
        <w:rPr>
          <w:rFonts w:ascii="Times New Roman;serif" w:hAnsi="Times New Roman;serif"/>
          <w:b/>
          <w:sz w:val="20"/>
        </w:rPr>
        <w:t>Note 2 Significant Accounting Policies</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Basis of Presentation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These unaudited condensed consolidated financial statements have been prepared in accordance with accounting principles generally accepted in the United States of America (“U.S. GAAP”).</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rFonts w:ascii="Times New Roman" w:hAnsi="Times New Roman"/>
          <w:sz w:val="20"/>
        </w:rPr>
      </w:pPr>
      <w:r>
        <w:rPr>
          <w:rFonts w:ascii="Times New Roman;serif" w:hAnsi="Times New Roman;serif"/>
          <w:b w:val="false"/>
          <w:sz w:val="20"/>
        </w:rPr>
        <w:t>On January 4, 2023, the Board approved an amendment to the Company’s certificate of incorporation to complete a 1-for-32</w:t>
      </w:r>
      <w:r>
        <w:rPr>
          <w:rFonts w:ascii="Times New Roman;serif" w:hAnsi="Times New Roman;serif"/>
          <w:sz w:val="20"/>
        </w:rPr>
        <w:t xml:space="preserve"> </w:t>
      </w:r>
      <w:r>
        <w:rPr>
          <w:rFonts w:ascii="Times New Roman;serif" w:hAnsi="Times New Roman;serif"/>
          <w:b w:val="false"/>
          <w:sz w:val="20"/>
        </w:rPr>
        <w:t>reverse stock split effective January 5, 2023. At a special meeting held on December 16, 2022, stockholders approved the reverse stock split. The primary goal of the reverse stock split was to bring the Company’s stock price above the share bid price requirement for continued listing on Nasdaq. The effects of the reverse stock split have been reflected in the condensed consolidated financial statements and the footnotes.</w:t>
      </w:r>
    </w:p>
    <w:p>
      <w:pPr>
        <w:pStyle w:val="TextBody"/>
        <w:spacing w:before="360" w:after="0"/>
        <w:jc w:val="left"/>
        <w:rPr>
          <w:rFonts w:ascii="Times New Roman;serif" w:hAnsi="Times New Roman;serif"/>
          <w:b/>
          <w:sz w:val="20"/>
        </w:rPr>
      </w:pPr>
      <w:r>
        <w:rPr>
          <w:rFonts w:ascii="Times New Roman;serif" w:hAnsi="Times New Roman;serif"/>
          <w:b/>
          <w:sz w:val="20"/>
        </w:rPr>
        <w:t>Principles of Consolidation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unaudited condensed consolidated financial statements include the accounts of the Company and a variable interest entity (“VIE”). All intercompany transactions and balances have been eliminated upon consolidation.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accordance with the provisions of Accounting Standards Codification (“ASC”) 810, Consolidation, the Company consolidates any VIE of which the Company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Company does not consolidate a VIE in which it has a majority ownership interest when it is not considered the primary beneficiary. The Company evaluates its relationships with its VIEs on an ongoing basis to ensure that the Company continues to be the primary beneficiary. The Company is considered the primary beneficiary of Dave OD Funding I, LLC (“Dave OD”), as it has the power over the activities that most significantly impact the economic performance of Dave OD and has the obligation to absorb expected losses and the right to receive expected benefits that could be significant, in accordance with accounting guidance. As a result, the Company consolidated Dave OD and all intercompany accounts have been eliminated. The carrying value of Dave OD’s assets and liabilities, after elimination of any intercompany transactions and balances are shown in the condensed consolidated balance sheets. The assets of Dave OD are restricted and its creditors have full recourse against the Company for its liabilities.</w:t>
      </w:r>
    </w:p>
    <w:p>
      <w:pPr>
        <w:pStyle w:val="TextBody"/>
        <w:spacing w:before="0" w:after="0"/>
        <w:jc w:val="left"/>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Use of Estimates</w:t>
      </w:r>
    </w:p>
    <w:p>
      <w:pPr>
        <w:pStyle w:val="TextBody"/>
        <w:spacing w:before="120" w:after="0"/>
        <w:jc w:val="left"/>
        <w:rPr>
          <w:rFonts w:ascii="Times New Roman" w:hAnsi="Times New Roman"/>
          <w:sz w:val="20"/>
        </w:rPr>
      </w:pPr>
      <w:r>
        <w:rPr>
          <w:rFonts w:ascii="Times New Roman;serif" w:hAnsi="Times New Roman;serif"/>
          <w:b w:val="false"/>
          <w:sz w:val="20"/>
        </w:rPr>
        <w:t>The preparation of these unaudited condensed</w:t>
      </w:r>
      <w:r>
        <w:rPr>
          <w:rFonts w:ascii="Times New Roman" w:hAnsi="Times New Roman"/>
          <w:sz w:val="20"/>
        </w:rPr>
        <w:t xml:space="preserve"> </w:t>
      </w:r>
      <w:r>
        <w:rPr>
          <w:rFonts w:ascii="Times New Roman;serif" w:hAnsi="Times New Roman;serif"/>
          <w:b w:val="false"/>
          <w:sz w:val="20"/>
        </w:rPr>
        <w:t>consolidated financial statements requires the Company to make estimates and assumptions that affect the reported amounts of assets and liabilities and the disclosure of contingent assets and liabilities as of the date of the condensed consolidated financial statements, as well as the reported revenues and expenses incurred during the reporting periods. The Company’s estimates are based on its historical experience and on various other factors that the Company believes are reasonable under the circumstances, the results of which form the basis for making judgments about the carrying value of assets and liabilities that are not readily apparent from other sources. The Company’s critical accounting estimates and assumptions are evaluated on an ongoing basis including those related to the: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 Fair value of warrant liabilities;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(ii) Fair value of earnout liabilities;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(iii) Allowance for credit losses;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(iv) Income taxes.</w:t>
      </w:r>
    </w:p>
    <w:p>
      <w:pPr>
        <w:pStyle w:val="TextBody"/>
        <w:spacing w:before="120" w:after="0"/>
        <w:jc w:val="left"/>
        <w:rPr>
          <w:rFonts w:ascii="Times New Roman" w:hAnsi="Times New Roman"/>
          <w:sz w:val="20"/>
        </w:rPr>
      </w:pPr>
      <w:r>
        <w:rPr>
          <w:rFonts w:ascii="Times New Roman;serif" w:hAnsi="Times New Roman;serif"/>
          <w:b w:val="false"/>
          <w:sz w:val="20"/>
        </w:rPr>
        <w:t>Actual results may differ from these estimates under different assumptions or conditions.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Revenue Recognition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Below is detail of operating revenues (in thousands):</w:t>
      </w:r>
    </w:p>
    <w:p>
      <w:pPr>
        <w:pStyle w:val="TextBody"/>
        <w:spacing w:before="0" w:after="0"/>
        <w:jc w:val="left"/>
        <w:rPr/>
      </w:pPr>
      <w:r>
        <w:rPr/>
        <w:t> </w:t>
      </w:r>
    </w:p>
    <w:tbl>
      <w:tblPr>
        <w:tblW w:w="5497" w:type="dxa"/>
        <w:jc w:val="left"/>
        <w:tblInd w:w="0" w:type="dxa"/>
        <w:tblCellMar>
          <w:top w:w="28" w:type="dxa"/>
          <w:left w:w="28" w:type="dxa"/>
          <w:bottom w:w="28" w:type="dxa"/>
          <w:right w:w="28" w:type="dxa"/>
        </w:tblCellMar>
      </w:tblPr>
      <w:tblGrid>
        <w:gridCol w:w="2626"/>
        <w:gridCol w:w="146"/>
        <w:gridCol w:w="259"/>
        <w:gridCol w:w="829"/>
        <w:gridCol w:w="179"/>
        <w:gridCol w:w="179"/>
        <w:gridCol w:w="259"/>
        <w:gridCol w:w="829"/>
        <w:gridCol w:w="191"/>
      </w:tblGrid>
      <w:tr>
        <w:trPr/>
        <w:tc>
          <w:tcPr>
            <w:tcW w:w="26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6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4"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w:t>
            </w:r>
          </w:p>
        </w:tc>
        <w:tc>
          <w:tcPr>
            <w:tcW w:w="191" w:type="dxa"/>
            <w:tcBorders/>
            <w:shd w:fill="auto" w:val="clear"/>
            <w:vAlign w:val="center"/>
          </w:tcPr>
          <w:p>
            <w:pPr>
              <w:pStyle w:val="TableContents"/>
              <w:spacing w:before="0" w:after="0"/>
              <w:ind w:left="0" w:right="0" w:hanging="0"/>
              <w:jc w:val="center"/>
              <w:rPr/>
            </w:pPr>
            <w:r>
              <w:rPr/>
              <w:t> </w:t>
            </w:r>
          </w:p>
        </w:tc>
      </w:tr>
      <w:tr>
        <w:trPr/>
        <w:tc>
          <w:tcPr>
            <w:tcW w:w="26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10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based revenue, net</w:t>
            </w:r>
          </w:p>
        </w:tc>
        <w:tc>
          <w:tcPr>
            <w:tcW w:w="146" w:type="dxa"/>
            <w:tcBorders/>
            <w:shd w:fill="auto" w:val="clear"/>
            <w:vAlign w:val="center"/>
          </w:tcPr>
          <w:p>
            <w:pPr>
              <w:pStyle w:val="TableContents"/>
              <w:spacing w:before="0" w:after="0"/>
              <w:ind w:left="0" w:right="0" w:hanging="0"/>
              <w:jc w:val="left"/>
              <w:rPr/>
            </w:pPr>
            <w:r>
              <w:rPr/>
              <w:t> </w:t>
            </w:r>
          </w:p>
        </w:tc>
        <w:tc>
          <w:tcPr>
            <w:tcW w:w="1088" w:type="dxa"/>
            <w:gridSpan w:val="2"/>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088"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Processing fees, net</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33,002</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21,051</w:t>
            </w:r>
          </w:p>
        </w:tc>
        <w:tc>
          <w:tcPr>
            <w:tcW w:w="191"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Tips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13,760</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13,948</w:t>
            </w:r>
          </w:p>
        </w:tc>
        <w:tc>
          <w:tcPr>
            <w:tcW w:w="191"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Subscriptions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5,619</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4,153</w:t>
            </w:r>
          </w:p>
        </w:tc>
        <w:tc>
          <w:tcPr>
            <w:tcW w:w="191"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91"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Transaction based revenue, net</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6,352</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58,928</w:t>
            </w:r>
          </w:p>
        </w:tc>
        <w:tc>
          <w:tcPr>
            <w:tcW w:w="1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42,551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40" w:after="0"/>
        <w:jc w:val="left"/>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Service Based Revenue,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Service based revenue, net primarily consists of optional tips, optional processing fees, and subscriptions charged to Members, net of processor costs associated with advance disbursements. Member advances are treated as financial receivables under ASC 310 Receivables (“ASC 310”) and processing fees, net and tips are also accounted for in accordance with ASC 310.</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Processing Fees, Net: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Processing fees apply when a Member requests an expedited cash advance. At the Member’s election, the Company expedites the funding of advance funds within eight hours, as opposed to the customary three business days, of the advance approval. Processing fees are nonrefundable loan origination fees and are recognized as revenues over the average expected contractual term of its advances.</w:t>
      </w:r>
    </w:p>
    <w:p>
      <w:pPr>
        <w:pStyle w:val="TextBody"/>
        <w:spacing w:before="240" w:after="0"/>
        <w:jc w:val="left"/>
        <w:rPr>
          <w:rFonts w:ascii="Times New Roman" w:hAnsi="Times New Roman"/>
          <w:sz w:val="20"/>
        </w:rPr>
      </w:pPr>
      <w:r>
        <w:rPr>
          <w:rFonts w:ascii="Times New Roman;serif" w:hAnsi="Times New Roman;serif"/>
          <w:b w:val="false"/>
          <w:sz w:val="20"/>
        </w:rPr>
        <w:t>Costs incurred by the Company to fund cash advances are treated as direct loan origination costs. These direct loan origination costs are netted against advance-related income over the average expected contractual term of its advances. Direct origination costs recognized as a reduction of advance-related income during the three months ended March 31, 2023 and 2022, were $1.3</w:t>
      </w:r>
      <w:r>
        <w:rPr>
          <w:rFonts w:ascii="Times New Roman" w:hAnsi="Times New Roman"/>
          <w:sz w:val="20"/>
        </w:rPr>
        <w:t xml:space="preserve"> </w:t>
      </w:r>
      <w:r>
        <w:rPr>
          <w:rFonts w:ascii="Times New Roman;serif" w:hAnsi="Times New Roman;serif"/>
          <w:b w:val="false"/>
          <w:sz w:val="20"/>
        </w:rPr>
        <w:t>million and $0.9</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Tips: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Company encourages, but does not contractually require its Members who receive a cash advance to leave a discretionary tip. The Company treats tips as an adjustment of yield to the advances and are recognized over the average expected contractual term of its advances.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Subscriptions: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accounts for subscriptions in accordance with ASC 606, Revenue from Contracts with Customers (“ASC 606”). Under ASC 606, the Company must identify the contract with a Member, identify the performance obligations in the contract, determine the transaction price, allocate the transaction price to the performance obligations in the contract and recognize revenue when (or as) the Company satisfies the performance obligations. For revenue sources that are within the scope of Topic 606, the Company fully satisfies its performance obligations and recognizes revenue in the period it is earned as services are rendered. Transaction prices are typically fixed, charged on a periodic basis or based on activity. Because performance obligations are satisfied as services are rendered and the transaction prices are fixed, there is little judgment involved in applying ASC 606 that significantly affects the determination of the amount and timing of revenue from contracts with the Company’s Members. Sources of revenue from contracts with Members that are in the scope of ASC 606 include subscription fees, lead generation fees and reward program fees.</w:t>
      </w:r>
    </w:p>
    <w:p>
      <w:pPr>
        <w:pStyle w:val="TextBody"/>
        <w:spacing w:before="240" w:after="0"/>
        <w:jc w:val="left"/>
        <w:rPr>
          <w:rFonts w:ascii="Times New Roman" w:hAnsi="Times New Roman"/>
          <w:sz w:val="20"/>
        </w:rPr>
      </w:pPr>
      <w:r>
        <w:rPr>
          <w:rFonts w:ascii="Times New Roman;serif" w:hAnsi="Times New Roman;serif"/>
          <w:b w:val="false"/>
          <w:sz w:val="20"/>
        </w:rPr>
        <w:t>Subscription fees of $1</w:t>
      </w:r>
      <w:r>
        <w:rPr>
          <w:rFonts w:ascii="Times New Roman" w:hAnsi="Times New Roman"/>
          <w:sz w:val="20"/>
        </w:rPr>
        <w:t xml:space="preserve"> </w:t>
      </w:r>
      <w:r>
        <w:rPr>
          <w:rFonts w:ascii="Times New Roman;serif" w:hAnsi="Times New Roman;serif"/>
          <w:b w:val="false"/>
          <w:sz w:val="20"/>
        </w:rPr>
        <w:t>are received on a monthly basis from Members who subscribe to the Company’s application. The Company continually fulfills its obligation to each Member over the subscription term. The series of distinct services represents a single performance obligation that is satisfied over time. The Company recognizes revenue ratably as the Member receives and consumes the benefits of the platform throughout the contract period.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Price concessions granted to Members who have insufficient funds when subscription fees are due are forms of variable consideration under the Company’s contracts with Members. For price concessions, the Company has elected, as an accounting policy, to account for price concessions for the month at the end of the reporting month based on the actual amount of concessions granted as the impact is considered insignificant.</w:t>
      </w:r>
    </w:p>
    <w:p>
      <w:pPr>
        <w:pStyle w:val="TextBody"/>
        <w:spacing w:before="240" w:after="0"/>
        <w:jc w:val="left"/>
        <w:rPr>
          <w:rFonts w:ascii="Times New Roman" w:hAnsi="Times New Roman"/>
          <w:sz w:val="20"/>
        </w:rPr>
      </w:pPr>
      <w:r>
        <w:rPr>
          <w:rFonts w:ascii="Times New Roman;serif" w:hAnsi="Times New Roman;serif"/>
          <w:b w:val="false"/>
          <w:sz w:val="20"/>
        </w:rPr>
        <w:t>Other service based revenue consists of lead generation fees from the Company’s Side Hustle advertising partners.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Transaction Based Revenue, Net:</w:t>
      </w:r>
    </w:p>
    <w:p>
      <w:pPr>
        <w:pStyle w:val="TextBody"/>
        <w:spacing w:before="240" w:after="0"/>
        <w:jc w:val="left"/>
        <w:rPr>
          <w:rFonts w:ascii="Times New Roman" w:hAnsi="Times New Roman"/>
          <w:sz w:val="20"/>
        </w:rPr>
      </w:pPr>
      <w:r>
        <w:rPr>
          <w:rFonts w:ascii="Times New Roman;serif" w:hAnsi="Times New Roman;serif"/>
          <w:b w:val="false"/>
          <w:sz w:val="20"/>
        </w:rPr>
        <w:t>Transaction based revenue, net primarily consists of interchange and ATM revenues from the Company’s Checking Product, net of certain interchange and ATM-related fees, fees earned from withdrawal-related transactions, volume support from a certain co-branded agreement, and deposit referrals and are recognized at the point in time the transactions occur, as the performance obligations are satisfied and the variable consideration is not constrained. The Company earns interchange fees from Members spend on Dave-branded debit cards, which are reduced by interchange-related costs payable to fulfillment partners. Interchange revenue is remitted by merchants and represents a percentage of the underlying transaction value processed through a payment network. ATM fees earned</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val="false"/>
          <w:sz w:val="20"/>
        </w:rPr>
        <w:t>from the Member’s usage of out-of-network ATMs are reduced by related ATM transaction costs during the three months ended March 31, 2023 and 2022, were $0.3</w:t>
      </w:r>
      <w:r>
        <w:rPr>
          <w:rFonts w:ascii="Times New Roman" w:hAnsi="Times New Roman"/>
          <w:sz w:val="20"/>
        </w:rPr>
        <w:t xml:space="preserve"> </w:t>
      </w:r>
      <w:r>
        <w:rPr>
          <w:rFonts w:ascii="Times New Roman;serif" w:hAnsi="Times New Roman;serif"/>
          <w:b w:val="false"/>
          <w:sz w:val="20"/>
        </w:rPr>
        <w:t>and $0.1</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Processing and Servicing Costs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Processor costs consist of amounts paid to third party processors for the recovery of advances, tips, processing fees, and subscriptions. These expenses also include fees paid for services to connect Member’s bank accounts to the Company’s application. Except for processing and service fees associated with advance disbursements, which are recorded net against revenue, all other processing and service fees are expensed as incurred.</w:t>
      </w:r>
    </w:p>
    <w:p>
      <w:pPr>
        <w:pStyle w:val="TextBody"/>
        <w:spacing w:before="360" w:after="0"/>
        <w:jc w:val="left"/>
        <w:rPr>
          <w:rFonts w:ascii="Times New Roman;serif" w:hAnsi="Times New Roman;serif"/>
          <w:b/>
          <w:sz w:val="20"/>
        </w:rPr>
      </w:pPr>
      <w:r>
        <w:rPr>
          <w:rFonts w:ascii="Times New Roman;serif" w:hAnsi="Times New Roman;serif"/>
          <w:b/>
          <w:sz w:val="20"/>
        </w:rPr>
        <w:t>Cash and Cash Equivalents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classifies all highly liquid instruments with an original maturity of three months or less as cash equivalents.</w:t>
      </w:r>
    </w:p>
    <w:p>
      <w:pPr>
        <w:pStyle w:val="TextBody"/>
        <w:spacing w:before="360" w:after="0"/>
        <w:jc w:val="left"/>
        <w:rPr>
          <w:rFonts w:ascii="Times New Roman;serif" w:hAnsi="Times New Roman;serif"/>
          <w:b/>
          <w:sz w:val="20"/>
        </w:rPr>
      </w:pPr>
      <w:r>
        <w:rPr>
          <w:rFonts w:ascii="Times New Roman;serif" w:hAnsi="Times New Roman;serif"/>
          <w:b/>
          <w:sz w:val="20"/>
        </w:rPr>
        <w:t>Restricted Cash</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Restricted cash primarily represents cash held at financial institutions that is pledged as collateral for specific accounts that may become overdrawn.</w:t>
      </w:r>
    </w:p>
    <w:p>
      <w:pPr>
        <w:pStyle w:val="TextBody"/>
        <w:spacing w:before="360" w:after="0"/>
        <w:jc w:val="left"/>
        <w:rPr>
          <w:rFonts w:ascii="Times New Roman;serif" w:hAnsi="Times New Roman;serif"/>
          <w:b/>
          <w:sz w:val="20"/>
        </w:rPr>
      </w:pPr>
      <w:r>
        <w:rPr>
          <w:rFonts w:ascii="Times New Roman;serif" w:hAnsi="Times New Roman;serif"/>
          <w:b/>
          <w:sz w:val="20"/>
        </w:rPr>
        <w:t>Marketable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Marketable securities consist of a money market mutual fund. The fair value of marketable securities is determined by quoted prices in active markets and changes in fair value are recorded in other (income) expense in the condensed consolidated statements of operations.</w:t>
      </w:r>
    </w:p>
    <w:p>
      <w:pPr>
        <w:pStyle w:val="TextBody"/>
        <w:spacing w:before="16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Short-Term Investments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Short-term investments consist of corporate bonds and notes, asset backed securities, and government securities and are classified as “available-for-sale”, as the sale of such securities may be required prior to maturity to implement the Company’s strategies. The fair value of short-term investments is determined by quoted prices in active markets with unrealized gains and losses (other than credit related impairment) reported as a separate component of other comprehensive income. For securities with unrealized losses, any credit related portion of the loss is recognized in earnings. If it is more likely than not that the Company will be unable or does not intend to hold the security to recovery of the non-credit related unrealized loss, the loss is recognized in earnings. Realized gains and losses are determined using the specific identification method and recognized in the condensed consolidated statements of comprehensive income. Any related amounts recorded in accumulated other comprehensive income are reclassified to earnings (on a pretax basis).</w:t>
      </w:r>
    </w:p>
    <w:p>
      <w:pPr>
        <w:pStyle w:val="TextBody"/>
        <w:spacing w:before="0" w:after="0"/>
        <w:jc w:val="left"/>
        <w:rPr>
          <w:rFonts w:ascii="Times New Roman;serif" w:hAnsi="Times New Roman;serif"/>
          <w:b/>
          <w:sz w:val="20"/>
        </w:rPr>
      </w:pPr>
      <w:r>
        <w:rPr>
          <w:rFonts w:ascii="Times New Roman;serif" w:hAnsi="Times New Roman;serif"/>
          <w:b/>
          <w:sz w:val="20"/>
        </w:rPr>
        <w:t>Member Advances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Member advances include ExtraCash advances, fees, and tips, net of certain direct origination costs and allowance for expected credit losses. Management’s intent is to hold advances until the earlier of repayment or payoff date. Members’ cash advances are treated as financial receivables under ASC 310.</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Advances to Members are not interest-bearing. The Company recognizes these advances at the advanced amount and does not use discounting techniques to determine present value of advances due to their short-term nature.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does not provide modifications to advances and does not charge late fees.</w:t>
      </w:r>
    </w:p>
    <w:p>
      <w:pPr>
        <w:pStyle w:val="TextBody"/>
        <w:spacing w:before="360" w:after="0"/>
        <w:jc w:val="left"/>
        <w:rPr>
          <w:rFonts w:ascii="Times New Roman;serif" w:hAnsi="Times New Roman;serif"/>
          <w:b/>
          <w:sz w:val="20"/>
        </w:rPr>
      </w:pPr>
      <w:r>
        <w:rPr>
          <w:rFonts w:ascii="Times New Roman;serif" w:hAnsi="Times New Roman;serif"/>
          <w:b/>
          <w:sz w:val="20"/>
        </w:rPr>
        <w:t>Allowance for Credit Losses</w:t>
      </w:r>
    </w:p>
    <w:p>
      <w:pPr>
        <w:pStyle w:val="TextBody"/>
        <w:spacing w:before="240" w:after="0"/>
        <w:jc w:val="left"/>
        <w:rPr>
          <w:rFonts w:ascii="Times New Roman" w:hAnsi="Times New Roman"/>
          <w:sz w:val="20"/>
        </w:rPr>
      </w:pPr>
      <w:r>
        <w:rPr>
          <w:rFonts w:ascii="Times New Roman;serif" w:hAnsi="Times New Roman;serif"/>
          <w:b w:val="false"/>
          <w:sz w:val="20"/>
        </w:rPr>
        <w:t>Member advances from contracts with Members as of the balance sheet dates are recorded at their original advance amounts, inclusive of outstanding processing fees and tips, and reduced by an allowance for expected credit losses. The Company pools its Member advances, all of which are short-term (average term of approximately 11</w:t>
      </w:r>
      <w:r>
        <w:rPr>
          <w:rFonts w:ascii="Times New Roman" w:hAnsi="Times New Roman"/>
          <w:sz w:val="20"/>
        </w:rPr>
        <w:t xml:space="preserve"> </w:t>
      </w:r>
      <w:r>
        <w:rPr>
          <w:rFonts w:ascii="Times New Roman;serif" w:hAnsi="Times New Roman;serif"/>
          <w:b w:val="false"/>
          <w:sz w:val="20"/>
        </w:rPr>
        <w:t>days) in nature and arise from contracts with Members, based on shared risk characteristics to assess their risk of loss, even when that risk is remote. The Company uses an aging method and historical loss rates as a basis for estimating the percentage of current and delinquent Member advances balances that will result in credit losses to derive the allowance for credit losses. The Company considers whether the conditions at the measurement date and reasonable and supportable forecasts about future conditions warrant an adjustment to its historical loss experience. In assessing such adjustments, the Company primarily evaluates current economic conditions, expectations of near-term economic trends and changes in</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val="false"/>
          <w:sz w:val="20"/>
        </w:rPr>
        <w:t>customer payment terms, collection trends and cash collections subsequent to the balance sheet date. For the measurement dates presented herein, given its methods of collecting funds, and that the Company has not observed meaningful changes in its customers’ payment behavior, it determined that its historical loss rates remained most indicative of its lifetime expected losses. The Company immediately recognizes an allowance for expected credit losses upon the origination of the advance. Adjustments to the allowance each period for changes in the estimate of lifetime expected credit losses are recognized in operating expenses—provision for credit losses in the condensed consolidated statements of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When the Company determines that a Member advance is not collectible, the uncollectible amount is written-off as a reduction to both the allowance and the gross asset balance. Subsequent recoveries are recorded when received and are recorded as a recovery of the allowance for expected credit losses. Any change in the assumptions used in analyzing a specific Member advance may result in an additional allowance for expected credit losses being recognized in the period in which the change occurs.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Internally Developed Software</w:t>
      </w:r>
    </w:p>
    <w:p>
      <w:pPr>
        <w:pStyle w:val="TextBody"/>
        <w:spacing w:before="120" w:after="0"/>
        <w:jc w:val="left"/>
        <w:rPr>
          <w:rFonts w:ascii="Times New Roman" w:hAnsi="Times New Roman"/>
          <w:sz w:val="20"/>
        </w:rPr>
      </w:pPr>
      <w:r>
        <w:rPr>
          <w:rFonts w:ascii="Times New Roman;serif" w:hAnsi="Times New Roman;serif"/>
          <w:b w:val="false"/>
          <w:sz w:val="20"/>
        </w:rPr>
        <w:t>Internally developed software is capitalized when preliminary development efforts are successfully completed, management has authorized and committed project funding, it is probable that the project will be completed, and the software will be used as intended. Capitalized costs consist of salaries and other compensation costs for employees incurred for time spent on upgrades and enhancements to add functionality to the software and fees paid to third-party consultants who are directly involved in development efforts. These capitalized costs are included on the condensed consolidated balance sheets as intangible assets, net. Other costs are expensed as incurred and included within other operating expenses in the condensed consolidated statements of operations. Capitalized costs for the three months ended March 31, 2023 and 2022, were $1.9</w:t>
      </w:r>
      <w:r>
        <w:rPr>
          <w:rFonts w:ascii="Times New Roman" w:hAnsi="Times New Roman"/>
          <w:sz w:val="20"/>
        </w:rPr>
        <w:t xml:space="preserve"> </w:t>
      </w:r>
      <w:r>
        <w:rPr>
          <w:rFonts w:ascii="Times New Roman;serif" w:hAnsi="Times New Roman;serif"/>
          <w:b w:val="false"/>
          <w:sz w:val="20"/>
        </w:rPr>
        <w:t>million and $2.3</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240" w:after="0"/>
        <w:jc w:val="left"/>
        <w:rPr>
          <w:rFonts w:ascii="Times New Roman" w:hAnsi="Times New Roman"/>
          <w:sz w:val="20"/>
        </w:rPr>
      </w:pPr>
      <w:r>
        <w:rPr>
          <w:rFonts w:ascii="Times New Roman;serif" w:hAnsi="Times New Roman;serif"/>
          <w:b w:val="false"/>
          <w:sz w:val="20"/>
        </w:rPr>
        <w:t>Amortization of internally developed software commences when the software is ready for its intended use (i.e., after all substantial testing is complete). Internally developed software is amortized over its estimated useful life of 3</w:t>
      </w:r>
      <w:r>
        <w:rPr>
          <w:rFonts w:ascii="Times New Roman" w:hAnsi="Times New Roman"/>
          <w:sz w:val="20"/>
        </w:rPr>
        <w:t xml:space="preserve"> </w:t>
      </w:r>
      <w:r>
        <w:rPr>
          <w:rFonts w:ascii="Times New Roman;serif" w:hAnsi="Times New Roman;serif"/>
          <w:b w:val="false"/>
          <w:sz w:val="20"/>
        </w:rPr>
        <w:t>years.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Company’s accounting policy is to perform annual reviews of capitalized internally developed software projects to determine whether any impairment indicators are present as of December 31, or whenever a change in circumstances suggests an impairment indicator is present. If any impairment indicators are present, the Company will perform a recoverability test by comparing the sum of the estimated undiscounted cash flows attributed to the asset group to their carrying value. If the undiscounted cash flows expected to result from the remaining use of the asset (i.e., cash flows when testing recoverability) are less than the asset group’s carrying value, the Company will determine the fair value of the asset group and recognize an impairment loss as the amount by which the carrying value of the asset group exceeds its fair value. If based on the results of the recoverability test, no impairment is indicated as the remaining undiscounted cash flows exceed the carrying value of the software asset group, the carrying value of the asset group as of the assessment date is deemed fully recoverable. In addition, the Company evaluates the remaining useful life of an intangible asset that is being amortized each reporting period to determine whether events and circumstances warrant a revision to the remaining period of amortization. If the estimate of an intangible asset’s remaining useful life is changed, the remaining carrying value of the intangible asset shall be amortized prospectively over that revised remaining useful life.</w:t>
      </w:r>
    </w:p>
    <w:p>
      <w:pPr>
        <w:pStyle w:val="TextBody"/>
        <w:spacing w:before="360" w:after="0"/>
        <w:jc w:val="left"/>
        <w:rPr>
          <w:rFonts w:ascii="Times New Roman;serif" w:hAnsi="Times New Roman;serif"/>
          <w:b/>
          <w:sz w:val="20"/>
        </w:rPr>
      </w:pPr>
      <w:r>
        <w:rPr>
          <w:rFonts w:ascii="Times New Roman;serif" w:hAnsi="Times New Roman;serif"/>
          <w:b/>
          <w:sz w:val="20"/>
        </w:rPr>
        <w:t>Property and Equipment</w:t>
      </w:r>
    </w:p>
    <w:p>
      <w:pPr>
        <w:pStyle w:val="TextBody"/>
        <w:spacing w:before="120" w:after="0"/>
        <w:jc w:val="left"/>
        <w:rPr>
          <w:rFonts w:ascii="Times New Roman" w:hAnsi="Times New Roman"/>
          <w:sz w:val="20"/>
        </w:rPr>
      </w:pPr>
      <w:r>
        <w:rPr>
          <w:rFonts w:ascii="Times New Roman;serif" w:hAnsi="Times New Roman;serif"/>
          <w:b w:val="false"/>
          <w:sz w:val="20"/>
        </w:rPr>
        <w:t>Property and equipment are stated at cost less accumulated depreciation. Property and equipment are recorded at cost and depreciated over the estimated useful lives ranging from 3</w:t>
      </w:r>
      <w:r>
        <w:rPr>
          <w:rFonts w:ascii="Times New Roman" w:hAnsi="Times New Roman"/>
          <w:sz w:val="20"/>
        </w:rPr>
        <w:t xml:space="preserve"> </w:t>
      </w:r>
      <w:r>
        <w:rPr>
          <w:rFonts w:ascii="Times New Roman;serif" w:hAnsi="Times New Roman;serif"/>
          <w:b w:val="false"/>
          <w:sz w:val="20"/>
        </w:rPr>
        <w:t>to 7</w:t>
      </w:r>
      <w:r>
        <w:rPr>
          <w:rFonts w:ascii="Times New Roman" w:hAnsi="Times New Roman"/>
          <w:sz w:val="20"/>
        </w:rPr>
        <w:t xml:space="preserve"> </w:t>
      </w:r>
      <w:r>
        <w:rPr>
          <w:rFonts w:ascii="Times New Roman;serif" w:hAnsi="Times New Roman;serif"/>
          <w:b w:val="false"/>
          <w:sz w:val="20"/>
        </w:rPr>
        <w:t>years using the straight-line method. Maintenance and repair costs are charged to operations as incurred and included within other operating expenses in the condensed consolidated statements of operations.</w:t>
      </w:r>
    </w:p>
    <w:p>
      <w:pPr>
        <w:pStyle w:val="TextBody"/>
        <w:spacing w:before="360" w:after="0"/>
        <w:jc w:val="left"/>
        <w:rPr>
          <w:rFonts w:ascii="Times New Roman;serif" w:hAnsi="Times New Roman;serif"/>
          <w:b/>
          <w:sz w:val="20"/>
        </w:rPr>
      </w:pPr>
      <w:r>
        <w:rPr>
          <w:rFonts w:ascii="Times New Roman;serif" w:hAnsi="Times New Roman;serif"/>
          <w:b/>
          <w:sz w:val="20"/>
        </w:rPr>
        <w:t>Impairment of Long-Lived Assets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assesses the impairment of long-lived assets, primarily property and equipment and amortizable intangible assets, whenever events or changes in business circumstances indicate that carrying amounts of the assets may not be fully recoverable. If the sum of the expected undiscounted future cash flows from an asset is less than the carrying amount of the asset, the Company estimates the fair value of the assets. The Company measures the loss as the amount by which the carrying amount exceeds its fair value calculated using the present value of estimated net future cash flows.</w:t>
      </w:r>
    </w:p>
    <w:p>
      <w:pPr>
        <w:pStyle w:val="TextBody"/>
        <w:spacing w:before="360" w:after="0"/>
        <w:jc w:val="left"/>
        <w:rPr>
          <w:rFonts w:ascii="Times New Roman;serif" w:hAnsi="Times New Roman;serif"/>
          <w:b/>
          <w:sz w:val="20"/>
        </w:rPr>
      </w:pPr>
      <w:r>
        <w:rPr>
          <w:rFonts w:ascii="Times New Roman;serif" w:hAnsi="Times New Roman;serif"/>
          <w:b/>
          <w:sz w:val="20"/>
        </w:rPr>
        <w:t>Fair Value of Financial Instruments</w:t>
      </w:r>
    </w:p>
    <w:p>
      <w:pPr>
        <w:pStyle w:val="TextBody"/>
        <w:spacing w:before="120" w:after="0"/>
        <w:jc w:val="left"/>
        <w:rPr>
          <w:rFonts w:ascii="Times New Roman" w:hAnsi="Times New Roman"/>
          <w:sz w:val="20"/>
        </w:rPr>
      </w:pPr>
      <w:r>
        <w:rPr>
          <w:rFonts w:ascii="Times New Roman;serif" w:hAnsi="Times New Roman;serif"/>
          <w:b w:val="false"/>
          <w:sz w:val="20"/>
        </w:rPr>
        <w:t>ASC 820, Fair Value Measurement (“ASC 820”), provides a single definition of fair value and a common framework for measuring fair value as well as disclosure requirements for fair value measurements used in the condensed consolidated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Level 1—Quoted prices in active markets for identical assets or liabilities.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Level 2—Observable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Level 3—Valuations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spacing w:before="360" w:after="0"/>
        <w:jc w:val="left"/>
        <w:rPr>
          <w:rFonts w:ascii="Times New Roman;serif" w:hAnsi="Times New Roman;serif"/>
          <w:b/>
          <w:sz w:val="20"/>
        </w:rPr>
      </w:pPr>
      <w:r>
        <w:rPr>
          <w:rFonts w:ascii="Times New Roman;serif" w:hAnsi="Times New Roman;serif"/>
          <w:b/>
          <w:sz w:val="20"/>
        </w:rPr>
        <w:t>Concentration of Risk</w:t>
      </w:r>
    </w:p>
    <w:p>
      <w:pPr>
        <w:pStyle w:val="TextBody"/>
        <w:spacing w:before="120" w:after="0"/>
        <w:jc w:val="left"/>
        <w:rPr>
          <w:rFonts w:ascii="Times New Roman" w:hAnsi="Times New Roman"/>
          <w:sz w:val="20"/>
        </w:rPr>
      </w:pPr>
      <w:r>
        <w:rPr>
          <w:rFonts w:ascii="Times New Roman;serif" w:hAnsi="Times New Roman;serif"/>
          <w:b w:val="false"/>
          <w:sz w:val="20"/>
        </w:rPr>
        <w:t>Financial instruments, which potentially subject the Company to concentrations of credit risk, principally consist of cash and cash equivalents, restricted cash, Member cash advances, and short-term investments.</w:t>
      </w:r>
      <w:r>
        <w:rPr>
          <w:rFonts w:ascii="Times New Roman" w:hAnsi="Times New Roman"/>
          <w:sz w:val="20"/>
        </w:rPr>
        <w:t xml:space="preserve"> </w:t>
      </w:r>
      <w:r>
        <w:rPr>
          <w:rFonts w:ascii="Times New Roman;serif" w:hAnsi="Times New Roman;serif"/>
          <w:b w:val="false"/>
          <w:sz w:val="20"/>
        </w:rPr>
        <w:t>The Company’s cash and cash equivalents and restricted cash in excess of the Federal Deposit Insurance Corporation (“FDIC”) insured limits were</w:t>
      </w:r>
      <w:r>
        <w:rPr>
          <w:rFonts w:ascii="Times New Roman" w:hAnsi="Times New Roman"/>
          <w:sz w:val="20"/>
        </w:rPr>
        <w:t xml:space="preserve"> </w:t>
      </w:r>
      <w:r>
        <w:rPr>
          <w:rFonts w:ascii="Times New Roman;serif" w:hAnsi="Times New Roman;serif"/>
          <w:b w:val="false"/>
          <w:sz w:val="20"/>
        </w:rPr>
        <w:t>$51.0</w:t>
      </w:r>
      <w:r>
        <w:rPr>
          <w:rFonts w:ascii="Times New Roman" w:hAnsi="Times New Roman"/>
          <w:sz w:val="20"/>
        </w:rPr>
        <w:t xml:space="preserve"> </w:t>
      </w:r>
      <w:r>
        <w:rPr>
          <w:rFonts w:ascii="Times New Roman;serif" w:hAnsi="Times New Roman;serif"/>
          <w:b w:val="false"/>
          <w:sz w:val="20"/>
        </w:rPr>
        <w:t>million at March 31, 2023 and at $20.7</w:t>
      </w:r>
      <w:r>
        <w:rPr>
          <w:rFonts w:ascii="Times New Roman" w:hAnsi="Times New Roman"/>
          <w:sz w:val="20"/>
        </w:rPr>
        <w:t xml:space="preserve"> </w:t>
      </w:r>
      <w:r>
        <w:rPr>
          <w:rFonts w:ascii="Times New Roman;serif" w:hAnsi="Times New Roman;serif"/>
          <w:b w:val="false"/>
          <w:sz w:val="20"/>
        </w:rPr>
        <w:t>million at December 31, 2022, respectively. The Company’s payment processors also collect cash on the Company’s behalf and will hold these cash balances temporarily until they are settled the next business day. Also, the Company does not believe its marketable securities are exposed to any significant credit risk due to the quality and nature of the securities in which the money is held.</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No Member individually exceeded 10% or more of the Company’s Member cash advances balances as of March 31, 2023 and December 31, 2022.</w:t>
      </w:r>
    </w:p>
    <w:p>
      <w:pPr>
        <w:pStyle w:val="TextBody"/>
        <w:spacing w:before="360" w:after="0"/>
        <w:jc w:val="left"/>
        <w:rPr>
          <w:rFonts w:ascii="Times New Roman;serif" w:hAnsi="Times New Roman;serif"/>
          <w:b/>
          <w:sz w:val="20"/>
        </w:rPr>
      </w:pPr>
      <w:r>
        <w:rPr>
          <w:rFonts w:ascii="Times New Roman;serif" w:hAnsi="Times New Roman;serif"/>
          <w:b/>
          <w:sz w:val="20"/>
        </w:rPr>
        <w:t>Leases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ASC 842, Leases (“ASC 842”) requires lessees to recognize most leases on the condensed consolidated balance sheet with a corresponding right-of-use asset. Right-of-use assets represent the Company’s right to use an underlying asset for the lease term and lease liabilities represent the Company’s obligation to make lease payments arising from the lease. Right-of-use assets and lease liabilities are recognized at the lease commencement date based on the estimated present value of fixed lease payments over the lease term. Leases are classified as financing or operating which will drive the expense recognition pattern. Lease payments on short-term leases are recognized as expense on a straight-line basis over the lease term. At the time of a lease abandonment, the operating lease right-of-use asset is derecognized, while the corresponding lease liability is evaluated by the Company based any remaining contractual obligations as of the lease abandonment date.</w:t>
      </w:r>
    </w:p>
    <w:p>
      <w:pPr>
        <w:pStyle w:val="TextBody"/>
        <w:spacing w:before="4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Company leases office space under two separate leases, both of which are considered operating leases. Options to extend or terminate a lease are considered as part of calculating the lease term to the extent that the option is reasonably certain of exercise. The leases do not include the options to purchase the leased property. The depreciable life of assets and leasehold improvements are limited by the expected lease term. Covenants imposed by the leases include letters of credit required to be obtained by the lessee.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incremental borrowing rate (“IBR”) represents the rate of interest the Company would expect to pay on a collateralized basis to borrow an amount equal to the lease payments under similar terms. When determinable, the Company uses the rate implicit in the lease to determine the present value of lease payments. As the Company’s leases do not provide an implicit rate, the Company uses its incremental borrowing rate based on the information available at the lease commencement date in determining the present value of lease payments.</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Stock-Based Compensation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Stock Option Awards: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ASC 718, Compensation-Stock Compensation (“ASC 718”), requires the estimate of the fair value of all stock-based payments to employees, including grants of stock options, to be recognized in the statement of operations over the requisite service period. Under ASC 718, employee option grants are generally valued at the grant date and those valuations do not change once they have been established. The fair value of each option award is estimated on the grant date using the Black-Scholes Option Pricing Model. As allowed by ASC 718, the Company’s estimate of expected volatility is based on its peer company average volatilities, including industry, stage of life cycle, size, and financial leverage. The risk-free rate for periods within the contractual life of the option is based on the U.S. Treasury yield curve in effect at the time of grant valuation. The Company recognizes forfeitures as they occur.</w:t>
      </w:r>
    </w:p>
    <w:p>
      <w:pPr>
        <w:pStyle w:val="TextBody"/>
        <w:spacing w:before="16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Restricted Stock Unit Awards: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Restricted stock units (“RSUs”) are valued on the grant date. The fair value of the RSUs that vest based solely on a service condition is equal to the estimated fair value of the Company’s Common Stock on the grant date. This compensation cost is recognized on a straight-line basis over the requisite service period for the entire award. For RSUs that contain both a market condition and a service condition, market volatility and other factors are taken into consideration in determining the grant date fair value and the related compensation expense is recognized on a straight-line basis over the requisite service period of each separately vesting tranche, regardless of whether the market condition is satisfied, provided that the requisite service has been provided. These costs are a component of stock-based compensation expense, presented within compensation and benefits in the condensed consolidated statements of operations. The Company recognizes forfeitures as they occur.</w:t>
      </w:r>
    </w:p>
    <w:p>
      <w:pPr>
        <w:pStyle w:val="TextBody"/>
        <w:spacing w:before="16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Restricted Stock Awards: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Restricted stock awards (“RSAs”) are valued on the grant date. The fair value of the RSAs is equal to the estimated fair value of the Company’s Common Stock on the grant date. This compensation cost is recognized over the requisite service period as a component of stock-based compensation expense, presented within compensation and benefits in the condensed consolidated statements of operations. The Company recognizes forfeitures as they occur.</w:t>
      </w:r>
    </w:p>
    <w:p>
      <w:pPr>
        <w:pStyle w:val="TextBody"/>
        <w:spacing w:before="16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RSAs Issued to Non-Employees: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Company issues shares of restricted stock to consultants for various advisory and consulting-related services. The Company recognized this expense, measured as the estimated value of the shares issued, as a component of stock-based compensation expense, presented within compensation and benefits in the condensed consolidated statements of operations.</w:t>
      </w:r>
    </w:p>
    <w:p>
      <w:pPr>
        <w:pStyle w:val="TextBody"/>
        <w:spacing w:before="360" w:after="0"/>
        <w:jc w:val="left"/>
        <w:rPr>
          <w:rFonts w:ascii="Times New Roman;serif" w:hAnsi="Times New Roman;serif"/>
          <w:b/>
          <w:sz w:val="20"/>
        </w:rPr>
      </w:pPr>
      <w:r>
        <w:rPr>
          <w:rFonts w:ascii="Times New Roman;serif" w:hAnsi="Times New Roman;serif"/>
          <w:b/>
          <w:sz w:val="20"/>
        </w:rPr>
        <w:t>Advertising Costs</w:t>
      </w:r>
    </w:p>
    <w:p>
      <w:pPr>
        <w:pStyle w:val="TextBody"/>
        <w:spacing w:before="120" w:after="0"/>
        <w:jc w:val="left"/>
        <w:rPr>
          <w:rFonts w:ascii="Times New Roman" w:hAnsi="Times New Roman"/>
          <w:sz w:val="20"/>
        </w:rPr>
      </w:pPr>
      <w:r>
        <w:rPr>
          <w:rFonts w:ascii="Times New Roman;serif" w:hAnsi="Times New Roman;serif"/>
          <w:b w:val="false"/>
          <w:sz w:val="20"/>
        </w:rPr>
        <w:t>Advertising costs are expensed as incurred. Advertising expense for the three months ended March 31, 2023 and 2022, were $9.5</w:t>
      </w:r>
      <w:r>
        <w:rPr>
          <w:rFonts w:ascii="Times New Roman" w:hAnsi="Times New Roman"/>
          <w:sz w:val="20"/>
        </w:rPr>
        <w:t xml:space="preserve"> </w:t>
      </w:r>
      <w:r>
        <w:rPr>
          <w:rFonts w:ascii="Times New Roman;serif" w:hAnsi="Times New Roman;serif"/>
          <w:b w:val="false"/>
          <w:sz w:val="20"/>
        </w:rPr>
        <w:t>million and $12.2</w:t>
      </w:r>
      <w:r>
        <w:rPr>
          <w:rFonts w:ascii="Times New Roman" w:hAnsi="Times New Roman"/>
          <w:sz w:val="20"/>
        </w:rPr>
        <w:t xml:space="preserve"> </w:t>
      </w:r>
      <w:r>
        <w:rPr>
          <w:rFonts w:ascii="Times New Roman;serif" w:hAnsi="Times New Roman;serif"/>
          <w:b w:val="false"/>
          <w:sz w:val="20"/>
        </w:rPr>
        <w:t>million, respectively, and are presented within advertising and marketing within the condensed consolidated statements of operations.</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Income Taxes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Company follows ASC 740, Income Taxes (“ASC 740”), which requires recognition of deferred tax assets and liabilities for the expected future tax consequences of events that have been included in the condensed consolidated financial statements or tax returns. Under this method, deferred tax assets and liabilities are based on the differences between the condensed consolidated financial statement and tax basis of assets and liabilities using enacted tax rates in effect for the year in which the differences are expected to reverse. Deferred tax assets are reduced by a valuation allowance to the extent management concludes it is more-likely-than-not that the asset will not be realized.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pStyle w:val="TextBody"/>
        <w:spacing w:before="0" w:after="0"/>
        <w:jc w:val="left"/>
        <w:rPr>
          <w:rFonts w:ascii="Times New Roman" w:hAnsi="Times New Roman"/>
          <w:sz w:val="20"/>
        </w:rPr>
      </w:pPr>
      <w:r>
        <w:rPr>
          <w:rFonts w:ascii="Times New Roman;serif" w:hAnsi="Times New Roman;serif"/>
          <w:b w:val="false"/>
          <w:sz w:val="20"/>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on examination, including compromise settlements. For tax positions not meeting the more-likely-than-not threshold, no tax benefit is recorded. The Company has estimated $1.0</w:t>
      </w:r>
      <w:r>
        <w:rPr>
          <w:rFonts w:ascii="Times New Roman" w:hAnsi="Times New Roman"/>
          <w:sz w:val="20"/>
        </w:rPr>
        <w:t xml:space="preserve"> </w:t>
      </w:r>
      <w:r>
        <w:rPr>
          <w:rFonts w:ascii="Times New Roman;serif" w:hAnsi="Times New Roman;serif"/>
          <w:b w:val="false"/>
          <w:sz w:val="20"/>
        </w:rPr>
        <w:t>million and $0.9</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rFonts w:ascii="Times New Roman;serif" w:hAnsi="Times New Roman;serif"/>
          <w:b w:val="false"/>
          <w:sz w:val="20"/>
        </w:rPr>
      </w:pPr>
      <w:r>
        <w:rPr>
          <w:rFonts w:ascii="Times New Roman;serif" w:hAnsi="Times New Roman;serif"/>
          <w:b w:val="false"/>
          <w:sz w:val="20"/>
        </w:rPr>
        <w:t>million of uncertain tax positions as of March 31, 2023 and December 31, 2022, respectively, related to state income taxes. and federal and state research tax credits.</w:t>
      </w:r>
    </w:p>
    <w:p>
      <w:pPr>
        <w:pStyle w:val="TextBody"/>
        <w:spacing w:before="0" w:after="0"/>
        <w:jc w:val="left"/>
        <w:rPr>
          <w:rFonts w:ascii="Times New Roman" w:hAnsi="Times New Roman"/>
          <w:sz w:val="20"/>
        </w:rPr>
      </w:pPr>
      <w:r>
        <w:rPr>
          <w:rFonts w:ascii="Times New Roman;serif" w:hAnsi="Times New Roman;serif"/>
          <w:b w:val="false"/>
          <w:sz w:val="20"/>
        </w:rPr>
        <w:t>The Company’s policy is to recognize interest expense and penalties accrued on any unrecognized tax benefits as a component of income tax expense within the statement of operations. The Company recognized $0.002</w:t>
      </w:r>
      <w:r>
        <w:rPr>
          <w:rFonts w:ascii="Times New Roman" w:hAnsi="Times New Roman"/>
          <w:sz w:val="20"/>
        </w:rPr>
        <w:t xml:space="preserve"> </w:t>
      </w:r>
      <w:r>
        <w:rPr>
          <w:rFonts w:ascii="Times New Roman;serif" w:hAnsi="Times New Roman;serif"/>
          <w:b w:val="false"/>
          <w:sz w:val="20"/>
        </w:rPr>
        <w:t>million and $0.001</w:t>
      </w:r>
      <w:r>
        <w:rPr>
          <w:rFonts w:ascii="Times New Roman" w:hAnsi="Times New Roman"/>
          <w:sz w:val="20"/>
        </w:rPr>
        <w:t xml:space="preserve"> </w:t>
      </w:r>
      <w:r>
        <w:rPr>
          <w:rFonts w:ascii="Times New Roman;serif" w:hAnsi="Times New Roman;serif"/>
          <w:b w:val="false"/>
          <w:sz w:val="20"/>
        </w:rPr>
        <w:t>million of interest expense and penalties as a component of income tax expense during the three months ended March 31, 2023 and 2022, respectively.</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Segment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determines its operating segments based on how its chief operating decision makers manage operations, make operating decisions, and evaluate operating performance. The Company has determined that the Chief Operating Decision Maker (“CODM”) is a joint role shared by the Chief Executive Officer and Chief Financial Officer. Based upon the way the CODM reviews financial information and makes operating decisions and considering that the CODM reviews financial information on a consolidated basis for purposes of allocating resources and evaluating financial performance, the service-based and transaction-based operations constitute a single operating segment and one reportable segment.</w:t>
      </w:r>
    </w:p>
    <w:p>
      <w:pPr>
        <w:pStyle w:val="TextBody"/>
        <w:spacing w:before="360" w:after="0"/>
        <w:jc w:val="left"/>
        <w:rPr>
          <w:rFonts w:ascii="Times New Roman;serif" w:hAnsi="Times New Roman;serif"/>
          <w:b/>
          <w:sz w:val="20"/>
        </w:rPr>
      </w:pPr>
      <w:r>
        <w:rPr>
          <w:rFonts w:ascii="Times New Roman;serif" w:hAnsi="Times New Roman;serif"/>
          <w:b/>
          <w:sz w:val="20"/>
        </w:rPr>
        <w:t>Net Loss Per Share Attributable to Stockholders</w:t>
      </w:r>
    </w:p>
    <w:p>
      <w:pPr>
        <w:pStyle w:val="TextBody"/>
        <w:spacing w:before="120" w:after="0"/>
        <w:jc w:val="left"/>
        <w:rPr>
          <w:rFonts w:ascii="Times New Roman" w:hAnsi="Times New Roman"/>
          <w:sz w:val="20"/>
        </w:rPr>
      </w:pPr>
      <w:r>
        <w:rPr>
          <w:rFonts w:ascii="Times New Roman;serif" w:hAnsi="Times New Roman;serif"/>
          <w:b w:val="false"/>
          <w:sz w:val="20"/>
        </w:rPr>
        <w:t>The Company has two classes of participating securities (Class A Common Stock and Class V Common Stock) issued and outstanding as of March 31, 2023.</w:t>
      </w:r>
      <w:r>
        <w:rPr>
          <w:rFonts w:ascii="Times New Roman" w:hAnsi="Times New Roman"/>
          <w:sz w:val="20"/>
        </w:rPr>
        <w:t xml:space="preserve"> </w:t>
      </w:r>
    </w:p>
    <w:p>
      <w:pPr>
        <w:pStyle w:val="TextBody"/>
        <w:spacing w:before="6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Basic net loss attributable to holders of Common Stock per share is calculated by dividing net loss attributable to holders of Common Stock by the weighted-average number of shares outstanding, excluding shares issued in relation to unvested restricted stock awards and vested early exercise options funded by non-recourse notes (refer to Note 16, Related-Party Transactions for further details on the Company’s Loans to Stockholders).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Diluted net loss per share attributable to holders of common stock adjusts the basic net loss per share attributable to stockholders and the weighted- average number of shares outstanding for the potentially dilutive impact of stock options, warrants, and restricted stock using the treasury stock method and convertible preferred stock using the as-if-converted method.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sets forth the computation of the Company’s basic and diluted net loss per share attributable to holders of common stock (in thousands, except share data):</w:t>
      </w:r>
    </w:p>
    <w:p>
      <w:pPr>
        <w:pStyle w:val="TextBody"/>
        <w:spacing w:before="0" w:after="0"/>
        <w:jc w:val="left"/>
        <w:rPr/>
      </w:pPr>
      <w:r>
        <w:rPr/>
        <w:t> </w:t>
      </w:r>
    </w:p>
    <w:tbl>
      <w:tblPr>
        <w:tblW w:w="9184" w:type="dxa"/>
        <w:jc w:val="left"/>
        <w:tblInd w:w="0" w:type="dxa"/>
        <w:tblCellMar>
          <w:top w:w="28" w:type="dxa"/>
          <w:left w:w="28" w:type="dxa"/>
          <w:bottom w:w="28" w:type="dxa"/>
          <w:right w:w="28" w:type="dxa"/>
        </w:tblCellMar>
      </w:tblPr>
      <w:tblGrid>
        <w:gridCol w:w="5626"/>
        <w:gridCol w:w="146"/>
        <w:gridCol w:w="243"/>
        <w:gridCol w:w="1197"/>
        <w:gridCol w:w="166"/>
        <w:gridCol w:w="236"/>
        <w:gridCol w:w="1159"/>
        <w:gridCol w:w="411"/>
      </w:tblGrid>
      <w:tr>
        <w:trPr/>
        <w:tc>
          <w:tcPr>
            <w:tcW w:w="56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56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1"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Numerator</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(32,795</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Less: noncumulative dividend to convertible preferred stockholders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11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Less: undistributed earnings to participating securities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attributed to common stockholders—basic</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6" w:type="dxa"/>
            <w:tcBorders/>
            <w:shd w:fill="auto" w:val="clear"/>
            <w:vAlign w:val="center"/>
          </w:tcPr>
          <w:p>
            <w:pPr>
              <w:pStyle w:val="TableContents"/>
              <w:spacing w:before="0" w:after="0"/>
              <w:ind w:left="0" w:right="0" w:hanging="0"/>
              <w:jc w:val="left"/>
              <w:rPr/>
            </w:pPr>
            <w:r>
              <w:rPr/>
              <w:t> </w:t>
            </w:r>
          </w:p>
        </w:tc>
        <w:tc>
          <w:tcPr>
            <w:tcW w:w="11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(32,795</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 undistributed earnings reallocated to common stockholders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attributed to common stockholders—diluted</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(32,795</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Denominator</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of common stock—basic</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11,815,448</w:t>
            </w:r>
          </w:p>
        </w:tc>
        <w:tc>
          <w:tcPr>
            <w:tcW w:w="16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11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11,259,025</w:t>
            </w:r>
          </w:p>
        </w:tc>
        <w:tc>
          <w:tcPr>
            <w:tcW w:w="4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Dilutive effect of convertible preferred stock</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11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Dilutive effect of equity incentive awards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of common stock—diluted</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11,815,448</w:t>
            </w:r>
          </w:p>
        </w:tc>
        <w:tc>
          <w:tcPr>
            <w:tcW w:w="16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11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11,259,025</w:t>
            </w:r>
          </w:p>
        </w:tc>
        <w:tc>
          <w:tcPr>
            <w:tcW w:w="411" w:type="dxa"/>
            <w:tcBorders/>
            <w:shd w:fill="auto" w:val="cle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Net loss per share</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potentially dilutive shares were excluded from the computation of diluted net loss per share for the periods presented because including them would have been antidilutive:</w:t>
      </w:r>
    </w:p>
    <w:p>
      <w:pPr>
        <w:pStyle w:val="TextBody"/>
        <w:spacing w:before="0" w:after="0"/>
        <w:jc w:val="left"/>
        <w:rPr/>
      </w:pPr>
      <w:r>
        <w:rPr/>
        <w:t> </w:t>
      </w:r>
    </w:p>
    <w:tbl>
      <w:tblPr>
        <w:tblW w:w="7021" w:type="dxa"/>
        <w:jc w:val="left"/>
        <w:tblInd w:w="0" w:type="dxa"/>
        <w:tblCellMar>
          <w:top w:w="28" w:type="dxa"/>
          <w:left w:w="28" w:type="dxa"/>
          <w:bottom w:w="28" w:type="dxa"/>
          <w:right w:w="28" w:type="dxa"/>
        </w:tblCellMar>
      </w:tblPr>
      <w:tblGrid>
        <w:gridCol w:w="3691"/>
        <w:gridCol w:w="146"/>
        <w:gridCol w:w="195"/>
        <w:gridCol w:w="1245"/>
        <w:gridCol w:w="158"/>
        <w:gridCol w:w="189"/>
        <w:gridCol w:w="1206"/>
        <w:gridCol w:w="191"/>
      </w:tblGrid>
      <w:tr>
        <w:trPr/>
        <w:tc>
          <w:tcPr>
            <w:tcW w:w="3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3"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RSU awards, and PSU awards</w:t>
            </w:r>
          </w:p>
        </w:tc>
        <w:tc>
          <w:tcPr>
            <w:tcW w:w="146" w:type="dxa"/>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12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2,552,474</w:t>
            </w:r>
          </w:p>
        </w:tc>
        <w:tc>
          <w:tcPr>
            <w:tcW w:w="158"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12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904,220</w:t>
            </w:r>
          </w:p>
        </w:tc>
        <w:tc>
          <w:tcPr>
            <w:tcW w:w="191" w:type="dxa"/>
            <w:tcBorders/>
            <w:shd w:fill="auto" w:val="cle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debt</w:t>
            </w:r>
          </w:p>
        </w:tc>
        <w:tc>
          <w:tcPr>
            <w:tcW w:w="146" w:type="dxa"/>
            <w:tcBorders/>
            <w:shd w:fill="auto" w:val="clear"/>
            <w:vAlign w:val="center"/>
          </w:tcPr>
          <w:p>
            <w:pPr>
              <w:pStyle w:val="TableContents"/>
              <w:spacing w:before="0" w:after="0"/>
              <w:ind w:left="0" w:right="0" w:hanging="0"/>
              <w:jc w:val="left"/>
              <w:rPr/>
            </w:pPr>
            <w:r>
              <w:rPr/>
              <w:t> </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312,500</w:t>
            </w:r>
          </w:p>
        </w:tc>
        <w:tc>
          <w:tcPr>
            <w:tcW w:w="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312,500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2,864,974</w:t>
            </w:r>
          </w:p>
        </w:tc>
        <w:tc>
          <w:tcPr>
            <w:tcW w:w="1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1,216,720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pPr>
      <w:r>
        <w:rPr/>
        <w:t> </w:t>
      </w:r>
    </w:p>
    <w:p>
      <w:pPr>
        <w:pStyle w:val="TextBody"/>
        <w:spacing w:before="160" w:after="0"/>
        <w:jc w:val="left"/>
        <w:rPr/>
      </w:pPr>
      <w:r>
        <w:rPr/>
        <w:t> </w:t>
      </w:r>
    </w:p>
    <w:p>
      <w:pPr>
        <w:pStyle w:val="TextBody"/>
        <w:spacing w:before="16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Recent Accounting Pronouncements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Management does not believe that any recently issued, but not yet effective, accounting pronouncements, if currently adopted, would have a material effect on the Company’s financial statements.</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Recently Adopted Accounting Pronouncements: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In June 2016, the Financial Accounting Standards Board (“FASB”) issued Accounting Standards Update (“ASU”) 2016-13, </w:t>
      </w:r>
      <w:r>
        <w:rPr>
          <w:rFonts w:ascii="Times New Roman;serif" w:hAnsi="Times New Roman;serif"/>
          <w:b w:val="false"/>
          <w:i/>
          <w:sz w:val="20"/>
        </w:rPr>
        <w:t>Financial Instruments—Credit Losses (Topic 326): Measurement of Credit Losses on Financial Instruments (“ASU 2016-13”)</w:t>
      </w:r>
      <w:r>
        <w:rPr>
          <w:rFonts w:ascii="Times New Roman;serif" w:hAnsi="Times New Roman;serif"/>
          <w:b w:val="false"/>
          <w:sz w:val="20"/>
        </w:rPr>
        <w:t>. ASU 2016-13 introduced a new credit loss methodology, 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The Company adopted this ASU on January 1, 2023 and determined that ASU 2016-13 had no material impact on the Company’s unaudited condensed consolidated financial statements and related disclosures.</w:t>
      </w:r>
      <w:r>
        <w:rPr>
          <w:rFonts w:ascii="Times New Roman" w:hAnsi="Times New Roman"/>
          <w:sz w:val="20"/>
        </w:rPr>
        <w:t xml:space="preserve"> </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 xml:space="preserve">In March 2020, the FASB issued ASU No. 2020-04, </w:t>
      </w:r>
      <w:r>
        <w:rPr>
          <w:rFonts w:ascii="Times New Roman;serif" w:hAnsi="Times New Roman;serif"/>
          <w:b w:val="false"/>
          <w:i/>
          <w:sz w:val="20"/>
        </w:rPr>
        <w:t>Reference Rate Reform (Topic 848): Facilitation of the Effects of Reference Rate Reform on Financial Reporting</w:t>
      </w:r>
      <w:r>
        <w:rPr>
          <w:rFonts w:ascii="Times New Roman;serif" w:hAnsi="Times New Roman;serif"/>
          <w:b w:val="false"/>
          <w:sz w:val="20"/>
        </w:rPr>
        <w:t>, which provides optional guidance for accounting for contracts, hedging relationships, and other transactions affected by reference rate reform, if certain criteria are met. In December 2022, the FASB issued ASU No. 2022-06, Reference Rate Reform (Topic 848), Deferral of the Sunset Date of Topic 848. The amendments in this Update defer the sunset date of Topic 848 from December 31, 2022, to December 31, 2024, after which entities will no longer be permitted to apply the relief in Topic 848. The Company has evaluated the effect that the updated standard had on its internal processes, unaudited condensed consolidated financial statements, and related disclosures, and has determined that the adoption did not have a significant impact on its unaudited condensed consolidated financial statements and related disclosures.</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360" w:after="0"/>
        <w:jc w:val="left"/>
        <w:rPr>
          <w:rFonts w:ascii="Times New Roman;serif" w:hAnsi="Times New Roman;serif"/>
          <w:b/>
          <w:sz w:val="20"/>
        </w:rPr>
      </w:pPr>
      <w:r>
        <w:rPr>
          <w:rFonts w:ascii="Times New Roman;serif" w:hAnsi="Times New Roman;serif"/>
          <w:b/>
          <w:sz w:val="20"/>
        </w:rPr>
        <w:t>Note 3 Marketable Securities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Below is a detail of marketable securities (in thousands):</w:t>
      </w:r>
    </w:p>
    <w:p>
      <w:pPr>
        <w:pStyle w:val="TextBody"/>
        <w:spacing w:before="0" w:after="0"/>
        <w:jc w:val="left"/>
        <w:rPr/>
      </w:pPr>
      <w:r>
        <w:rPr/>
        <w:t> </w:t>
      </w:r>
    </w:p>
    <w:tbl>
      <w:tblPr>
        <w:tblW w:w="5655" w:type="dxa"/>
        <w:jc w:val="left"/>
        <w:tblInd w:w="0" w:type="dxa"/>
        <w:tblCellMar>
          <w:top w:w="28" w:type="dxa"/>
          <w:left w:w="28" w:type="dxa"/>
          <w:bottom w:w="28" w:type="dxa"/>
          <w:right w:w="28" w:type="dxa"/>
        </w:tblCellMar>
      </w:tblPr>
      <w:tblGrid>
        <w:gridCol w:w="1861"/>
        <w:gridCol w:w="146"/>
        <w:gridCol w:w="342"/>
        <w:gridCol w:w="1098"/>
        <w:gridCol w:w="146"/>
        <w:gridCol w:w="146"/>
        <w:gridCol w:w="574"/>
        <w:gridCol w:w="1151"/>
        <w:gridCol w:w="191"/>
      </w:tblGrid>
      <w:tr>
        <w:trPr/>
        <w:tc>
          <w:tcPr>
            <w:tcW w:w="18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8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40" w:type="dxa"/>
            <w:gridSpan w:val="2"/>
            <w:tcBorders/>
            <w:shd w:fill="auto" w:val="clear"/>
            <w:vAlign w:val="center"/>
          </w:tcPr>
          <w:p>
            <w:pPr>
              <w:pStyle w:val="TableContents"/>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March 31, 2023</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25" w:type="dxa"/>
            <w:gridSpan w:val="2"/>
            <w:tcBorders/>
            <w:shd w:fill="auto" w:val="clear"/>
            <w:vAlign w:val="center"/>
          </w:tcPr>
          <w:p>
            <w:pPr>
              <w:pStyle w:val="TableContents"/>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December 31, 2022</w:t>
            </w:r>
          </w:p>
        </w:tc>
        <w:tc>
          <w:tcPr>
            <w:tcW w:w="191" w:type="dxa"/>
            <w:tcBorders/>
            <w:shd w:fill="auto" w:val="clear"/>
            <w:vAlign w:val="center"/>
          </w:tcPr>
          <w:p>
            <w:pPr>
              <w:pStyle w:val="TableContents"/>
              <w:spacing w:before="0" w:after="0"/>
              <w:ind w:left="0" w:right="0" w:hanging="0"/>
              <w:jc w:val="center"/>
              <w:rPr/>
            </w:pPr>
            <w:r>
              <w:rPr/>
              <w:t> </w:t>
            </w:r>
          </w:p>
        </w:tc>
      </w:tr>
      <w:tr>
        <w:trPr/>
        <w:tc>
          <w:tcPr>
            <w:tcW w:w="1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34,423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285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40" w:after="0"/>
        <w:jc w:val="left"/>
        <w:rPr>
          <w:rFonts w:ascii="Times New Roman" w:hAnsi="Times New Roman"/>
          <w:sz w:val="20"/>
        </w:rPr>
      </w:pPr>
      <w:r>
        <w:rPr>
          <w:rFonts w:ascii="Times New Roman;serif" w:hAnsi="Times New Roman;serif"/>
          <w:b w:val="false"/>
          <w:sz w:val="20"/>
        </w:rPr>
        <w:t>At March 31, 2023 and December 31, 2022, the Company’s marketable securities consisted of investments in a publicly traded money market mutual fund with a ticket symbol SSPXX. The underlying money market instruments were primarily comprised of certificates of deposit and financial company asset backed commercial paper. At March 31, 2023 the investment portfolio had a weighted-average maturity of</w:t>
      </w:r>
      <w:r>
        <w:rPr>
          <w:rFonts w:ascii="Times New Roman" w:hAnsi="Times New Roman"/>
          <w:sz w:val="20"/>
        </w:rPr>
        <w:t xml:space="preserve"> </w:t>
      </w:r>
      <w:r>
        <w:rPr>
          <w:rFonts w:ascii="Times New Roman;serif" w:hAnsi="Times New Roman;serif"/>
          <w:b w:val="false"/>
          <w:sz w:val="20"/>
        </w:rPr>
        <w:t>45</w:t>
      </w:r>
      <w:r>
        <w:rPr>
          <w:rFonts w:ascii="Times New Roman" w:hAnsi="Times New Roman"/>
          <w:sz w:val="20"/>
        </w:rPr>
        <w:t xml:space="preserve"> </w:t>
      </w:r>
      <w:r>
        <w:rPr>
          <w:rFonts w:ascii="Times New Roman;serif" w:hAnsi="Times New Roman;serif"/>
          <w:b w:val="false"/>
          <w:sz w:val="20"/>
        </w:rPr>
        <w:t>days. At December 31, 2022 the investment portfolio had a weighted-average maturity of 48</w:t>
      </w:r>
      <w:r>
        <w:rPr>
          <w:rFonts w:ascii="Times New Roman" w:hAnsi="Times New Roman"/>
          <w:sz w:val="20"/>
        </w:rPr>
        <w:t xml:space="preserve"> </w:t>
      </w:r>
      <w:r>
        <w:rPr>
          <w:rFonts w:ascii="Times New Roman;serif" w:hAnsi="Times New Roman;serif"/>
          <w:b w:val="false"/>
          <w:sz w:val="20"/>
        </w:rPr>
        <w:t>days. The gain recognized in connection with the investment in marketable securities for the three months ended March 31, 2023 and 2022, was $0.1</w:t>
      </w:r>
      <w:r>
        <w:rPr>
          <w:rFonts w:ascii="Times New Roman" w:hAnsi="Times New Roman"/>
          <w:sz w:val="20"/>
        </w:rPr>
        <w:t xml:space="preserve"> </w:t>
      </w:r>
      <w:r>
        <w:rPr>
          <w:rFonts w:ascii="Times New Roman;serif" w:hAnsi="Times New Roman;serif"/>
          <w:b w:val="false"/>
          <w:sz w:val="20"/>
        </w:rPr>
        <w:t>million and $0.07</w:t>
      </w:r>
      <w:r>
        <w:rPr>
          <w:rFonts w:ascii="Times New Roman" w:hAnsi="Times New Roman"/>
          <w:sz w:val="20"/>
        </w:rPr>
        <w:t xml:space="preserve"> </w:t>
      </w:r>
      <w:r>
        <w:rPr>
          <w:rFonts w:ascii="Times New Roman;serif" w:hAnsi="Times New Roman;serif"/>
          <w:b w:val="false"/>
          <w:sz w:val="20"/>
        </w:rPr>
        <w:t>million, respectively and recorded as a component of interest income in the condensed consolidated statements of operations.</w:t>
      </w:r>
      <w:r>
        <w:rPr>
          <w:rFonts w:ascii="Times New Roman" w:hAnsi="Times New Roman"/>
          <w:sz w:val="20"/>
        </w:rPr>
        <w:t xml:space="preserve"> </w:t>
      </w:r>
    </w:p>
    <w:p>
      <w:pPr>
        <w:pStyle w:val="TextBody"/>
        <w:spacing w:before="40" w:after="0"/>
        <w:jc w:val="left"/>
        <w:rPr/>
      </w:pPr>
      <w:r>
        <w:rPr/>
        <w:t> </w:t>
      </w:r>
    </w:p>
    <w:p>
      <w:pPr>
        <w:pStyle w:val="TextBody"/>
        <w:spacing w:before="40" w:after="0"/>
        <w:jc w:val="left"/>
        <w:rPr/>
      </w:pPr>
      <w:r>
        <w:rPr/>
        <w:t> </w:t>
      </w:r>
    </w:p>
    <w:p>
      <w:pPr>
        <w:pStyle w:val="TextBody"/>
        <w:spacing w:before="4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Note 4 Short-Term Investments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Below is a summary of short-term investments, which are measured at fair value as of March 31, 2023 (in thousands):</w:t>
      </w:r>
    </w:p>
    <w:p>
      <w:pPr>
        <w:pStyle w:val="TextBody"/>
        <w:spacing w:before="0" w:after="0"/>
        <w:jc w:val="left"/>
        <w:rPr/>
      </w:pPr>
      <w:r>
        <w:rPr/>
        <w:t> </w:t>
      </w:r>
    </w:p>
    <w:tbl>
      <w:tblPr>
        <w:tblW w:w="9546" w:type="dxa"/>
        <w:jc w:val="left"/>
        <w:tblInd w:w="0" w:type="dxa"/>
        <w:tblCellMar>
          <w:top w:w="28" w:type="dxa"/>
          <w:left w:w="28" w:type="dxa"/>
          <w:bottom w:w="28" w:type="dxa"/>
          <w:right w:w="28" w:type="dxa"/>
        </w:tblCellMar>
      </w:tblPr>
      <w:tblGrid>
        <w:gridCol w:w="2011"/>
        <w:gridCol w:w="146"/>
        <w:gridCol w:w="211"/>
        <w:gridCol w:w="781"/>
        <w:gridCol w:w="146"/>
        <w:gridCol w:w="146"/>
        <w:gridCol w:w="845"/>
        <w:gridCol w:w="1270"/>
        <w:gridCol w:w="146"/>
        <w:gridCol w:w="146"/>
        <w:gridCol w:w="661"/>
        <w:gridCol w:w="1514"/>
        <w:gridCol w:w="166"/>
        <w:gridCol w:w="146"/>
        <w:gridCol w:w="217"/>
        <w:gridCol w:w="803"/>
        <w:gridCol w:w="191"/>
      </w:tblGrid>
      <w:tr>
        <w:trPr/>
        <w:tc>
          <w:tcPr>
            <w:tcW w:w="20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0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Gross Unrealized 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Gross Unrealized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97,887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96,935</w:t>
            </w:r>
          </w:p>
        </w:tc>
        <w:tc>
          <w:tcPr>
            <w:tcW w:w="191" w:type="dxa"/>
            <w:tcBorders/>
            <w:shd w:fill="auto" w:val="clear"/>
            <w:vAlign w:val="center"/>
          </w:tcPr>
          <w:p>
            <w:pPr>
              <w:pStyle w:val="TableContents"/>
              <w:spacing w:before="0" w:after="0"/>
              <w:ind w:left="0" w:right="0" w:hanging="0"/>
              <w:jc w:val="left"/>
              <w:rPr/>
            </w:pPr>
            <w:r>
              <w:rPr/>
              <w:t> </w:t>
            </w:r>
          </w:p>
        </w:tc>
      </w:tr>
      <w:tr>
        <w:trPr/>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Asset-backed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left"/>
              <w:rPr/>
            </w:pPr>
            <w:r>
              <w:rPr/>
              <w:t> </w:t>
            </w:r>
          </w:p>
        </w:tc>
        <w:tc>
          <w:tcPr>
            <w:tcW w:w="12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left"/>
              <w:rPr/>
            </w:pPr>
            <w:r>
              <w:rPr/>
              <w:t> </w:t>
            </w:r>
          </w:p>
        </w:tc>
        <w:tc>
          <w:tcPr>
            <w:tcW w:w="15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8,905</w:t>
            </w:r>
          </w:p>
        </w:tc>
        <w:tc>
          <w:tcPr>
            <w:tcW w:w="191" w:type="dxa"/>
            <w:tcBorders/>
            <w:shd w:fill="auto" w:val="clear"/>
            <w:vAlign w:val="center"/>
          </w:tcPr>
          <w:p>
            <w:pPr>
              <w:pStyle w:val="TableContents"/>
              <w:spacing w:before="0" w:after="0"/>
              <w:ind w:left="0" w:right="0" w:hanging="0"/>
              <w:jc w:val="left"/>
              <w:rPr/>
            </w:pPr>
            <w:r>
              <w:rPr/>
              <w:t> </w:t>
            </w:r>
          </w:p>
        </w:tc>
      </w:tr>
      <w:tr>
        <w:trPr/>
        <w:tc>
          <w:tcPr>
            <w:tcW w:w="2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Government securities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0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109,723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5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(952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108,831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At March 31, 2023 and December 31, 2022, the Company’s short-term investments consisted of investments in corporate bonds and notes, asset backed securities, and government securities with varying maturity dates between 2023 through 2027.</w:t>
      </w:r>
    </w:p>
    <w:p>
      <w:pPr>
        <w:pStyle w:val="TextBody"/>
        <w:spacing w:before="360" w:after="0"/>
        <w:jc w:val="left"/>
        <w:rPr>
          <w:rFonts w:ascii="Times New Roman;serif" w:hAnsi="Times New Roman;serif"/>
          <w:b/>
          <w:sz w:val="20"/>
        </w:rPr>
      </w:pPr>
      <w:r>
        <w:rPr>
          <w:rFonts w:ascii="Times New Roman;serif" w:hAnsi="Times New Roman;serif"/>
          <w:b/>
          <w:sz w:val="20"/>
        </w:rPr>
        <w:t>Note 5 Member Cash Advances, Net</w:t>
      </w:r>
    </w:p>
    <w:p>
      <w:pPr>
        <w:pStyle w:val="TextBody"/>
        <w:spacing w:before="120" w:after="0"/>
        <w:jc w:val="left"/>
        <w:rPr>
          <w:rFonts w:ascii="Times New Roman" w:hAnsi="Times New Roman"/>
          <w:sz w:val="20"/>
        </w:rPr>
      </w:pPr>
      <w:r>
        <w:rPr>
          <w:rFonts w:ascii="Times New Roman;serif" w:hAnsi="Times New Roman;serif"/>
          <w:b w:val="false"/>
          <w:sz w:val="20"/>
        </w:rPr>
        <w:t>Below is a detail of Member cash advances, net as of March 31, 2023</w:t>
      </w:r>
      <w:r>
        <w:rPr>
          <w:rFonts w:ascii="Times New Roman" w:hAnsi="Times New Roman"/>
          <w:sz w:val="20"/>
        </w:rPr>
        <w:t xml:space="preserve"> </w:t>
      </w:r>
      <w:r>
        <w:rPr>
          <w:rFonts w:ascii="Times New Roman;serif" w:hAnsi="Times New Roman;serif"/>
          <w:b w:val="false"/>
          <w:sz w:val="20"/>
        </w:rPr>
        <w:t>(in thousands):</w:t>
      </w:r>
    </w:p>
    <w:p>
      <w:pPr>
        <w:pStyle w:val="TextBody"/>
        <w:spacing w:before="120" w:after="0"/>
        <w:jc w:val="left"/>
        <w:rPr/>
      </w:pPr>
      <w:r>
        <w:rPr/>
        <w:t> </w:t>
      </w:r>
    </w:p>
    <w:tbl>
      <w:tblPr>
        <w:tblW w:w="9807" w:type="dxa"/>
        <w:jc w:val="left"/>
        <w:tblInd w:w="0" w:type="dxa"/>
        <w:tblCellMar>
          <w:top w:w="28" w:type="dxa"/>
          <w:left w:w="28" w:type="dxa"/>
          <w:bottom w:w="28" w:type="dxa"/>
          <w:right w:w="28" w:type="dxa"/>
        </w:tblCellMar>
      </w:tblPr>
      <w:tblGrid>
        <w:gridCol w:w="2116"/>
        <w:gridCol w:w="146"/>
        <w:gridCol w:w="526"/>
        <w:gridCol w:w="1694"/>
        <w:gridCol w:w="146"/>
        <w:gridCol w:w="146"/>
        <w:gridCol w:w="549"/>
        <w:gridCol w:w="1926"/>
        <w:gridCol w:w="166"/>
        <w:gridCol w:w="146"/>
        <w:gridCol w:w="487"/>
        <w:gridCol w:w="1568"/>
        <w:gridCol w:w="191"/>
      </w:tblGrid>
      <w:tr>
        <w:trPr/>
        <w:tc>
          <w:tcPr>
            <w:tcW w:w="21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9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9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56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Days From Origination</w:t>
            </w:r>
          </w:p>
        </w:tc>
        <w:tc>
          <w:tcPr>
            <w:tcW w:w="146" w:type="dxa"/>
            <w:tcBorders/>
            <w:shd w:fill="auto" w:val="clear"/>
            <w:vAlign w:val="center"/>
          </w:tcPr>
          <w:p>
            <w:pPr>
              <w:pStyle w:val="TableContents"/>
              <w:spacing w:before="0" w:after="0"/>
              <w:ind w:left="0" w:right="0" w:hanging="0"/>
              <w:jc w:val="center"/>
              <w:rPr/>
            </w:pPr>
            <w:r>
              <w:rPr/>
              <w:t> </w:t>
            </w:r>
          </w:p>
        </w:tc>
        <w:tc>
          <w:tcPr>
            <w:tcW w:w="22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Gross Member Advances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Allowance for Credit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Member Advances, Net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1-10</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67,312</w:t>
            </w:r>
          </w:p>
        </w:tc>
        <w:tc>
          <w:tcPr>
            <w:tcW w:w="191" w:type="dxa"/>
            <w:tcBorders/>
            <w:shd w:fill="auto" w:val="clear"/>
            <w:vAlign w:val="center"/>
          </w:tcPr>
          <w:p>
            <w:pPr>
              <w:pStyle w:val="TableContents"/>
              <w:spacing w:before="0" w:after="0"/>
              <w:ind w:left="0" w:right="0" w:hanging="0"/>
              <w:jc w:val="left"/>
              <w:rPr/>
            </w:pPr>
            <w:r>
              <w:rPr/>
              <w:t> </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11-30</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pPr>
            <w:r>
              <w:rPr/>
              <w:t> </w:t>
            </w:r>
          </w:p>
        </w:tc>
        <w:tc>
          <w:tcPr>
            <w:tcW w:w="16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left"/>
              <w:rPr/>
            </w:pPr>
            <w:r>
              <w:rPr/>
              <w:t> </w:t>
            </w:r>
          </w:p>
        </w:tc>
        <w:tc>
          <w:tcPr>
            <w:tcW w:w="1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7,914</w:t>
            </w:r>
          </w:p>
        </w:tc>
        <w:tc>
          <w:tcPr>
            <w:tcW w:w="191" w:type="dxa"/>
            <w:tcBorders/>
            <w:shd w:fill="auto" w:val="clear"/>
            <w:vAlign w:val="center"/>
          </w:tcPr>
          <w:p>
            <w:pPr>
              <w:pStyle w:val="TableContents"/>
              <w:spacing w:before="0" w:after="0"/>
              <w:ind w:left="0" w:right="0" w:hanging="0"/>
              <w:jc w:val="left"/>
              <w:rPr/>
            </w:pPr>
            <w:r>
              <w:rPr/>
              <w:t> </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31-60</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pPr>
            <w:r>
              <w:rPr/>
              <w:t> </w:t>
            </w:r>
          </w:p>
        </w:tc>
        <w:tc>
          <w:tcPr>
            <w:tcW w:w="16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left"/>
              <w:rPr/>
            </w:pPr>
            <w:r>
              <w:rPr/>
              <w:t> </w:t>
            </w:r>
          </w:p>
        </w:tc>
        <w:tc>
          <w:tcPr>
            <w:tcW w:w="1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2,540</w:t>
            </w:r>
          </w:p>
        </w:tc>
        <w:tc>
          <w:tcPr>
            <w:tcW w:w="191" w:type="dxa"/>
            <w:tcBorders/>
            <w:shd w:fill="auto" w:val="clear"/>
            <w:vAlign w:val="center"/>
          </w:tcPr>
          <w:p>
            <w:pPr>
              <w:pStyle w:val="TableContents"/>
              <w:spacing w:before="0" w:after="0"/>
              <w:ind w:left="0" w:right="0" w:hanging="0"/>
              <w:jc w:val="left"/>
              <w:rPr/>
            </w:pPr>
            <w:r>
              <w:rPr/>
              <w:t> </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61-90</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pPr>
            <w:r>
              <w:rPr/>
              <w:t> </w:t>
            </w:r>
          </w:p>
        </w:tc>
        <w:tc>
          <w:tcPr>
            <w:tcW w:w="16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left"/>
              <w:rPr/>
            </w:pPr>
            <w:r>
              <w:rPr/>
              <w:t> </w:t>
            </w:r>
          </w:p>
        </w:tc>
        <w:tc>
          <w:tcPr>
            <w:tcW w:w="1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left"/>
              <w:rPr/>
            </w:pPr>
            <w:r>
              <w:rPr/>
              <w:t> </w:t>
            </w:r>
          </w:p>
        </w:tc>
        <w:tc>
          <w:tcPr>
            <w:tcW w:w="15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1,392</w:t>
            </w:r>
          </w:p>
        </w:tc>
        <w:tc>
          <w:tcPr>
            <w:tcW w:w="191" w:type="dxa"/>
            <w:tcBorders/>
            <w:shd w:fill="auto" w:val="clear"/>
            <w:vAlign w:val="center"/>
          </w:tcPr>
          <w:p>
            <w:pPr>
              <w:pStyle w:val="TableContents"/>
              <w:spacing w:before="0" w:after="0"/>
              <w:ind w:left="0" w:right="0" w:hanging="0"/>
              <w:jc w:val="left"/>
              <w:rPr/>
            </w:pPr>
            <w:r>
              <w:rPr/>
              <w:t> </w:t>
            </w:r>
          </w:p>
        </w:tc>
      </w:tr>
      <w:tr>
        <w:trPr/>
        <w:tc>
          <w:tcPr>
            <w:tcW w:w="21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91-120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5,667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6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97,526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9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(17,365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5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80,161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Below is a detail of Member cash advances, net as of December 31, 2022 (in thousands):</w:t>
      </w:r>
    </w:p>
    <w:p>
      <w:pPr>
        <w:pStyle w:val="TextBody"/>
        <w:spacing w:before="4" w:after="0"/>
        <w:jc w:val="left"/>
        <w:rPr/>
      </w:pPr>
      <w:r>
        <w:rPr/>
        <w:t> </w:t>
      </w:r>
    </w:p>
    <w:tbl>
      <w:tblPr>
        <w:tblW w:w="9807" w:type="dxa"/>
        <w:jc w:val="left"/>
        <w:tblInd w:w="0" w:type="dxa"/>
        <w:tblCellMar>
          <w:top w:w="28" w:type="dxa"/>
          <w:left w:w="28" w:type="dxa"/>
          <w:bottom w:w="28" w:type="dxa"/>
          <w:right w:w="28" w:type="dxa"/>
        </w:tblCellMar>
      </w:tblPr>
      <w:tblGrid>
        <w:gridCol w:w="2116"/>
        <w:gridCol w:w="146"/>
        <w:gridCol w:w="472"/>
        <w:gridCol w:w="1748"/>
        <w:gridCol w:w="146"/>
        <w:gridCol w:w="146"/>
        <w:gridCol w:w="549"/>
        <w:gridCol w:w="1926"/>
        <w:gridCol w:w="166"/>
        <w:gridCol w:w="146"/>
        <w:gridCol w:w="437"/>
        <w:gridCol w:w="1618"/>
        <w:gridCol w:w="191"/>
      </w:tblGrid>
      <w:tr>
        <w:trPr/>
        <w:tc>
          <w:tcPr>
            <w:tcW w:w="21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9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Days From Origination</w:t>
            </w:r>
          </w:p>
        </w:tc>
        <w:tc>
          <w:tcPr>
            <w:tcW w:w="146" w:type="dxa"/>
            <w:tcBorders/>
            <w:shd w:fill="auto" w:val="clear"/>
            <w:vAlign w:val="center"/>
          </w:tcPr>
          <w:p>
            <w:pPr>
              <w:pStyle w:val="TableContents"/>
              <w:spacing w:before="0" w:after="0"/>
              <w:ind w:left="0" w:right="0" w:hanging="0"/>
              <w:jc w:val="center"/>
              <w:rPr/>
            </w:pPr>
            <w:r>
              <w:rPr/>
              <w:t> </w:t>
            </w:r>
          </w:p>
        </w:tc>
        <w:tc>
          <w:tcPr>
            <w:tcW w:w="22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Gross Member Advances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Allowance for Credit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Member Advances, Net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1-10</w:t>
            </w:r>
          </w:p>
        </w:tc>
        <w:tc>
          <w:tcPr>
            <w:tcW w:w="146" w:type="dxa"/>
            <w:tcBorders/>
            <w:shd w:fill="auto" w:val="clear"/>
            <w:vAlign w:val="center"/>
          </w:tcPr>
          <w:p>
            <w:pPr>
              <w:pStyle w:val="TableContents"/>
              <w:spacing w:before="0" w:after="0"/>
              <w:ind w:left="0" w:right="0" w:hanging="0"/>
              <w:jc w:val="left"/>
              <w:rPr/>
            </w:pPr>
            <w:r>
              <w:rPr/>
              <w:t> </w:t>
            </w:r>
          </w:p>
        </w:tc>
        <w:tc>
          <w:tcPr>
            <w:tcW w:w="4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91,121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88,897</w:t>
            </w:r>
          </w:p>
        </w:tc>
        <w:tc>
          <w:tcPr>
            <w:tcW w:w="191" w:type="dxa"/>
            <w:tcBorders/>
            <w:shd w:fill="auto" w:val="clear"/>
            <w:vAlign w:val="center"/>
          </w:tcPr>
          <w:p>
            <w:pPr>
              <w:pStyle w:val="TableContents"/>
              <w:spacing w:before="0" w:after="0"/>
              <w:ind w:left="0" w:right="0" w:hanging="0"/>
              <w:jc w:val="left"/>
              <w:rPr/>
            </w:pPr>
            <w:r>
              <w:rPr/>
              <w:t> </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11-30</w:t>
            </w:r>
          </w:p>
        </w:tc>
        <w:tc>
          <w:tcPr>
            <w:tcW w:w="146" w:type="dxa"/>
            <w:tcBorders/>
            <w:shd w:fill="auto" w:val="clear"/>
            <w:vAlign w:val="center"/>
          </w:tcPr>
          <w:p>
            <w:pPr>
              <w:pStyle w:val="TableContents"/>
              <w:spacing w:before="0" w:after="0"/>
              <w:ind w:left="0" w:right="0" w:hanging="0"/>
              <w:jc w:val="left"/>
              <w:rPr/>
            </w:pPr>
            <w:r>
              <w:rPr/>
              <w:t> </w:t>
            </w:r>
          </w:p>
        </w:tc>
        <w:tc>
          <w:tcPr>
            <w:tcW w:w="472" w:type="dxa"/>
            <w:tcBorders/>
            <w:shd w:fill="auto" w:val="clear"/>
            <w:vAlign w:val="center"/>
          </w:tcPr>
          <w:p>
            <w:pPr>
              <w:pStyle w:val="TableContents"/>
              <w:spacing w:before="0" w:after="0"/>
              <w:ind w:left="0" w:right="0" w:hanging="0"/>
              <w:jc w:val="left"/>
              <w:rPr/>
            </w:pPr>
            <w:r>
              <w:rPr/>
              <w:t> </w:t>
            </w:r>
          </w:p>
        </w:tc>
        <w:tc>
          <w:tcPr>
            <w:tcW w:w="17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left"/>
              <w:rPr/>
            </w:pPr>
            <w:r>
              <w:rPr/>
              <w:t> </w:t>
            </w:r>
          </w:p>
        </w:tc>
        <w:tc>
          <w:tcPr>
            <w:tcW w:w="1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c>
          <w:tcPr>
            <w:tcW w:w="16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8,101</w:t>
            </w:r>
          </w:p>
        </w:tc>
        <w:tc>
          <w:tcPr>
            <w:tcW w:w="191" w:type="dxa"/>
            <w:tcBorders/>
            <w:shd w:fill="auto" w:val="clear"/>
            <w:vAlign w:val="center"/>
          </w:tcPr>
          <w:p>
            <w:pPr>
              <w:pStyle w:val="TableContents"/>
              <w:spacing w:before="0" w:after="0"/>
              <w:ind w:left="0" w:right="0" w:hanging="0"/>
              <w:jc w:val="left"/>
              <w:rPr/>
            </w:pPr>
            <w:r>
              <w:rPr/>
              <w:t> </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31-60</w:t>
            </w:r>
          </w:p>
        </w:tc>
        <w:tc>
          <w:tcPr>
            <w:tcW w:w="146" w:type="dxa"/>
            <w:tcBorders/>
            <w:shd w:fill="auto" w:val="clear"/>
            <w:vAlign w:val="center"/>
          </w:tcPr>
          <w:p>
            <w:pPr>
              <w:pStyle w:val="TableContents"/>
              <w:spacing w:before="0" w:after="0"/>
              <w:ind w:left="0" w:right="0" w:hanging="0"/>
              <w:jc w:val="left"/>
              <w:rPr/>
            </w:pPr>
            <w:r>
              <w:rPr/>
              <w:t> </w:t>
            </w:r>
          </w:p>
        </w:tc>
        <w:tc>
          <w:tcPr>
            <w:tcW w:w="472" w:type="dxa"/>
            <w:tcBorders/>
            <w:shd w:fill="auto" w:val="clear"/>
            <w:vAlign w:val="center"/>
          </w:tcPr>
          <w:p>
            <w:pPr>
              <w:pStyle w:val="TableContents"/>
              <w:spacing w:before="0" w:after="0"/>
              <w:ind w:left="0" w:right="0" w:hanging="0"/>
              <w:jc w:val="left"/>
              <w:rPr/>
            </w:pPr>
            <w:r>
              <w:rPr/>
              <w:t> </w:t>
            </w:r>
          </w:p>
        </w:tc>
        <w:tc>
          <w:tcPr>
            <w:tcW w:w="17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left"/>
              <w:rPr/>
            </w:pPr>
            <w:r>
              <w:rPr/>
              <w:t> </w:t>
            </w:r>
          </w:p>
        </w:tc>
        <w:tc>
          <w:tcPr>
            <w:tcW w:w="1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(5,529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c>
          <w:tcPr>
            <w:tcW w:w="16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3,493</w:t>
            </w:r>
          </w:p>
        </w:tc>
        <w:tc>
          <w:tcPr>
            <w:tcW w:w="191" w:type="dxa"/>
            <w:tcBorders/>
            <w:shd w:fill="auto" w:val="clear"/>
            <w:vAlign w:val="center"/>
          </w:tcPr>
          <w:p>
            <w:pPr>
              <w:pStyle w:val="TableContents"/>
              <w:spacing w:before="0" w:after="0"/>
              <w:ind w:left="0" w:right="0" w:hanging="0"/>
              <w:jc w:val="left"/>
              <w:rPr/>
            </w:pPr>
            <w:r>
              <w:rPr/>
              <w:t> </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61-90</w:t>
            </w:r>
          </w:p>
        </w:tc>
        <w:tc>
          <w:tcPr>
            <w:tcW w:w="146" w:type="dxa"/>
            <w:tcBorders/>
            <w:shd w:fill="auto" w:val="clear"/>
            <w:vAlign w:val="center"/>
          </w:tcPr>
          <w:p>
            <w:pPr>
              <w:pStyle w:val="TableContents"/>
              <w:spacing w:before="0" w:after="0"/>
              <w:ind w:left="0" w:right="0" w:hanging="0"/>
              <w:jc w:val="left"/>
              <w:rPr/>
            </w:pPr>
            <w:r>
              <w:rPr/>
              <w:t> </w:t>
            </w:r>
          </w:p>
        </w:tc>
        <w:tc>
          <w:tcPr>
            <w:tcW w:w="472" w:type="dxa"/>
            <w:tcBorders/>
            <w:shd w:fill="auto" w:val="clear"/>
            <w:vAlign w:val="center"/>
          </w:tcPr>
          <w:p>
            <w:pPr>
              <w:pStyle w:val="TableContents"/>
              <w:spacing w:before="0" w:after="0"/>
              <w:ind w:left="0" w:right="0" w:hanging="0"/>
              <w:jc w:val="left"/>
              <w:rPr/>
            </w:pPr>
            <w:r>
              <w:rPr/>
              <w:t> </w:t>
            </w:r>
          </w:p>
        </w:tc>
        <w:tc>
          <w:tcPr>
            <w:tcW w:w="17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left"/>
              <w:rPr/>
            </w:pPr>
            <w:r>
              <w:rPr/>
              <w:t> </w:t>
            </w:r>
          </w:p>
        </w:tc>
        <w:tc>
          <w:tcPr>
            <w:tcW w:w="1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(6,702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c>
          <w:tcPr>
            <w:tcW w:w="16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2,163</w:t>
            </w:r>
          </w:p>
        </w:tc>
        <w:tc>
          <w:tcPr>
            <w:tcW w:w="191" w:type="dxa"/>
            <w:tcBorders/>
            <w:shd w:fill="auto" w:val="clear"/>
            <w:vAlign w:val="center"/>
          </w:tcPr>
          <w:p>
            <w:pPr>
              <w:pStyle w:val="TableContents"/>
              <w:spacing w:before="0" w:after="0"/>
              <w:ind w:left="0" w:right="0" w:hanging="0"/>
              <w:jc w:val="left"/>
              <w:rPr/>
            </w:pPr>
            <w:r>
              <w:rPr/>
              <w:t> </w:t>
            </w:r>
          </w:p>
        </w:tc>
      </w:tr>
      <w:tr>
        <w:trPr/>
        <w:tc>
          <w:tcPr>
            <w:tcW w:w="21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91-120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8,993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7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128,684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9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(24,501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6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104,183</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40" w:after="0"/>
        <w:jc w:val="left"/>
        <w:rPr>
          <w:rFonts w:ascii="Times New Roman;serif" w:hAnsi="Times New Roman;serif"/>
          <w:b w:val="false"/>
          <w:sz w:val="20"/>
        </w:rPr>
      </w:pPr>
      <w:r>
        <w:rPr>
          <w:rFonts w:ascii="Times New Roman;serif" w:hAnsi="Times New Roman;serif"/>
          <w:b w:val="false"/>
          <w:sz w:val="20"/>
        </w:rPr>
        <w:t>Member advances, net, represent outstanding advances, tips, and processing fees, net of direct origination costs, less an allowance for credit losses.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roll-forward of the allowance for credit losses is as follows (in thousands):</w:t>
      </w:r>
    </w:p>
    <w:p>
      <w:pPr>
        <w:pStyle w:val="TextBody"/>
        <w:spacing w:before="0" w:after="0"/>
        <w:jc w:val="left"/>
        <w:rPr/>
      </w:pPr>
      <w:r>
        <w:rPr/>
        <w:t> </w:t>
      </w:r>
    </w:p>
    <w:tbl>
      <w:tblPr>
        <w:tblW w:w="5677" w:type="dxa"/>
        <w:jc w:val="left"/>
        <w:tblInd w:w="0" w:type="dxa"/>
        <w:tblCellMar>
          <w:top w:w="28" w:type="dxa"/>
          <w:left w:w="28" w:type="dxa"/>
          <w:bottom w:w="28" w:type="dxa"/>
          <w:right w:w="28" w:type="dxa"/>
        </w:tblCellMar>
      </w:tblPr>
      <w:tblGrid>
        <w:gridCol w:w="4081"/>
        <w:gridCol w:w="146"/>
        <w:gridCol w:w="146"/>
        <w:gridCol w:w="146"/>
        <w:gridCol w:w="211"/>
        <w:gridCol w:w="736"/>
        <w:gridCol w:w="211"/>
      </w:tblGrid>
      <w:tr>
        <w:trPr/>
        <w:tc>
          <w:tcPr>
            <w:tcW w:w="40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0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Opening allowance balance at January 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24,501</w:t>
            </w:r>
          </w:p>
        </w:tc>
        <w:tc>
          <w:tcPr>
            <w:tcW w:w="211" w:type="dxa"/>
            <w:tcBorders/>
            <w:shd w:fill="auto" w:val="cle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Plus: provision for credit losses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11,953</w:t>
            </w:r>
          </w:p>
        </w:tc>
        <w:tc>
          <w:tcPr>
            <w:tcW w:w="211" w:type="dxa"/>
            <w:tcBorders/>
            <w:shd w:fill="auto" w:val="clear"/>
            <w:vAlign w:val="center"/>
          </w:tcPr>
          <w:p>
            <w:pPr>
              <w:pStyle w:val="TableContents"/>
              <w:spacing w:before="0" w:after="0"/>
              <w:ind w:left="0" w:right="0" w:hanging="0"/>
              <w:jc w:val="left"/>
              <w:rPr/>
            </w:pPr>
            <w:r>
              <w:rPr/>
              <w:t> </w:t>
            </w:r>
          </w:p>
        </w:tc>
      </w:tr>
      <w:tr>
        <w:trPr/>
        <w:tc>
          <w:tcPr>
            <w:tcW w:w="4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amounts written-off</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(19,089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Ending allowance balance at March 31, 2023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17,365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Opening allowance balance at January 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11,995</w:t>
            </w:r>
          </w:p>
        </w:tc>
        <w:tc>
          <w:tcPr>
            <w:tcW w:w="211" w:type="dxa"/>
            <w:tcBorders/>
            <w:shd w:fill="auto" w:val="clear"/>
            <w:vAlign w:val="center"/>
          </w:tcPr>
          <w:p>
            <w:pPr>
              <w:pStyle w:val="TableContents"/>
              <w:spacing w:before="0" w:after="0"/>
              <w:ind w:left="0" w:right="0" w:hanging="0"/>
              <w:jc w:val="left"/>
              <w:rPr/>
            </w:pPr>
            <w:r>
              <w:rPr/>
              <w:t> </w:t>
            </w:r>
          </w:p>
        </w:tc>
      </w:tr>
      <w:tr>
        <w:trPr/>
        <w:tc>
          <w:tcPr>
            <w:tcW w:w="40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Plus: provision for credit losses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13,785</w:t>
            </w:r>
          </w:p>
        </w:tc>
        <w:tc>
          <w:tcPr>
            <w:tcW w:w="211" w:type="dxa"/>
            <w:tcBorders/>
            <w:shd w:fill="auto" w:val="clear"/>
            <w:vAlign w:val="center"/>
          </w:tcPr>
          <w:p>
            <w:pPr>
              <w:pStyle w:val="TableContents"/>
              <w:spacing w:before="0" w:after="0"/>
              <w:ind w:left="0" w:right="0" w:hanging="0"/>
              <w:jc w:val="left"/>
              <w:rPr/>
            </w:pPr>
            <w:r>
              <w:rPr/>
              <w:t> </w:t>
            </w:r>
          </w:p>
        </w:tc>
      </w:tr>
      <w:tr>
        <w:trPr/>
        <w:tc>
          <w:tcPr>
            <w:tcW w:w="4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amounts written-off</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(9,440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Ending allowance balance at March 31, 2022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16,340</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Note 6 Intangible Assets, Net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Company’s intangible assets, net consisted of the following (in thousands):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076"/>
        <w:gridCol w:w="146"/>
        <w:gridCol w:w="1061"/>
        <w:gridCol w:w="146"/>
        <w:gridCol w:w="228"/>
        <w:gridCol w:w="732"/>
        <w:gridCol w:w="146"/>
        <w:gridCol w:w="146"/>
        <w:gridCol w:w="291"/>
        <w:gridCol w:w="1018"/>
        <w:gridCol w:w="166"/>
        <w:gridCol w:w="146"/>
        <w:gridCol w:w="218"/>
        <w:gridCol w:w="698"/>
        <w:gridCol w:w="146"/>
        <w:gridCol w:w="146"/>
        <w:gridCol w:w="228"/>
        <w:gridCol w:w="732"/>
        <w:gridCol w:w="146"/>
        <w:gridCol w:w="291"/>
        <w:gridCol w:w="1018"/>
        <w:gridCol w:w="166"/>
        <w:gridCol w:w="218"/>
        <w:gridCol w:w="698"/>
        <w:gridCol w:w="198"/>
      </w:tblGrid>
      <w:tr>
        <w:trPr/>
        <w:tc>
          <w:tcPr>
            <w:tcW w:w="10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10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789"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497"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Weighted Average Useful Lives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Gross Carrying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0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Accumulated 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Net Book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Gross Carrying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0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Accumulated 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Net Book Value</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Internally developed software</w:t>
            </w:r>
          </w:p>
        </w:tc>
        <w:tc>
          <w:tcPr>
            <w:tcW w:w="146" w:type="dxa"/>
            <w:tcBorders/>
            <w:shd w:fill="auto" w:val="clear"/>
            <w:vAlign w:val="center"/>
          </w:tcPr>
          <w:p>
            <w:pPr>
              <w:pStyle w:val="TableContents"/>
              <w:spacing w:before="0" w:after="0"/>
              <w:ind w:left="0" w:right="0" w:hanging="0"/>
              <w:jc w:val="left"/>
              <w:rPr/>
            </w:pPr>
            <w:r>
              <w:rPr/>
              <w:t> </w:t>
            </w:r>
          </w:p>
        </w:tc>
        <w:tc>
          <w:tcPr>
            <w:tcW w:w="106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3.0</w:t>
            </w:r>
            <w:r>
              <w:rPr>
                <w:rFonts w:ascii="Times New Roman" w:hAnsi="Times New Roman"/>
                <w:sz w:val="20"/>
              </w:rPr>
              <w:t> </w:t>
            </w:r>
            <w:r>
              <w:rPr>
                <w:rFonts w:ascii="Times New Roman;serif" w:hAnsi="Times New Roman;serif"/>
                <w:b w:val="false"/>
                <w:sz w:val="20"/>
              </w:rPr>
              <w:t>Years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(12,683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21,694</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(11,605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10,089</w:t>
            </w:r>
          </w:p>
        </w:tc>
        <w:tc>
          <w:tcPr>
            <w:tcW w:w="198" w:type="dxa"/>
            <w:tcBorders/>
            <w:shd w:fill="auto" w:val="clear"/>
            <w:vAlign w:val="center"/>
          </w:tcPr>
          <w:p>
            <w:pPr>
              <w:pStyle w:val="TableContents"/>
              <w:spacing w:before="0" w:after="0"/>
              <w:ind w:left="0" w:right="0" w:hanging="0"/>
              <w:jc w:val="left"/>
              <w:rPr/>
            </w:pPr>
            <w:r>
              <w:rPr/>
              <w:t> </w:t>
            </w:r>
          </w:p>
        </w:tc>
      </w:tr>
      <w:tr>
        <w:trPr/>
        <w:tc>
          <w:tcPr>
            <w:tcW w:w="10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Domain 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15.0</w:t>
            </w:r>
            <w:r>
              <w:rPr>
                <w:rFonts w:ascii="Times New Roman" w:hAnsi="Times New Roman"/>
                <w:sz w:val="20"/>
              </w:rPr>
              <w:t> </w:t>
            </w:r>
            <w:r>
              <w:rPr>
                <w:rFonts w:ascii="Times New Roman;serif" w:hAnsi="Times New Roman;serif"/>
                <w:b w:val="false"/>
                <w:sz w:val="20"/>
              </w:rP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Intangible assets, net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23,761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(12,732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11,029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21,815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(11,652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2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10,163</w:t>
            </w:r>
          </w:p>
        </w:tc>
        <w:tc>
          <w:tcPr>
            <w:tcW w:w="1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future estimated amortization expenses as of March 31, 2023, were as follows (in thousands):</w:t>
      </w:r>
    </w:p>
    <w:tbl>
      <w:tblPr>
        <w:tblW w:w="3812" w:type="dxa"/>
        <w:jc w:val="left"/>
        <w:tblInd w:w="0" w:type="dxa"/>
        <w:tblCellMar>
          <w:top w:w="28" w:type="dxa"/>
          <w:left w:w="28" w:type="dxa"/>
          <w:bottom w:w="28" w:type="dxa"/>
          <w:right w:w="28" w:type="dxa"/>
        </w:tblCellMar>
      </w:tblPr>
      <w:tblGrid>
        <w:gridCol w:w="2296"/>
        <w:gridCol w:w="146"/>
        <w:gridCol w:w="146"/>
        <w:gridCol w:w="146"/>
        <w:gridCol w:w="211"/>
        <w:gridCol w:w="676"/>
        <w:gridCol w:w="191"/>
      </w:tblGrid>
      <w:tr>
        <w:trPr/>
        <w:tc>
          <w:tcPr>
            <w:tcW w:w="22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(remaining)</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2,646</w:t>
            </w:r>
          </w:p>
        </w:tc>
        <w:tc>
          <w:tcPr>
            <w:tcW w:w="191" w:type="dxa"/>
            <w:tcBorders/>
            <w:shd w:fill="auto" w:val="clear"/>
            <w:vAlign w:val="center"/>
          </w:tcPr>
          <w:p>
            <w:pPr>
              <w:pStyle w:val="TableContents"/>
              <w:spacing w:before="0" w:after="0"/>
              <w:ind w:left="0" w:right="0" w:hanging="0"/>
              <w:jc w:val="left"/>
              <w:rPr/>
            </w:pPr>
            <w:r>
              <w:rPr/>
              <w:t> </w:t>
            </w:r>
          </w:p>
        </w:tc>
      </w:tr>
      <w:tr>
        <w:trPr/>
        <w:tc>
          <w:tcPr>
            <w:tcW w:w="2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4,314</w:t>
            </w:r>
          </w:p>
        </w:tc>
        <w:tc>
          <w:tcPr>
            <w:tcW w:w="191" w:type="dxa"/>
            <w:tcBorders/>
            <w:shd w:fill="auto" w:val="clear"/>
            <w:vAlign w:val="center"/>
          </w:tcPr>
          <w:p>
            <w:pPr>
              <w:pStyle w:val="TableContents"/>
              <w:spacing w:before="0" w:after="0"/>
              <w:ind w:left="0" w:right="0" w:hanging="0"/>
              <w:jc w:val="left"/>
              <w:rPr/>
            </w:pPr>
            <w:r>
              <w:rPr/>
              <w:t> </w:t>
            </w:r>
          </w:p>
        </w:tc>
      </w:tr>
      <w:tr>
        <w:trPr/>
        <w:tc>
          <w:tcPr>
            <w:tcW w:w="2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2,456</w:t>
            </w:r>
          </w:p>
        </w:tc>
        <w:tc>
          <w:tcPr>
            <w:tcW w:w="191" w:type="dxa"/>
            <w:tcBorders/>
            <w:shd w:fill="auto" w:val="clear"/>
            <w:vAlign w:val="center"/>
          </w:tcPr>
          <w:p>
            <w:pPr>
              <w:pStyle w:val="TableContents"/>
              <w:spacing w:before="0" w:after="0"/>
              <w:ind w:left="0" w:right="0" w:hanging="0"/>
              <w:jc w:val="left"/>
              <w:rPr/>
            </w:pPr>
            <w:r>
              <w:rPr/>
              <w:t> </w:t>
            </w:r>
          </w:p>
        </w:tc>
      </w:tr>
      <w:tr>
        <w:trPr/>
        <w:tc>
          <w:tcPr>
            <w:tcW w:w="2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1,571</w:t>
            </w:r>
          </w:p>
        </w:tc>
        <w:tc>
          <w:tcPr>
            <w:tcW w:w="191" w:type="dxa"/>
            <w:tcBorders/>
            <w:shd w:fill="auto" w:val="clear"/>
            <w:vAlign w:val="center"/>
          </w:tcPr>
          <w:p>
            <w:pPr>
              <w:pStyle w:val="TableContents"/>
              <w:spacing w:before="0" w:after="0"/>
              <w:ind w:left="0" w:right="0" w:hanging="0"/>
              <w:jc w:val="left"/>
              <w:rPr/>
            </w:pPr>
            <w:r>
              <w:rPr/>
              <w:t> </w:t>
            </w:r>
          </w:p>
        </w:tc>
      </w:tr>
      <w:tr>
        <w:trPr/>
        <w:tc>
          <w:tcPr>
            <w:tcW w:w="2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91" w:type="dxa"/>
            <w:tcBorders/>
            <w:shd w:fill="auto" w:val="clear"/>
            <w:vAlign w:val="center"/>
          </w:tcPr>
          <w:p>
            <w:pPr>
              <w:pStyle w:val="TableContents"/>
              <w:spacing w:before="0" w:after="0"/>
              <w:ind w:left="0" w:right="0" w:hanging="0"/>
              <w:jc w:val="left"/>
              <w:rPr/>
            </w:pPr>
            <w:r>
              <w:rPr/>
              <w:t> </w:t>
            </w:r>
          </w:p>
        </w:tc>
      </w:tr>
      <w:tr>
        <w:trPr/>
        <w:tc>
          <w:tcPr>
            <w:tcW w:w="2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future amortization</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11,029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Amortization expense for the three months ended March 31, 2023 and 2022, was $1.1</w:t>
      </w:r>
      <w:r>
        <w:rPr>
          <w:rFonts w:ascii="Times New Roman" w:hAnsi="Times New Roman"/>
          <w:sz w:val="20"/>
        </w:rPr>
        <w:t xml:space="preserve"> </w:t>
      </w:r>
      <w:r>
        <w:rPr>
          <w:rFonts w:ascii="Times New Roman;serif" w:hAnsi="Times New Roman;serif"/>
          <w:b w:val="false"/>
          <w:sz w:val="20"/>
        </w:rPr>
        <w:t>million and $1.0</w:t>
      </w:r>
      <w:r>
        <w:rPr>
          <w:rFonts w:ascii="Times New Roman" w:hAnsi="Times New Roman"/>
          <w:sz w:val="20"/>
        </w:rPr>
        <w:t xml:space="preserve"> </w:t>
      </w:r>
      <w:r>
        <w:rPr>
          <w:rFonts w:ascii="Times New Roman;serif" w:hAnsi="Times New Roman;serif"/>
          <w:b w:val="false"/>
          <w:sz w:val="20"/>
        </w:rPr>
        <w:t>million, respectively. No</w:t>
      </w:r>
      <w:r>
        <w:rPr>
          <w:rFonts w:ascii="Times New Roman" w:hAnsi="Times New Roman"/>
          <w:sz w:val="20"/>
        </w:rPr>
        <w:t xml:space="preserve"> </w:t>
      </w:r>
      <w:r>
        <w:rPr>
          <w:rFonts w:ascii="Times New Roman;serif" w:hAnsi="Times New Roman;serif"/>
          <w:b w:val="false"/>
          <w:sz w:val="20"/>
        </w:rPr>
        <w:t>impairment charges were recognized related to long-lived assets for the for the three months ended March 31, 2023 and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Amortization expense related to change in useful life of a certain definite-lived intangible asset for the three months ended March 31, 2023 and 2022, was $0.2</w:t>
      </w:r>
      <w:r>
        <w:rPr>
          <w:rFonts w:ascii="Times New Roman" w:hAnsi="Times New Roman"/>
          <w:sz w:val="20"/>
        </w:rPr>
        <w:t xml:space="preserve"> </w:t>
      </w:r>
      <w:r>
        <w:rPr>
          <w:rFonts w:ascii="Times New Roman;serif" w:hAnsi="Times New Roman;serif"/>
          <w:b w:val="false"/>
          <w:sz w:val="20"/>
        </w:rPr>
        <w:t>million and $0, respectively.</w:t>
      </w:r>
    </w:p>
    <w:p>
      <w:pPr>
        <w:pStyle w:val="TextBody"/>
        <w:spacing w:before="360" w:after="0"/>
        <w:jc w:val="left"/>
        <w:rPr>
          <w:rFonts w:ascii="Times New Roman;serif" w:hAnsi="Times New Roman;serif"/>
          <w:b/>
          <w:sz w:val="20"/>
        </w:rPr>
      </w:pPr>
      <w:r>
        <w:rPr>
          <w:rFonts w:ascii="Times New Roman;serif" w:hAnsi="Times New Roman;serif"/>
          <w:b/>
          <w:sz w:val="20"/>
        </w:rPr>
        <w:t>Note 7 Accrued Expenses and Other Current Liabilities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Accrued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accrued expenses consisted of the following (dollars in thousands):</w:t>
      </w:r>
    </w:p>
    <w:p>
      <w:pPr>
        <w:pStyle w:val="TextBody"/>
        <w:spacing w:before="0" w:after="0"/>
        <w:jc w:val="left"/>
        <w:rPr/>
      </w:pPr>
      <w:r>
        <w:rPr/>
        <w:t> </w:t>
      </w:r>
    </w:p>
    <w:tbl>
      <w:tblPr>
        <w:tblW w:w="7050" w:type="dxa"/>
        <w:jc w:val="left"/>
        <w:tblInd w:w="0" w:type="dxa"/>
        <w:tblCellMar>
          <w:top w:w="28" w:type="dxa"/>
          <w:left w:w="28" w:type="dxa"/>
          <w:bottom w:w="28" w:type="dxa"/>
          <w:right w:w="28" w:type="dxa"/>
        </w:tblCellMar>
      </w:tblPr>
      <w:tblGrid>
        <w:gridCol w:w="3256"/>
        <w:gridCol w:w="146"/>
        <w:gridCol w:w="342"/>
        <w:gridCol w:w="1098"/>
        <w:gridCol w:w="146"/>
        <w:gridCol w:w="146"/>
        <w:gridCol w:w="409"/>
        <w:gridCol w:w="1316"/>
        <w:gridCol w:w="191"/>
      </w:tblGrid>
      <w:tr>
        <w:trPr/>
        <w:tc>
          <w:tcPr>
            <w:tcW w:w="3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40" w:type="dxa"/>
            <w:gridSpan w:val="2"/>
            <w:tcBorders/>
            <w:shd w:fill="auto" w:val="clear"/>
            <w:vAlign w:val="center"/>
          </w:tcPr>
          <w:p>
            <w:pPr>
              <w:pStyle w:val="TableContents"/>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March 31, 2023</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25" w:type="dxa"/>
            <w:gridSpan w:val="2"/>
            <w:tcBorders/>
            <w:shd w:fill="auto" w:val="clear"/>
            <w:vAlign w:val="center"/>
          </w:tcPr>
          <w:p>
            <w:pPr>
              <w:pStyle w:val="TableContents"/>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December 31, 2022</w:t>
            </w:r>
          </w:p>
        </w:tc>
        <w:tc>
          <w:tcPr>
            <w:tcW w:w="191" w:type="dxa"/>
            <w:tcBorders/>
            <w:shd w:fill="auto" w:val="clear"/>
            <w:vAlign w:val="center"/>
          </w:tcPr>
          <w:p>
            <w:pPr>
              <w:pStyle w:val="TableContents"/>
              <w:spacing w:before="0" w:after="0"/>
              <w:ind w:left="0" w:right="0" w:hanging="0"/>
              <w:jc w:val="center"/>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charitable contributions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3,067</w:t>
            </w:r>
          </w:p>
        </w:tc>
        <w:tc>
          <w:tcPr>
            <w:tcW w:w="191" w:type="dxa"/>
            <w:tcBorders/>
            <w:shd w:fill="auto" w:val="clear"/>
            <w:vAlign w:val="center"/>
          </w:tcPr>
          <w:p>
            <w:pPr>
              <w:pStyle w:val="TableContents"/>
              <w:spacing w:before="0" w:after="0"/>
              <w:ind w:left="0" w:right="0" w:hanging="0"/>
              <w:jc w:val="left"/>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pPr>
            <w:r>
              <w:rPr/>
              <w:t> </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1,534</w:t>
            </w:r>
          </w:p>
        </w:tc>
        <w:tc>
          <w:tcPr>
            <w:tcW w:w="191" w:type="dxa"/>
            <w:tcBorders/>
            <w:shd w:fill="auto" w:val="clear"/>
            <w:vAlign w:val="center"/>
          </w:tcPr>
          <w:p>
            <w:pPr>
              <w:pStyle w:val="TableContents"/>
              <w:spacing w:before="0" w:after="0"/>
              <w:ind w:left="0" w:right="0" w:hanging="0"/>
              <w:jc w:val="left"/>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tax payable</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pPr>
            <w:r>
              <w:rPr/>
              <w:t> </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1,357</w:t>
            </w:r>
          </w:p>
        </w:tc>
        <w:tc>
          <w:tcPr>
            <w:tcW w:w="191" w:type="dxa"/>
            <w:tcBorders/>
            <w:shd w:fill="auto" w:val="clear"/>
            <w:vAlign w:val="center"/>
          </w:tcPr>
          <w:p>
            <w:pPr>
              <w:pStyle w:val="TableContents"/>
              <w:spacing w:before="0" w:after="0"/>
              <w:ind w:left="0" w:right="0" w:hanging="0"/>
              <w:jc w:val="left"/>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professional and program fees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pPr>
            <w:r>
              <w:rPr/>
              <w:t> </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4,008</w:t>
            </w:r>
          </w:p>
        </w:tc>
        <w:tc>
          <w:tcPr>
            <w:tcW w:w="191" w:type="dxa"/>
            <w:tcBorders/>
            <w:shd w:fill="auto" w:val="clear"/>
            <w:vAlign w:val="center"/>
          </w:tcPr>
          <w:p>
            <w:pPr>
              <w:pStyle w:val="TableContents"/>
              <w:spacing w:before="0" w:after="0"/>
              <w:ind w:left="0" w:right="0" w:hanging="0"/>
              <w:jc w:val="left"/>
              <w:rPr/>
            </w:pPr>
            <w:r>
              <w:rPr/>
              <w:t> </w:t>
            </w:r>
          </w:p>
        </w:tc>
      </w:tr>
      <w:tr>
        <w:trPr/>
        <w:tc>
          <w:tcPr>
            <w:tcW w:w="3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13,612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10,965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Accrued charitable contributions includes amounts the Company has pledged related to charitable meal donations. The Company uses a portion of tips received to make a charitable cash donation to third parties who use the funds to provide meals to those in need. For</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40" w:after="0"/>
        <w:jc w:val="left"/>
        <w:rPr>
          <w:rFonts w:ascii="Times New Roman" w:hAnsi="Times New Roman"/>
          <w:sz w:val="20"/>
        </w:rPr>
      </w:pPr>
      <w:r>
        <w:rPr>
          <w:rFonts w:ascii="Times New Roman;serif" w:hAnsi="Times New Roman;serif"/>
          <w:b w:val="false"/>
          <w:sz w:val="20"/>
        </w:rPr>
        <w:t>the three months ended, 2023 and 2022, the Company pledged $2.5</w:t>
      </w:r>
      <w:r>
        <w:rPr>
          <w:rFonts w:ascii="Times New Roman" w:hAnsi="Times New Roman"/>
          <w:sz w:val="20"/>
        </w:rPr>
        <w:t xml:space="preserve"> </w:t>
      </w:r>
      <w:r>
        <w:rPr>
          <w:rFonts w:ascii="Times New Roman;serif" w:hAnsi="Times New Roman;serif"/>
          <w:b w:val="false"/>
          <w:sz w:val="20"/>
        </w:rPr>
        <w:t>million and $1.0</w:t>
      </w:r>
      <w:r>
        <w:rPr>
          <w:rFonts w:ascii="Times New Roman" w:hAnsi="Times New Roman"/>
          <w:sz w:val="20"/>
        </w:rPr>
        <w:t xml:space="preserve"> </w:t>
      </w:r>
      <w:r>
        <w:rPr>
          <w:rFonts w:ascii="Times New Roman;serif" w:hAnsi="Times New Roman;serif"/>
          <w:b w:val="false"/>
          <w:sz w:val="20"/>
        </w:rPr>
        <w:t>million related to charitable donations, respectively. These costs are expensed as incurred and are presented within other general and administrative expenses in the condensed consolidated statements of operations.</w:t>
      </w:r>
    </w:p>
    <w:p>
      <w:pPr>
        <w:pStyle w:val="TextBody"/>
        <w:spacing w:before="4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Other Current Liabilities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other current liabilities consisted of the following (dollars in thousands):</w:t>
      </w:r>
    </w:p>
    <w:p>
      <w:pPr>
        <w:pStyle w:val="TextBody"/>
        <w:spacing w:before="120" w:after="0"/>
        <w:jc w:val="left"/>
        <w:rPr/>
      </w:pPr>
      <w:r>
        <w:rPr/>
        <w:t> </w:t>
      </w:r>
    </w:p>
    <w:tbl>
      <w:tblPr>
        <w:tblW w:w="6000" w:type="dxa"/>
        <w:jc w:val="left"/>
        <w:tblInd w:w="0" w:type="dxa"/>
        <w:tblCellMar>
          <w:top w:w="28" w:type="dxa"/>
          <w:left w:w="28" w:type="dxa"/>
          <w:bottom w:w="28" w:type="dxa"/>
          <w:right w:w="28" w:type="dxa"/>
        </w:tblCellMar>
      </w:tblPr>
      <w:tblGrid>
        <w:gridCol w:w="2206"/>
        <w:gridCol w:w="146"/>
        <w:gridCol w:w="388"/>
        <w:gridCol w:w="1052"/>
        <w:gridCol w:w="146"/>
        <w:gridCol w:w="146"/>
        <w:gridCol w:w="465"/>
        <w:gridCol w:w="1260"/>
        <w:gridCol w:w="191"/>
      </w:tblGrid>
      <w:tr>
        <w:trPr/>
        <w:tc>
          <w:tcPr>
            <w:tcW w:w="22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2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40" w:type="dxa"/>
            <w:gridSpan w:val="2"/>
            <w:tcBorders/>
            <w:shd w:fill="auto" w:val="clear"/>
            <w:vAlign w:val="center"/>
          </w:tcPr>
          <w:p>
            <w:pPr>
              <w:pStyle w:val="TableContents"/>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March 31, 2023</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25" w:type="dxa"/>
            <w:gridSpan w:val="2"/>
            <w:tcBorders/>
            <w:shd w:fill="auto" w:val="clear"/>
            <w:vAlign w:val="center"/>
          </w:tcPr>
          <w:p>
            <w:pPr>
              <w:pStyle w:val="TableContents"/>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December 31, 2022</w:t>
            </w:r>
          </w:p>
        </w:tc>
        <w:tc>
          <w:tcPr>
            <w:tcW w:w="191" w:type="dxa"/>
            <w:tcBorders/>
            <w:shd w:fill="auto" w:val="clear"/>
            <w:vAlign w:val="center"/>
          </w:tcPr>
          <w:p>
            <w:pPr>
              <w:pStyle w:val="TableContents"/>
              <w:spacing w:before="0" w:after="0"/>
              <w:ind w:left="0" w:right="0" w:hanging="0"/>
              <w:jc w:val="center"/>
              <w:rPr/>
            </w:pPr>
            <w:r>
              <w:rPr/>
              <w:t> </w:t>
            </w:r>
          </w:p>
        </w:tc>
      </w:tr>
      <w:tr>
        <w:trPr/>
        <w:tc>
          <w:tcPr>
            <w:tcW w:w="2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transaction costs</w:t>
            </w:r>
          </w:p>
        </w:tc>
        <w:tc>
          <w:tcPr>
            <w:tcW w:w="146" w:type="dxa"/>
            <w:tcBorders/>
            <w:shd w:fill="auto" w:val="clear"/>
            <w:vAlign w:val="center"/>
          </w:tcPr>
          <w:p>
            <w:pPr>
              <w:pStyle w:val="TableContents"/>
              <w:spacing w:before="0" w:after="0"/>
              <w:ind w:left="0" w:right="0" w:hanging="0"/>
              <w:jc w:val="left"/>
              <w:rPr/>
            </w:pPr>
            <w:r>
              <w:rPr/>
              <w:t> </w:t>
            </w:r>
          </w:p>
        </w:tc>
        <w:tc>
          <w:tcPr>
            <w:tcW w:w="3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3,150</w:t>
            </w:r>
          </w:p>
        </w:tc>
        <w:tc>
          <w:tcPr>
            <w:tcW w:w="191" w:type="dxa"/>
            <w:tcBorders/>
            <w:shd w:fill="auto" w:val="clear"/>
            <w:vAlign w:val="center"/>
          </w:tcPr>
          <w:p>
            <w:pPr>
              <w:pStyle w:val="TableContents"/>
              <w:spacing w:before="0" w:after="0"/>
              <w:ind w:left="0" w:right="0" w:hanging="0"/>
              <w:jc w:val="left"/>
              <w:rPr/>
            </w:pPr>
            <w:r>
              <w:rPr/>
              <w:t> </w:t>
            </w:r>
          </w:p>
        </w:tc>
      </w:tr>
      <w:tr>
        <w:trPr/>
        <w:tc>
          <w:tcPr>
            <w:tcW w:w="2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4,182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4,311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Other current liabilities includes $3.2</w:t>
      </w:r>
      <w:r>
        <w:rPr>
          <w:rFonts w:ascii="Times New Roman" w:hAnsi="Times New Roman"/>
          <w:sz w:val="20"/>
        </w:rPr>
        <w:t xml:space="preserve"> </w:t>
      </w:r>
      <w:r>
        <w:rPr>
          <w:rFonts w:ascii="Times New Roman;serif" w:hAnsi="Times New Roman;serif"/>
          <w:b w:val="false"/>
          <w:sz w:val="20"/>
        </w:rPr>
        <w:t>million in deferred transaction costs associated with the Business Combination. These transaction costs were also capitalized and included within APIC in the condensed consolidated balance sheets. Other current liabilities also includes $0.7</w:t>
      </w:r>
      <w:r>
        <w:rPr>
          <w:rFonts w:ascii="Times New Roman" w:hAnsi="Times New Roman"/>
          <w:sz w:val="20"/>
        </w:rPr>
        <w:t xml:space="preserve"> </w:t>
      </w:r>
      <w:r>
        <w:rPr>
          <w:rFonts w:ascii="Times New Roman;serif" w:hAnsi="Times New Roman;serif"/>
          <w:b w:val="false"/>
          <w:sz w:val="20"/>
        </w:rPr>
        <w:t>million in unearned revenue.</w:t>
      </w:r>
    </w:p>
    <w:p>
      <w:pPr>
        <w:pStyle w:val="TextBody"/>
        <w:spacing w:before="360" w:after="0"/>
        <w:jc w:val="left"/>
        <w:rPr>
          <w:rFonts w:ascii="Times New Roman" w:hAnsi="Times New Roman"/>
          <w:sz w:val="20"/>
        </w:rPr>
      </w:pPr>
      <w:r>
        <w:rPr>
          <w:rFonts w:ascii="Times New Roman;serif" w:hAnsi="Times New Roman;serif"/>
          <w:b/>
          <w:sz w:val="20"/>
        </w:rPr>
        <w:t>Note 8 Convertible Note Payable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On March 21, 2022, the Company entered into a Convertible Note Purchase Agreement (“Purchase Agreement”) with FTX Ventures Ltd., (the “Purchaser”) owner of FTX US (“FTX”), providing for the purchase and sale of a convertible note in the initial principal amount of $100.0</w:t>
      </w:r>
      <w:r>
        <w:rPr>
          <w:rFonts w:ascii="Times New Roman" w:hAnsi="Times New Roman"/>
          <w:sz w:val="20"/>
        </w:rPr>
        <w:t xml:space="preserve"> </w:t>
      </w:r>
      <w:r>
        <w:rPr>
          <w:rFonts w:ascii="Times New Roman;serif" w:hAnsi="Times New Roman;serif"/>
          <w:b w:val="false"/>
          <w:sz w:val="20"/>
        </w:rPr>
        <w:t>million (the “Note”). The Note bears interest at a rate of 3.00% per year (compounded semiannually), payable semi-annually in arrears on June 30th and December 31st of each year. Interest may be paid in-kind or in cash, at the Company’s option. Forty-eight months</w:t>
      </w:r>
      <w:r>
        <w:rPr>
          <w:rFonts w:ascii="Times New Roman" w:hAnsi="Times New Roman"/>
          <w:sz w:val="20"/>
        </w:rPr>
        <w:t xml:space="preserve"> </w:t>
      </w:r>
      <w:r>
        <w:rPr>
          <w:rFonts w:ascii="Times New Roman;serif" w:hAnsi="Times New Roman;serif"/>
          <w:b w:val="false"/>
          <w:sz w:val="20"/>
        </w:rPr>
        <w:t>(the “Maturity Date”) after the date of the initial issuance of the Note (the “Issuance Date”), the Company will pay the Purchaser the sum of (i) the outstanding principal amount of the Note, plus (ii) all accrued but unpaid interest thereon, plus (iii) all expenses incurred by the Purchaser (the “Redemption Price”). Payment of the Redemption Price on the Maturity Date will constitute a redemption of the Note in whole.</w:t>
      </w:r>
    </w:p>
    <w:p>
      <w:pPr>
        <w:pStyle w:val="TextBody"/>
        <w:spacing w:before="40" w:after="0"/>
        <w:jc w:val="left"/>
        <w:rPr>
          <w:rFonts w:ascii="Times New Roman" w:hAnsi="Times New Roman"/>
          <w:sz w:val="20"/>
        </w:rPr>
      </w:pPr>
      <w:r>
        <w:rPr>
          <w:rFonts w:ascii="Times New Roman;serif" w:hAnsi="Times New Roman;serif"/>
          <w:b w:val="false"/>
          <w:sz w:val="20"/>
        </w:rPr>
        <w:t>During the term of the Note, the Note will be convertible into shares of the Company’s Class A Common Stock, at the option of the Purchaser, upon delivery on one or more occasions of a written notice to the Company electing to convert the Note or all of any portion of the outstanding principal amount of the Note. The initial conversion price of the Note is $320.00</w:t>
      </w:r>
      <w:r>
        <w:rPr>
          <w:rFonts w:ascii="Times New Roman" w:hAnsi="Times New Roman"/>
          <w:sz w:val="20"/>
        </w:rPr>
        <w:t xml:space="preserve"> </w:t>
      </w:r>
      <w:r>
        <w:rPr>
          <w:rFonts w:ascii="Times New Roman;serif" w:hAnsi="Times New Roman;serif"/>
          <w:b w:val="false"/>
          <w:sz w:val="20"/>
        </w:rPr>
        <w:t>per share of Common Stock (the “Conversion Price”). The Conversion Price of the Note is subject to adjustment for stock splits, dividends or distributions, recapitalizations, spinoffs or similar transactions. The Note and the shares of Common Stock issuable upon conversion of the Note have not been registered under the Securities Act and may not be offered or sold absent registration or an applicable exemption from registration requirements.</w:t>
      </w:r>
    </w:p>
    <w:p>
      <w:pPr>
        <w:pStyle w:val="TextBody"/>
        <w:spacing w:before="40" w:after="0"/>
        <w:jc w:val="left"/>
        <w:rPr>
          <w:rFonts w:ascii="Times New Roman" w:hAnsi="Times New Roman"/>
          <w:sz w:val="20"/>
        </w:rPr>
      </w:pPr>
      <w:r>
        <w:rPr>
          <w:rFonts w:ascii="Times New Roman;serif" w:hAnsi="Times New Roman;serif"/>
          <w:b w:val="false"/>
          <w:sz w:val="20"/>
        </w:rPr>
        <w:t>Beginning on the twenty-four-month anniversary of the Issuance Date continuing until the Maturity Date, if the closing price of the Common Stock equals or exceeds 175% of the Conversion Price for 20</w:t>
      </w:r>
      <w:r>
        <w:rPr>
          <w:rFonts w:ascii="Times New Roman" w:hAnsi="Times New Roman"/>
          <w:sz w:val="20"/>
        </w:rPr>
        <w:t xml:space="preserve"> </w:t>
      </w:r>
      <w:r>
        <w:rPr>
          <w:rFonts w:ascii="Times New Roman;serif" w:hAnsi="Times New Roman;serif"/>
          <w:b w:val="false"/>
          <w:sz w:val="20"/>
        </w:rPr>
        <w:t>out of the 30</w:t>
      </w:r>
      <w:r>
        <w:rPr>
          <w:rFonts w:ascii="Times New Roman" w:hAnsi="Times New Roman"/>
          <w:sz w:val="20"/>
        </w:rPr>
        <w:t xml:space="preserve"> </w:t>
      </w:r>
      <w:r>
        <w:rPr>
          <w:rFonts w:ascii="Times New Roman;serif" w:hAnsi="Times New Roman;serif"/>
          <w:b w:val="false"/>
          <w:sz w:val="20"/>
        </w:rPr>
        <w:t>consecutive trading days ending immediately preceding the delivery of the notice of the Company’s election to convert the Note, the Note will be convertible into shares of Common Stock at the option of the Company, upon delivery of a written notice to the Purchaser electing to convert the Note or all or any portion of the outstanding principal amount of the Note.</w:t>
      </w:r>
    </w:p>
    <w:p>
      <w:pPr>
        <w:pStyle w:val="TextBody"/>
        <w:spacing w:before="40" w:after="0"/>
        <w:jc w:val="both"/>
        <w:rPr>
          <w:rFonts w:ascii="Times New Roman;serif" w:hAnsi="Times New Roman;serif"/>
          <w:b w:val="false"/>
          <w:sz w:val="20"/>
        </w:rPr>
      </w:pPr>
      <w:r>
        <w:rPr>
          <w:rFonts w:ascii="Times New Roman;serif" w:hAnsi="Times New Roman;serif"/>
          <w:b w:val="false"/>
          <w:sz w:val="20"/>
        </w:rPr>
        <w:t>At any time prior to the Maturity Date, the Company may, in its sole discretion and upon delivery of a written notice to the Purchaser electing to prepay the Note, prepay the Note without penalty by paying the Purchaser 100% of the Redemption Price. Once the Redemption Price has been delivered to the Purchaser, the Note will be canceled and retired.</w:t>
      </w:r>
    </w:p>
    <w:p>
      <w:pPr>
        <w:pStyle w:val="TextBody"/>
        <w:spacing w:before="40" w:after="0"/>
        <w:jc w:val="left"/>
        <w:rPr>
          <w:rFonts w:ascii="Times New Roman" w:hAnsi="Times New Roman"/>
          <w:sz w:val="20"/>
        </w:rPr>
      </w:pPr>
      <w:r>
        <w:rPr>
          <w:rFonts w:ascii="Times New Roman;serif" w:hAnsi="Times New Roman;serif"/>
          <w:b w:val="false"/>
          <w:sz w:val="20"/>
        </w:rPr>
        <w:t>The effective interest rate as of March 31, 2023 was 3.01%. As of March 31, 2023, the outstanding balance of the Note, including paid in-kind interest, was $103.1</w:t>
      </w:r>
      <w:r>
        <w:rPr>
          <w:rFonts w:ascii="Times New Roman" w:hAnsi="Times New Roman"/>
          <w:sz w:val="20"/>
        </w:rPr>
        <w:t xml:space="preserve"> </w:t>
      </w:r>
      <w:r>
        <w:rPr>
          <w:rFonts w:ascii="Times New Roman;serif" w:hAnsi="Times New Roman;serif"/>
          <w:b w:val="false"/>
          <w:sz w:val="20"/>
        </w:rPr>
        <w:t>million.</w:t>
      </w:r>
    </w:p>
    <w:p>
      <w:pPr>
        <w:pStyle w:val="TextBody"/>
        <w:spacing w:before="360" w:after="0"/>
        <w:jc w:val="left"/>
        <w:rPr>
          <w:rFonts w:ascii="Times New Roman" w:hAnsi="Times New Roman"/>
          <w:sz w:val="20"/>
        </w:rPr>
      </w:pPr>
      <w:r>
        <w:rPr>
          <w:rFonts w:ascii="Times New Roman;serif" w:hAnsi="Times New Roman;serif"/>
          <w:b/>
          <w:sz w:val="20"/>
        </w:rPr>
        <w:t>Note 9 Warrant Liabilities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there were</w:t>
      </w:r>
      <w:r>
        <w:rPr>
          <w:rFonts w:ascii="Times New Roman" w:hAnsi="Times New Roman"/>
          <w:sz w:val="20"/>
        </w:rPr>
        <w:t xml:space="preserve"> </w:t>
      </w:r>
      <w:r>
        <w:rPr>
          <w:rFonts w:ascii="Times New Roman;serif" w:hAnsi="Times New Roman;serif"/>
          <w:b w:val="false"/>
          <w:sz w:val="20"/>
        </w:rPr>
        <w:t>198,251</w:t>
      </w:r>
      <w:r>
        <w:rPr>
          <w:rFonts w:ascii="Times New Roman" w:hAnsi="Times New Roman"/>
          <w:sz w:val="20"/>
        </w:rPr>
        <w:t xml:space="preserve"> </w:t>
      </w:r>
      <w:r>
        <w:rPr>
          <w:rFonts w:ascii="Times New Roman;serif" w:hAnsi="Times New Roman;serif"/>
          <w:b w:val="false"/>
          <w:sz w:val="20"/>
        </w:rPr>
        <w:t>public warrants (“Public Warrants”) outstanding and 159,382</w:t>
      </w:r>
      <w:r>
        <w:rPr>
          <w:rFonts w:ascii="Times New Roman" w:hAnsi="Times New Roman"/>
          <w:sz w:val="20"/>
        </w:rPr>
        <w:t xml:space="preserve"> </w:t>
      </w:r>
      <w:r>
        <w:rPr>
          <w:rFonts w:ascii="Times New Roman;serif" w:hAnsi="Times New Roman;serif"/>
          <w:b w:val="false"/>
          <w:sz w:val="20"/>
        </w:rPr>
        <w:t>private placement warrants (“Private Warrants”) outstanding. Public Warrants may only be exercised for a whole number of shares. No fractional Public Warrants were issued upon separation of the units into their component parts upon the closing of the Business Combination and only whole Public Warrants trade. The Public Warrants are exercisable, provided that the Company continues to have an effective registration statement under the Securities Act covering the shares of Class A Common Stock issuable upon exercise of the Public Warrants and a</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current prospectus relating to them is available (or the Company permits holders to exercise their Public Warrants on a cashless basis and such cashless exercise is exempt from registration under the Securities Act).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filed a registration statement covering the shares of Class A Common Stock issuable upon exercise of the Public Warrants and the Private Warrants.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pStyle w:val="TextBody"/>
        <w:spacing w:before="240" w:after="0"/>
        <w:jc w:val="left"/>
        <w:rPr>
          <w:rFonts w:ascii="Times New Roman" w:hAnsi="Times New Roman"/>
          <w:sz w:val="20"/>
        </w:rPr>
      </w:pPr>
      <w:r>
        <w:rPr>
          <w:rFonts w:ascii="Times New Roman;serif" w:hAnsi="Times New Roman;serif"/>
          <w:b w:val="false"/>
          <w:sz w:val="20"/>
        </w:rPr>
        <w:t>The Public Warrants and the Private Warrants have an exercise price of $368.00</w:t>
      </w:r>
      <w:r>
        <w:rPr>
          <w:rFonts w:ascii="Times New Roman" w:hAnsi="Times New Roman"/>
          <w:sz w:val="20"/>
        </w:rPr>
        <w:t xml:space="preserve"> </w:t>
      </w:r>
      <w:r>
        <w:rPr>
          <w:rFonts w:ascii="Times New Roman;serif" w:hAnsi="Times New Roman;serif"/>
          <w:b w:val="false"/>
          <w:sz w:val="20"/>
        </w:rPr>
        <w:t>per share, subject to adjustments and will expire five years</w:t>
      </w:r>
      <w:r>
        <w:rPr>
          <w:rFonts w:ascii="Times New Roman" w:hAnsi="Times New Roman"/>
          <w:sz w:val="20"/>
        </w:rPr>
        <w:t xml:space="preserve"> </w:t>
      </w:r>
      <w:r>
        <w:rPr>
          <w:rFonts w:ascii="Times New Roman;serif" w:hAnsi="Times New Roman;serif"/>
          <w:b w:val="false"/>
          <w:sz w:val="20"/>
        </w:rPr>
        <w:t>after the completion of the Business Combination or earlier upon redemption or liquidation.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Redemption of Public Warrants when the price per share of Class A Common Stock equals or exceeds $576.00:</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Once the Public Warrants become exercisable, the Company may redeem the outstanding Public Warrants for cash:</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in whole and not in part;</w:t>
      </w:r>
    </w:p>
    <w:p>
      <w:pPr>
        <w:pStyle w:val="TextBody"/>
        <w:spacing w:before="120" w:after="0"/>
        <w:jc w:val="left"/>
        <w:rPr>
          <w:rFonts w:ascii="Times New Roman" w:hAnsi="Times New Roman"/>
          <w:sz w:val="20"/>
        </w:rPr>
      </w:pPr>
      <w:r>
        <w:rPr>
          <w:rFonts w:ascii="Times New Roman;serif" w:hAnsi="Times New Roman;serif"/>
          <w:b w:val="false"/>
          <w:sz w:val="20"/>
        </w:rPr>
        <w:t> at a price of $0.32</w:t>
      </w:r>
      <w:r>
        <w:rPr>
          <w:rFonts w:ascii="Times New Roman" w:hAnsi="Times New Roman"/>
          <w:sz w:val="20"/>
        </w:rPr>
        <w:t xml:space="preserve"> </w:t>
      </w:r>
      <w:r>
        <w:rPr>
          <w:rFonts w:ascii="Times New Roman;serif" w:hAnsi="Times New Roman;serif"/>
          <w:b w:val="false"/>
          <w:sz w:val="20"/>
        </w:rPr>
        <w:t>per warrant;</w:t>
      </w:r>
    </w:p>
    <w:p>
      <w:pPr>
        <w:pStyle w:val="TextBody"/>
        <w:spacing w:before="120" w:after="0"/>
        <w:jc w:val="left"/>
        <w:rPr>
          <w:rFonts w:ascii="Times New Roman" w:hAnsi="Times New Roman"/>
          <w:sz w:val="20"/>
        </w:rPr>
      </w:pPr>
      <w:r>
        <w:rPr>
          <w:rFonts w:ascii="Times New Roman;serif" w:hAnsi="Times New Roman;serif"/>
          <w:b w:val="false"/>
          <w:sz w:val="20"/>
        </w:rPr>
        <w:t> upon a minimum of 30</w:t>
      </w:r>
      <w:r>
        <w:rPr>
          <w:rFonts w:ascii="Times New Roman" w:hAnsi="Times New Roman"/>
          <w:sz w:val="20"/>
        </w:rPr>
        <w:t xml:space="preserve"> </w:t>
      </w:r>
      <w:r>
        <w:rPr>
          <w:rFonts w:ascii="Times New Roman;serif" w:hAnsi="Times New Roman;serif"/>
          <w:b w:val="false"/>
          <w:sz w:val="20"/>
        </w:rPr>
        <w:t>days prior written notice of redemption; and if, and only if, the closing price of Class A Common Stock equals or exceeds $576.00</w:t>
      </w:r>
      <w:r>
        <w:rPr>
          <w:rFonts w:ascii="Times New Roman" w:hAnsi="Times New Roman"/>
          <w:sz w:val="20"/>
        </w:rPr>
        <w:t xml:space="preserve"> </w:t>
      </w:r>
      <w:r>
        <w:rPr>
          <w:rFonts w:ascii="Times New Roman;serif" w:hAnsi="Times New Roman;serif"/>
          <w:b w:val="false"/>
          <w:sz w:val="20"/>
        </w:rPr>
        <w:t>per share (as adjusted) for any 20</w:t>
      </w:r>
      <w:r>
        <w:rPr>
          <w:rFonts w:ascii="Times New Roman" w:hAnsi="Times New Roman"/>
          <w:sz w:val="20"/>
        </w:rPr>
        <w:t xml:space="preserve"> </w:t>
      </w:r>
      <w:r>
        <w:rPr>
          <w:rFonts w:ascii="Times New Roman;serif" w:hAnsi="Times New Roman;serif"/>
          <w:b w:val="false"/>
          <w:sz w:val="20"/>
        </w:rPr>
        <w:t>trading days within a 30-trading day period ending on the third</w:t>
      </w:r>
      <w:r>
        <w:rPr>
          <w:rFonts w:ascii="Times New Roman" w:hAnsi="Times New Roman"/>
          <w:sz w:val="20"/>
        </w:rPr>
        <w:t xml:space="preserve"> </w:t>
      </w:r>
      <w:r>
        <w:rPr>
          <w:rFonts w:ascii="Times New Roman;serif" w:hAnsi="Times New Roman;serif"/>
          <w:b w:val="false"/>
          <w:sz w:val="20"/>
        </w:rPr>
        <w:t>trading day prior to the date on which the Company sends the notice of redemption to the warrant holders.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will not redeem the Public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Redemption of Public Warrants for when the price per share of Class A Common Stock equals or exceeds $320.00:</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Once the Public Warrants become exercisable, the Company may redeem the outstanding Public Warrants:</w:t>
      </w:r>
    </w:p>
    <w:p>
      <w:pPr>
        <w:pStyle w:val="TextBody"/>
        <w:spacing w:before="120" w:after="0"/>
        <w:jc w:val="left"/>
        <w:rPr>
          <w:rFonts w:ascii="Times New Roman" w:hAnsi="Times New Roman"/>
          <w:sz w:val="20"/>
        </w:rPr>
      </w:pPr>
      <w:r>
        <w:rPr>
          <w:rFonts w:ascii="Times New Roman;serif" w:hAnsi="Times New Roman;serif"/>
          <w:b w:val="false"/>
          <w:sz w:val="20"/>
        </w:rPr>
        <w:t> in whole and not in part;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at $3.20</w:t>
      </w:r>
      <w:r>
        <w:rPr>
          <w:rFonts w:ascii="Times New Roman" w:hAnsi="Times New Roman"/>
          <w:sz w:val="20"/>
        </w:rPr>
        <w:t xml:space="preserve"> </w:t>
      </w:r>
      <w:r>
        <w:rPr>
          <w:rFonts w:ascii="Times New Roman;serif" w:hAnsi="Times New Roman;serif"/>
          <w:b w:val="false"/>
          <w:sz w:val="20"/>
        </w:rPr>
        <w:t>per warrant upon a minimum of 30</w:t>
      </w:r>
      <w:r>
        <w:rPr>
          <w:rFonts w:ascii="Times New Roman" w:hAnsi="Times New Roman"/>
          <w:sz w:val="20"/>
        </w:rPr>
        <w:t xml:space="preserve"> </w:t>
      </w:r>
      <w:r>
        <w:rPr>
          <w:rFonts w:ascii="Times New Roman;serif" w:hAnsi="Times New Roman;serif"/>
          <w:b w:val="false"/>
          <w:sz w:val="20"/>
        </w:rPr>
        <w:t>days’ prior written notice of redemption provided that holders will be able to exercise their warrants on a cashless basis prior to redemption and receive that number of shares determined by reference to an agreed table based on the redemption date and the “fair market value” (as defined below) of the Class A Common Stock; and</w:t>
      </w:r>
    </w:p>
    <w:p>
      <w:pPr>
        <w:pStyle w:val="TextBody"/>
        <w:spacing w:before="120" w:after="0"/>
        <w:jc w:val="left"/>
        <w:rPr>
          <w:rFonts w:ascii="Times New Roman" w:hAnsi="Times New Roman"/>
          <w:sz w:val="20"/>
        </w:rPr>
      </w:pPr>
      <w:r>
        <w:rPr>
          <w:rFonts w:ascii="Times New Roman;serif" w:hAnsi="Times New Roman;serif"/>
          <w:b w:val="false"/>
          <w:sz w:val="20"/>
        </w:rPr>
        <w:t> if, and only if, the closing price of Class A Common Stock equals or exceeds $320.00</w:t>
      </w:r>
      <w:r>
        <w:rPr>
          <w:rFonts w:ascii="Times New Roman" w:hAnsi="Times New Roman"/>
          <w:sz w:val="20"/>
        </w:rPr>
        <w:t xml:space="preserve"> </w:t>
      </w:r>
      <w:r>
        <w:rPr>
          <w:rFonts w:ascii="Times New Roman;serif" w:hAnsi="Times New Roman;serif"/>
          <w:b w:val="false"/>
          <w:sz w:val="20"/>
        </w:rPr>
        <w:t>per Public Share (as adjusted) for any 20</w:t>
      </w:r>
      <w:r>
        <w:rPr>
          <w:rFonts w:ascii="Times New Roman" w:hAnsi="Times New Roman"/>
          <w:sz w:val="20"/>
        </w:rPr>
        <w:t xml:space="preserve"> </w:t>
      </w:r>
      <w:r>
        <w:rPr>
          <w:rFonts w:ascii="Times New Roman;serif" w:hAnsi="Times New Roman;serif"/>
          <w:b w:val="false"/>
          <w:sz w:val="20"/>
        </w:rPr>
        <w:t>trading days within the 30-trading day period ending three</w:t>
      </w:r>
      <w:r>
        <w:rPr>
          <w:rFonts w:ascii="Times New Roman" w:hAnsi="Times New Roman"/>
          <w:sz w:val="20"/>
        </w:rPr>
        <w:t xml:space="preserve"> </w:t>
      </w:r>
      <w:r>
        <w:rPr>
          <w:rFonts w:ascii="Times New Roman;serif" w:hAnsi="Times New Roman;serif"/>
          <w:b w:val="false"/>
          <w:sz w:val="20"/>
        </w:rPr>
        <w:t>trading days before the Company sends notice of redemption to the warrant holders.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Private Warrants are identical to the Public Warrants, except that the Private Placement Warrants will be non-redeemable so long as they are held by VPC Impact Acquisition Holdings Sponsor III, LLC, which was the sponsor of VPCC and an affiliate of certain of VPCC’s officers and directors prior to the Business Combination, (the “Sponsor”) or its permitted transferees. If the Private Warrants are held by someone other than the Sponsor or its permitted transferees, the Private Warrants will be redeemable by the Company and exercisable by such holders on the same basis as the Public Warrants.</w:t>
      </w:r>
    </w:p>
    <w:p>
      <w:pPr>
        <w:pStyle w:val="TextBody"/>
        <w:spacing w:before="240" w:after="0"/>
        <w:jc w:val="left"/>
        <w:rPr>
          <w:rFonts w:ascii="Times New Roman" w:hAnsi="Times New Roman"/>
          <w:sz w:val="20"/>
        </w:rPr>
      </w:pPr>
      <w:r>
        <w:rPr>
          <w:rFonts w:ascii="Times New Roman;serif" w:hAnsi="Times New Roman;serif"/>
          <w:b w:val="false"/>
          <w:sz w:val="20"/>
        </w:rPr>
        <w:t>Contemporaneously with the execution of the Debt Facility, the Company issued warrants to the Lenders as consideration for entering into the Debt Facility, representing a loan commitment fee. The warrants vest and become exercisable based on the Company’s aggregated draw on the Debt Facility in incremental $10.0</w:t>
      </w:r>
      <w:r>
        <w:rPr>
          <w:rFonts w:ascii="Times New Roman" w:hAnsi="Times New Roman"/>
          <w:sz w:val="20"/>
        </w:rPr>
        <w:t xml:space="preserve"> </w:t>
      </w:r>
      <w:r>
        <w:rPr>
          <w:rFonts w:ascii="Times New Roman;serif" w:hAnsi="Times New Roman;serif"/>
          <w:b w:val="false"/>
          <w:sz w:val="20"/>
        </w:rPr>
        <w:t>million tranches and terminate upon the earliest to occur of (i) the fifth</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val="false"/>
          <w:sz w:val="20"/>
        </w:rPr>
        <w:t>anniversary of the occurrence of a qualified financing event and (ii) the consummation of a liquidity event. The holders of the warrants have the ability to exercise their right to acquire a number of common shares equal to 0.2% of the fully diluted equity of the Company as of the closing date (“Equity Closing Date”) of the Company’s next equity financing with proceeds of at least $40.0</w:t>
      </w:r>
      <w:r>
        <w:rPr>
          <w:rFonts w:ascii="Times New Roman" w:hAnsi="Times New Roman"/>
          <w:sz w:val="20"/>
        </w:rPr>
        <w:t xml:space="preserve"> </w:t>
      </w:r>
      <w:r>
        <w:rPr>
          <w:rFonts w:ascii="Times New Roman;serif" w:hAnsi="Times New Roman;serif"/>
          <w:b w:val="false"/>
          <w:sz w:val="20"/>
        </w:rPr>
        <w:t>million (“Qualified Financing Event”) or immediately prior to the consummation of a liquidity event. The exercise price of the warrants is the greater of (i) 80% of the fair market value of each share of Common Stock at the Equity Closing Date and (ii) $120.0656</w:t>
      </w:r>
      <w:r>
        <w:rPr>
          <w:rFonts w:ascii="Times New Roman" w:hAnsi="Times New Roman"/>
          <w:sz w:val="20"/>
        </w:rPr>
        <w:t xml:space="preserve"> </w:t>
      </w:r>
      <w:r>
        <w:rPr>
          <w:rFonts w:ascii="Times New Roman;serif" w:hAnsi="Times New Roman;serif"/>
          <w:b w:val="false"/>
          <w:sz w:val="20"/>
        </w:rPr>
        <w:t>per share, subject to certain down-round adjustments. The warrants meet the definition of a derivative under ASC 815 and will be accounted for as a liability at fair value and subsequently remeasured to fair value at the end of each reporting period with the changes in fair value recorded in the condensed consolidated statement of operations. The initial offsetting entry to the warrant liability was an asset recorded to reflect the loan commitment fee. The loan commitment fee asset will be amortized to interest expense over the commitment period of four years. The Company estimated the fair value of the warrants at the issuance date to be $0.1</w:t>
      </w:r>
      <w:r>
        <w:rPr>
          <w:rFonts w:ascii="Times New Roman" w:hAnsi="Times New Roman"/>
          <w:sz w:val="20"/>
        </w:rPr>
        <w:t xml:space="preserve"> </w:t>
      </w:r>
      <w:r>
        <w:rPr>
          <w:rFonts w:ascii="Times New Roman;serif" w:hAnsi="Times New Roman;serif"/>
          <w:b w:val="false"/>
          <w:sz w:val="20"/>
        </w:rPr>
        <w:t>million using the Black-Scholes option-pricing model. Determining the fair value of these warrants under this model requires subjective assumptions. These estimates involve inherent uncertainties and the application of management’s judgment.</w:t>
      </w:r>
    </w:p>
    <w:p>
      <w:pPr>
        <w:pStyle w:val="TextBody"/>
        <w:spacing w:before="240" w:after="0"/>
        <w:jc w:val="left"/>
        <w:rPr>
          <w:rFonts w:ascii="Times New Roman" w:hAnsi="Times New Roman"/>
          <w:sz w:val="20"/>
        </w:rPr>
      </w:pPr>
      <w:r>
        <w:rPr>
          <w:rFonts w:ascii="Times New Roman;serif" w:hAnsi="Times New Roman;serif"/>
          <w:b w:val="false"/>
          <w:sz w:val="20"/>
        </w:rPr>
        <w:t>Immediately prior to the close of the Business Combination, all, or 1,664,394</w:t>
      </w:r>
      <w:r>
        <w:rPr>
          <w:rFonts w:ascii="Times New Roman" w:hAnsi="Times New Roman"/>
          <w:sz w:val="20"/>
        </w:rPr>
        <w:t xml:space="preserve"> </w:t>
      </w:r>
      <w:r>
        <w:rPr>
          <w:rFonts w:ascii="Times New Roman;serif" w:hAnsi="Times New Roman;serif"/>
          <w:b w:val="false"/>
          <w:sz w:val="20"/>
        </w:rPr>
        <w:t>of</w:t>
      </w:r>
      <w:r>
        <w:rPr>
          <w:rFonts w:ascii="Times New Roman" w:hAnsi="Times New Roman"/>
          <w:sz w:val="20"/>
        </w:rPr>
        <w:t xml:space="preserve"> </w:t>
      </w:r>
      <w:r>
        <w:rPr>
          <w:rFonts w:ascii="Times New Roman;serif" w:hAnsi="Times New Roman;serif"/>
          <w:b w:val="false"/>
          <w:sz w:val="20"/>
        </w:rPr>
        <w:t>the vested warrants were exercised and net settled for 14,087</w:t>
      </w:r>
      <w:r>
        <w:rPr>
          <w:rFonts w:ascii="Times New Roman" w:hAnsi="Times New Roman"/>
          <w:sz w:val="20"/>
        </w:rPr>
        <w:t xml:space="preserve"> </w:t>
      </w:r>
      <w:r>
        <w:rPr>
          <w:rFonts w:ascii="Times New Roman;serif" w:hAnsi="Times New Roman;serif"/>
          <w:b w:val="false"/>
          <w:sz w:val="20"/>
        </w:rPr>
        <w:t>shares of Legacy Dave’s Class A Common Stock after applying the Exchange Ratio.</w:t>
      </w:r>
    </w:p>
    <w:p>
      <w:pPr>
        <w:pStyle w:val="TextBody"/>
        <w:spacing w:before="24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Note 10 Debt Facility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January 2021, Dave OD Funding I, LLC (“Borrower”) entered into a delayed draw senior secured loan facility (the “Debt Facility”) with Victory Park Management, LLC (“Agent”), allowing the Borrower to draw up to $100</w:t>
      </w:r>
      <w:r>
        <w:rPr>
          <w:rFonts w:ascii="Times New Roman" w:hAnsi="Times New Roman"/>
          <w:sz w:val="20"/>
        </w:rPr>
        <w:t xml:space="preserve"> </w:t>
      </w:r>
      <w:r>
        <w:rPr>
          <w:rFonts w:ascii="Times New Roman;serif" w:hAnsi="Times New Roman;serif"/>
          <w:b w:val="false"/>
          <w:sz w:val="20"/>
        </w:rPr>
        <w:t>million from various lenders associated with Victory Park Management, LLC (the “Lenders”). The Debt Facility has an interest rate of 6.95% annually plus a base rate defined as the greater of three-month LIBOR</w:t>
      </w:r>
      <w:r>
        <w:rPr>
          <w:rFonts w:ascii="Times New Roman;serif" w:hAnsi="Times New Roman;serif"/>
          <w:sz w:val="20"/>
        </w:rPr>
        <w:t xml:space="preserve"> </w:t>
      </w:r>
      <w:r>
        <w:rPr>
          <w:rFonts w:ascii="Times New Roman;serif" w:hAnsi="Times New Roman;serif"/>
          <w:b w:val="false"/>
          <w:sz w:val="20"/>
        </w:rPr>
        <w:t>(as of the last business day of each calendar month) and 2.55%. Interest is payable monthly in arrears. The Debt Facility has certain financial covenants, including a requirement to maintain a minimum cash, cash equivalents, or marketable securities</w:t>
      </w:r>
      <w:r>
        <w:rPr>
          <w:rFonts w:ascii="Times New Roman" w:hAnsi="Times New Roman"/>
          <w:sz w:val="20"/>
        </w:rPr>
        <w:t xml:space="preserve"> </w:t>
      </w:r>
      <w:r>
        <w:rPr>
          <w:rFonts w:ascii="Times New Roman;serif" w:hAnsi="Times New Roman;serif"/>
          <w:b w:val="false"/>
          <w:sz w:val="20"/>
        </w:rPr>
        <w:t>balance of</w:t>
      </w:r>
      <w:r>
        <w:rPr>
          <w:rFonts w:ascii="Times New Roman" w:hAnsi="Times New Roman"/>
          <w:sz w:val="20"/>
        </w:rPr>
        <w:t xml:space="preserve"> </w:t>
      </w:r>
      <w:r>
        <w:rPr>
          <w:rFonts w:ascii="Times New Roman;serif" w:hAnsi="Times New Roman;serif"/>
          <w:b w:val="false"/>
          <w:sz w:val="20"/>
        </w:rPr>
        <w:t>$8.0</w:t>
      </w:r>
      <w:r>
        <w:rPr>
          <w:rFonts w:ascii="Times New Roman" w:hAnsi="Times New Roman"/>
          <w:sz w:val="20"/>
        </w:rPr>
        <w:t xml:space="preserve"> </w:t>
      </w:r>
      <w:r>
        <w:rPr>
          <w:rFonts w:ascii="Times New Roman;serif" w:hAnsi="Times New Roman;serif"/>
          <w:b w:val="false"/>
          <w:sz w:val="20"/>
        </w:rPr>
        <w:t>million. As of March 31, 2023, the Company was in compliance with all covenants. Payments of the loan draws are due at the following dates: (i) within five business days after the date of receipt by the Borrower and the Company (each, a “Credit Party”) or any of their subsidiaries of any net cash proceeds in excess of $250</w:t>
      </w:r>
      <w:r>
        <w:rPr>
          <w:rFonts w:ascii="Times New Roman" w:hAnsi="Times New Roman"/>
          <w:sz w:val="20"/>
        </w:rPr>
        <w:t xml:space="preserve"> </w:t>
      </w:r>
      <w:r>
        <w:rPr>
          <w:rFonts w:ascii="Times New Roman;serif" w:hAnsi="Times New Roman;serif"/>
          <w:b w:val="false"/>
          <w:sz w:val="20"/>
        </w:rPr>
        <w:t>thousand in the aggregate during any fiscal year from any asset sales (other than certain permitted dispositions), the Borrower shall prepay the loans or remit such net cash proceeds in an aggregate amount equal to 100% of such net cash proceeds; (ii) within five business days after the date of receipt by any Credit Party or any of their subsidiaries, or the Agent as loss payee, of any net cash proceeds from any destruction or taking, the Borrower shall prepay the loans or remit such net cash proceeds in an aggregate amount equal to 100% of such net cash proceeds; (iii) within three business days after the date of receipt by any Credit Party or any of their subsidiaries of any net cash proceeds from the incurrence of any indebtedness of any Credit Party or any of their subsidiaries (other than with respect to permitted indebtedness), the Borrower shall prepay the loans or remit such net cash proceeds in an aggregate amount equal to 100% of such net cash proceeds; and (iv) (a) if extraordinary receipts are received by any Credit Party in the aggregate amount in any fiscal year in excess of $250</w:t>
      </w:r>
      <w:r>
        <w:rPr>
          <w:rFonts w:ascii="Times New Roman" w:hAnsi="Times New Roman"/>
          <w:sz w:val="20"/>
        </w:rPr>
        <w:t xml:space="preserve"> </w:t>
      </w:r>
      <w:r>
        <w:rPr>
          <w:rFonts w:ascii="Times New Roman;serif" w:hAnsi="Times New Roman;serif"/>
          <w:b w:val="false"/>
          <w:sz w:val="20"/>
        </w:rPr>
        <w:t>thousand or (b) if an event of default has occurred and is continuing at any time when any extraordinary receipts are received by any Credit Party, then within five business days of the receipt by any Credit Party of any such extraordinary receipts, the Borrower shall prepay the loans or remit such net cash proceeds in an aggregate amount equal to (x) 100% of such extraordinary receipts in excess of $250</w:t>
      </w:r>
      <w:r>
        <w:rPr>
          <w:rFonts w:ascii="Times New Roman" w:hAnsi="Times New Roman"/>
          <w:sz w:val="20"/>
        </w:rPr>
        <w:t xml:space="preserve"> </w:t>
      </w:r>
      <w:r>
        <w:rPr>
          <w:rFonts w:ascii="Times New Roman;serif" w:hAnsi="Times New Roman;serif"/>
          <w:b w:val="false"/>
          <w:sz w:val="20"/>
        </w:rPr>
        <w:t>thousand in respect of clause (a) above and (y) 100% of such extraordinary receipts in respect of clause (b) above. As of March 31, 2022 and December 31, 2022, the Company had drawn $75.0</w:t>
      </w:r>
      <w:r>
        <w:rPr>
          <w:rFonts w:ascii="Times New Roman" w:hAnsi="Times New Roman"/>
          <w:sz w:val="20"/>
        </w:rPr>
        <w:t xml:space="preserve"> </w:t>
      </w:r>
      <w:r>
        <w:rPr>
          <w:rFonts w:ascii="Times New Roman;serif" w:hAnsi="Times New Roman;serif"/>
          <w:b w:val="false"/>
          <w:sz w:val="20"/>
        </w:rPr>
        <w:t>million on the Debt Facility and had made no repayments. The debt facility matures in January 2025.</w:t>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Note 11 Commitments and Contingencies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From time to time, the Company is subject to various legal proceedings and claims, either asserted or unasserted, that arise in the ordinary course of business.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Although the outcome of the various legal proceedings and claims cannot be predicted with certainty, management does not believe that any of these proceedings or claims will have a significant adverse effect on the Company’s business, financial condition, results of operations, or cash flows.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Martinsek v. Dave Inc. (filed January 9, 2020</w:t>
      </w:r>
      <w:r>
        <w:rPr>
          <w:rFonts w:ascii="Times New Roman" w:hAnsi="Times New Roman"/>
          <w:sz w:val="20"/>
        </w:rPr>
        <w:t xml:space="preserve"> </w:t>
      </w:r>
      <w:r>
        <w:rPr>
          <w:rFonts w:ascii="Times New Roman;serif" w:hAnsi="Times New Roman;serif"/>
          <w:b w:val="false"/>
          <w:sz w:val="20"/>
        </w:rPr>
        <w:t>in the California Superior Court for the County of Los Angeles)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January 2020, a former employee of the Company filed a complaint in the California Superior Court for the County of Los Angeles against the Company and the Company’s Chief Executive Officer, asserting claims for, among other things, breach of contract, breach of fiduciary duty, conversion, and breach of the implied covenant of good faith and fair dealing. The Company settled this matter in</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rFonts w:ascii="Times New Roman" w:hAnsi="Times New Roman"/>
          <w:sz w:val="20"/>
        </w:rPr>
      </w:pPr>
      <w:r>
        <w:rPr>
          <w:rFonts w:ascii="Times New Roman;serif" w:hAnsi="Times New Roman;serif"/>
          <w:b w:val="false"/>
          <w:sz w:val="20"/>
        </w:rPr>
        <w:t>January 2023 for approximately $6.0</w:t>
      </w:r>
      <w:r>
        <w:rPr>
          <w:rFonts w:ascii="Times New Roman" w:hAnsi="Times New Roman"/>
          <w:sz w:val="20"/>
        </w:rPr>
        <w:t xml:space="preserve"> </w:t>
      </w:r>
      <w:r>
        <w:rPr>
          <w:rFonts w:ascii="Times New Roman;serif" w:hAnsi="Times New Roman;serif"/>
          <w:b w:val="false"/>
          <w:sz w:val="20"/>
        </w:rPr>
        <w:t>million. which</w:t>
      </w:r>
      <w:r>
        <w:rPr>
          <w:rFonts w:ascii="Times New Roman" w:hAnsi="Times New Roman"/>
          <w:sz w:val="20"/>
        </w:rPr>
        <w:t xml:space="preserve"> </w:t>
      </w:r>
      <w:r>
        <w:rPr>
          <w:rFonts w:ascii="Times New Roman;serif" w:hAnsi="Times New Roman;serif"/>
          <w:b w:val="false"/>
          <w:sz w:val="20"/>
        </w:rPr>
        <w:t>was included in the Legal settlement accrual within the condensed consolidated balance sheet for the period ended December 31, 2022.</w:t>
      </w:r>
    </w:p>
    <w:p>
      <w:pPr>
        <w:pStyle w:val="TextBody"/>
        <w:spacing w:before="240" w:after="0"/>
        <w:jc w:val="left"/>
        <w:rPr>
          <w:rFonts w:ascii="Times New Roman" w:hAnsi="Times New Roman"/>
          <w:sz w:val="20"/>
        </w:rPr>
      </w:pPr>
      <w:r>
        <w:rPr>
          <w:rFonts w:ascii="Times New Roman;serif" w:hAnsi="Times New Roman;serif"/>
          <w:b w:val="false"/>
          <w:sz w:val="20"/>
        </w:rPr>
        <w:t>Stoffers v. Dave Inc. (filed September 16, 2020</w:t>
      </w:r>
      <w:r>
        <w:rPr>
          <w:rFonts w:ascii="Times New Roman" w:hAnsi="Times New Roman"/>
          <w:sz w:val="20"/>
        </w:rPr>
        <w:t xml:space="preserve"> </w:t>
      </w:r>
      <w:r>
        <w:rPr>
          <w:rFonts w:ascii="Times New Roman;serif" w:hAnsi="Times New Roman;serif"/>
          <w:b w:val="false"/>
          <w:sz w:val="20"/>
        </w:rPr>
        <w:t>in LA County Superior Court)</w:t>
      </w:r>
    </w:p>
    <w:p>
      <w:pPr>
        <w:pStyle w:val="TextBody"/>
        <w:spacing w:before="240" w:after="0"/>
        <w:jc w:val="left"/>
        <w:rPr>
          <w:rFonts w:ascii="Times New Roman" w:hAnsi="Times New Roman"/>
          <w:sz w:val="20"/>
        </w:rPr>
      </w:pPr>
      <w:r>
        <w:rPr>
          <w:rFonts w:ascii="Times New Roman;serif" w:hAnsi="Times New Roman;serif"/>
          <w:b w:val="false"/>
          <w:sz w:val="20"/>
        </w:rPr>
        <w:t>This is a purported class action lawsuit filed in connection with a July 2020 data breach. The Company is in the process of settling this matter and the estimated settlement amount of approximately $3.2</w:t>
      </w:r>
      <w:r>
        <w:rPr>
          <w:rFonts w:ascii="Times New Roman" w:hAnsi="Times New Roman"/>
          <w:sz w:val="20"/>
        </w:rPr>
        <w:t xml:space="preserve"> </w:t>
      </w:r>
      <w:r>
        <w:rPr>
          <w:rFonts w:ascii="Times New Roman;serif" w:hAnsi="Times New Roman;serif"/>
          <w:b w:val="false"/>
          <w:sz w:val="20"/>
        </w:rPr>
        <w:t>million is included in the Legal settlement accrual within the condensed consolidated balance sheets for the period ended March 31, 2023 and December 31, 2022.</w:t>
      </w:r>
    </w:p>
    <w:p>
      <w:pPr>
        <w:pStyle w:val="TextBody"/>
        <w:spacing w:before="360" w:after="0"/>
        <w:jc w:val="left"/>
        <w:rPr>
          <w:rFonts w:ascii="Times New Roman;serif" w:hAnsi="Times New Roman;serif"/>
          <w:b/>
          <w:sz w:val="20"/>
        </w:rPr>
      </w:pPr>
      <w:r>
        <w:rPr>
          <w:rFonts w:ascii="Times New Roman;serif" w:hAnsi="Times New Roman;serif"/>
          <w:b/>
          <w:sz w:val="20"/>
        </w:rPr>
        <w:t>Note 12 Leases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December 2018, the Company entered into a sublease agreement with PCJW Properties LLC (“PCJW”), controlled by Company’s founders (including the Company’s current CEO), for general office space next to the aforementioned leased property in Los Angeles, California. The lease term is five years</w:t>
      </w:r>
      <w:r>
        <w:rPr>
          <w:rFonts w:ascii="Times New Roman" w:hAnsi="Times New Roman"/>
          <w:sz w:val="20"/>
        </w:rPr>
        <w:t xml:space="preserve"> </w:t>
      </w:r>
      <w:r>
        <w:rPr>
          <w:rFonts w:ascii="Times New Roman;serif" w:hAnsi="Times New Roman;serif"/>
          <w:b w:val="false"/>
          <w:sz w:val="20"/>
        </w:rPr>
        <w:t>subject to early termination by either party. The current monthly lease paymen</w:t>
      </w:r>
      <w:r>
        <w:rPr>
          <w:rFonts w:ascii="Times New Roman;serif" w:hAnsi="Times New Roman;serif"/>
          <w:b w:val="false"/>
          <w:strike/>
          <w:sz w:val="20"/>
        </w:rPr>
        <w:t>t</w:t>
      </w:r>
      <w:r>
        <w:rPr>
          <w:rFonts w:ascii="Times New Roman" w:hAnsi="Times New Roman"/>
          <w:sz w:val="20"/>
        </w:rPr>
        <w:t xml:space="preserve"> </w:t>
      </w:r>
      <w:r>
        <w:rPr>
          <w:rFonts w:ascii="Times New Roman;serif" w:hAnsi="Times New Roman;serif"/>
          <w:b w:val="false"/>
          <w:sz w:val="20"/>
        </w:rPr>
        <w:t>is $0.006</w:t>
      </w:r>
      <w:r>
        <w:rPr>
          <w:rFonts w:ascii="Times New Roman" w:hAnsi="Times New Roman"/>
          <w:sz w:val="20"/>
        </w:rPr>
        <w:t xml:space="preserve"> </w:t>
      </w:r>
      <w:r>
        <w:rPr>
          <w:rFonts w:ascii="Times New Roman;serif" w:hAnsi="Times New Roman;serif"/>
          <w:b w:val="false"/>
          <w:sz w:val="20"/>
        </w:rPr>
        <w:t>million, subject to an annual escalation of 4%.</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In January 2019, the Company entered into a lease agreement with PCJW for office space located in Los Angeles, California. The lease term is seven years, beginning January 1, 2019 and ending December 31, 2025. The current monthly lease payment is $0.02</w:t>
      </w:r>
      <w:r>
        <w:rPr>
          <w:rFonts w:ascii="Times New Roman" w:hAnsi="Times New Roman"/>
          <w:sz w:val="20"/>
        </w:rPr>
        <w:t xml:space="preserve"> </w:t>
      </w:r>
      <w:r>
        <w:rPr>
          <w:rFonts w:ascii="Times New Roman;serif" w:hAnsi="Times New Roman;serif"/>
          <w:b w:val="false"/>
          <w:sz w:val="20"/>
        </w:rPr>
        <w:t>million, subject to an annual escalation of 5%.</w:t>
      </w:r>
    </w:p>
    <w:p>
      <w:pPr>
        <w:pStyle w:val="TextBody"/>
        <w:spacing w:before="4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In May 2020, the Company entered into a sublease with Whalerock for general office space in West Hollywood, California. Under the terms of the sublease, the lease term is approximately 12</w:t>
      </w:r>
      <w:r>
        <w:rPr>
          <w:rFonts w:ascii="Times New Roman" w:hAnsi="Times New Roman"/>
          <w:sz w:val="20"/>
        </w:rPr>
        <w:t xml:space="preserve"> </w:t>
      </w:r>
      <w:r>
        <w:rPr>
          <w:rFonts w:ascii="Times New Roman;serif" w:hAnsi="Times New Roman;serif"/>
          <w:b w:val="false"/>
          <w:sz w:val="20"/>
        </w:rPr>
        <w:t>months and the monthly rent was approximately $0.1</w:t>
      </w:r>
      <w:r>
        <w:rPr>
          <w:rFonts w:ascii="Times New Roman" w:hAnsi="Times New Roman"/>
          <w:sz w:val="20"/>
        </w:rPr>
        <w:t xml:space="preserve"> </w:t>
      </w:r>
      <w:r>
        <w:rPr>
          <w:rFonts w:ascii="Times New Roman;serif" w:hAnsi="Times New Roman;serif"/>
          <w:b w:val="false"/>
          <w:sz w:val="20"/>
        </w:rPr>
        <w:t>million. The Company began utilizing the office space in June 2021. The lease was abandoned in August 2022.</w:t>
      </w:r>
    </w:p>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All leases were classified as operating and operating lease expenses are presented within Other operating expenses in the condensed consolidated statements of operations. The Company does not have any finance leases or sublease arrangements where the Company is the sublessor. The Company’s leasing activities are as follows (in thousands):</w:t>
      </w:r>
    </w:p>
    <w:p>
      <w:pPr>
        <w:pStyle w:val="TextBody"/>
        <w:spacing w:before="0" w:after="0"/>
        <w:jc w:val="left"/>
        <w:rPr/>
      </w:pPr>
      <w:r>
        <w:rPr/>
        <w:t> </w:t>
      </w:r>
    </w:p>
    <w:tbl>
      <w:tblPr>
        <w:tblW w:w="5301" w:type="dxa"/>
        <w:jc w:val="left"/>
        <w:tblInd w:w="0" w:type="dxa"/>
        <w:tblCellMar>
          <w:top w:w="28" w:type="dxa"/>
          <w:left w:w="28" w:type="dxa"/>
          <w:bottom w:w="28" w:type="dxa"/>
          <w:right w:w="28" w:type="dxa"/>
        </w:tblCellMar>
      </w:tblPr>
      <w:tblGrid>
        <w:gridCol w:w="1801"/>
        <w:gridCol w:w="146"/>
        <w:gridCol w:w="576"/>
        <w:gridCol w:w="864"/>
        <w:gridCol w:w="283"/>
        <w:gridCol w:w="481"/>
        <w:gridCol w:w="959"/>
        <w:gridCol w:w="191"/>
      </w:tblGrid>
      <w:tr>
        <w:trPr/>
        <w:tc>
          <w:tcPr>
            <w:tcW w:w="18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8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3" w:type="dxa"/>
            <w:gridSpan w:val="5"/>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w:t>
            </w:r>
          </w:p>
        </w:tc>
        <w:tc>
          <w:tcPr>
            <w:tcW w:w="191" w:type="dxa"/>
            <w:tcBorders/>
            <w:shd w:fill="auto" w:val="clear"/>
            <w:vAlign w:val="center"/>
          </w:tcPr>
          <w:p>
            <w:pPr>
              <w:pStyle w:val="TableContents"/>
              <w:spacing w:before="0" w:after="0"/>
              <w:ind w:left="0" w:right="0" w:hanging="0"/>
              <w:jc w:val="center"/>
              <w:rPr/>
            </w:pPr>
            <w:r>
              <w:rPr/>
              <w:t> </w:t>
            </w:r>
          </w:p>
        </w:tc>
      </w:tr>
      <w:tr>
        <w:trPr/>
        <w:tc>
          <w:tcPr>
            <w:tcW w:w="18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146" w:type="dxa"/>
            <w:tcBorders/>
            <w:shd w:fill="auto" w:val="clear"/>
            <w:vAlign w:val="center"/>
          </w:tcPr>
          <w:p>
            <w:pPr>
              <w:pStyle w:val="TableContents"/>
              <w:spacing w:before="0" w:after="0"/>
              <w:ind w:left="0" w:right="0" w:hanging="0"/>
              <w:jc w:val="left"/>
              <w:rPr/>
            </w:pPr>
            <w:r>
              <w:rPr/>
              <w:t> </w:t>
            </w:r>
          </w:p>
        </w:tc>
        <w:tc>
          <w:tcPr>
            <w:tcW w:w="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283"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503</w:t>
            </w:r>
          </w:p>
        </w:tc>
        <w:tc>
          <w:tcPr>
            <w:tcW w:w="191" w:type="dxa"/>
            <w:tcBorders/>
            <w:shd w:fill="auto" w:val="clear"/>
            <w:vAlign w:val="center"/>
          </w:tcPr>
          <w:p>
            <w:pPr>
              <w:pStyle w:val="TableContents"/>
              <w:spacing w:before="0" w:after="0"/>
              <w:ind w:left="0" w:right="0" w:hanging="0"/>
              <w:jc w:val="left"/>
              <w:rPr/>
            </w:pPr>
            <w:r>
              <w:rPr/>
              <w:t> </w:t>
            </w:r>
          </w:p>
        </w:tc>
      </w:tr>
      <w:tr>
        <w:trPr/>
        <w:tc>
          <w:tcPr>
            <w:tcW w:w="1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lease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lease cost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82</w:t>
            </w:r>
          </w:p>
        </w:tc>
        <w:tc>
          <w:tcPr>
            <w:tcW w:w="2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509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8475" w:type="dxa"/>
        <w:jc w:val="left"/>
        <w:tblInd w:w="0" w:type="dxa"/>
        <w:tblCellMar>
          <w:top w:w="28" w:type="dxa"/>
          <w:left w:w="28" w:type="dxa"/>
          <w:bottom w:w="28" w:type="dxa"/>
          <w:right w:w="28" w:type="dxa"/>
        </w:tblCellMar>
      </w:tblPr>
      <w:tblGrid>
        <w:gridCol w:w="4711"/>
        <w:gridCol w:w="146"/>
        <w:gridCol w:w="448"/>
        <w:gridCol w:w="992"/>
        <w:gridCol w:w="422"/>
        <w:gridCol w:w="448"/>
        <w:gridCol w:w="992"/>
        <w:gridCol w:w="316"/>
      </w:tblGrid>
      <w:tr>
        <w:trPr/>
        <w:tc>
          <w:tcPr>
            <w:tcW w:w="47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7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2" w:type="dxa"/>
            <w:gridSpan w:val="5"/>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w:t>
            </w:r>
          </w:p>
        </w:tc>
        <w:tc>
          <w:tcPr>
            <w:tcW w:w="316" w:type="dxa"/>
            <w:tcBorders/>
            <w:shd w:fill="auto" w:val="clear"/>
            <w:vAlign w:val="center"/>
          </w:tcPr>
          <w:p>
            <w:pPr>
              <w:pStyle w:val="TableContents"/>
              <w:spacing w:before="0" w:after="0"/>
              <w:ind w:left="0" w:right="0" w:hanging="0"/>
              <w:jc w:val="center"/>
              <w:rPr/>
            </w:pPr>
            <w:r>
              <w:rPr/>
              <w:t> </w:t>
            </w:r>
          </w:p>
        </w:tc>
      </w:tr>
      <w:tr>
        <w:trPr/>
        <w:tc>
          <w:tcPr>
            <w:tcW w:w="47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4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information:</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operating leases</w:t>
            </w:r>
          </w:p>
        </w:tc>
        <w:tc>
          <w:tcPr>
            <w:tcW w:w="146" w:type="dxa"/>
            <w:tcBorders/>
            <w:shd w:fill="auto" w:val="clear"/>
            <w:vAlign w:val="center"/>
          </w:tcPr>
          <w:p>
            <w:pPr>
              <w:pStyle w:val="TableContents"/>
              <w:spacing w:before="0" w:after="0"/>
              <w:ind w:left="0" w:right="0" w:hanging="0"/>
              <w:jc w:val="left"/>
              <w:rPr/>
            </w:pPr>
            <w:r>
              <w:rPr/>
              <w:t> </w:t>
            </w:r>
          </w:p>
        </w:tc>
        <w:tc>
          <w:tcPr>
            <w:tcW w:w="4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422" w:type="dxa"/>
            <w:tcBorders/>
            <w:shd w:fill="auto" w:val="clear"/>
            <w:vAlign w:val="center"/>
          </w:tcPr>
          <w:p>
            <w:pPr>
              <w:pStyle w:val="TableContents"/>
              <w:spacing w:before="0" w:after="0"/>
              <w:ind w:left="0" w:right="0" w:hanging="0"/>
              <w:jc w:val="left"/>
              <w:rPr/>
            </w:pPr>
            <w:r>
              <w:rPr/>
              <w:t> </w:t>
            </w:r>
          </w:p>
        </w:tc>
        <w:tc>
          <w:tcPr>
            <w:tcW w:w="4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532</w:t>
            </w:r>
          </w:p>
        </w:tc>
        <w:tc>
          <w:tcPr>
            <w:tcW w:w="316"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remaining lease term - operating lease</w:t>
            </w:r>
          </w:p>
        </w:tc>
        <w:tc>
          <w:tcPr>
            <w:tcW w:w="146" w:type="dxa"/>
            <w:tcBorders/>
            <w:shd w:fill="auto" w:val="clear"/>
            <w:vAlign w:val="center"/>
          </w:tcPr>
          <w:p>
            <w:pPr>
              <w:pStyle w:val="TableContents"/>
              <w:spacing w:before="0" w:after="0"/>
              <w:ind w:left="0" w:right="0" w:hanging="0"/>
              <w:jc w:val="left"/>
              <w:rPr/>
            </w:pPr>
            <w:r>
              <w:rPr/>
              <w:t> </w:t>
            </w:r>
          </w:p>
        </w:tc>
        <w:tc>
          <w:tcPr>
            <w:tcW w:w="44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w:t>
            </w:r>
          </w:p>
        </w:tc>
        <w:tc>
          <w:tcPr>
            <w:tcW w:w="422" w:type="dxa"/>
            <w:tcBorders/>
            <w:shd w:fill="auto" w:val="clear"/>
            <w:vAlign w:val="center"/>
          </w:tcPr>
          <w:p>
            <w:pPr>
              <w:pStyle w:val="TableContents"/>
              <w:spacing w:before="0" w:after="0"/>
              <w:ind w:left="0" w:right="0" w:hanging="0"/>
              <w:jc w:val="left"/>
              <w:rPr/>
            </w:pPr>
            <w:r>
              <w:rPr/>
              <w:t> </w:t>
            </w:r>
          </w:p>
        </w:tc>
        <w:tc>
          <w:tcPr>
            <w:tcW w:w="44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w:t>
            </w:r>
          </w:p>
        </w:tc>
        <w:tc>
          <w:tcPr>
            <w:tcW w:w="316"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discount rate - operating lease</w:t>
            </w:r>
          </w:p>
        </w:tc>
        <w:tc>
          <w:tcPr>
            <w:tcW w:w="146" w:type="dxa"/>
            <w:tcBorders/>
            <w:shd w:fill="auto" w:val="clear"/>
            <w:vAlign w:val="center"/>
          </w:tcPr>
          <w:p>
            <w:pPr>
              <w:pStyle w:val="TableContents"/>
              <w:spacing w:before="0" w:after="0"/>
              <w:ind w:left="0" w:right="0" w:hanging="0"/>
              <w:jc w:val="left"/>
              <w:rPr/>
            </w:pPr>
            <w:r>
              <w:rPr/>
              <w:t> </w:t>
            </w:r>
          </w:p>
        </w:tc>
        <w:tc>
          <w:tcPr>
            <w:tcW w:w="44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4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future minimum lease payments as</w:t>
      </w:r>
      <w:r>
        <w:rPr>
          <w:rFonts w:ascii="Times New Roman" w:hAnsi="Times New Roman"/>
          <w:sz w:val="20"/>
        </w:rPr>
        <w:t xml:space="preserve"> </w:t>
      </w:r>
      <w:r>
        <w:rPr>
          <w:rFonts w:ascii="Times New Roman;serif" w:hAnsi="Times New Roman;serif"/>
          <w:b w:val="false"/>
          <w:sz w:val="20"/>
        </w:rPr>
        <w:t>of March 31, 2023, were as follows (in thousands):</w:t>
      </w:r>
    </w:p>
    <w:p>
      <w:pPr>
        <w:pStyle w:val="TextBody"/>
        <w:spacing w:before="0" w:after="0"/>
        <w:jc w:val="left"/>
        <w:rPr/>
      </w:pPr>
      <w:r>
        <w:rPr/>
        <w:t> </w:t>
      </w:r>
    </w:p>
    <w:tbl>
      <w:tblPr>
        <w:tblW w:w="5578" w:type="dxa"/>
        <w:jc w:val="left"/>
        <w:tblInd w:w="0" w:type="dxa"/>
        <w:tblCellMar>
          <w:top w:w="28" w:type="dxa"/>
          <w:left w:w="28" w:type="dxa"/>
          <w:bottom w:w="28" w:type="dxa"/>
          <w:right w:w="28" w:type="dxa"/>
        </w:tblCellMar>
      </w:tblPr>
      <w:tblGrid>
        <w:gridCol w:w="2776"/>
        <w:gridCol w:w="146"/>
        <w:gridCol w:w="744"/>
        <w:gridCol w:w="1701"/>
        <w:gridCol w:w="211"/>
      </w:tblGrid>
      <w:tr>
        <w:trPr/>
        <w:tc>
          <w:tcPr>
            <w:tcW w:w="27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Year</w:t>
            </w:r>
          </w:p>
        </w:tc>
        <w:tc>
          <w:tcPr>
            <w:tcW w:w="146" w:type="dxa"/>
            <w:tcBorders/>
            <w:shd w:fill="auto" w:val="clear"/>
            <w:vAlign w:val="center"/>
          </w:tcPr>
          <w:p>
            <w:pPr>
              <w:pStyle w:val="TableContents"/>
              <w:spacing w:before="0" w:after="0"/>
              <w:ind w:left="0" w:right="0" w:hanging="0"/>
              <w:jc w:val="left"/>
              <w:rPr/>
            </w:pPr>
            <w:r>
              <w:rPr/>
              <w:t> </w:t>
            </w:r>
          </w:p>
        </w:tc>
        <w:tc>
          <w:tcPr>
            <w:tcW w:w="24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Related-Party Commitment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(remaining)</w:t>
            </w:r>
          </w:p>
        </w:tc>
        <w:tc>
          <w:tcPr>
            <w:tcW w:w="14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w:t>
            </w:r>
          </w:p>
        </w:tc>
        <w:tc>
          <w:tcPr>
            <w:tcW w:w="211" w:type="dxa"/>
            <w:tcBorders/>
            <w:shd w:fill="auto" w:val="clear"/>
            <w:vAlign w:val="center"/>
          </w:tcPr>
          <w:p>
            <w:pPr>
              <w:pStyle w:val="TableContents"/>
              <w:spacing w:before="0" w:after="0"/>
              <w:ind w:left="0" w:right="0" w:hanging="0"/>
              <w:jc w:val="left"/>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left"/>
              <w:rPr/>
            </w:pPr>
            <w:r>
              <w:rPr/>
              <w:t> </w:t>
            </w:r>
          </w:p>
        </w:tc>
        <w:tc>
          <w:tcPr>
            <w:tcW w:w="17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211" w:type="dxa"/>
            <w:tcBorders/>
            <w:shd w:fill="auto" w:val="clear"/>
            <w:vAlign w:val="center"/>
          </w:tcPr>
          <w:p>
            <w:pPr>
              <w:pStyle w:val="TableContents"/>
              <w:spacing w:before="0" w:after="0"/>
              <w:ind w:left="0" w:right="0" w:hanging="0"/>
              <w:jc w:val="left"/>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left"/>
              <w:rPr/>
            </w:pPr>
            <w:r>
              <w:rPr/>
              <w:t> </w:t>
            </w:r>
          </w:p>
        </w:tc>
        <w:tc>
          <w:tcPr>
            <w:tcW w:w="17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w:t>
            </w:r>
          </w:p>
        </w:tc>
        <w:tc>
          <w:tcPr>
            <w:tcW w:w="211" w:type="dxa"/>
            <w:tcBorders/>
            <w:shd w:fill="auto" w:val="clear"/>
            <w:vAlign w:val="center"/>
          </w:tcPr>
          <w:p>
            <w:pPr>
              <w:pStyle w:val="TableContents"/>
              <w:spacing w:before="0" w:after="0"/>
              <w:ind w:left="0" w:right="0" w:hanging="0"/>
              <w:jc w:val="left"/>
              <w:rPr/>
            </w:pPr>
            <w:r>
              <w:rPr/>
              <w:t> </w:t>
            </w:r>
          </w:p>
        </w:tc>
      </w:tr>
      <w:tr>
        <w:trPr/>
        <w:tc>
          <w:tcPr>
            <w:tcW w:w="2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minimum lease payments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7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856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lease liabilities</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7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754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Note 13 Fair Value of Financial Instruments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are the major categories of assets and liabilities measured at fair value on a recurring basis as of March 31, 2023 and December 31, 2022, using quoted prices in active markets for identical assets (Level 1), significant other observable inputs (Level 2), and significant unobservable inputs (Level 3) (in thousands):</w:t>
      </w:r>
    </w:p>
    <w:p>
      <w:pPr>
        <w:pStyle w:val="TextBody"/>
        <w:spacing w:before="0" w:after="0"/>
        <w:jc w:val="left"/>
        <w:rPr/>
      </w:pPr>
      <w:r>
        <w:rPr/>
        <w:t> </w:t>
      </w:r>
    </w:p>
    <w:tbl>
      <w:tblPr>
        <w:tblW w:w="8130" w:type="dxa"/>
        <w:jc w:val="left"/>
        <w:tblInd w:w="0" w:type="dxa"/>
        <w:tblCellMar>
          <w:top w:w="28" w:type="dxa"/>
          <w:left w:w="28" w:type="dxa"/>
          <w:bottom w:w="28" w:type="dxa"/>
          <w:right w:w="28" w:type="dxa"/>
        </w:tblCellMar>
      </w:tblPr>
      <w:tblGrid>
        <w:gridCol w:w="3211"/>
        <w:gridCol w:w="146"/>
        <w:gridCol w:w="211"/>
        <w:gridCol w:w="676"/>
        <w:gridCol w:w="146"/>
        <w:gridCol w:w="146"/>
        <w:gridCol w:w="211"/>
        <w:gridCol w:w="781"/>
        <w:gridCol w:w="146"/>
        <w:gridCol w:w="146"/>
        <w:gridCol w:w="245"/>
        <w:gridCol w:w="490"/>
        <w:gridCol w:w="146"/>
        <w:gridCol w:w="146"/>
        <w:gridCol w:w="211"/>
        <w:gridCol w:w="781"/>
        <w:gridCol w:w="291"/>
      </w:tblGrid>
      <w:tr>
        <w:trPr/>
        <w:tc>
          <w:tcPr>
            <w:tcW w:w="3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211" w:type="dxa"/>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March 31, 2023</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34,423</w:t>
            </w:r>
          </w:p>
        </w:tc>
        <w:tc>
          <w:tcPr>
            <w:tcW w:w="29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108,831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108,831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34,423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108,831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143,254</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Warrant liabilities - public warrants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29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Warrant liabilities - private warrants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4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291" w:type="dxa"/>
            <w:tcBorders/>
            <w:shd w:fill="auto" w:val="clear"/>
            <w:vAlign w:val="center"/>
          </w:tcPr>
          <w:p>
            <w:pPr>
              <w:pStyle w:val="TableContents"/>
              <w:spacing w:before="0" w:after="0"/>
              <w:ind w:left="0" w:right="0" w:firstLine="100"/>
              <w:jc w:val="left"/>
              <w:rPr/>
            </w:pPr>
            <w:r>
              <w:rPr/>
              <w:t> </w:t>
            </w:r>
          </w:p>
        </w:tc>
      </w:tr>
      <w:tr>
        <w:trPr/>
        <w:tc>
          <w:tcPr>
            <w:tcW w:w="3211" w:type="dxa"/>
            <w:tcBorders/>
            <w:shd w:fill="auto" w:val="clear"/>
            <w:vAlign w:val="center"/>
          </w:tcPr>
          <w:p>
            <w:pPr>
              <w:pStyle w:val="TableContents"/>
              <w:spacing w:before="0" w:after="0"/>
              <w:ind w:left="100" w:right="0" w:hanging="0"/>
              <w:jc w:val="left"/>
              <w:rPr/>
            </w:pPr>
            <w:r>
              <w:rPr/>
              <w:t> </w:t>
            </w:r>
            <w:r>
              <w:rPr>
                <w:rFonts w:ascii="Times New Roman;serif" w:hAnsi="Times New Roman;serif"/>
                <w:b w:val="false"/>
                <w:sz w:val="20"/>
              </w:rPr>
              <w:t>Earnout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204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344</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tbl>
      <w:tblPr>
        <w:tblW w:w="7978" w:type="dxa"/>
        <w:jc w:val="left"/>
        <w:tblInd w:w="0" w:type="dxa"/>
        <w:tblCellMar>
          <w:top w:w="28" w:type="dxa"/>
          <w:left w:w="28" w:type="dxa"/>
          <w:bottom w:w="28" w:type="dxa"/>
          <w:right w:w="28" w:type="dxa"/>
        </w:tblCellMar>
      </w:tblPr>
      <w:tblGrid>
        <w:gridCol w:w="3211"/>
        <w:gridCol w:w="146"/>
        <w:gridCol w:w="245"/>
        <w:gridCol w:w="490"/>
        <w:gridCol w:w="146"/>
        <w:gridCol w:w="146"/>
        <w:gridCol w:w="211"/>
        <w:gridCol w:w="781"/>
        <w:gridCol w:w="146"/>
        <w:gridCol w:w="146"/>
        <w:gridCol w:w="245"/>
        <w:gridCol w:w="490"/>
        <w:gridCol w:w="146"/>
        <w:gridCol w:w="146"/>
        <w:gridCol w:w="211"/>
        <w:gridCol w:w="781"/>
        <w:gridCol w:w="291"/>
      </w:tblGrid>
      <w:tr>
        <w:trPr/>
        <w:tc>
          <w:tcPr>
            <w:tcW w:w="3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211" w:type="dxa"/>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December 31, 2022</w:t>
            </w:r>
          </w:p>
        </w:tc>
        <w:tc>
          <w:tcPr>
            <w:tcW w:w="146" w:type="dxa"/>
            <w:tcBorders/>
            <w:shd w:fill="auto" w:val="clear"/>
            <w:vAlign w:val="center"/>
          </w:tcPr>
          <w:p>
            <w:pPr>
              <w:pStyle w:val="TableContents"/>
              <w:spacing w:before="0" w:after="0"/>
              <w:ind w:left="0" w:right="0" w:hanging="0"/>
              <w:jc w:val="center"/>
              <w:rPr/>
            </w:pPr>
            <w:r>
              <w:rPr/>
              <w:t> </w:t>
            </w:r>
          </w:p>
        </w:tc>
        <w:tc>
          <w:tcPr>
            <w:tcW w:w="7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73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29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168,789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168,789</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285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168,789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169,074</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73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Warrant liabilities - public warrants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29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Warrant liabilities - private warrants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4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4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291" w:type="dxa"/>
            <w:tcBorders/>
            <w:shd w:fill="auto" w:val="clear"/>
            <w:vAlign w:val="center"/>
          </w:tcPr>
          <w:p>
            <w:pPr>
              <w:pStyle w:val="TableContents"/>
              <w:spacing w:before="0" w:after="0"/>
              <w:ind w:left="0" w:right="0" w:firstLine="100"/>
              <w:jc w:val="left"/>
              <w:rPr/>
            </w:pPr>
            <w:r>
              <w:rPr/>
              <w:t> </w:t>
            </w:r>
          </w:p>
        </w:tc>
      </w:tr>
      <w:tr>
        <w:trPr/>
        <w:tc>
          <w:tcPr>
            <w:tcW w:w="3211" w:type="dxa"/>
            <w:tcBorders/>
            <w:shd w:fill="auto" w:val="clear"/>
            <w:vAlign w:val="center"/>
          </w:tcPr>
          <w:p>
            <w:pPr>
              <w:pStyle w:val="TableContents"/>
              <w:spacing w:before="0" w:after="0"/>
              <w:ind w:left="100" w:right="0" w:hanging="0"/>
              <w:jc w:val="left"/>
              <w:rPr/>
            </w:pPr>
            <w:r>
              <w:rPr/>
              <w:t> </w:t>
            </w:r>
            <w:r>
              <w:rPr>
                <w:rFonts w:ascii="Times New Roman;serif" w:hAnsi="Times New Roman;serif"/>
                <w:b w:val="false"/>
                <w:sz w:val="20"/>
              </w:rPr>
              <w:t>Earnout liabilities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209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307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516</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The Company had no</w:t>
      </w:r>
      <w:r>
        <w:rPr>
          <w:rFonts w:ascii="Times New Roman" w:hAnsi="Times New Roman"/>
          <w:sz w:val="20"/>
        </w:rPr>
        <w:t xml:space="preserve"> </w:t>
      </w:r>
      <w:r>
        <w:rPr>
          <w:rFonts w:ascii="Times New Roman;serif" w:hAnsi="Times New Roman;serif"/>
          <w:b w:val="false"/>
          <w:sz w:val="20"/>
        </w:rPr>
        <w:t>assets and liabilities measured at fair value on a non-recurring basis as of March 31, 2023 and December 31, 2022.</w:t>
      </w:r>
    </w:p>
    <w:p>
      <w:pPr>
        <w:pStyle w:val="TextBody"/>
        <w:spacing w:before="240" w:after="0"/>
        <w:jc w:val="left"/>
        <w:rPr>
          <w:rFonts w:ascii="Times New Roman" w:hAnsi="Times New Roman"/>
          <w:sz w:val="20"/>
        </w:rPr>
      </w:pPr>
      <w:r>
        <w:rPr>
          <w:rFonts w:ascii="Times New Roman;serif" w:hAnsi="Times New Roman;serif"/>
          <w:b w:val="false"/>
          <w:sz w:val="20"/>
        </w:rPr>
        <w:t>The Company also has the following financial instruments not measured at fair value. The Company has evaluated cash (Level 1), restricted cash (Level 1), Member advances (Level 2), accounts payable (Level 2) and accrued expenses (Level 2), and believes the carrying value approximates the fair value due to the short-term nature of these balances. The fair value of the debt facility (Level 2) and convertible note payable (level 2) approximate their carrying values.</w:t>
      </w:r>
      <w:r>
        <w:rPr>
          <w:rFonts w:ascii="Times New Roman" w:hAnsi="Times New Roman"/>
          <w:sz w:val="20"/>
        </w:rPr>
        <w:t xml:space="preserve"> </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Marketable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evaluated the quoted market prices in active markets for its marketable securities and has classified its securities as Level 1. The Company’s investments in marketable securities are exposed to price fluctuations. The fair value measurements for the securities are based upon the quoted prices of similar items in active markets multiplied by the number of securities owned.</w:t>
      </w:r>
    </w:p>
    <w:p>
      <w:pPr>
        <w:pStyle w:val="TextBody"/>
        <w:spacing w:before="16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Short-Term Investments: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following describes the valuation techniques used by the Company to measure the fair value of short-term investments held as of March 31, 2023 and December 31, 2022.</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U.S. Government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fair value of U.S. government securities is estimated by independent pricing services who use computerized valuation formulas to calculate current values. U.S. government securities are categorized in Level 2 of the fair value hierarchy.</w:t>
      </w:r>
    </w:p>
    <w:p>
      <w:pPr>
        <w:pStyle w:val="TextBody"/>
        <w:spacing w:before="0" w:after="0"/>
        <w:jc w:val="left"/>
        <w:rPr/>
      </w:pPr>
      <w:r>
        <w:rPr/>
        <w:t> </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Corporate Bonds and Notes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fair value of corporate bonds and notes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Asset-Backed Securities</w:t>
      </w:r>
    </w:p>
    <w:p>
      <w:pPr>
        <w:pStyle w:val="TextBody"/>
        <w:spacing w:before="120" w:after="0"/>
        <w:jc w:val="left"/>
        <w:rPr>
          <w:rFonts w:ascii="Times New Roman" w:hAnsi="Times New Roman"/>
          <w:sz w:val="20"/>
        </w:rPr>
      </w:pPr>
      <w:r>
        <w:rPr>
          <w:rFonts w:ascii="Times New Roman;serif" w:hAnsi="Times New Roman;serif"/>
          <w:b w:val="false"/>
          <w:sz w:val="20"/>
        </w:rPr>
        <w:t>The fair value of these asset-backed securities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r>
        <w:rPr>
          <w:rFonts w:ascii="Times New Roman" w:hAnsi="Times New Roman"/>
          <w:sz w:val="20"/>
        </w:rPr>
        <w:t xml:space="preserve"> </w:t>
      </w:r>
    </w:p>
    <w:p>
      <w:pPr>
        <w:pStyle w:val="TextBody"/>
        <w:spacing w:before="40" w:after="0"/>
        <w:jc w:val="left"/>
        <w:rPr/>
      </w:pPr>
      <w:r>
        <w:rPr/>
        <w:t> </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Public Warrants:</w:t>
      </w:r>
    </w:p>
    <w:p>
      <w:pPr>
        <w:pStyle w:val="TextBody"/>
        <w:spacing w:before="120" w:after="0"/>
        <w:jc w:val="left"/>
        <w:rPr>
          <w:rFonts w:ascii="Times New Roman" w:hAnsi="Times New Roman"/>
          <w:sz w:val="20"/>
        </w:rPr>
      </w:pPr>
      <w:r>
        <w:rPr>
          <w:rFonts w:ascii="Times New Roman;serif" w:hAnsi="Times New Roman;serif"/>
          <w:b w:val="false"/>
          <w:sz w:val="20"/>
        </w:rPr>
        <w:t>As discussed further in Note 9, Warrant Liabilities, in January 2022, upon completion of the Business Combination, public warrants were automatically converted to warrants to purchase Common Stock of the Company. These public warrants met the definition of a derivative under ASC 815, and due to the terms of the warrants, were required to be liability classified. This warrant liability was initially recorded as a liability at fair value, with the offsetting entry recorded as a non-cash expense within the statement of operations. The derivative liability was subsequently recorded at fair value at each reporting period, with changes in fair value reflected in earnings. The gain related to the change in fair value of the public warrant liability for three months ended March 31, 2023 was $0.07</w:t>
      </w:r>
      <w:r>
        <w:rPr>
          <w:rFonts w:ascii="Times New Roman" w:hAnsi="Times New Roman"/>
          <w:sz w:val="20"/>
        </w:rPr>
        <w:t xml:space="preserve"> </w:t>
      </w:r>
      <w:r>
        <w:rPr>
          <w:rFonts w:ascii="Times New Roman;serif" w:hAnsi="Times New Roman;serif"/>
          <w:b w:val="false"/>
          <w:sz w:val="20"/>
        </w:rPr>
        <w:t>million, which is presented within changes in fair value of public warrant liabilities in the condensed consolidated statements of operations.</w:t>
      </w:r>
    </w:p>
    <w:p>
      <w:pPr>
        <w:pStyle w:val="TextBody"/>
        <w:spacing w:before="120" w:after="0"/>
        <w:jc w:val="left"/>
        <w:rPr/>
      </w:pPr>
      <w:r>
        <w:rPr/>
        <w:t> </w:t>
      </w:r>
    </w:p>
    <w:p>
      <w:pPr>
        <w:pStyle w:val="TextBody"/>
        <w:spacing w:before="4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A roll-forward of the Level 1 public warrant liability is as follows (dollars in thousands):</w:t>
      </w:r>
    </w:p>
    <w:p>
      <w:pPr>
        <w:pStyle w:val="TextBody"/>
        <w:spacing w:before="40" w:after="0"/>
        <w:jc w:val="left"/>
        <w:rPr/>
      </w:pPr>
      <w:r>
        <w:rPr/>
        <w:t> </w:t>
      </w:r>
    </w:p>
    <w:tbl>
      <w:tblPr>
        <w:tblW w:w="4799" w:type="dxa"/>
        <w:jc w:val="left"/>
        <w:tblInd w:w="0" w:type="dxa"/>
        <w:tblCellMar>
          <w:top w:w="28" w:type="dxa"/>
          <w:left w:w="28" w:type="dxa"/>
          <w:bottom w:w="28" w:type="dxa"/>
          <w:right w:w="28" w:type="dxa"/>
        </w:tblCellMar>
      </w:tblPr>
      <w:tblGrid>
        <w:gridCol w:w="3226"/>
        <w:gridCol w:w="146"/>
        <w:gridCol w:w="146"/>
        <w:gridCol w:w="146"/>
        <w:gridCol w:w="146"/>
        <w:gridCol w:w="146"/>
        <w:gridCol w:w="211"/>
        <w:gridCol w:w="421"/>
        <w:gridCol w:w="211"/>
      </w:tblGrid>
      <w:tr>
        <w:trPr/>
        <w:tc>
          <w:tcPr>
            <w:tcW w:w="32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Opening value at January 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209</w:t>
            </w:r>
          </w:p>
        </w:tc>
        <w:tc>
          <w:tcPr>
            <w:tcW w:w="211" w:type="dxa"/>
            <w:tcBorders/>
            <w:shd w:fill="auto" w:val="clear"/>
            <w:vAlign w:val="center"/>
          </w:tcPr>
          <w:p>
            <w:pPr>
              <w:pStyle w:val="TableContents"/>
              <w:spacing w:before="0" w:after="0"/>
              <w:ind w:left="0" w:right="0" w:hanging="0"/>
              <w:jc w:val="left"/>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during the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Ending value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140</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360" w:after="0"/>
        <w:jc w:val="left"/>
        <w:rPr>
          <w:rFonts w:ascii="Times New Roman;serif" w:hAnsi="Times New Roman;serif"/>
          <w:b w:val="false"/>
          <w:sz w:val="20"/>
        </w:rPr>
      </w:pPr>
      <w:r>
        <w:rPr>
          <w:rFonts w:ascii="Times New Roman;serif" w:hAnsi="Times New Roman;serif"/>
          <w:b w:val="false"/>
          <w:sz w:val="20"/>
        </w:rPr>
        <w:t>Private Warrants:</w:t>
      </w:r>
    </w:p>
    <w:p>
      <w:pPr>
        <w:pStyle w:val="TextBody"/>
        <w:spacing w:before="120" w:after="0"/>
        <w:jc w:val="left"/>
        <w:rPr>
          <w:rFonts w:ascii="Times New Roman" w:hAnsi="Times New Roman"/>
          <w:sz w:val="20"/>
        </w:rPr>
      </w:pPr>
      <w:r>
        <w:rPr>
          <w:rFonts w:ascii="Times New Roman;serif" w:hAnsi="Times New Roman;serif"/>
          <w:b w:val="false"/>
          <w:sz w:val="20"/>
        </w:rPr>
        <w:t>As discussed further in Note 9, Warrant Liabilities, in January 2022, upon completion of the Business Combination, private warrants were automatically converted to warrants to purchase Common Stock of the Company. These private warrants met the definition of a derivative under ASC 815, and due to the terms of the warrants, were required to be liability classified. This warrant liability was initially recorded as a liability at fair value, with the offsetting entry recorded as a non-cash expense within the condensed consolidated statement of operations. The derivative liability was subsequently recorded at fair value at each reporting period, with changes in fair value reflected in earnings. The gain related to the change in fair value of the private warrant liability for the three months ended March 31, 2023 was $0.08</w:t>
      </w:r>
      <w:r>
        <w:rPr>
          <w:rFonts w:ascii="Times New Roman" w:hAnsi="Times New Roman"/>
          <w:sz w:val="20"/>
        </w:rPr>
        <w:t xml:space="preserve"> </w:t>
      </w:r>
      <w:r>
        <w:rPr>
          <w:rFonts w:ascii="Times New Roman;serif" w:hAnsi="Times New Roman;serif"/>
          <w:b w:val="false"/>
          <w:sz w:val="20"/>
        </w:rPr>
        <w:t>million, which is presented within changes in fair value of private warrant liabilities in the condensed consolidated statements of operations.</w:t>
      </w:r>
    </w:p>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A roll-forward of the Level 3 private warrant liability is as follows (dollars in thousands):</w:t>
      </w:r>
    </w:p>
    <w:p>
      <w:pPr>
        <w:pStyle w:val="TextBody"/>
        <w:spacing w:before="0" w:after="0"/>
        <w:jc w:val="left"/>
        <w:rPr/>
      </w:pPr>
      <w:r>
        <w:rPr/>
        <w:t> </w:t>
      </w:r>
    </w:p>
    <w:tbl>
      <w:tblPr>
        <w:tblW w:w="4799" w:type="dxa"/>
        <w:jc w:val="left"/>
        <w:tblInd w:w="0" w:type="dxa"/>
        <w:tblCellMar>
          <w:top w:w="28" w:type="dxa"/>
          <w:left w:w="28" w:type="dxa"/>
          <w:bottom w:w="28" w:type="dxa"/>
          <w:right w:w="28" w:type="dxa"/>
        </w:tblCellMar>
      </w:tblPr>
      <w:tblGrid>
        <w:gridCol w:w="3226"/>
        <w:gridCol w:w="146"/>
        <w:gridCol w:w="146"/>
        <w:gridCol w:w="146"/>
        <w:gridCol w:w="146"/>
        <w:gridCol w:w="146"/>
        <w:gridCol w:w="211"/>
        <w:gridCol w:w="421"/>
        <w:gridCol w:w="211"/>
      </w:tblGrid>
      <w:tr>
        <w:trPr/>
        <w:tc>
          <w:tcPr>
            <w:tcW w:w="32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Opening value at January 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253</w:t>
            </w:r>
          </w:p>
        </w:tc>
        <w:tc>
          <w:tcPr>
            <w:tcW w:w="211" w:type="dxa"/>
            <w:tcBorders/>
            <w:shd w:fill="auto" w:val="clear"/>
            <w:vAlign w:val="center"/>
          </w:tcPr>
          <w:p>
            <w:pPr>
              <w:pStyle w:val="TableContents"/>
              <w:spacing w:before="0" w:after="0"/>
              <w:ind w:left="0" w:right="0" w:hanging="0"/>
              <w:jc w:val="left"/>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during the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Ending value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176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Company used a Black-Scholes option pricing model to determine the fair value of the private warrant liability. The following table presents the assumptions used to value the private warrant liability for the three months ended March 31, 2023:</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tbl>
      <w:tblPr>
        <w:tblW w:w="3779" w:type="dxa"/>
        <w:jc w:val="left"/>
        <w:tblInd w:w="0" w:type="dxa"/>
        <w:tblCellMar>
          <w:top w:w="28" w:type="dxa"/>
          <w:left w:w="28" w:type="dxa"/>
          <w:bottom w:w="28" w:type="dxa"/>
          <w:right w:w="28" w:type="dxa"/>
        </w:tblCellMar>
      </w:tblPr>
      <w:tblGrid>
        <w:gridCol w:w="1846"/>
        <w:gridCol w:w="146"/>
        <w:gridCol w:w="146"/>
        <w:gridCol w:w="146"/>
        <w:gridCol w:w="146"/>
        <w:gridCol w:w="146"/>
        <w:gridCol w:w="211"/>
        <w:gridCol w:w="676"/>
        <w:gridCol w:w="316"/>
      </w:tblGrid>
      <w:tr>
        <w:trPr/>
        <w:tc>
          <w:tcPr>
            <w:tcW w:w="1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 price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368.00</w:t>
            </w:r>
          </w:p>
        </w:tc>
        <w:tc>
          <w:tcPr>
            <w:tcW w:w="316" w:type="dxa"/>
            <w:tcBorders/>
            <w:shd w:fill="auto" w:val="clear"/>
            <w:vAlign w:val="center"/>
          </w:tcPr>
          <w:p>
            <w:pPr>
              <w:pStyle w:val="TableContents"/>
              <w:spacing w:before="0" w:after="0"/>
              <w:ind w:left="0" w:right="0" w:hanging="0"/>
              <w:jc w:val="left"/>
              <w:rPr/>
            </w:pPr>
            <w:r>
              <w:rPr/>
              <w:t> </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Remaining term</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w:t>
            </w:r>
          </w:p>
        </w:tc>
        <w:tc>
          <w:tcPr>
            <w:tcW w:w="316" w:type="dxa"/>
            <w:tcBorders/>
            <w:shd w:fill="auto" w:val="clear"/>
            <w:vAlign w:val="center"/>
          </w:tcPr>
          <w:p>
            <w:pPr>
              <w:pStyle w:val="TableContents"/>
              <w:spacing w:before="0" w:after="0"/>
              <w:ind w:left="0" w:right="0" w:hanging="0"/>
              <w:jc w:val="left"/>
              <w:rPr/>
            </w:pPr>
            <w:r>
              <w:rPr/>
              <w:t> </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val="false"/>
          <w:sz w:val="20"/>
        </w:rPr>
        <w:t>Earnout Shares Liability: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part of the reverse recapitalization, 49,563</w:t>
      </w:r>
      <w:r>
        <w:rPr>
          <w:rFonts w:ascii="Times New Roman" w:hAnsi="Times New Roman"/>
          <w:sz w:val="20"/>
        </w:rPr>
        <w:t xml:space="preserve"> </w:t>
      </w:r>
      <w:r>
        <w:rPr>
          <w:rFonts w:ascii="Times New Roman;serif" w:hAnsi="Times New Roman;serif"/>
          <w:b w:val="false"/>
          <w:sz w:val="20"/>
        </w:rPr>
        <w:t>shares of Class A Common Stock held by founders of VPCC are subject to forfeiture if the vesting condition is not met over the five year</w:t>
      </w:r>
      <w:r>
        <w:rPr>
          <w:rFonts w:ascii="Times New Roman" w:hAnsi="Times New Roman"/>
          <w:sz w:val="20"/>
        </w:rPr>
        <w:t xml:space="preserve"> </w:t>
      </w:r>
      <w:r>
        <w:rPr>
          <w:rFonts w:ascii="Times New Roman;serif" w:hAnsi="Times New Roman;serif"/>
          <w:b w:val="false"/>
          <w:sz w:val="20"/>
        </w:rPr>
        <w:t>term following the closing date of the Business Combination (“Founder Holder Earnout Shares”). These Founder Holder Earnout Shares were initially recorded as a liability at fair value and subsequently recorded at fair value at each reporting period, with changes in fair value reflected in earnings. The gain related to the change in fair value of the Founder Holder Earnout Shares liabilities for the three months ended March 31, 2023</w:t>
      </w:r>
      <w:r>
        <w:rPr>
          <w:rFonts w:ascii="Times New Roman" w:hAnsi="Times New Roman"/>
          <w:sz w:val="20"/>
        </w:rPr>
        <w:t xml:space="preserve"> </w:t>
      </w:r>
      <w:r>
        <w:rPr>
          <w:rFonts w:ascii="Times New Roman;serif" w:hAnsi="Times New Roman;serif"/>
          <w:b w:val="false"/>
          <w:sz w:val="20"/>
        </w:rPr>
        <w:t>was $0.03</w:t>
      </w:r>
      <w:r>
        <w:rPr>
          <w:rFonts w:ascii="Times New Roman" w:hAnsi="Times New Roman"/>
          <w:sz w:val="20"/>
        </w:rPr>
        <w:t xml:space="preserve"> </w:t>
      </w:r>
      <w:r>
        <w:rPr>
          <w:rFonts w:ascii="Times New Roman;serif" w:hAnsi="Times New Roman;serif"/>
          <w:b w:val="false"/>
          <w:sz w:val="20"/>
        </w:rPr>
        <w:t>million, which is presented within changes in fair value of earnout liabilities in the condensed consolidated statements of operations.</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A roll-forward of the Level 3 Founder Holder Earnout Shares liability is as follows (dollars in thousands):</w:t>
      </w:r>
    </w:p>
    <w:p>
      <w:pPr>
        <w:pStyle w:val="TextBody"/>
        <w:spacing w:before="0" w:after="0"/>
        <w:jc w:val="left"/>
        <w:rPr/>
      </w:pPr>
      <w:r>
        <w:rPr/>
        <w:t> </w:t>
      </w:r>
    </w:p>
    <w:tbl>
      <w:tblPr>
        <w:tblW w:w="4754" w:type="dxa"/>
        <w:jc w:val="left"/>
        <w:tblInd w:w="0" w:type="dxa"/>
        <w:tblCellMar>
          <w:top w:w="28" w:type="dxa"/>
          <w:left w:w="28" w:type="dxa"/>
          <w:bottom w:w="28" w:type="dxa"/>
          <w:right w:w="28" w:type="dxa"/>
        </w:tblCellMar>
      </w:tblPr>
      <w:tblGrid>
        <w:gridCol w:w="3226"/>
        <w:gridCol w:w="146"/>
        <w:gridCol w:w="146"/>
        <w:gridCol w:w="146"/>
        <w:gridCol w:w="146"/>
        <w:gridCol w:w="146"/>
        <w:gridCol w:w="211"/>
        <w:gridCol w:w="376"/>
        <w:gridCol w:w="211"/>
      </w:tblGrid>
      <w:tr>
        <w:trPr/>
        <w:tc>
          <w:tcPr>
            <w:tcW w:w="32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Opening value at January 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53</w:t>
            </w:r>
          </w:p>
        </w:tc>
        <w:tc>
          <w:tcPr>
            <w:tcW w:w="211" w:type="dxa"/>
            <w:tcBorders/>
            <w:shd w:fill="auto" w:val="clear"/>
            <w:vAlign w:val="center"/>
          </w:tcPr>
          <w:p>
            <w:pPr>
              <w:pStyle w:val="TableContents"/>
              <w:spacing w:before="0" w:after="0"/>
              <w:ind w:left="0" w:right="0" w:hanging="0"/>
              <w:jc w:val="left"/>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during the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Ending value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28</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used a Monte Carlo Simulation Method to determine the fair value of the Founder Holder Earnout Shares liability. The following table presents the assumptions used to value the Founder Holder Earnout Shares liability for the</w:t>
      </w:r>
      <w:r>
        <w:rPr>
          <w:rFonts w:ascii="Times New Roman;serif" w:hAnsi="Times New Roman;serif"/>
          <w:sz w:val="20"/>
        </w:rPr>
        <w:t xml:space="preserve"> </w:t>
      </w:r>
      <w:r>
        <w:rPr>
          <w:rFonts w:ascii="Times New Roman;serif" w:hAnsi="Times New Roman;serif"/>
          <w:b w:val="false"/>
          <w:sz w:val="20"/>
        </w:rPr>
        <w:t>three months ended March 31, 2023:</w:t>
      </w:r>
    </w:p>
    <w:p>
      <w:pPr>
        <w:pStyle w:val="TextBody"/>
        <w:spacing w:before="0" w:after="0"/>
        <w:jc w:val="left"/>
        <w:rPr/>
      </w:pPr>
      <w:r>
        <w:rPr/>
        <w:t> </w:t>
      </w:r>
    </w:p>
    <w:tbl>
      <w:tblPr>
        <w:tblW w:w="3897" w:type="dxa"/>
        <w:jc w:val="left"/>
        <w:tblInd w:w="0" w:type="dxa"/>
        <w:tblCellMar>
          <w:top w:w="28" w:type="dxa"/>
          <w:left w:w="28" w:type="dxa"/>
          <w:bottom w:w="28" w:type="dxa"/>
          <w:right w:w="28" w:type="dxa"/>
        </w:tblCellMar>
      </w:tblPr>
      <w:tblGrid>
        <w:gridCol w:w="1846"/>
        <w:gridCol w:w="146"/>
        <w:gridCol w:w="146"/>
        <w:gridCol w:w="146"/>
        <w:gridCol w:w="146"/>
        <w:gridCol w:w="146"/>
        <w:gridCol w:w="239"/>
        <w:gridCol w:w="766"/>
        <w:gridCol w:w="316"/>
      </w:tblGrid>
      <w:tr>
        <w:trPr/>
        <w:tc>
          <w:tcPr>
            <w:tcW w:w="1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 price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$400-$480</w:t>
            </w:r>
          </w:p>
        </w:tc>
        <w:tc>
          <w:tcPr>
            <w:tcW w:w="316" w:type="dxa"/>
            <w:tcBorders/>
            <w:shd w:fill="auto" w:val="clear"/>
            <w:vAlign w:val="center"/>
          </w:tcPr>
          <w:p>
            <w:pPr>
              <w:pStyle w:val="TableContents"/>
              <w:spacing w:before="0" w:after="0"/>
              <w:ind w:left="0" w:right="0" w:hanging="0"/>
              <w:jc w:val="right"/>
              <w:rPr/>
            </w:pPr>
            <w:r>
              <w:rPr/>
              <w:t> </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90.3</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Remaining term</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3.77</w:t>
            </w:r>
          </w:p>
        </w:tc>
        <w:tc>
          <w:tcPr>
            <w:tcW w:w="316" w:type="dxa"/>
            <w:tcBorders/>
            <w:shd w:fill="auto" w:val="clear"/>
            <w:vAlign w:val="center"/>
          </w:tcPr>
          <w:p>
            <w:pPr>
              <w:pStyle w:val="TableContents"/>
              <w:spacing w:before="0" w:after="0"/>
              <w:ind w:left="0" w:right="0" w:hanging="0"/>
              <w:jc w:val="left"/>
              <w:rPr/>
            </w:pPr>
            <w:r>
              <w:rPr/>
              <w:t> </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other assets or liabilities that were required to be measured at fair value on a recurring basis as of March 31, 2023 and March 31, 2022.</w:t>
      </w:r>
      <w:r>
        <w:rPr>
          <w:rFonts w:ascii="Times New Roman" w:hAnsi="Times New Roman"/>
          <w:sz w:val="20"/>
        </w:rPr>
        <w:t xml:space="preserve"> </w:t>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Note 14 Stockholders’ Equity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of March 31, 2023, no</w:t>
      </w:r>
      <w:r>
        <w:rPr>
          <w:rFonts w:ascii="Times New Roman" w:hAnsi="Times New Roman"/>
          <w:sz w:val="20"/>
        </w:rPr>
        <w:t xml:space="preserve"> </w:t>
      </w:r>
      <w:r>
        <w:rPr>
          <w:rFonts w:ascii="Times New Roman;serif" w:hAnsi="Times New Roman;serif"/>
          <w:b w:val="false"/>
          <w:sz w:val="20"/>
        </w:rPr>
        <w:t>shares of preferred stock were outstanding, and the Company has no present plans to issue any shares of preferred stock.</w:t>
      </w:r>
      <w:r>
        <w:rPr>
          <w:rFonts w:ascii="Times New Roman" w:hAnsi="Times New Roman"/>
          <w:sz w:val="20"/>
        </w:rPr>
        <w:t xml:space="preserve"> </w:t>
      </w:r>
    </w:p>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Pursuant to the terms of the Company’s amended and restated certificate of incorporation, shares of preferred stock may be issued from time to time in one or more series. The Company’s Board of Directors is authorized to fix the voting rights, if any, designations, powers and preferences, the relative, participating, optional or other special rights, and any qualifications, limitations and restrictions thereof, applicable to the shares of each series of preferred stock. The Company’s Board of Directors is able to, without stockholder approval, issue preferred stock with voting and other rights that could adversely affect the voting power and other rights of the holders of the common stock and could have anti-takeover effects. The ability of the Company’s Board of Directors to issue preferred stock without stockholder approval could have the effect of delaying, deferring or preventing a change of control or the removal of existing management.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Class A and Class V Common Stock:</w:t>
      </w:r>
    </w:p>
    <w:p>
      <w:pPr>
        <w:pStyle w:val="TextBody"/>
        <w:spacing w:before="4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Company’s Board of Directors has authorized two classes of common stock, Class A Common Stock and Class V Common Stock. The Company had authorized 500,000,000</w:t>
      </w:r>
      <w:r>
        <w:rPr>
          <w:rFonts w:ascii="Times New Roman" w:hAnsi="Times New Roman"/>
          <w:sz w:val="20"/>
        </w:rPr>
        <w:t xml:space="preserve"> </w:t>
      </w:r>
      <w:r>
        <w:rPr>
          <w:rFonts w:ascii="Times New Roman;serif" w:hAnsi="Times New Roman;serif"/>
          <w:b w:val="false"/>
          <w:sz w:val="20"/>
        </w:rPr>
        <w:t>and 100,000,000</w:t>
      </w:r>
      <w:r>
        <w:rPr>
          <w:rFonts w:ascii="Times New Roman" w:hAnsi="Times New Roman"/>
          <w:sz w:val="20"/>
        </w:rPr>
        <w:t xml:space="preserve"> </w:t>
      </w:r>
      <w:r>
        <w:rPr>
          <w:rFonts w:ascii="Times New Roman;serif" w:hAnsi="Times New Roman;serif"/>
          <w:b w:val="false"/>
          <w:sz w:val="20"/>
        </w:rPr>
        <w:t>shares of Class A Common Stock and Class V Common Stock, respectively. Shares of Class V Common Stock have 10 votes per share, while shares of Class A Common Stock have one vote per share. The holders of shares of Class A Common Stock and Class V Common Stock shall at all times vote together as a single class on all matters (including the election of directors) submitted to a vote of the Company’s stockholders. Shares of Class V Common Stock are convertible into shares of Class A Common Stock on a one-to-one basis at the option of the holders of Class V Common Stock at any time upon written notice to the Company.</w:t>
      </w:r>
      <w:r>
        <w:rPr>
          <w:rFonts w:ascii="Times New Roman" w:hAnsi="Times New Roman"/>
          <w:sz w:val="20"/>
        </w:rPr>
        <w:t xml:space="preserve"> </w:t>
      </w:r>
      <w:r>
        <w:rPr>
          <w:rFonts w:ascii="Times New Roman;serif" w:hAnsi="Times New Roman;serif"/>
          <w:b w:val="false"/>
          <w:sz w:val="20"/>
        </w:rPr>
        <w:t>As of March 31, 2023, the Company had 10,402,531</w:t>
      </w:r>
      <w:r>
        <w:rPr>
          <w:rFonts w:ascii="Times New Roman" w:hAnsi="Times New Roman"/>
          <w:sz w:val="20"/>
        </w:rPr>
        <w:t xml:space="preserve"> </w:t>
      </w:r>
      <w:r>
        <w:rPr>
          <w:rFonts w:ascii="Times New Roman;serif" w:hAnsi="Times New Roman;serif"/>
          <w:b w:val="false"/>
          <w:sz w:val="20"/>
        </w:rPr>
        <w:t>and 1,514,082</w:t>
      </w:r>
      <w:r>
        <w:rPr>
          <w:rFonts w:ascii="Times New Roman" w:hAnsi="Times New Roman"/>
          <w:sz w:val="20"/>
        </w:rPr>
        <w:t xml:space="preserve"> </w:t>
      </w:r>
      <w:r>
        <w:rPr>
          <w:rFonts w:ascii="Times New Roman;serif" w:hAnsi="Times New Roman;serif"/>
          <w:b w:val="false"/>
          <w:sz w:val="20"/>
        </w:rPr>
        <w:t>shares of Class A Common Stock and Class V Common Stock issued, respectively. As of March 31, 2023, the Company had 10,352,968</w:t>
      </w:r>
      <w:r>
        <w:rPr>
          <w:rFonts w:ascii="Times New Roman" w:hAnsi="Times New Roman"/>
          <w:sz w:val="20"/>
        </w:rPr>
        <w:t xml:space="preserve"> </w:t>
      </w:r>
      <w:r>
        <w:rPr>
          <w:rFonts w:ascii="Times New Roman;serif" w:hAnsi="Times New Roman;serif"/>
          <w:b w:val="false"/>
          <w:sz w:val="20"/>
        </w:rPr>
        <w:t>and 1,514,082</w:t>
      </w:r>
      <w:r>
        <w:rPr>
          <w:rFonts w:ascii="Times New Roman" w:hAnsi="Times New Roman"/>
          <w:sz w:val="20"/>
        </w:rPr>
        <w:t xml:space="preserve"> </w:t>
      </w:r>
      <w:r>
        <w:rPr>
          <w:rFonts w:ascii="Times New Roman;serif" w:hAnsi="Times New Roman;serif"/>
          <w:b w:val="false"/>
          <w:sz w:val="20"/>
        </w:rPr>
        <w:t>shares of Class A Common Stock and Class V Common Stock outstanding, respectively.</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360" w:after="0"/>
        <w:jc w:val="left"/>
        <w:rPr>
          <w:rFonts w:ascii="Times New Roman;serif" w:hAnsi="Times New Roman;serif"/>
          <w:b/>
          <w:sz w:val="20"/>
        </w:rPr>
      </w:pPr>
      <w:r>
        <w:rPr>
          <w:rFonts w:ascii="Times New Roman;serif" w:hAnsi="Times New Roman;serif"/>
          <w:b/>
          <w:sz w:val="20"/>
        </w:rPr>
        <w:t>Note 15 Stock-Based Compensation</w:t>
      </w:r>
    </w:p>
    <w:p>
      <w:pPr>
        <w:pStyle w:val="TextBody"/>
        <w:spacing w:before="120" w:after="0"/>
        <w:jc w:val="left"/>
        <w:rPr>
          <w:rFonts w:ascii="Times New Roman" w:hAnsi="Times New Roman"/>
          <w:sz w:val="20"/>
        </w:rPr>
      </w:pPr>
      <w:r>
        <w:rPr>
          <w:rFonts w:ascii="Times New Roman;serif" w:hAnsi="Times New Roman;serif"/>
          <w:b w:val="false"/>
          <w:sz w:val="20"/>
        </w:rPr>
        <w:t>In 2017, the Company’s Board of Directors adopted the Dave Inc. 2017 Stock Plan (the “2017 Plan”). The 2017 Plan authorized the award of stock options, restricted stock, and restricted stock units. On January 4, 2022, the stockholders of the Company approved the 2021 Equity Incentive Plan (the “2021 Plan”). The 2021 Plan was previously approved, subject to stockholder approval, by the Company’s Board of Directors on January 4, 2022. Upon the consummation of the Business Combination with VPCC, the 2017 Plan was terminated and replaced by the 2021 Plan. The maximum term of stock options granted under the 2021 Plan is 10 years and the awards generally vest over a four-year</w:t>
      </w:r>
      <w:r>
        <w:rPr>
          <w:rFonts w:ascii="Times New Roman" w:hAnsi="Times New Roman"/>
          <w:sz w:val="20"/>
        </w:rPr>
        <w:t xml:space="preserve"> </w:t>
      </w:r>
      <w:r>
        <w:rPr>
          <w:rFonts w:ascii="Times New Roman;serif" w:hAnsi="Times New Roman;serif"/>
          <w:b w:val="false"/>
          <w:sz w:val="20"/>
        </w:rPr>
        <w:t>period.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January 4, 2022, the stockholders of the Company approved the 2021 Equity Incentive Plan (the “2021 Plan”). The 2021 Plan was previously approved, subject to stockholder approval, by the Company’s Board of Directors on January 4, 2022. The 2021 Plan became effective immediately upon the completion of the Business Combination.</w:t>
      </w:r>
    </w:p>
    <w:p>
      <w:pPr>
        <w:pStyle w:val="TextBody"/>
        <w:spacing w:before="240" w:after="0"/>
        <w:jc w:val="left"/>
        <w:rPr>
          <w:rFonts w:ascii="Times New Roman" w:hAnsi="Times New Roman"/>
          <w:sz w:val="20"/>
        </w:rPr>
      </w:pPr>
      <w:r>
        <w:rPr>
          <w:rFonts w:ascii="Times New Roman;serif" w:hAnsi="Times New Roman;serif"/>
          <w:b w:val="false"/>
          <w:sz w:val="20"/>
        </w:rPr>
        <w:t>The Company recognized $6.8</w:t>
      </w:r>
      <w:r>
        <w:rPr>
          <w:rFonts w:ascii="Times New Roman" w:hAnsi="Times New Roman"/>
          <w:sz w:val="20"/>
        </w:rPr>
        <w:t xml:space="preserve"> </w:t>
      </w:r>
      <w:r>
        <w:rPr>
          <w:rFonts w:ascii="Times New Roman;serif" w:hAnsi="Times New Roman;serif"/>
          <w:b w:val="false"/>
          <w:sz w:val="20"/>
        </w:rPr>
        <w:t>million and $3.2</w:t>
      </w:r>
      <w:r>
        <w:rPr>
          <w:rFonts w:ascii="Times New Roman" w:hAnsi="Times New Roman"/>
          <w:sz w:val="20"/>
        </w:rPr>
        <w:t xml:space="preserve"> </w:t>
      </w:r>
      <w:r>
        <w:rPr>
          <w:rFonts w:ascii="Times New Roman;serif" w:hAnsi="Times New Roman;serif"/>
          <w:b w:val="false"/>
          <w:sz w:val="20"/>
        </w:rPr>
        <w:t>million of stock-based compensation expense arising from stock option and restricted stock unit grants which is recorded as a component of compensation and benefits in the condensed consolidated statements of operations for the three months ended March 31, 2023 and 2022, respectively.</w:t>
      </w:r>
      <w:r>
        <w:rPr>
          <w:rFonts w:ascii="Times New Roman" w:hAnsi="Times New Roman"/>
          <w:sz w:val="20"/>
        </w:rPr>
        <w:t xml:space="preserve"> </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Stock Options:</w:t>
      </w:r>
    </w:p>
    <w:p>
      <w:pPr>
        <w:pStyle w:val="TextBody"/>
        <w:spacing w:before="120" w:after="0"/>
        <w:jc w:val="left"/>
        <w:rPr>
          <w:rFonts w:ascii="Times New Roman" w:hAnsi="Times New Roman"/>
          <w:sz w:val="20"/>
        </w:rPr>
      </w:pPr>
      <w:r>
        <w:rPr>
          <w:rFonts w:ascii="Times New Roman;serif" w:hAnsi="Times New Roman;serif"/>
          <w:b w:val="false"/>
          <w:sz w:val="20"/>
        </w:rPr>
        <w:t>Management has valued stock options at their date of grant utilizing the Black-Scholes option pricing model. The fair value of the underlying shares was estimated by using a number of inputs, including recent arm’s length transactions involving the sale of the Company’s common stock. The Company did not grant any</w:t>
      </w:r>
      <w:r>
        <w:rPr>
          <w:rFonts w:ascii="Times New Roman" w:hAnsi="Times New Roman"/>
          <w:sz w:val="20"/>
        </w:rPr>
        <w:t xml:space="preserve"> </w:t>
      </w:r>
      <w:r>
        <w:rPr>
          <w:rFonts w:ascii="Times New Roman;serif" w:hAnsi="Times New Roman;serif"/>
          <w:b w:val="false"/>
          <w:sz w:val="20"/>
        </w:rPr>
        <w:t>stock options during the three months ended March 31, 2023 and 2022, respectively.</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i/>
          <w:sz w:val="20"/>
        </w:rPr>
        <w:t>Expected term</w:t>
      </w:r>
      <w:r>
        <w:rPr>
          <w:rFonts w:ascii="Times New Roman" w:hAnsi="Times New Roman"/>
          <w:sz w:val="20"/>
        </w:rPr>
        <w:t>—</w:t>
      </w:r>
      <w:r>
        <w:rPr>
          <w:rFonts w:ascii="Times New Roman;serif" w:hAnsi="Times New Roman;serif"/>
          <w:b w:val="false"/>
          <w:sz w:val="20"/>
        </w:rPr>
        <w:t>The expected term represents the period of time that options are expected to be outstanding. As the Company does not have sufficient historical exercise behavior, it determines the expected life assumption using the simplified method, which is an average of the contractual term of the option and its vesting period.</w:t>
      </w:r>
    </w:p>
    <w:p>
      <w:pPr>
        <w:pStyle w:val="TextBody"/>
        <w:spacing w:before="240" w:after="0"/>
        <w:jc w:val="left"/>
        <w:rPr>
          <w:rFonts w:ascii="Times New Roman" w:hAnsi="Times New Roman"/>
          <w:sz w:val="20"/>
        </w:rPr>
      </w:pPr>
      <w:r>
        <w:rPr>
          <w:rFonts w:ascii="Times New Roman;serif" w:hAnsi="Times New Roman;serif"/>
          <w:b w:val="false"/>
          <w:i/>
          <w:sz w:val="20"/>
        </w:rPr>
        <w:t>Risk free interest rate</w:t>
      </w:r>
      <w:r>
        <w:rPr>
          <w:rFonts w:ascii="Times New Roman" w:hAnsi="Times New Roman"/>
          <w:sz w:val="20"/>
        </w:rPr>
        <w:t>—</w:t>
      </w:r>
      <w:r>
        <w:rPr>
          <w:rFonts w:ascii="Times New Roman;serif" w:hAnsi="Times New Roman;serif"/>
          <w:b w:val="false"/>
          <w:sz w:val="20"/>
        </w:rPr>
        <w:t>The risk-free interest rate is based on the implied yield available on U.S. Treasury issues with an equivalent term approximating the expected life of the options depending on the date of the grant and expected life of the options.</w:t>
      </w:r>
    </w:p>
    <w:p>
      <w:pPr>
        <w:pStyle w:val="TextBody"/>
        <w:spacing w:before="240" w:after="0"/>
        <w:jc w:val="left"/>
        <w:rPr>
          <w:rFonts w:ascii="Times New Roman" w:hAnsi="Times New Roman"/>
          <w:sz w:val="20"/>
        </w:rPr>
      </w:pPr>
      <w:r>
        <w:rPr>
          <w:rFonts w:ascii="Times New Roman;serif" w:hAnsi="Times New Roman;serif"/>
          <w:b w:val="false"/>
          <w:i/>
          <w:sz w:val="20"/>
        </w:rPr>
        <w:t>Expected dividend yield</w:t>
      </w:r>
      <w:r>
        <w:rPr>
          <w:rFonts w:ascii="Times New Roman" w:hAnsi="Times New Roman"/>
          <w:sz w:val="20"/>
        </w:rPr>
        <w:t>—</w:t>
      </w:r>
      <w:r>
        <w:rPr>
          <w:rFonts w:ascii="Times New Roman;serif" w:hAnsi="Times New Roman;serif"/>
          <w:b w:val="false"/>
          <w:sz w:val="20"/>
        </w:rPr>
        <w:t>The Company bases the expected dividend yield assumption on the fact that it has never paid cash dividends and has no present intention to pay cash dividends.</w:t>
      </w:r>
    </w:p>
    <w:p>
      <w:pPr>
        <w:pStyle w:val="TextBody"/>
        <w:spacing w:before="240" w:after="0"/>
        <w:jc w:val="left"/>
        <w:rPr>
          <w:rFonts w:ascii="Times New Roman" w:hAnsi="Times New Roman"/>
          <w:sz w:val="20"/>
        </w:rPr>
      </w:pPr>
      <w:r>
        <w:rPr>
          <w:rFonts w:ascii="Times New Roman;serif" w:hAnsi="Times New Roman;serif"/>
          <w:b w:val="false"/>
          <w:i/>
          <w:sz w:val="20"/>
        </w:rPr>
        <w:t>Expected volatility</w:t>
      </w:r>
      <w:r>
        <w:rPr>
          <w:rFonts w:ascii="Times New Roman" w:hAnsi="Times New Roman"/>
          <w:sz w:val="20"/>
        </w:rPr>
        <w:t>—</w:t>
      </w:r>
      <w:r>
        <w:rPr>
          <w:rFonts w:ascii="Times New Roman;serif" w:hAnsi="Times New Roman;serif"/>
          <w:b w:val="false"/>
          <w:sz w:val="20"/>
        </w:rPr>
        <w:t>Due to the Company’s limited operating history and lack of company-specific historical or implied volatility, the expected volatility assumption is based on historical volatilities of a peer group of similar companies whose share prices are publicly available. The Company identified a group of peer companies and considered their historical stock prices. In identifying peer companies, the Company considered the industry, stage of life cycle, size, and financial leverage of such other entities.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Activity with respect to stock options is summarized as follows:</w:t>
      </w:r>
    </w:p>
    <w:p>
      <w:pPr>
        <w:pStyle w:val="TextBody"/>
        <w:spacing w:before="0" w:after="0"/>
        <w:jc w:val="left"/>
        <w:rPr/>
      </w:pPr>
      <w:r>
        <w:rPr/>
        <w:t> </w:t>
      </w:r>
    </w:p>
    <w:tbl>
      <w:tblPr>
        <w:tblW w:w="10202" w:type="dxa"/>
        <w:jc w:val="left"/>
        <w:tblInd w:w="0" w:type="dxa"/>
        <w:tblCellMar>
          <w:top w:w="28" w:type="dxa"/>
          <w:left w:w="28" w:type="dxa"/>
          <w:bottom w:w="28" w:type="dxa"/>
          <w:right w:w="28" w:type="dxa"/>
        </w:tblCellMar>
      </w:tblPr>
      <w:tblGrid>
        <w:gridCol w:w="3466"/>
        <w:gridCol w:w="146"/>
        <w:gridCol w:w="146"/>
        <w:gridCol w:w="781"/>
        <w:gridCol w:w="166"/>
        <w:gridCol w:w="146"/>
        <w:gridCol w:w="457"/>
        <w:gridCol w:w="1239"/>
        <w:gridCol w:w="146"/>
        <w:gridCol w:w="146"/>
        <w:gridCol w:w="349"/>
        <w:gridCol w:w="866"/>
        <w:gridCol w:w="146"/>
        <w:gridCol w:w="146"/>
        <w:gridCol w:w="454"/>
        <w:gridCol w:w="911"/>
        <w:gridCol w:w="491"/>
      </w:tblGrid>
      <w:tr>
        <w:trPr/>
        <w:tc>
          <w:tcPr>
            <w:tcW w:w="3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34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Weighted-Average</w:t>
              <w:br/>
              <w:t>Exercise</w:t>
              <w:br/>
              <w:t>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Weighted-</w:t>
              <w:br/>
              <w:t>Average</w:t>
              <w:br/>
              <w:t>Remaining</w:t>
              <w:br/>
              <w:t>Contractual</w:t>
              <w:br/>
              <w:t>Term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Aggregate</w:t>
              <w:br/>
              <w:t>Intrinsic Value</w:t>
              <w:br/>
              <w:t>(in thousands)</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Options outstanding, January 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904,220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655</w:t>
            </w:r>
          </w:p>
        </w:tc>
        <w:tc>
          <w:tcPr>
            <w:tcW w:w="491" w:type="dxa"/>
            <w:tcBorders/>
            <w:shd w:fill="auto" w:val="clear"/>
            <w:vAlign w:val="center"/>
          </w:tcPr>
          <w:p>
            <w:pPr>
              <w:pStyle w:val="TableContents"/>
              <w:spacing w:before="0" w:after="0"/>
              <w:ind w:left="0" w:right="0" w:firstLine="300"/>
              <w:jc w:val="left"/>
              <w:rPr/>
            </w:pPr>
            <w:r>
              <w:rPr/>
              <w:t> </w:t>
            </w:r>
          </w:p>
        </w:tc>
      </w:tr>
      <w:tr>
        <w:trPr/>
        <w:tc>
          <w:tcPr>
            <w:tcW w:w="346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300"/>
              <w:jc w:val="left"/>
              <w:rPr/>
            </w:pPr>
            <w:r>
              <w:rPr/>
              <w:t> </w:t>
            </w:r>
          </w:p>
        </w:tc>
      </w:tr>
      <w:tr>
        <w:trPr/>
        <w:tc>
          <w:tcPr>
            <w:tcW w:w="346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300"/>
              <w:jc w:val="left"/>
              <w:rPr/>
            </w:pPr>
            <w:r>
              <w:rPr/>
              <w:t> </w:t>
            </w:r>
          </w:p>
        </w:tc>
      </w:tr>
      <w:tr>
        <w:trPr/>
        <w:tc>
          <w:tcPr>
            <w:tcW w:w="346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(38,414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300"/>
              <w:jc w:val="left"/>
              <w:rPr/>
            </w:pPr>
            <w:r>
              <w:rPr/>
              <w:t> </w:t>
            </w:r>
          </w:p>
        </w:tc>
      </w:tr>
      <w:tr>
        <w:trPr/>
        <w:tc>
          <w:tcPr>
            <w:tcW w:w="346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Expired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Options outstanding,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848,311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w:t>
            </w:r>
          </w:p>
        </w:tc>
        <w:tc>
          <w:tcPr>
            <w:tcW w:w="49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options,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480,297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9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Vested and exercisable,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368,014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w:t>
            </w:r>
          </w:p>
        </w:tc>
        <w:tc>
          <w:tcPr>
            <w:tcW w:w="4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At March 31, 2023, total estimated unrecognized stock-based compensation cost related to unvested stock options prior to that date was approximately $10.3</w:t>
      </w:r>
      <w:r>
        <w:rPr>
          <w:rFonts w:ascii="Times New Roman" w:hAnsi="Times New Roman"/>
          <w:sz w:val="20"/>
        </w:rPr>
        <w:t xml:space="preserve"> </w:t>
      </w:r>
      <w:r>
        <w:rPr>
          <w:rFonts w:ascii="Times New Roman;serif" w:hAnsi="Times New Roman;serif"/>
          <w:b w:val="false"/>
          <w:sz w:val="20"/>
        </w:rPr>
        <w:t>million, which is expected to be recognized over a weighted-average remaining period of 3.6</w:t>
      </w:r>
      <w:r>
        <w:rPr>
          <w:rFonts w:ascii="Times New Roman" w:hAnsi="Times New Roman"/>
          <w:sz w:val="20"/>
        </w:rPr>
        <w:t xml:space="preserve"> </w:t>
      </w:r>
      <w:r>
        <w:rPr>
          <w:rFonts w:ascii="Times New Roman;serif" w:hAnsi="Times New Roman;serif"/>
          <w:b w:val="false"/>
          <w:sz w:val="20"/>
        </w:rPr>
        <w:t>years.</w:t>
      </w:r>
    </w:p>
    <w:p>
      <w:pPr>
        <w:pStyle w:val="TextBody"/>
        <w:spacing w:before="240" w:after="0"/>
        <w:jc w:val="left"/>
        <w:rPr>
          <w:rFonts w:ascii="Times New Roman" w:hAnsi="Times New Roman"/>
          <w:sz w:val="20"/>
        </w:rPr>
      </w:pPr>
      <w:r>
        <w:rPr>
          <w:rFonts w:ascii="Times New Roman;serif" w:hAnsi="Times New Roman;serif"/>
          <w:b w:val="false"/>
          <w:sz w:val="20"/>
        </w:rPr>
        <w:t>The Company allowed certain stock option holders to exercise unvested options to purchase shares of Common Stock. Shares received from such early exercises are subject to repurchase in the event of the optionee’s employment termination, at the original issuance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val="false"/>
          <w:sz w:val="20"/>
        </w:rPr>
        <w:t>price, until the options are fully vested. As of March 31, 2023 and March 31, 2022 , 2,777</w:t>
      </w:r>
      <w:r>
        <w:rPr>
          <w:rFonts w:ascii="Times New Roman" w:hAnsi="Times New Roman"/>
          <w:sz w:val="20"/>
        </w:rPr>
        <w:t xml:space="preserve"> </w:t>
      </w:r>
      <w:r>
        <w:rPr>
          <w:rFonts w:ascii="Times New Roman;serif" w:hAnsi="Times New Roman;serif"/>
          <w:b w:val="false"/>
          <w:sz w:val="20"/>
        </w:rPr>
        <w:t>and 13,887</w:t>
      </w:r>
      <w:r>
        <w:rPr>
          <w:rFonts w:ascii="Times New Roman" w:hAnsi="Times New Roman"/>
          <w:sz w:val="20"/>
        </w:rPr>
        <w:t xml:space="preserve"> </w:t>
      </w:r>
      <w:r>
        <w:rPr>
          <w:rFonts w:ascii="Times New Roman;serif" w:hAnsi="Times New Roman;serif"/>
          <w:b w:val="false"/>
          <w:sz w:val="20"/>
        </w:rPr>
        <w:t>shares of Common Stock were subject to repurchase at a weighted-average price of $22.09</w:t>
      </w:r>
      <w:r>
        <w:rPr>
          <w:rFonts w:ascii="Times New Roman" w:hAnsi="Times New Roman"/>
          <w:sz w:val="20"/>
        </w:rPr>
        <w:t xml:space="preserve"> </w:t>
      </w:r>
      <w:r>
        <w:rPr>
          <w:rFonts w:ascii="Times New Roman;serif" w:hAnsi="Times New Roman;serif"/>
          <w:b w:val="false"/>
          <w:sz w:val="20"/>
        </w:rPr>
        <w:t>per share. The shares issued pursuant to unvested options have been included in shares issued and outstanding on the condensed consolidated balance sheets as such shares are considered legally outstanding.</w:t>
      </w:r>
    </w:p>
    <w:p>
      <w:pPr>
        <w:pStyle w:val="TextBody"/>
        <w:spacing w:before="240" w:after="0"/>
        <w:jc w:val="left"/>
        <w:rPr>
          <w:rFonts w:ascii="Times New Roman" w:hAnsi="Times New Roman"/>
          <w:sz w:val="20"/>
        </w:rPr>
      </w:pPr>
      <w:r>
        <w:rPr>
          <w:rFonts w:ascii="Times New Roman;serif" w:hAnsi="Times New Roman;serif"/>
          <w:b w:val="false"/>
          <w:sz w:val="20"/>
        </w:rPr>
        <w:t>On March 3, 2021, the Company granted the Chief Executive Officer stock options to purchase up to 358,001</w:t>
      </w:r>
      <w:r>
        <w:rPr>
          <w:rFonts w:ascii="Times New Roman" w:hAnsi="Times New Roman"/>
          <w:sz w:val="20"/>
        </w:rPr>
        <w:t xml:space="preserve"> </w:t>
      </w:r>
      <w:r>
        <w:rPr>
          <w:rFonts w:ascii="Times New Roman;serif" w:hAnsi="Times New Roman;serif"/>
          <w:b w:val="false"/>
          <w:sz w:val="20"/>
        </w:rPr>
        <w:t>shares of Common Stock in nine</w:t>
      </w:r>
      <w:r>
        <w:rPr>
          <w:rFonts w:ascii="Times New Roman" w:hAnsi="Times New Roman"/>
          <w:sz w:val="20"/>
        </w:rPr>
        <w:t xml:space="preserve"> </w:t>
      </w:r>
      <w:r>
        <w:rPr>
          <w:rFonts w:ascii="Times New Roman;serif" w:hAnsi="Times New Roman;serif"/>
          <w:b w:val="false"/>
          <w:sz w:val="20"/>
        </w:rPr>
        <w:t>tranches. Each of the nine tranches contain service, market and performance conditions. The market conditions relate to the achievement of certain specified price targets. Vesting commences on the grant date; however, no compensation charges are recognized until the service and performance condition are probable, which is upon the completion of a liquidity event, the achievement of specified price targets for each tranche of shares, and continuous employment. Upon the completion of the Business Combination, the performance condition was met and the Company recorded a cumulative stock-based compensation expense of $1.9</w:t>
      </w:r>
      <w:r>
        <w:rPr>
          <w:rFonts w:ascii="Times New Roman" w:hAnsi="Times New Roman"/>
          <w:sz w:val="20"/>
        </w:rPr>
        <w:t xml:space="preserve"> </w:t>
      </w:r>
      <w:r>
        <w:rPr>
          <w:rFonts w:ascii="Times New Roman;serif" w:hAnsi="Times New Roman;serif"/>
          <w:b w:val="false"/>
          <w:sz w:val="20"/>
        </w:rPr>
        <w:t>million. The options have a strike price of $23.18</w:t>
      </w:r>
      <w:r>
        <w:rPr>
          <w:rFonts w:ascii="Times New Roman" w:hAnsi="Times New Roman"/>
          <w:sz w:val="20"/>
        </w:rPr>
        <w:t xml:space="preserve"> </w:t>
      </w:r>
      <w:r>
        <w:rPr>
          <w:rFonts w:ascii="Times New Roman;serif" w:hAnsi="Times New Roman;serif"/>
          <w:b w:val="false"/>
          <w:sz w:val="20"/>
        </w:rPr>
        <w:t>per share. The Company determined the fair value of the options on the grant date to be $10.5</w:t>
      </w:r>
      <w:r>
        <w:rPr>
          <w:rFonts w:ascii="Times New Roman" w:hAnsi="Times New Roman"/>
          <w:sz w:val="20"/>
        </w:rPr>
        <w:t xml:space="preserve"> </w:t>
      </w:r>
      <w:r>
        <w:rPr>
          <w:rFonts w:ascii="Times New Roman;serif" w:hAnsi="Times New Roman;serif"/>
          <w:b w:val="false"/>
          <w:sz w:val="20"/>
        </w:rPr>
        <w:t>million using a Monte Carlo simulation with key inputs and assumptions such as stock price, term, dividend yield, risk-free interest rate, and volatility. The derived service periods determined by the valuation for each of the nine tranches range from approximately 3 years</w:t>
      </w:r>
      <w:r>
        <w:rPr>
          <w:rFonts w:ascii="Times New Roman" w:hAnsi="Times New Roman"/>
          <w:sz w:val="20"/>
        </w:rPr>
        <w:t xml:space="preserve"> </w:t>
      </w:r>
      <w:r>
        <w:rPr>
          <w:rFonts w:ascii="Times New Roman;serif" w:hAnsi="Times New Roman;serif"/>
          <w:b w:val="false"/>
          <w:sz w:val="20"/>
        </w:rPr>
        <w:t>to approximately 7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presents the key inputs and assumptions used to value the options granted to the Chief Executive Officer on the grant date:</w:t>
      </w:r>
    </w:p>
    <w:p>
      <w:pPr>
        <w:pStyle w:val="TextBody"/>
        <w:spacing w:before="0" w:after="0"/>
        <w:jc w:val="left"/>
        <w:rPr/>
      </w:pPr>
      <w:r>
        <w:rPr/>
        <w:t> </w:t>
      </w:r>
    </w:p>
    <w:tbl>
      <w:tblPr>
        <w:tblW w:w="3524" w:type="dxa"/>
        <w:jc w:val="left"/>
        <w:tblInd w:w="0" w:type="dxa"/>
        <w:tblCellMar>
          <w:top w:w="28" w:type="dxa"/>
          <w:left w:w="28" w:type="dxa"/>
          <w:bottom w:w="28" w:type="dxa"/>
          <w:right w:w="28" w:type="dxa"/>
        </w:tblCellMar>
      </w:tblPr>
      <w:tblGrid>
        <w:gridCol w:w="2131"/>
        <w:gridCol w:w="146"/>
        <w:gridCol w:w="222"/>
        <w:gridCol w:w="709"/>
        <w:gridCol w:w="316"/>
      </w:tblGrid>
      <w:tr>
        <w:trPr/>
        <w:tc>
          <w:tcPr>
            <w:tcW w:w="21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Remaining term</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10.0</w:t>
            </w:r>
            <w:r>
              <w:rPr>
                <w:rFonts w:ascii="Times New Roman" w:hAnsi="Times New Roman"/>
                <w:sz w:val="20"/>
              </w:rPr>
              <w:t> </w:t>
            </w:r>
            <w:r>
              <w:rPr>
                <w:rFonts w:ascii="Times New Roman;serif" w:hAnsi="Times New Roman;serif"/>
                <w:b w:val="false"/>
                <w:sz w:val="20"/>
              </w:rPr>
              <w:t>years</w:t>
            </w:r>
          </w:p>
        </w:tc>
        <w:tc>
          <w:tcPr>
            <w:tcW w:w="316" w:type="dxa"/>
            <w:tcBorders/>
            <w:shd w:fill="auto" w:val="clear"/>
            <w:vAlign w:val="center"/>
          </w:tcPr>
          <w:p>
            <w:pPr>
              <w:pStyle w:val="TableContents"/>
              <w:spacing w:before="0" w:after="0"/>
              <w:ind w:left="0" w:right="0" w:hanging="0"/>
              <w:jc w:val="righ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Restricted Stock Units: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Activity with respect to RSUs is summarized as follows:</w:t>
      </w:r>
    </w:p>
    <w:p>
      <w:pPr>
        <w:pStyle w:val="TextBody"/>
        <w:spacing w:before="0" w:after="0"/>
        <w:jc w:val="center"/>
        <w:rPr/>
      </w:pPr>
      <w:r>
        <w:rPr/>
        <w:t> </w:t>
      </w:r>
    </w:p>
    <w:tbl>
      <w:tblPr>
        <w:tblW w:w="6948" w:type="dxa"/>
        <w:jc w:val="left"/>
        <w:tblInd w:w="0" w:type="dxa"/>
        <w:tblCellMar>
          <w:top w:w="28" w:type="dxa"/>
          <w:left w:w="28" w:type="dxa"/>
          <w:bottom w:w="28" w:type="dxa"/>
          <w:right w:w="28" w:type="dxa"/>
        </w:tblCellMar>
      </w:tblPr>
      <w:tblGrid>
        <w:gridCol w:w="3226"/>
        <w:gridCol w:w="146"/>
        <w:gridCol w:w="146"/>
        <w:gridCol w:w="931"/>
        <w:gridCol w:w="166"/>
        <w:gridCol w:w="146"/>
        <w:gridCol w:w="403"/>
        <w:gridCol w:w="1293"/>
        <w:gridCol w:w="491"/>
      </w:tblGrid>
      <w:tr>
        <w:trPr/>
        <w:tc>
          <w:tcPr>
            <w:tcW w:w="32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32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Weighted-Average</w:t>
              <w:br/>
              <w:t>Grant-Date</w:t>
              <w:br/>
              <w:t>Fair Value</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Nonvested shares at January 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508,506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122.27</w:t>
            </w:r>
          </w:p>
        </w:tc>
        <w:tc>
          <w:tcPr>
            <w:tcW w:w="491" w:type="dxa"/>
            <w:tcBorders/>
            <w:shd w:fill="auto" w:val="clear"/>
            <w:vAlign w:val="center"/>
          </w:tcPr>
          <w:p>
            <w:pPr>
              <w:pStyle w:val="TableContents"/>
              <w:spacing w:before="0" w:after="0"/>
              <w:ind w:left="0" w:right="0" w:firstLine="300"/>
              <w:jc w:val="left"/>
              <w:rPr/>
            </w:pPr>
            <w:r>
              <w:rPr/>
              <w:t> </w:t>
            </w:r>
          </w:p>
        </w:tc>
      </w:tr>
      <w:tr>
        <w:trPr/>
        <w:tc>
          <w:tcPr>
            <w:tcW w:w="322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1,441,747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7.07</w:t>
            </w:r>
          </w:p>
        </w:tc>
        <w:tc>
          <w:tcPr>
            <w:tcW w:w="491" w:type="dxa"/>
            <w:tcBorders/>
            <w:shd w:fill="auto" w:val="clear"/>
            <w:vAlign w:val="center"/>
          </w:tcPr>
          <w:p>
            <w:pPr>
              <w:pStyle w:val="TableContents"/>
              <w:spacing w:before="0" w:after="0"/>
              <w:ind w:left="0" w:right="0" w:firstLine="300"/>
              <w:jc w:val="left"/>
              <w:rPr/>
            </w:pPr>
            <w:r>
              <w:rPr/>
              <w:t> </w:t>
            </w:r>
          </w:p>
        </w:tc>
      </w:tr>
      <w:tr>
        <w:trPr/>
        <w:tc>
          <w:tcPr>
            <w:tcW w:w="322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(67,317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97.44</w:t>
            </w:r>
          </w:p>
        </w:tc>
        <w:tc>
          <w:tcPr>
            <w:tcW w:w="491" w:type="dxa"/>
            <w:tcBorders/>
            <w:shd w:fill="auto" w:val="clear"/>
            <w:vAlign w:val="center"/>
          </w:tcPr>
          <w:p>
            <w:pPr>
              <w:pStyle w:val="TableContents"/>
              <w:spacing w:before="0" w:after="0"/>
              <w:ind w:left="0" w:right="0" w:firstLine="300"/>
              <w:jc w:val="left"/>
              <w:rPr/>
            </w:pPr>
            <w:r>
              <w:rPr/>
              <w:t> </w:t>
            </w:r>
          </w:p>
        </w:tc>
      </w:tr>
      <w:tr>
        <w:trPr/>
        <w:tc>
          <w:tcPr>
            <w:tcW w:w="3226" w:type="dxa"/>
            <w:tcBorders/>
            <w:shd w:fill="auto" w:val="clear"/>
            <w:vAlign w:val="center"/>
          </w:tcPr>
          <w:p>
            <w:pPr>
              <w:pStyle w:val="TableContents"/>
              <w:spacing w:before="0" w:after="0"/>
              <w:ind w:left="300" w:right="0" w:hanging="0"/>
              <w:jc w:val="left"/>
              <w:rPr/>
            </w:pPr>
            <w:r>
              <w:rPr/>
              <w:t> </w:t>
            </w: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(178,773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34.41</w:t>
            </w:r>
          </w:p>
        </w:tc>
        <w:tc>
          <w:tcPr>
            <w:tcW w:w="491" w:type="dxa"/>
            <w:tcBorders/>
            <w:shd w:fill="auto" w:val="clear"/>
            <w:vAlign w:val="center"/>
          </w:tcPr>
          <w:p>
            <w:pPr>
              <w:pStyle w:val="TableContents"/>
              <w:spacing w:before="0" w:after="0"/>
              <w:ind w:left="0" w:right="0" w:hanging="0"/>
              <w:jc w:val="left"/>
              <w:rPr/>
            </w:pPr>
            <w:r>
              <w:rPr/>
              <w:t> </w:t>
            </w:r>
          </w:p>
        </w:tc>
      </w:tr>
      <w:tr>
        <w:trPr/>
        <w:tc>
          <w:tcPr>
            <w:tcW w:w="3226" w:type="dxa"/>
            <w:tcBorders/>
            <w:shd w:fill="auto" w:val="clear"/>
            <w:vAlign w:val="center"/>
          </w:tcPr>
          <w:p>
            <w:pPr>
              <w:pStyle w:val="TableContents"/>
              <w:spacing w:before="0" w:after="0"/>
              <w:ind w:left="0" w:right="0" w:hanging="0"/>
              <w:jc w:val="left"/>
              <w:rPr/>
            </w:pPr>
            <w:r>
              <w:rPr/>
              <w:t> </w:t>
            </w:r>
            <w:r>
              <w:rPr>
                <w:rFonts w:ascii="Times New Roman;serif" w:hAnsi="Times New Roman;serif"/>
                <w:b/>
                <w:sz w:val="20"/>
              </w:rPr>
              <w:t>Nonvested shares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1,704,163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w:t>
            </w:r>
          </w:p>
        </w:tc>
        <w:tc>
          <w:tcPr>
            <w:tcW w:w="491" w:type="dxa"/>
            <w:tcBorders/>
            <w:shd w:fill="auto" w:val="clear"/>
            <w:vAlign w:val="center"/>
          </w:tcPr>
          <w:p>
            <w:pPr>
              <w:pStyle w:val="TableContents"/>
              <w:spacing w:before="0" w:after="0"/>
              <w:ind w:left="0" w:right="0" w:hanging="0"/>
              <w:jc w:val="left"/>
              <w:rPr/>
            </w:pPr>
            <w:r>
              <w:rPr/>
              <w:t> </w:t>
            </w:r>
          </w:p>
        </w:tc>
      </w:tr>
    </w:tbl>
    <w:p>
      <w:pPr>
        <w:pStyle w:val="TextBody"/>
        <w:spacing w:before="4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At March 31, 2023, total estimated unrecognized stock-based compensation cost related to nonvested RSUs was approximately $56.9</w:t>
      </w:r>
      <w:r>
        <w:rPr>
          <w:rFonts w:ascii="Times New Roman" w:hAnsi="Times New Roman"/>
          <w:sz w:val="20"/>
        </w:rPr>
        <w:t xml:space="preserve"> </w:t>
      </w:r>
      <w:r>
        <w:rPr>
          <w:rFonts w:ascii="Times New Roman;serif" w:hAnsi="Times New Roman;serif"/>
          <w:b w:val="false"/>
          <w:sz w:val="20"/>
        </w:rPr>
        <w:t>million, which is expected to be recognized over a weighted-average period of 2.7</w:t>
      </w:r>
      <w:r>
        <w:rPr>
          <w:rFonts w:ascii="Times New Roman" w:hAnsi="Times New Roman"/>
          <w:sz w:val="20"/>
        </w:rPr>
        <w:t xml:space="preserve"> </w:t>
      </w:r>
      <w:r>
        <w:rPr>
          <w:rFonts w:ascii="Times New Roman;serif" w:hAnsi="Times New Roman;serif"/>
          <w:b w:val="false"/>
          <w:sz w:val="20"/>
        </w:rPr>
        <w:t>years.</w:t>
      </w:r>
    </w:p>
    <w:p>
      <w:pPr>
        <w:pStyle w:val="TextBody"/>
        <w:spacing w:before="240" w:after="0"/>
        <w:jc w:val="left"/>
        <w:rPr>
          <w:rFonts w:ascii="Times New Roman" w:hAnsi="Times New Roman"/>
          <w:sz w:val="20"/>
        </w:rPr>
      </w:pPr>
      <w:r>
        <w:rPr>
          <w:rFonts w:ascii="Times New Roman;serif" w:hAnsi="Times New Roman;serif"/>
          <w:b w:val="false"/>
          <w:sz w:val="20"/>
        </w:rPr>
        <w:t>During the quarter ended March 31, 2023, the Company granted 629,454</w:t>
      </w:r>
      <w:r>
        <w:rPr>
          <w:rFonts w:ascii="Times New Roman" w:hAnsi="Times New Roman"/>
          <w:sz w:val="20"/>
        </w:rPr>
        <w:t xml:space="preserve"> </w:t>
      </w:r>
      <w:r>
        <w:rPr>
          <w:rFonts w:ascii="Times New Roman;serif" w:hAnsi="Times New Roman;serif"/>
          <w:b w:val="false"/>
          <w:sz w:val="20"/>
        </w:rPr>
        <w:t>RSUs to certain employees in six</w:t>
      </w:r>
      <w:r>
        <w:rPr>
          <w:rFonts w:ascii="Times New Roman" w:hAnsi="Times New Roman"/>
          <w:sz w:val="20"/>
        </w:rPr>
        <w:t xml:space="preserve"> </w:t>
      </w:r>
      <w:r>
        <w:rPr>
          <w:rFonts w:ascii="Times New Roman;serif" w:hAnsi="Times New Roman;serif"/>
          <w:b w:val="false"/>
          <w:sz w:val="20"/>
        </w:rPr>
        <w:t>tranches. Each of the six tranches contain service and market conditions. The market conditions relate to the achievement of certain specified price targets. Vesting commences on the grant date and the Company determined the fair value of the RSUs on the grant date to be approximately $3.0</w:t>
      </w:r>
      <w:r>
        <w:rPr>
          <w:rFonts w:ascii="Times New Roman" w:hAnsi="Times New Roman"/>
          <w:sz w:val="20"/>
        </w:rPr>
        <w:t xml:space="preserve"> </w:t>
      </w:r>
      <w:r>
        <w:rPr>
          <w:rFonts w:ascii="Times New Roman;serif" w:hAnsi="Times New Roman;serif"/>
          <w:b w:val="false"/>
          <w:sz w:val="20"/>
        </w:rPr>
        <w:t>million using a Monte Carlo simulation with key inputs and assumptions such as stock price, term, risk-free interest rate, and volatility. The derived service periods determined by the valuation for each of the six tranches range from approximately 2</w:t>
      </w:r>
      <w:r>
        <w:rPr>
          <w:rFonts w:ascii="Times New Roman" w:hAnsi="Times New Roman"/>
          <w:sz w:val="20"/>
        </w:rPr>
        <w:t xml:space="preserve"> </w:t>
      </w:r>
      <w:r>
        <w:rPr>
          <w:rFonts w:ascii="Times New Roman;serif" w:hAnsi="Times New Roman;serif"/>
          <w:b w:val="false"/>
          <w:sz w:val="20"/>
        </w:rPr>
        <w:t>years to approximately 3</w:t>
      </w:r>
      <w:r>
        <w:rPr>
          <w:rFonts w:ascii="Times New Roman" w:hAnsi="Times New Roman"/>
          <w:sz w:val="20"/>
        </w:rPr>
        <w:t xml:space="preserve"> </w:t>
      </w:r>
      <w:r>
        <w:rPr>
          <w:rFonts w:ascii="Times New Roman;serif" w:hAnsi="Times New Roman;serif"/>
          <w:b w:val="false"/>
          <w:sz w:val="20"/>
        </w:rPr>
        <w:t>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presents the key inputs and assumptions used to value the RSUs that contain service and market conditions on the grant date:</w:t>
      </w:r>
    </w:p>
    <w:p>
      <w:pPr>
        <w:pStyle w:val="TextBody"/>
        <w:spacing w:before="0" w:after="0"/>
        <w:jc w:val="left"/>
        <w:rPr/>
      </w:pPr>
      <w:r>
        <w:rPr/>
        <w:t> </w:t>
      </w:r>
    </w:p>
    <w:tbl>
      <w:tblPr>
        <w:tblW w:w="3134" w:type="dxa"/>
        <w:jc w:val="left"/>
        <w:tblInd w:w="0" w:type="dxa"/>
        <w:tblCellMar>
          <w:top w:w="28" w:type="dxa"/>
          <w:left w:w="28" w:type="dxa"/>
          <w:bottom w:w="28" w:type="dxa"/>
          <w:right w:w="28" w:type="dxa"/>
        </w:tblCellMar>
      </w:tblPr>
      <w:tblGrid>
        <w:gridCol w:w="1846"/>
        <w:gridCol w:w="146"/>
        <w:gridCol w:w="197"/>
        <w:gridCol w:w="629"/>
        <w:gridCol w:w="316"/>
      </w:tblGrid>
      <w:tr>
        <w:trPr/>
        <w:tc>
          <w:tcPr>
            <w:tcW w:w="1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Remaining term</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5.0</w:t>
            </w:r>
            <w:r>
              <w:rPr>
                <w:rFonts w:ascii="Times New Roman" w:hAnsi="Times New Roman"/>
                <w:sz w:val="20"/>
              </w:rPr>
              <w:t> </w:t>
            </w:r>
            <w:r>
              <w:rPr>
                <w:rFonts w:ascii="Times New Roman;serif" w:hAnsi="Times New Roman;serif"/>
                <w:b w:val="false"/>
                <w:sz w:val="20"/>
              </w:rPr>
              <w:t>years</w:t>
            </w:r>
          </w:p>
        </w:tc>
        <w:tc>
          <w:tcPr>
            <w:tcW w:w="316" w:type="dxa"/>
            <w:tcBorders/>
            <w:shd w:fill="auto" w:val="clear"/>
            <w:vAlign w:val="center"/>
          </w:tcPr>
          <w:p>
            <w:pPr>
              <w:pStyle w:val="TableContents"/>
              <w:spacing w:before="0" w:after="0"/>
              <w:ind w:left="0" w:right="0" w:hanging="0"/>
              <w:jc w:val="right"/>
              <w:rPr/>
            </w:pPr>
            <w:r>
              <w:rPr/>
              <w:t> </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160" w:after="0"/>
        <w:jc w:val="left"/>
        <w:rPr>
          <w:rFonts w:ascii="Times New Roman;serif" w:hAnsi="Times New Roman;serif"/>
          <w:b/>
          <w:sz w:val="20"/>
        </w:rPr>
      </w:pPr>
      <w:r>
        <w:rPr>
          <w:rFonts w:ascii="Times New Roman;serif" w:hAnsi="Times New Roman;serif"/>
          <w:b/>
          <w:sz w:val="20"/>
        </w:rPr>
        <w:t>Note 16 Related-Party Transactions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Leasing Arrangements:</w:t>
      </w:r>
    </w:p>
    <w:p>
      <w:pPr>
        <w:pStyle w:val="TextBody"/>
        <w:spacing w:before="240" w:after="0"/>
        <w:jc w:val="left"/>
        <w:rPr>
          <w:rFonts w:ascii="Times New Roman" w:hAnsi="Times New Roman"/>
          <w:sz w:val="20"/>
        </w:rPr>
      </w:pPr>
      <w:r>
        <w:rPr>
          <w:rFonts w:ascii="Times New Roman;serif" w:hAnsi="Times New Roman;serif"/>
          <w:b w:val="false"/>
          <w:sz w:val="20"/>
        </w:rPr>
        <w:t>For the three months ended March 31, 2023 and 2022, the Company paid $0.09</w:t>
      </w:r>
      <w:r>
        <w:rPr>
          <w:rFonts w:ascii="Times New Roman" w:hAnsi="Times New Roman"/>
          <w:sz w:val="20"/>
        </w:rPr>
        <w:t xml:space="preserve"> </w:t>
      </w:r>
      <w:r>
        <w:rPr>
          <w:rFonts w:ascii="Times New Roman;serif" w:hAnsi="Times New Roman;serif"/>
          <w:b w:val="false"/>
          <w:sz w:val="20"/>
        </w:rPr>
        <w:t>million and $0.08</w:t>
      </w:r>
      <w:r>
        <w:rPr>
          <w:rFonts w:ascii="Times New Roman" w:hAnsi="Times New Roman"/>
          <w:sz w:val="20"/>
        </w:rPr>
        <w:t xml:space="preserve"> </w:t>
      </w:r>
      <w:r>
        <w:rPr>
          <w:rFonts w:ascii="Times New Roman;serif" w:hAnsi="Times New Roman;serif"/>
          <w:b w:val="false"/>
          <w:sz w:val="20"/>
        </w:rPr>
        <w:t>million, respectively, under lease agreements with PCJW for general office space in Los Angeles, California.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is a schedule of future minimum rental payments as of March 31, 2023, under Company’s sub-lease for the properties located in Los Angeles, California signed with PCJW (in thousands):</w:t>
      </w:r>
    </w:p>
    <w:p>
      <w:pPr>
        <w:pStyle w:val="TextBody"/>
        <w:spacing w:before="0" w:after="0"/>
        <w:jc w:val="left"/>
        <w:rPr/>
      </w:pPr>
      <w:r>
        <w:rPr/>
        <w:t> </w:t>
      </w:r>
    </w:p>
    <w:tbl>
      <w:tblPr>
        <w:tblW w:w="5578" w:type="dxa"/>
        <w:jc w:val="left"/>
        <w:tblInd w:w="0" w:type="dxa"/>
        <w:tblCellMar>
          <w:top w:w="28" w:type="dxa"/>
          <w:left w:w="28" w:type="dxa"/>
          <w:bottom w:w="28" w:type="dxa"/>
          <w:right w:w="28" w:type="dxa"/>
        </w:tblCellMar>
      </w:tblPr>
      <w:tblGrid>
        <w:gridCol w:w="2776"/>
        <w:gridCol w:w="146"/>
        <w:gridCol w:w="744"/>
        <w:gridCol w:w="1701"/>
        <w:gridCol w:w="211"/>
      </w:tblGrid>
      <w:tr>
        <w:trPr/>
        <w:tc>
          <w:tcPr>
            <w:tcW w:w="27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Year</w:t>
            </w:r>
          </w:p>
        </w:tc>
        <w:tc>
          <w:tcPr>
            <w:tcW w:w="146" w:type="dxa"/>
            <w:tcBorders/>
            <w:shd w:fill="auto" w:val="clear"/>
            <w:vAlign w:val="center"/>
          </w:tcPr>
          <w:p>
            <w:pPr>
              <w:pStyle w:val="TableContents"/>
              <w:spacing w:before="0" w:after="0"/>
              <w:ind w:left="0" w:right="0" w:hanging="0"/>
              <w:jc w:val="left"/>
              <w:rPr/>
            </w:pPr>
            <w:r>
              <w:rPr/>
              <w:t> </w:t>
            </w:r>
          </w:p>
        </w:tc>
        <w:tc>
          <w:tcPr>
            <w:tcW w:w="24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Related-Party Commitment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w:t>
            </w:r>
          </w:p>
        </w:tc>
        <w:tc>
          <w:tcPr>
            <w:tcW w:w="211" w:type="dxa"/>
            <w:tcBorders/>
            <w:shd w:fill="auto" w:val="clear"/>
            <w:vAlign w:val="center"/>
          </w:tcPr>
          <w:p>
            <w:pPr>
              <w:pStyle w:val="TableContents"/>
              <w:spacing w:before="0" w:after="0"/>
              <w:ind w:left="0" w:right="0" w:hanging="0"/>
              <w:jc w:val="left"/>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left"/>
              <w:rPr/>
            </w:pPr>
            <w:r>
              <w:rPr/>
              <w:t> </w:t>
            </w:r>
          </w:p>
        </w:tc>
        <w:tc>
          <w:tcPr>
            <w:tcW w:w="17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211" w:type="dxa"/>
            <w:tcBorders/>
            <w:shd w:fill="auto" w:val="clear"/>
            <w:vAlign w:val="center"/>
          </w:tcPr>
          <w:p>
            <w:pPr>
              <w:pStyle w:val="TableContents"/>
              <w:spacing w:before="0" w:after="0"/>
              <w:ind w:left="0" w:right="0" w:hanging="0"/>
              <w:jc w:val="left"/>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left"/>
              <w:rPr/>
            </w:pPr>
            <w:r>
              <w:rPr/>
              <w:t> </w:t>
            </w:r>
          </w:p>
        </w:tc>
        <w:tc>
          <w:tcPr>
            <w:tcW w:w="17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w:t>
            </w:r>
          </w:p>
        </w:tc>
        <w:tc>
          <w:tcPr>
            <w:tcW w:w="211" w:type="dxa"/>
            <w:tcBorders/>
            <w:shd w:fill="auto" w:val="clear"/>
            <w:vAlign w:val="center"/>
          </w:tcPr>
          <w:p>
            <w:pPr>
              <w:pStyle w:val="TableContents"/>
              <w:spacing w:before="0" w:after="0"/>
              <w:ind w:left="0" w:right="0" w:hanging="0"/>
              <w:jc w:val="left"/>
              <w:rPr/>
            </w:pPr>
            <w:r>
              <w:rPr/>
              <w:t> </w:t>
            </w:r>
          </w:p>
        </w:tc>
      </w:tr>
      <w:tr>
        <w:trPr/>
        <w:tc>
          <w:tcPr>
            <w:tcW w:w="2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minimum lease payments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7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856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lease liabilities</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7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754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related-party components of the lease right-of-use assets, lease liabilities, short-term, and lease liabilities, long-term are presented as part of the right-of-use asset and lease liability on the condensed consolidated balance sheets.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VPCC Financing Agreement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 Senior Partner at Victory Park Capital Advisors, LLC joined the board of directors of the Company upon closing of the Business Combination. For more information about the VPC Financing Agreement, refer to Note 10, Debt Facility.</w:t>
      </w:r>
    </w:p>
    <w:p>
      <w:pPr>
        <w:pStyle w:val="TextBody"/>
        <w:spacing w:before="360" w:after="0"/>
        <w:jc w:val="left"/>
        <w:rPr>
          <w:rFonts w:ascii="Times New Roman;serif" w:hAnsi="Times New Roman;serif"/>
          <w:b/>
          <w:sz w:val="20"/>
        </w:rPr>
      </w:pPr>
      <w:r>
        <w:rPr>
          <w:rFonts w:ascii="Times New Roman;serif" w:hAnsi="Times New Roman;serif"/>
          <w:b/>
          <w:sz w:val="20"/>
        </w:rPr>
        <w:t>Note 17 401(k) Savings Plan</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maintains a 401(k) savings plan for the benefit of its employees. Employees can defer up to 90% of their compensation subject to fixed annual limits. All current employees are eligible to participate in the 401(k) savings plan. Beginning January 2021, the Company began matching contributions to the 401(k) savings plan equal to 100% of the first 4% of wages deferred by each participating employee. The Company incurred expenses for employer matching contributions of $0.5</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for the three months ended March 31, 2023 and 2022, respectively.</w:t>
      </w:r>
    </w:p>
    <w:p>
      <w:pPr>
        <w:pStyle w:val="TextBody"/>
        <w:spacing w:before="360" w:after="0"/>
        <w:jc w:val="left"/>
        <w:rPr>
          <w:rFonts w:ascii="Times New Roman;serif" w:hAnsi="Times New Roman;serif"/>
          <w:b/>
          <w:sz w:val="20"/>
        </w:rPr>
      </w:pPr>
      <w:r>
        <w:rPr>
          <w:rFonts w:ascii="Times New Roman;serif" w:hAnsi="Times New Roman;serif"/>
          <w:b/>
          <w:sz w:val="20"/>
        </w:rPr>
        <w:t>Note 18 Subsequent Events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Subsequent events are events or transactions that occur after the condensed consolidated balance sheet date, but before the condensed consolidated financial statements are available to be issued. The Company recognizes in the condensed consolidated financial statements the effects of all subsequent events that provide additional evidence about conditions that existed at the date of the condensed consolidated balance sheet, including the estimates inherent in the process of preparing the condensed consolidated financial statements. The Company’s condensed consolidated financial statements do not recognize subsequent events that provide evidence about conditions that did not exist at the date of the condensed consolidated balance sheet but arose after the condensed consolidated balance sheet date and before the condensed consolidated financial statements were available to be issued.</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Stock Option Repricing</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April 2023, the Company’s board of directors approved a stock option repricing, which is subject to stockholder approval, whereby 337,053</w:t>
      </w:r>
      <w:r>
        <w:rPr>
          <w:rFonts w:ascii="Times New Roman" w:hAnsi="Times New Roman"/>
          <w:sz w:val="20"/>
        </w:rPr>
        <w:t xml:space="preserve"> </w:t>
      </w:r>
      <w:r>
        <w:rPr>
          <w:rFonts w:ascii="Times New Roman;serif" w:hAnsi="Times New Roman;serif"/>
          <w:b w:val="false"/>
          <w:sz w:val="20"/>
        </w:rPr>
        <w:t>previously granted and unexercised options with exercise prices between $22.09</w:t>
      </w:r>
      <w:r>
        <w:rPr>
          <w:rFonts w:ascii="Times New Roman" w:hAnsi="Times New Roman"/>
          <w:sz w:val="20"/>
        </w:rPr>
        <w:t xml:space="preserve"> </w:t>
      </w:r>
      <w:r>
        <w:rPr>
          <w:rFonts w:ascii="Times New Roman;serif" w:hAnsi="Times New Roman;serif"/>
          <w:b w:val="false"/>
          <w:sz w:val="20"/>
        </w:rPr>
        <w:t>and $23.18</w:t>
      </w:r>
      <w:r>
        <w:rPr>
          <w:rFonts w:ascii="Times New Roman" w:hAnsi="Times New Roman"/>
          <w:sz w:val="20"/>
        </w:rPr>
        <w:t xml:space="preserve"> </w:t>
      </w:r>
      <w:r>
        <w:rPr>
          <w:rFonts w:ascii="Times New Roman;serif" w:hAnsi="Times New Roman;serif"/>
          <w:b w:val="false"/>
          <w:sz w:val="20"/>
        </w:rPr>
        <w:t>per share</w:t>
      </w:r>
      <w:r>
        <w:rPr>
          <w:rFonts w:ascii="Times New Roman" w:hAnsi="Times New Roman"/>
          <w:sz w:val="20"/>
        </w:rPr>
        <w:t xml:space="preserve"> </w:t>
      </w:r>
      <w:r>
        <w:rPr>
          <w:rFonts w:ascii="Times New Roman;serif" w:hAnsi="Times New Roman;serif"/>
          <w:b w:val="false"/>
          <w:sz w:val="20"/>
        </w:rPr>
        <w:t>held by service providers of the Company as of the date approved by its stockholders (the “Repricing Date”), would be repriced to the volume weighted average per share closing price of the Company’s common stock on The Nasdaq Stock Market for the thirty (30) trading days ending on and including the Repricing Date. There were no changes in the vesting schedule or maturity term of the options. The Company expects to record the impact of the option repricing in the</w:t>
      </w:r>
      <w:r>
        <w:rPr>
          <w:rFonts w:ascii="Times New Roman" w:hAnsi="Times New Roman"/>
          <w:sz w:val="20"/>
        </w:rPr>
        <w:t xml:space="preserve"> </w:t>
      </w:r>
      <w:r>
        <w:rPr>
          <w:rFonts w:ascii="Times New Roman;serif" w:hAnsi="Times New Roman;serif"/>
          <w:b w:val="false"/>
          <w:sz w:val="20"/>
        </w:rPr>
        <w:t>quarter ending June 30, 2023.</w:t>
      </w:r>
    </w:p>
    <w:p>
      <w:pPr>
        <w:pStyle w:val="TextBody"/>
        <w:spacing w:before="4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rFonts w:ascii="Times New Roman" w:hAnsi="Times New Roman"/>
          <w:sz w:val="20"/>
        </w:rPr>
      </w:pPr>
      <w:bookmarkStart w:id="11" w:name="item2_mda"/>
      <w:bookmarkEnd w:id="11"/>
      <w:r>
        <w:rPr>
          <w:rFonts w:ascii="Times New Roman;serif" w:hAnsi="Times New Roman;serif"/>
          <w:b/>
          <w:sz w:val="20"/>
        </w:rPr>
        <w:t>Item 2. Management’s Discussion and Analysis of Financial Condition and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The following discussion and analysis of the Company’s financial condition and results of operations should be read in conjunction with our unaudited condensed consolidated financial statements and the notes related thereto which are included elsewhere in this report.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“Item 1A. Risk Factors” and elsewhere in our Annual Report on Form 10-K.</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sz w:val="24"/>
        </w:rPr>
      </w:pPr>
      <w:r>
        <w:rPr>
          <w:rFonts w:ascii="Times New Roman;serif" w:hAnsi="Times New Roman;serif"/>
          <w:b/>
          <w:sz w:val="24"/>
        </w:rPr>
        <w:t>Overview</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story of David vs. Goliath, the small underdog is able to outsmart and defeat his larger adversary. This is the spirit behind the name “Dave.” We have built an integrated and fully digital financial services platform that provides millions of Americans with seamless access to a variety of intuitive financial products at a fraction of the cost and with much greater transparency and higher speed to value than that of the legacy financial services incumbents, such as traditional banks, credit unions and independent finance companies. Our mission is to build products that level the financial playing field. Our near-term strategy is focused on delivering a superior banking experience for anyone living paycheck to paycheck.</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our observation and analysis of Member data, legacy financial institutions charge high fees for consumer banking and other financial services products, which disproportionately burdens tens of millions of Americans who can least afford them. We witness this dynamic playing out with our Members who we believe are on average paying between $300-$400 per year in overdraft fees, maintenance and other fees to their existing bank for basic checking services.</w:t>
      </w:r>
    </w:p>
    <w:p>
      <w:pPr>
        <w:pStyle w:val="TextBody"/>
        <w:spacing w:before="120" w:after="0"/>
        <w:jc w:val="left"/>
        <w:rPr>
          <w:rFonts w:ascii="Times New Roman" w:hAnsi="Times New Roman"/>
          <w:sz w:val="20"/>
        </w:rPr>
      </w:pPr>
      <w:r>
        <w:rPr>
          <w:rFonts w:ascii="Times New Roman;serif" w:hAnsi="Times New Roman;serif"/>
          <w:b w:val="false"/>
          <w:sz w:val="20"/>
        </w:rPr>
        <w:t>Further, we see a significant opportunity to address the broader short-term credit market. According to a report by The Financial Health Network (“FHN”), legacy financial institutions charge approximately $30 billion in fees annually. The FHN estimates that financially “coping” and “vulnerable” populations pay over $120 billion a year in fees and interest for access to short-term credit. Our prospective Member opportunity is also significant. We estimate that our total addressable market consists of between 160 million to 180 million Americans who are in need of financial stability and are either not served or underserved by legacy financial institutions.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Dave offers a suite of innovative financial products aimed at helping our Members improve their financial health. To help Members avoid punitive overdraft fees and access short-term liquidity, Dave offers cash advances through its flagship 0% interest ExtraCash product. Through Dave Banking, we provide a digital checking account experience, seamlessly integrated with ExtraCash advances, with no hidden fees. With a Dave Banking account, Members have access to valuable tools for building long-term financial health, such as Goals savings accounts and customizable automatic round-up savings on debit spend transactions. We also help Members generate extra income for spending or emergencies through our Side Hustle product, where we present Members with supplemental work opportunities, and through our Surveys product, where Members can earn supplemental income by taking surveys. Our budgeting tool helps Members manage their upcoming bills to avoid overspending.</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4"/>
        </w:rPr>
        <w:br/>
      </w:r>
      <w:r>
        <w:rPr>
          <w:rFonts w:ascii="Times New Roman;serif" w:hAnsi="Times New Roman;serif"/>
          <w:b w:val="false"/>
          <w:sz w:val="20"/>
        </w:rPr>
        <w:t>We have only begun to address the many inequities in financial services, but our progress to date demonstrates the demand for Dave to rewire the financial system for the everyday person. Since inception and through the date of this report, over 10 million Members have registered on the Dave app and over eight million of them have used at least one of our current products and we believe that we have a substantial opportunity to continue growing our Member base going forward. We strongly believe that the value proposition of our platform approach will continue to accelerate as a result of our data-driven perspective of our Members, allowing us to introduce products and services that address their changing life circumstances.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Comparability of Financial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future results of operations and financial position may not be comparable to historical results as a result of the consummation of the Business Combination.</w:t>
      </w:r>
    </w:p>
    <w:p>
      <w:pPr>
        <w:pStyle w:val="TextBody"/>
        <w:spacing w:before="360" w:after="0"/>
        <w:jc w:val="left"/>
        <w:rPr>
          <w:rFonts w:ascii="Times New Roman;serif" w:hAnsi="Times New Roman;serif"/>
          <w:b/>
          <w:sz w:val="20"/>
        </w:rPr>
      </w:pPr>
      <w:r>
        <w:rPr>
          <w:rFonts w:ascii="Times New Roman;serif" w:hAnsi="Times New Roman;serif"/>
          <w:b/>
          <w:sz w:val="20"/>
        </w:rPr>
        <w:t>Key Factors Affecting Operating Results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future operating results and cash flows are dependent upon a number of opportunities, challenges and other factors, including Member growth and activity, product expansion, competition, industry trends and general economic conditions.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Member Growth and Activity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made significant investments in our platform and our business is dependent on continued Member growth, as well as our ability to offer new products and services and generate additional revenues from our existing members using such additional products and services. Member growth and activity are critical to our ability to increase our scale, capture market share and earn an attractive return on our technology, product and marketing investments. Growth in Members and Member activity will depend heavily on our ability to continue to offer attractive products and services and the success of our marketing and Member acquisition efforts.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360" w:after="0"/>
        <w:jc w:val="left"/>
        <w:rPr>
          <w:rFonts w:ascii="Times New Roman;serif" w:hAnsi="Times New Roman;serif"/>
          <w:b w:val="false"/>
          <w:sz w:val="20"/>
        </w:rPr>
      </w:pPr>
      <w:r>
        <w:rPr>
          <w:rFonts w:ascii="Times New Roman;serif" w:hAnsi="Times New Roman;serif"/>
          <w:b w:val="false"/>
          <w:sz w:val="20"/>
        </w:rPr>
        <w:t>Product Expansion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aim to develop and offer a best-in-class financial services platform with integrated products and services that improve the financial well-being of our Members. We have invested and continue to make significant investments in the development, improvement and marketing of our financial products and are focused on continual growth in the number of products we offer that are utilized by our Members.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Competition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face competition from several financial services-oriented institutions. In our reportable segment, as well as in potential new lines of business, we may compete with more established institutions, some of which have more financial resources. We compete at multiple levels, including competition among other financial institutions and lenders in our ExtraCash business, competition for deposits in and debit card spending from our Dave Banking product from traditional banks and digital banking products and competition for subscribers to our personal financial management tools. Some of our competitors may at times seek to increase their market share by undercutting pricing terms prevalent in that market, which could adversely affect our market share for any of our products and services or require us to incur higher member acquisition costs.</w:t>
      </w:r>
    </w:p>
    <w:p>
      <w:pPr>
        <w:pStyle w:val="TextBody"/>
        <w:spacing w:before="360" w:after="0"/>
        <w:jc w:val="left"/>
        <w:rPr>
          <w:rFonts w:ascii="Times New Roman;serif" w:hAnsi="Times New Roman;serif"/>
          <w:b/>
          <w:sz w:val="20"/>
        </w:rPr>
      </w:pPr>
      <w:r>
        <w:rPr>
          <w:rFonts w:ascii="Times New Roman;serif" w:hAnsi="Times New Roman;serif"/>
          <w:b/>
          <w:sz w:val="20"/>
        </w:rPr>
        <w:t>Key Components of Statements of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Basis of Presentation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Currently, we conduct business through one operating segment which constitutes a single reportable segment. For more information about our basis of presentation, refer to Note 2 in the accompanying unaudited condensed consolidated financial statements of Dave included in this report.</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Service Based Revenue,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Service based revenue, net primarily consists of optional tips, optional express processing fees and subscriptions charged to Members, net of processor-related costs associated with advance disbursements. Service based revenue, net also consists of lead generation fees from our Side Hustle advertising partners as well as fees earned related to the Rewards Product for Members who make debit card spending transactions at participating merchants.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Transaction Based Revenue, Net</w:t>
      </w:r>
    </w:p>
    <w:p>
      <w:pPr>
        <w:pStyle w:val="TextBody"/>
        <w:spacing w:before="120" w:after="0"/>
        <w:jc w:val="left"/>
        <w:rPr>
          <w:rFonts w:ascii="Times New Roman" w:hAnsi="Times New Roman"/>
          <w:sz w:val="20"/>
        </w:rPr>
      </w:pPr>
      <w:r>
        <w:rPr>
          <w:rFonts w:ascii="Times New Roman;serif" w:hAnsi="Times New Roman;serif"/>
          <w:b w:val="false"/>
          <w:sz w:val="20"/>
        </w:rPr>
        <w:t>Transaction based revenue, net primarily consists of interchange and ATM revenues from our Checking Product, net of interchange and ATM-related fees, fees earned from withdrawal-related transactions, volume support from a certain co-branded agreement, and deposit referral fees and are recognized at the point in time the transactions occur, as the performance obligations are satisfied and the variable consideration is not constrained.</w:t>
      </w:r>
      <w:r>
        <w:rPr>
          <w:rFonts w:ascii="Times New Roman" w:hAnsi="Times New Roman"/>
          <w:sz w:val="20"/>
        </w:rPr>
        <w:t xml:space="preserve"> </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Operating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classify our operating expenses into the following five categories: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Provision for Credit Losses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provision for credit losses primarily consists of an allowance for expected credit losses at a level estimated to be adequate to absorb credit losses inherent in the outstanding advances receivable, inclusive of outstanding processing fees and tips along with outstanding amounts aged over 120 days or which become uncollectible based on information available to us during the period. We currently estimate the allowance balance required using historical loss and collections experience, and, if relevant, the nature and volume of the portfolio, economic conditions, and other factors such as collections trends and cash collections received subsequent to the balance sheet date. Changes to the allowance have a direct impact on the provision for credit losses in the unaudited condensed consolidated statement of operations. We consider advances aged more than 120 days or which become uncollectible based on information available to us as impaired. All impaired advances are deemed uncollectible and subsequently written off and are a direct reduction to the allowance for credit losses. Subsequent recoveries, if any, of Member advances written-off are recorded as a reduction to Member advances, resulting in a reduction to the allowance for credit losses and a corresponding reduction to the provision for credit losses in the unaudited condensed consolidated statements of operations when collected.</w:t>
      </w:r>
    </w:p>
    <w:p>
      <w:pPr>
        <w:pStyle w:val="TextBody"/>
        <w:spacing w:before="360" w:after="0"/>
        <w:jc w:val="left"/>
        <w:rPr/>
      </w:pPr>
      <w:r>
        <w:rPr/>
        <w:t> </w:t>
      </w:r>
    </w:p>
    <w:p>
      <w:pPr>
        <w:pStyle w:val="TextBody"/>
        <w:spacing w:before="36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Processing and Servicing Costs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Processing and servicing fees consist of fees paid to our processing partners for the recovery of advances, optional tips, optional express processing fees and subscriptions. These expenses also include fees paid for services to connect Members’ bank accounts to our application. Except for processing and servicing fees associated with advance disbursements which are recorded net against revenue, all other processing and service fees are expensed as incurred.</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Advertising and Marketing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Advertising and marketing expenses consist primarily of fees we pay to our advertising and marketing platform partners. We incur advertising, marketing and production-related expenses for online, social media and television advertising and for partnerships and promotional advertising. Advertising and marketing expenses are expensed as incurred although they typically deliver a benefit over an extended period.</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Compensation and Benefits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Compensation and benefits expenses represent the compensation, inclusive of stock-based compensation and benefits, that we provide to our employees and the payments we make to third-party contractors. While we have an in-house customer service function, we employ third-party contractors to conduct call center operations and handle routine customer service inquiries and support.</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Other Operating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operating expenses consist primarily of technology and infrastructure (third-party Software as a Service “SaaS”), commitments to charity, transaction based costs (program expenses, association fees, processor fees, losses from Member-disputed transactions, bank card fees and fraud), depreciation and amortization of property and equipment and intangible assets, general and recurring legal fees, rent, certain sales tax related costs, office related expenses, public relations costs, professional service fees, travel and entertainment, and insurance. Costs associated with technology and infrastructure, rent, depreciation and amortization of our property and equipment and intangible assets, professional service fees, travel and entertainment, public relations costs, utilities, office-related expenses and insurance technology and infrastructure (third-party subscriptions), depreciation and amortization of property and equipment and intangible assets, general and recurring legal fees, rent, office-related expenses, public relations costs, professional service fees, travel and entertainment and insurance vary based upon our investment in infrastructure, business development, risk management and internal controls and are generally not correlated with our operating revenues or other transaction metrics.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Other (income)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(income) expenses consist of interest income, interest expense, other strategic financing and transactional expenses, earnout liabilities fair value adjustments, derivative asset fair value adjustments, and changes in fair value of warrant liabilities.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Provision for income taxes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Provision for income taxes consists of the federal and state corporate income taxes accrued on income resulting from the sale of our services.</w:t>
      </w:r>
    </w:p>
    <w:p>
      <w:pPr>
        <w:pStyle w:val="TextBody"/>
        <w:spacing w:before="360" w:after="0"/>
        <w:jc w:val="left"/>
        <w:rPr>
          <w:rFonts w:ascii="Times New Roman;serif" w:hAnsi="Times New Roman;serif"/>
          <w:b/>
          <w:sz w:val="20"/>
        </w:rPr>
      </w:pPr>
      <w:r>
        <w:rPr>
          <w:rFonts w:ascii="Times New Roman;serif" w:hAnsi="Times New Roman;serif"/>
          <w:b/>
          <w:sz w:val="20"/>
        </w:rPr>
        <w:t>Results of Operations</w:t>
      </w:r>
    </w:p>
    <w:p>
      <w:pPr>
        <w:pStyle w:val="TextBody"/>
        <w:spacing w:before="120" w:after="0"/>
        <w:jc w:val="left"/>
        <w:rPr>
          <w:rFonts w:ascii="Times New Roman;serif" w:hAnsi="Times New Roman;serif"/>
          <w:b/>
          <w:sz w:val="20"/>
        </w:rPr>
      </w:pPr>
      <w:r>
        <w:rPr>
          <w:rFonts w:ascii="Times New Roman;serif" w:hAnsi="Times New Roman;serif"/>
          <w:b/>
          <w:sz w:val="20"/>
        </w:rPr>
        <w:t>Comparison of the Three Months Ended March 31, 2023 and 2022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Operating revenues</w:t>
      </w:r>
    </w:p>
    <w:p>
      <w:pPr>
        <w:pStyle w:val="TextBody"/>
        <w:spacing w:before="0" w:after="0"/>
        <w:jc w:val="left"/>
        <w:rPr/>
      </w:pPr>
      <w:r>
        <w:rPr/>
        <w:t> </w:t>
      </w:r>
    </w:p>
    <w:tbl>
      <w:tblPr>
        <w:tblW w:w="8881" w:type="dxa"/>
        <w:jc w:val="left"/>
        <w:tblInd w:w="0" w:type="dxa"/>
        <w:tblCellMar>
          <w:top w:w="28" w:type="dxa"/>
          <w:left w:w="28" w:type="dxa"/>
          <w:bottom w:w="28" w:type="dxa"/>
          <w:right w:w="28" w:type="dxa"/>
        </w:tblCellMar>
      </w:tblPr>
      <w:tblGrid>
        <w:gridCol w:w="3271"/>
        <w:gridCol w:w="146"/>
        <w:gridCol w:w="259"/>
        <w:gridCol w:w="829"/>
        <w:gridCol w:w="179"/>
        <w:gridCol w:w="179"/>
        <w:gridCol w:w="259"/>
        <w:gridCol w:w="829"/>
        <w:gridCol w:w="146"/>
        <w:gridCol w:w="146"/>
        <w:gridCol w:w="239"/>
        <w:gridCol w:w="766"/>
        <w:gridCol w:w="166"/>
        <w:gridCol w:w="146"/>
        <w:gridCol w:w="317"/>
        <w:gridCol w:w="688"/>
        <w:gridCol w:w="316"/>
      </w:tblGrid>
      <w:tr>
        <w:trPr/>
        <w:tc>
          <w:tcPr>
            <w:tcW w:w="3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4"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 thousands, except for percentages)</w:t>
            </w:r>
          </w:p>
        </w:tc>
        <w:tc>
          <w:tcPr>
            <w:tcW w:w="146" w:type="dxa"/>
            <w:tcBorders/>
            <w:shd w:fill="auto" w:val="clear"/>
            <w:vAlign w:val="center"/>
          </w:tcPr>
          <w:p>
            <w:pPr>
              <w:pStyle w:val="TableContents"/>
              <w:spacing w:before="0" w:after="0"/>
              <w:ind w:left="0" w:right="0" w:hanging="0"/>
              <w:jc w:val="left"/>
              <w:rPr/>
            </w:pPr>
            <w:r>
              <w:rPr/>
              <w:t> </w:t>
            </w:r>
          </w:p>
        </w:tc>
        <w:tc>
          <w:tcPr>
            <w:tcW w:w="253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10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based revenue, net</w:t>
            </w:r>
          </w:p>
        </w:tc>
        <w:tc>
          <w:tcPr>
            <w:tcW w:w="146" w:type="dxa"/>
            <w:tcBorders/>
            <w:shd w:fill="auto" w:val="clear"/>
            <w:vAlign w:val="center"/>
          </w:tcPr>
          <w:p>
            <w:pPr>
              <w:pStyle w:val="TableContents"/>
              <w:spacing w:before="0" w:after="0"/>
              <w:ind w:left="0" w:right="0" w:hanging="0"/>
              <w:jc w:val="left"/>
              <w:rPr/>
            </w:pPr>
            <w:r>
              <w:rPr/>
              <w:t> </w:t>
            </w:r>
          </w:p>
        </w:tc>
        <w:tc>
          <w:tcPr>
            <w:tcW w:w="1088" w:type="dxa"/>
            <w:gridSpan w:val="2"/>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08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5"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Processing fees, net</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33,002</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Tips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13,760</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Subscriptions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5,619</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Transaction based revenue, net</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6,352</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58,928</w:t>
            </w:r>
          </w:p>
        </w:tc>
        <w:tc>
          <w:tcPr>
            <w:tcW w:w="1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42,551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16,377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40" w:after="0"/>
        <w:jc w:val="left"/>
        <w:rPr/>
      </w:pPr>
      <w:r>
        <w:rPr/>
        <w:t> </w:t>
      </w:r>
    </w:p>
    <w:p>
      <w:pPr>
        <w:pStyle w:val="TextBody"/>
        <w:spacing w:before="4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4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i/>
          <w:sz w:val="20"/>
        </w:rPr>
        <w:t>Service based revenue, net—</w:t>
      </w:r>
      <w:r>
        <w:rPr>
          <w:rFonts w:ascii="Times New Roman" w:hAnsi="Times New Roman"/>
          <w:sz w:val="20"/>
        </w:rPr>
        <w:t xml:space="preserve"> </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Processing fees,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Processing fees, net of processor costs associated with advance disbursements, for the three months ended March 31, 2023 were $33.0 million, an increase of $12.0 million, or 57%, from $21.0 million for the three months ended March 31, 2022. The increase was primarily attributable to increases in total advance volume from approximately $545.1 million to approximately $798.5 million period over period along with average advance amounts that increased from $132 to $154 as of the three months ended March 31, 2022 and 2023, respectively. Processing fees tend to increase as advance volume increases, but may not always trend ratably as processing fees vary depending on the total amount of the advance. The percentage of Members that chose to pay a processing fee to expedite an advance decreased slightly for the three months ended March 31, 2023 as compared to the three months ended March 31, 2022. The average processing fees Members paid to expedite these advances increased modestly for the three months ended March 31, 2023 as compared to the three months ended March 31, 2022.</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Tips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Tips for the three months ended March 31, 2023 were $13.8 million, a decrease of $0.1 million, or 1%, from $13.9 million for the three months ended March 31, 2022. The decrease was primarily attributable lower tip engagement from our members, offset by an increase in the average tip amounts from members. Tip amounts tend to increase as advance volume increases, but may not always trend ratably as tips often vary depending on the total amount of the advance.</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Subscriptions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Subscriptions for the three months ended March 31, 2023 were $5.6 million, an increase of $1.5 million, or 35%, from $4.2 million for the three months ended March 31, 2022. The increase was primarily attributable to higher subscription engagement with Members on our platform.</w:t>
      </w:r>
    </w:p>
    <w:p>
      <w:pPr>
        <w:pStyle w:val="TextBody"/>
        <w:spacing w:before="360" w:after="0"/>
        <w:jc w:val="left"/>
        <w:rPr>
          <w:rFonts w:ascii="Times New Roman" w:hAnsi="Times New Roman"/>
          <w:sz w:val="20"/>
        </w:rPr>
      </w:pPr>
      <w:r>
        <w:rPr>
          <w:rFonts w:ascii="Times New Roman;serif" w:hAnsi="Times New Roman;serif"/>
          <w:b w:val="false"/>
          <w:i/>
          <w:sz w:val="20"/>
        </w:rPr>
        <w:t>Transaction based revenue, net</w:t>
      </w:r>
      <w:r>
        <w:rPr>
          <w:rFonts w:ascii="Times New Roman" w:hAnsi="Times New Roman"/>
          <w:sz w:val="20"/>
        </w:rPr>
        <w:t>—</w:t>
      </w:r>
      <w:r>
        <w:rPr>
          <w:rFonts w:ascii="Times New Roman;serif" w:hAnsi="Times New Roman;serif"/>
          <w:b w:val="false"/>
          <w:sz w:val="20"/>
        </w:rPr>
        <w:t>Transaction based revenue, net for the three months ended March 31, 2023 was $6.4 million, an increase of $3.1 million, or 93% from $3.3 million, for the three months ended March 31, 2022. The increase was primarily attributable to the growth in Members engaging with our Checking Product and corresponding growth in the number of transactions initiated by Members.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Operating expenses</w:t>
      </w:r>
    </w:p>
    <w:p>
      <w:pPr>
        <w:pStyle w:val="TextBody"/>
        <w:spacing w:before="0" w:after="0"/>
        <w:jc w:val="left"/>
        <w:rPr/>
      </w:pPr>
      <w:r>
        <w:rPr/>
        <w:t> </w:t>
      </w:r>
    </w:p>
    <w:tbl>
      <w:tblPr>
        <w:tblW w:w="8881" w:type="dxa"/>
        <w:jc w:val="left"/>
        <w:tblInd w:w="0" w:type="dxa"/>
        <w:tblCellMar>
          <w:top w:w="28" w:type="dxa"/>
          <w:left w:w="28" w:type="dxa"/>
          <w:bottom w:w="28" w:type="dxa"/>
          <w:right w:w="28" w:type="dxa"/>
        </w:tblCellMar>
      </w:tblPr>
      <w:tblGrid>
        <w:gridCol w:w="3271"/>
        <w:gridCol w:w="146"/>
        <w:gridCol w:w="259"/>
        <w:gridCol w:w="829"/>
        <w:gridCol w:w="179"/>
        <w:gridCol w:w="179"/>
        <w:gridCol w:w="259"/>
        <w:gridCol w:w="829"/>
        <w:gridCol w:w="146"/>
        <w:gridCol w:w="146"/>
        <w:gridCol w:w="252"/>
        <w:gridCol w:w="753"/>
        <w:gridCol w:w="166"/>
        <w:gridCol w:w="146"/>
        <w:gridCol w:w="279"/>
        <w:gridCol w:w="726"/>
        <w:gridCol w:w="316"/>
      </w:tblGrid>
      <w:tr>
        <w:trPr/>
        <w:tc>
          <w:tcPr>
            <w:tcW w:w="3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4"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 thousands, except for percentages)</w:t>
            </w:r>
          </w:p>
        </w:tc>
        <w:tc>
          <w:tcPr>
            <w:tcW w:w="146" w:type="dxa"/>
            <w:tcBorders/>
            <w:shd w:fill="auto" w:val="clear"/>
            <w:vAlign w:val="center"/>
          </w:tcPr>
          <w:p>
            <w:pPr>
              <w:pStyle w:val="TableContents"/>
              <w:spacing w:before="0" w:after="0"/>
              <w:ind w:left="0" w:right="0" w:hanging="0"/>
              <w:jc w:val="left"/>
              <w:rPr/>
            </w:pPr>
            <w:r>
              <w:rPr/>
              <w:t> </w:t>
            </w:r>
          </w:p>
        </w:tc>
        <w:tc>
          <w:tcPr>
            <w:tcW w:w="253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10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11,953</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Processing and servicing costs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7,118</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Advertising and marketing</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9,471</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 and benefits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24,367</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operating expenses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18,501</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14,798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71,410</w:t>
            </w:r>
          </w:p>
        </w:tc>
        <w:tc>
          <w:tcPr>
            <w:tcW w:w="1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65,224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6,186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8" w:type="dxa"/>
            <w:gridSpan w:val="2"/>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08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5"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bl>
    <w:p>
      <w:pPr>
        <w:pStyle w:val="TextBody"/>
        <w:spacing w:before="4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i/>
          <w:sz w:val="20"/>
        </w:rPr>
        <w:t>Provision for credit losses</w:t>
      </w:r>
      <w:r>
        <w:rPr>
          <w:rFonts w:ascii="Times New Roman" w:hAnsi="Times New Roman"/>
          <w:sz w:val="20"/>
        </w:rPr>
        <w:t>—</w:t>
      </w:r>
      <w:r>
        <w:rPr>
          <w:rFonts w:ascii="Times New Roman;serif" w:hAnsi="Times New Roman;serif"/>
          <w:b w:val="false"/>
          <w:sz w:val="20"/>
        </w:rPr>
        <w:t>The provision for credit losses totaled $12.0 million for the three months ended March 31, 2023, compared to $13.8 million for the three months ended March 31, 2022. The decrease of $1.8 million, or 13%, was primarily attributable to an increase in provision expense of $9.6 million related to Member advances aged over 120 days and those that have become uncollectible based on information available to us, offset by a decrease in provision expense of $11.5 million related to Member advances aged 120 days and under.</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increase in provision expense of $9.6 million related to Member advances aged over 120 days and those which have become uncollectible based on information available to us, period over period, was primarily driven by an increase in total advance volume from $451.3 million during the fourth quarter of 2021 to $801.3 million during the fourth quarter of 2022. All impaired advances deemed uncollectible are subsequently written-off and are a direct reduction to the allowance for credit losses.</w:t>
      </w:r>
    </w:p>
    <w:p>
      <w:pPr>
        <w:pStyle w:val="TextBody"/>
        <w:spacing w:before="240" w:after="0"/>
        <w:jc w:val="left"/>
        <w:rPr>
          <w:rFonts w:ascii="Times New Roman" w:hAnsi="Times New Roman"/>
          <w:sz w:val="20"/>
        </w:rPr>
      </w:pPr>
      <w:r>
        <w:rPr>
          <w:rFonts w:ascii="Times New Roman;serif" w:hAnsi="Times New Roman;serif"/>
          <w:b w:val="false"/>
          <w:sz w:val="20"/>
        </w:rPr>
        <w:t>The decrease in provision expense related to Member advances aged 120 days and under was primarily attributed to strong collections performance during the three months ended March 31, 2023. The strong collections performance was due in large part to the positive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seasonal effects of tax refunds on our Members. This resulted in a decrease in Member advances outstanding as of March 31, 2023 as compared to the three months ended March 31, 2022. This decrease in Member advances outstanding resulted in a decrease to the allowance for credit losses and corresponding lower provision for credit losses expense during the three months ended March 31, 2023 as compared to March 31, 2022. We anticipate fluctuations in Member advances outstanding each period as they are directly correlated with the timing and volume of Member advance activity during the last 30 days prior to the end of the period.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three months ended March 31, 2023, loss and collections experience of Member advances improved compared to the three months ended March 31, 2022. The historical loss rates utilized in the calculation of the allowance for credit losses also slightly improved period over period. Any changes to our historical loss and collections experience directly affects the historical loss rates utilized in the calculation of the allowance for credit losses. The changes in the allowance for credit losses, period over period, has a direct impact on the provision for credit losses expense.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information on the aging of Member advances and a rollforward of the allowance for credit losses, refer to the tables in Note 5 Member Cash Advances, Net in the accompanying unaudited condensed consolidated financial statements included in this report.</w:t>
      </w:r>
    </w:p>
    <w:p>
      <w:pPr>
        <w:pStyle w:val="TextBody"/>
        <w:spacing w:before="240" w:after="0"/>
        <w:jc w:val="left"/>
        <w:rPr>
          <w:rFonts w:ascii="Times New Roman" w:hAnsi="Times New Roman"/>
          <w:sz w:val="20"/>
        </w:rPr>
      </w:pPr>
      <w:r>
        <w:rPr>
          <w:rFonts w:ascii="Times New Roman;serif" w:hAnsi="Times New Roman;serif"/>
          <w:b w:val="false"/>
          <w:i/>
          <w:sz w:val="20"/>
        </w:rPr>
        <w:t>Processing and service costs</w:t>
      </w:r>
      <w:r>
        <w:rPr>
          <w:rFonts w:ascii="Times New Roman" w:hAnsi="Times New Roman"/>
          <w:sz w:val="20"/>
        </w:rPr>
        <w:t>—</w:t>
      </w:r>
      <w:r>
        <w:rPr>
          <w:rFonts w:ascii="Times New Roman;serif" w:hAnsi="Times New Roman;serif"/>
          <w:b w:val="false"/>
          <w:sz w:val="20"/>
        </w:rPr>
        <w:t>Processing and servicing costs totaled $7.1 million for the three months ended March 31, 2023, compared to $6.5 million for the three months ended March 31, 2022. The increase of $0.6 million, or 9%, was primarily attributable to the increase in advance volume from approximately $545.1 million to approximately $798.5 million, offset by certain payment flow optimizations and cost savings related to price reductions from our processors.</w:t>
      </w:r>
    </w:p>
    <w:p>
      <w:pPr>
        <w:pStyle w:val="TextBody"/>
        <w:spacing w:before="240" w:after="0"/>
        <w:jc w:val="left"/>
        <w:rPr>
          <w:rFonts w:ascii="Times New Roman" w:hAnsi="Times New Roman"/>
          <w:sz w:val="20"/>
        </w:rPr>
      </w:pPr>
      <w:r>
        <w:rPr>
          <w:rFonts w:ascii="Times New Roman;serif" w:hAnsi="Times New Roman;serif"/>
          <w:b w:val="false"/>
          <w:i/>
          <w:sz w:val="20"/>
        </w:rPr>
        <w:t>Advertising and marketing</w:t>
      </w:r>
      <w:r>
        <w:rPr>
          <w:rFonts w:ascii="Times New Roman" w:hAnsi="Times New Roman"/>
          <w:sz w:val="20"/>
        </w:rPr>
        <w:t>—</w:t>
      </w:r>
      <w:r>
        <w:rPr>
          <w:rFonts w:ascii="Times New Roman;serif" w:hAnsi="Times New Roman;serif"/>
          <w:b w:val="false"/>
          <w:sz w:val="20"/>
        </w:rPr>
        <w:t>Advertising and marketing expenses totaled $9.5 million for the three months ended March 31, 2023, compared to $12.2 million for the three months ended March 31, 2022. The decrease of $2.7 million, or 22%, was primarily attributable to an optimization of advertising efforts and decreased advertising, marketing, production and promotional spend across various social media platforms and television. Advertising and marketing spend is expected to increase in the second and third quarters of fiscal 2023 as we seek to capitalize on the expected increase in demand for our ExtraCash product compared to the first quarter of fiscal 2023 when demand is typically lower.</w:t>
      </w:r>
    </w:p>
    <w:p>
      <w:pPr>
        <w:pStyle w:val="TextBody"/>
        <w:spacing w:before="240" w:after="0"/>
        <w:jc w:val="left"/>
        <w:rPr>
          <w:rFonts w:ascii="Times New Roman" w:hAnsi="Times New Roman"/>
          <w:sz w:val="20"/>
        </w:rPr>
      </w:pPr>
      <w:r>
        <w:rPr>
          <w:rFonts w:ascii="Times New Roman;serif" w:hAnsi="Times New Roman;serif"/>
          <w:b w:val="false"/>
          <w:i/>
          <w:sz w:val="20"/>
        </w:rPr>
        <w:t>Compensation and benefits</w:t>
      </w:r>
      <w:r>
        <w:rPr>
          <w:rFonts w:ascii="Times New Roman" w:hAnsi="Times New Roman"/>
          <w:sz w:val="20"/>
        </w:rPr>
        <w:t>—</w:t>
      </w:r>
      <w:r>
        <w:rPr>
          <w:rFonts w:ascii="Times New Roman;serif" w:hAnsi="Times New Roman;serif"/>
          <w:b w:val="false"/>
          <w:sz w:val="20"/>
        </w:rPr>
        <w:t>Compensation and benefits expenses totaled $24.4 million for the three months ended March 31, 2023, compared to $17.9 million for the three months ended March 31, 2022. The increase of $6.5 million, or 36%, was primarily attributable to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an increase in payroll and related costs of $3.6 million, primarily due to hiring and increased headcount throughout the business;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an increase in stock-based compensation of $3.6 million, primarily related to restricted stock units granted after Q1 2022 and throughout 2022; offset by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 decrease in contractor and consulting fees of $0.7 million.</w:t>
      </w:r>
    </w:p>
    <w:p>
      <w:pPr>
        <w:pStyle w:val="TextBody"/>
        <w:spacing w:before="240" w:after="0"/>
        <w:jc w:val="left"/>
        <w:rPr>
          <w:rFonts w:ascii="Times New Roman" w:hAnsi="Times New Roman"/>
          <w:sz w:val="20"/>
        </w:rPr>
      </w:pPr>
      <w:r>
        <w:rPr>
          <w:rFonts w:ascii="Times New Roman;serif" w:hAnsi="Times New Roman;serif"/>
          <w:b w:val="false"/>
          <w:i/>
          <w:sz w:val="20"/>
        </w:rPr>
        <w:t>Other operating expenses</w:t>
      </w:r>
      <w:r>
        <w:rPr>
          <w:rFonts w:ascii="Times New Roman" w:hAnsi="Times New Roman"/>
          <w:sz w:val="20"/>
        </w:rPr>
        <w:t>—</w:t>
      </w:r>
      <w:r>
        <w:rPr>
          <w:rFonts w:ascii="Times New Roman;serif" w:hAnsi="Times New Roman;serif"/>
          <w:b w:val="false"/>
          <w:sz w:val="20"/>
        </w:rPr>
        <w:t>Other operating expenses totaled $18.6 million for the three months ended March 31, 2023, compared to $14.8 million for the three months ended March 31, 2022. The increase of $3.8 million, or 25%, was primarily attributable to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increase in expenses related to our Checking Product of $2.3 million, primarily attributable to processing fees, card fees and fraud related costs associated with the growth in Members and the number of transactions processed;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increase in charitable contribution expenses of $1.5 million, primarily due to amounts pledged to charitable meal donations related to Members’ tips;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increase in legal fees of $0.6 million primarily due to ongoing litigation, compliance, employment and general corporate related matters;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increase in accounting costs of $0.4 million, primarily related to various audit, tax and Sarbanes-Oxley compliance readiness related fees associated with the Business Combination in January 2022;</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increase in technology and infrastructure expenses of $0.2 million, primarily due to increased costs to support the growth of our business and development of new products and features;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 increase in depreciation and amortization of $0.1 million, primarily due to accelerated amortization related to the change in useful life of a certain intangible asset, increased amortization of internally developed software due to increased internally developed capitalized costs, and depreciation related to leasehold improvements and equipment purchases; offset by</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decrease in insurance related costs of $0.8 million, primarily related to lower director and officer, general liability and cyber insurance premiums; and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decrease in rent expense of $0.4 million, due to a reduction in leased office space;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 decrease in various administrative expenses of $0.1 million, primarily due to increases in investor relations fees, company meetings, bank service charges, sales tax, licenses and fees, travel and entertainment and other administrative expenses.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Other (income) expense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729"/>
        <w:gridCol w:w="146"/>
        <w:gridCol w:w="254"/>
        <w:gridCol w:w="760"/>
        <w:gridCol w:w="199"/>
        <w:gridCol w:w="175"/>
        <w:gridCol w:w="254"/>
        <w:gridCol w:w="813"/>
        <w:gridCol w:w="166"/>
        <w:gridCol w:w="146"/>
        <w:gridCol w:w="245"/>
        <w:gridCol w:w="733"/>
        <w:gridCol w:w="166"/>
        <w:gridCol w:w="146"/>
        <w:gridCol w:w="206"/>
        <w:gridCol w:w="746"/>
        <w:gridCol w:w="321"/>
      </w:tblGrid>
      <w:tr>
        <w:trPr/>
        <w:tc>
          <w:tcPr>
            <w:tcW w:w="47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r>
      <w:tr>
        <w:trPr/>
        <w:tc>
          <w:tcPr>
            <w:tcW w:w="472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5"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4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2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 thousands, except for percentages)</w:t>
            </w:r>
          </w:p>
        </w:tc>
        <w:tc>
          <w:tcPr>
            <w:tcW w:w="146" w:type="dxa"/>
            <w:tcBorders/>
            <w:shd w:fill="auto" w:val="clear"/>
            <w:vAlign w:val="center"/>
          </w:tcPr>
          <w:p>
            <w:pPr>
              <w:pStyle w:val="TableContents"/>
              <w:spacing w:before="0" w:after="0"/>
              <w:ind w:left="0" w:right="0" w:hanging="0"/>
              <w:jc w:val="left"/>
              <w:rPr/>
            </w:pPr>
            <w:r>
              <w:rPr/>
              <w:t> </w:t>
            </w:r>
          </w:p>
        </w:tc>
        <w:tc>
          <w:tcPr>
            <w:tcW w:w="245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2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1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5" w:type="dxa"/>
            <w:tcBorders/>
            <w:shd w:fill="auto" w:val="clear"/>
            <w:vAlign w:val="center"/>
          </w:tcPr>
          <w:p>
            <w:pPr>
              <w:pStyle w:val="TableContents"/>
              <w:spacing w:before="0" w:after="0"/>
              <w:ind w:left="0" w:right="0" w:hanging="0"/>
              <w:jc w:val="center"/>
              <w:rPr/>
            </w:pPr>
            <w:r>
              <w:rPr/>
              <w:t> </w:t>
            </w:r>
          </w:p>
        </w:tc>
        <w:tc>
          <w:tcPr>
            <w:tcW w:w="10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(1,192</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5"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9069</w:t>
            </w:r>
          </w:p>
        </w:tc>
        <w:tc>
          <w:tcPr>
            <w:tcW w:w="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2,898</w:t>
            </w:r>
          </w:p>
        </w:tc>
        <w:tc>
          <w:tcPr>
            <w:tcW w:w="199"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strategic financing and transactional expenses</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9"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 of earnout liabilities</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5"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 of derivative asset on loans to stockholders</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9"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8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(5,572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 of public and private warrant liabilities</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5" w:type="dxa"/>
            <w:tcBorders/>
            <w:shd w:fill="auto" w:val="cle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2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1,535</w:t>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10,100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(8,565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2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4" w:type="dxa"/>
            <w:gridSpan w:val="2"/>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106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8"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2" w:type="dxa"/>
            <w:gridSpan w:val="2"/>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r>
    </w:tbl>
    <w:p>
      <w:pPr>
        <w:pStyle w:val="TextBody"/>
        <w:spacing w:before="4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i/>
          <w:sz w:val="20"/>
        </w:rPr>
        <w:t>Interest income</w:t>
      </w:r>
      <w:r>
        <w:rPr>
          <w:rFonts w:ascii="Times New Roman" w:hAnsi="Times New Roman"/>
          <w:sz w:val="20"/>
        </w:rPr>
        <w:t xml:space="preserve">— </w:t>
      </w:r>
      <w:r>
        <w:rPr>
          <w:rFonts w:ascii="Times New Roman;serif" w:hAnsi="Times New Roman;serif"/>
          <w:b w:val="false"/>
          <w:sz w:val="20"/>
        </w:rPr>
        <w:t>Interest income totaled $1.2 million for the three months ended March 31, 2023, compared to $0.01 million for three months ended March 31, 2022. The increase of $1.2 million was primarily attributable to interest earned from yields from short-term investments purchased during the quarter ended June 30, 2022.</w:t>
      </w:r>
    </w:p>
    <w:p>
      <w:pPr>
        <w:pStyle w:val="TextBody"/>
        <w:spacing w:before="240" w:after="0"/>
        <w:jc w:val="left"/>
        <w:rPr>
          <w:rFonts w:ascii="Times New Roman" w:hAnsi="Times New Roman"/>
          <w:sz w:val="20"/>
        </w:rPr>
      </w:pPr>
      <w:r>
        <w:rPr>
          <w:rFonts w:ascii="Times New Roman;serif" w:hAnsi="Times New Roman;serif"/>
          <w:b w:val="false"/>
          <w:i/>
          <w:sz w:val="20"/>
        </w:rPr>
        <w:t>Interest expense</w:t>
      </w:r>
      <w:r>
        <w:rPr>
          <w:rFonts w:ascii="Times New Roman" w:hAnsi="Times New Roman"/>
          <w:sz w:val="20"/>
        </w:rPr>
        <w:t xml:space="preserve">— </w:t>
      </w:r>
      <w:r>
        <w:rPr>
          <w:rFonts w:ascii="Times New Roman;serif" w:hAnsi="Times New Roman;serif"/>
          <w:b w:val="false"/>
          <w:sz w:val="20"/>
        </w:rPr>
        <w:t>Interest expense totaled $2.9 million for the three months ended March 31, 2023, compared to $1.6 million for the three months ended March 31, 2022. The increase of $1.3 million, or 86%, was primarily attributable to interest related to increased borrowings from the delayed draw senior secured loan facility (the “Debt Facility”) which Dave OD Funding I, LLC (“Dave OD”) entered into during January 2021, along with interest related to the Note with FTX Ventures and higher interest rates on borrowings under the Debt Facility.</w:t>
      </w:r>
    </w:p>
    <w:p>
      <w:pPr>
        <w:pStyle w:val="TextBody"/>
        <w:spacing w:before="240" w:after="0"/>
        <w:jc w:val="left"/>
        <w:rPr>
          <w:rFonts w:ascii="Times New Roman" w:hAnsi="Times New Roman"/>
          <w:sz w:val="20"/>
        </w:rPr>
      </w:pPr>
      <w:r>
        <w:rPr>
          <w:rFonts w:ascii="Times New Roman;serif" w:hAnsi="Times New Roman;serif"/>
          <w:b w:val="false"/>
          <w:i/>
          <w:sz w:val="20"/>
        </w:rPr>
        <w:t>Other strategic financing and transactional expenses</w:t>
      </w:r>
      <w:r>
        <w:rPr>
          <w:rFonts w:ascii="Times New Roman" w:hAnsi="Times New Roman"/>
          <w:sz w:val="20"/>
        </w:rPr>
        <w:t>—</w:t>
      </w:r>
      <w:r>
        <w:rPr>
          <w:rFonts w:ascii="Times New Roman;serif" w:hAnsi="Times New Roman;serif"/>
          <w:b w:val="false"/>
          <w:sz w:val="20"/>
        </w:rPr>
        <w:t>Other strategic financing and transactional expenses totaled $0 for the three months ended March 31, 202, compared to $1.0 million for the three months ended March 31, 2022.</w:t>
      </w:r>
      <w:r>
        <w:rPr>
          <w:rFonts w:ascii="Times New Roman" w:hAnsi="Times New Roman"/>
          <w:sz w:val="20"/>
        </w:rPr>
        <w:t xml:space="preserve"> </w:t>
      </w:r>
      <w:r>
        <w:rPr>
          <w:rFonts w:ascii="Times New Roman;serif" w:hAnsi="Times New Roman;serif"/>
          <w:b w:val="false"/>
          <w:sz w:val="20"/>
        </w:rPr>
        <w:t>The decrease of $1.0 million was related to certain one-time strategic opportunities in addition to certain one-time post-closing expenses associated with the Business Combination that occurred during the three months ended March 31, 2022.</w:t>
      </w:r>
    </w:p>
    <w:p>
      <w:pPr>
        <w:pStyle w:val="TextBody"/>
        <w:spacing w:before="240" w:after="0"/>
        <w:jc w:val="left"/>
        <w:rPr>
          <w:rFonts w:ascii="Times New Roman" w:hAnsi="Times New Roman"/>
          <w:sz w:val="20"/>
        </w:rPr>
      </w:pPr>
      <w:r>
        <w:rPr>
          <w:rFonts w:ascii="Times New Roman;serif" w:hAnsi="Times New Roman;serif"/>
          <w:b w:val="false"/>
          <w:i/>
          <w:sz w:val="20"/>
        </w:rPr>
        <w:t>Changes in fair value of earnout liability</w:t>
      </w:r>
      <w:r>
        <w:rPr>
          <w:rFonts w:ascii="Times New Roman" w:hAnsi="Times New Roman"/>
          <w:sz w:val="20"/>
        </w:rPr>
        <w:t>—</w:t>
      </w:r>
      <w:r>
        <w:rPr>
          <w:rFonts w:ascii="Times New Roman;serif" w:hAnsi="Times New Roman;serif"/>
          <w:b w:val="false"/>
          <w:sz w:val="20"/>
        </w:rPr>
        <w:t>Changes in fair value of earnout liabilities totaled a benefit of $0.03 million for the three months ended March 31, 2023 compared to $2.0 million for the three months ended March 31, 2022. The decrease of $2.0 million, or 99%, was primarily attributable to fair value adjustments associated with certain earnout shares liability due to decreases in our underlying Class A Common Stock price.</w:t>
      </w:r>
    </w:p>
    <w:p>
      <w:pPr>
        <w:pStyle w:val="TextBody"/>
        <w:spacing w:before="240" w:after="0"/>
        <w:jc w:val="left"/>
        <w:rPr>
          <w:rFonts w:ascii="Times New Roman" w:hAnsi="Times New Roman"/>
          <w:sz w:val="20"/>
        </w:rPr>
      </w:pPr>
      <w:r>
        <w:rPr>
          <w:rFonts w:ascii="Times New Roman;serif" w:hAnsi="Times New Roman;serif"/>
          <w:b w:val="false"/>
          <w:i/>
          <w:sz w:val="20"/>
        </w:rPr>
        <w:t>Changes in fair value of derivative asset on loans to stockholders</w:t>
      </w:r>
      <w:r>
        <w:rPr>
          <w:rFonts w:ascii="Times New Roman" w:hAnsi="Times New Roman"/>
          <w:sz w:val="20"/>
        </w:rPr>
        <w:t>—</w:t>
      </w:r>
      <w:r>
        <w:rPr>
          <w:rFonts w:ascii="Times New Roman;serif" w:hAnsi="Times New Roman;serif"/>
          <w:b w:val="false"/>
          <w:sz w:val="20"/>
        </w:rPr>
        <w:t>Changes in fair value of derivative asset on loans to stockholders totaled $0 million for the three months ended March 31, 2023, compared to $5.6 million for the three months ended March 31, 2022. The decrease of $5.6 million, or 100% was primarily attributable to the exercise of the call options and the settlement of this derivative asset at the close of the Business Combination in January 2022.</w:t>
      </w:r>
    </w:p>
    <w:p>
      <w:pPr>
        <w:pStyle w:val="TextBody"/>
        <w:spacing w:before="240" w:after="0"/>
        <w:jc w:val="left"/>
        <w:rPr>
          <w:rFonts w:ascii="Times New Roman" w:hAnsi="Times New Roman"/>
          <w:sz w:val="20"/>
        </w:rPr>
      </w:pPr>
      <w:r>
        <w:rPr>
          <w:rFonts w:ascii="Times New Roman;serif" w:hAnsi="Times New Roman;serif"/>
          <w:b w:val="false"/>
          <w:i/>
          <w:sz w:val="20"/>
        </w:rPr>
        <w:t>Changes in fair value of warrant liability</w:t>
      </w:r>
      <w:r>
        <w:rPr>
          <w:rFonts w:ascii="Times New Roman" w:hAnsi="Times New Roman"/>
          <w:sz w:val="20"/>
        </w:rPr>
        <w:t>—</w:t>
      </w:r>
      <w:r>
        <w:rPr>
          <w:rFonts w:ascii="Times New Roman;serif" w:hAnsi="Times New Roman;serif"/>
          <w:b w:val="false"/>
          <w:sz w:val="20"/>
        </w:rPr>
        <w:t>Changes in fair value of warrant liability totaled a benefit of $0.1 million for the three months ended March 31, 2023, compared to an expense of $4.1 million for the three months ended March 31, 2022. The increase in benefit of $4.2 million, or 104%, was primarily attributable to fair value adjustments associated with certain public and private warrant liabilities due to decreases in our underlying Class A Common Stock price, offset by fair value adjustments associated with certain warrants issued in connection with the Debt Facility.</w:t>
      </w:r>
    </w:p>
    <w:p>
      <w:pPr>
        <w:pStyle w:val="TextBody"/>
        <w:spacing w:before="36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360" w:after="0"/>
        <w:jc w:val="left"/>
        <w:rPr/>
      </w:pPr>
      <w:r>
        <w:rPr/>
        <w:t> </w:t>
      </w:r>
    </w:p>
    <w:p>
      <w:pPr>
        <w:pStyle w:val="TextBody"/>
        <w:spacing w:before="360" w:after="0"/>
        <w:jc w:val="left"/>
        <w:rPr/>
      </w:pPr>
      <w:r>
        <w:rPr/>
        <w:t> </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Provision for income taxes</w:t>
      </w:r>
    </w:p>
    <w:p>
      <w:pPr>
        <w:pStyle w:val="TextBody"/>
        <w:spacing w:before="0" w:after="0"/>
        <w:jc w:val="left"/>
        <w:rPr/>
      </w:pPr>
      <w:r>
        <w:rPr/>
        <w:t> </w:t>
      </w:r>
    </w:p>
    <w:tbl>
      <w:tblPr>
        <w:tblW w:w="8881" w:type="dxa"/>
        <w:jc w:val="left"/>
        <w:tblInd w:w="0" w:type="dxa"/>
        <w:tblCellMar>
          <w:top w:w="28" w:type="dxa"/>
          <w:left w:w="28" w:type="dxa"/>
          <w:bottom w:w="28" w:type="dxa"/>
          <w:right w:w="28" w:type="dxa"/>
        </w:tblCellMar>
      </w:tblPr>
      <w:tblGrid>
        <w:gridCol w:w="3271"/>
        <w:gridCol w:w="146"/>
        <w:gridCol w:w="431"/>
        <w:gridCol w:w="431"/>
        <w:gridCol w:w="298"/>
        <w:gridCol w:w="298"/>
        <w:gridCol w:w="431"/>
        <w:gridCol w:w="645"/>
        <w:gridCol w:w="146"/>
        <w:gridCol w:w="146"/>
        <w:gridCol w:w="361"/>
        <w:gridCol w:w="644"/>
        <w:gridCol w:w="166"/>
        <w:gridCol w:w="146"/>
        <w:gridCol w:w="279"/>
        <w:gridCol w:w="726"/>
        <w:gridCol w:w="316"/>
      </w:tblGrid>
      <w:tr>
        <w:trPr/>
        <w:tc>
          <w:tcPr>
            <w:tcW w:w="3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4"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 thousands, except for percentages)</w:t>
            </w:r>
          </w:p>
        </w:tc>
        <w:tc>
          <w:tcPr>
            <w:tcW w:w="146" w:type="dxa"/>
            <w:tcBorders/>
            <w:shd w:fill="auto" w:val="clear"/>
            <w:vAlign w:val="center"/>
          </w:tcPr>
          <w:p>
            <w:pPr>
              <w:pStyle w:val="TableContents"/>
              <w:spacing w:before="0" w:after="0"/>
              <w:ind w:left="0" w:right="0" w:hanging="0"/>
              <w:jc w:val="left"/>
              <w:rPr/>
            </w:pPr>
            <w:r>
              <w:rPr/>
              <w:t> </w:t>
            </w:r>
          </w:p>
        </w:tc>
        <w:tc>
          <w:tcPr>
            <w:tcW w:w="253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8" w:type="dxa"/>
            <w:tcBorders/>
            <w:shd w:fill="auto" w:val="clear"/>
            <w:vAlign w:val="center"/>
          </w:tcPr>
          <w:p>
            <w:pPr>
              <w:pStyle w:val="TableContents"/>
              <w:spacing w:before="0" w:after="0"/>
              <w:ind w:left="0" w:right="0" w:hanging="0"/>
              <w:jc w:val="center"/>
              <w:rPr/>
            </w:pPr>
            <w:r>
              <w:rPr/>
              <w:t> </w:t>
            </w:r>
          </w:p>
        </w:tc>
        <w:tc>
          <w:tcPr>
            <w:tcW w:w="10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w:t>
            </w:r>
          </w:p>
        </w:tc>
        <w:tc>
          <w:tcPr>
            <w:tcW w:w="2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2" w:type="dxa"/>
            <w:gridSpan w:val="2"/>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10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5"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Provision for income taxes for the three months ended March 31, 2023 decreased by approximately $0.014 million, or 64%, compared to the three months ended March 31, 2022. This decrease was primarily due to a decrease in state taxes, including gross margin state taxes, resulting from a favorable ruling by the Texas Supreme Court regarding the determination of state sourced service income.</w:t>
      </w:r>
    </w:p>
    <w:p>
      <w:pPr>
        <w:pStyle w:val="TextBody"/>
        <w:spacing w:before="360" w:after="0"/>
        <w:jc w:val="left"/>
        <w:rPr>
          <w:rFonts w:ascii="Times New Roman;serif" w:hAnsi="Times New Roman;serif"/>
          <w:b/>
          <w:sz w:val="20"/>
        </w:rPr>
      </w:pPr>
      <w:r>
        <w:rPr>
          <w:rFonts w:ascii="Times New Roman;serif" w:hAnsi="Times New Roman;serif"/>
          <w:b/>
          <w:sz w:val="20"/>
        </w:rPr>
        <w:t>Non-GAAP Financial Measures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to our results determined in accordance with GAAP, we believe the following non-GAAP measure is useful in evaluating our operational performance. We use the following non-GAAP measure to evaluate our ongoing operations and for internal planning and forecasting purposes. We believe that the non-GAAP financial information may be helpful in assessing our operating performance and facilitates an alternative comparison among fiscal periods. The non-GAAP financial measure is not, and should not be viewed as, a substitute for GAAP reporting measures.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Adjusted EBITDA</w:t>
      </w:r>
    </w:p>
    <w:p>
      <w:pPr>
        <w:pStyle w:val="TextBody"/>
        <w:spacing w:before="120" w:after="0"/>
        <w:jc w:val="left"/>
        <w:rPr/>
      </w:pPr>
      <w:r>
        <w:rPr/>
        <w:t>“</w:t>
      </w:r>
      <w:r>
        <w:rPr>
          <w:rFonts w:ascii="Times New Roman;serif" w:hAnsi="Times New Roman;serif"/>
          <w:b w:val="false"/>
          <w:sz w:val="20"/>
        </w:rPr>
        <w:t>Adjusted EBITDA” is defined as net loss adjusted for interest expense, net, provision for income taxes, depreciation and amortization, stock-based compensation and other discretionary items determined by management. Adjusted EBITDA is intended as a supplemental measure of our performance that is neither required by, nor presented in accordance with, GAAP. We believe that the use of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EBITDA, we may incur future expenses similar to those excluded when calculating these measures. In addition, our presentation of these measures should not be construed as an inference that our future results will be unaffected by unusual or non-recurring items. Our computation of Adjusted EBITDA may not be comparable to other similarly titled measures computed by other companies, because all companies may not calculate Adjusted EBITDA in the same fashion.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Because of these limitations, Adjusted EBITDA should not be considered in isolation or as a substitute for performance measures calculated in accordance with GAAP. We compensate for these limitations by relying primarily on our GAAP results and using Adjusted EBITDA on a supplemental basis. The reconciliation of net loss to Adjusted EBITDA below should be reviewed, and no single financial measure should be relied upon to evaluate our business.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reconciles net loss to Adjusted EBITDA for the three months ended March 31, 2023 and 2022, respectively:</w:t>
      </w:r>
    </w:p>
    <w:p>
      <w:pPr>
        <w:pStyle w:val="TextBody"/>
        <w:spacing w:before="0" w:after="0"/>
        <w:jc w:val="left"/>
        <w:rPr/>
      </w:pPr>
      <w:r>
        <w:rPr/>
        <w:t> </w:t>
      </w:r>
    </w:p>
    <w:tbl>
      <w:tblPr>
        <w:tblW w:w="8276" w:type="dxa"/>
        <w:jc w:val="left"/>
        <w:tblInd w:w="0" w:type="dxa"/>
        <w:tblCellMar>
          <w:top w:w="28" w:type="dxa"/>
          <w:left w:w="28" w:type="dxa"/>
          <w:bottom w:w="28" w:type="dxa"/>
          <w:right w:w="28" w:type="dxa"/>
        </w:tblCellMar>
      </w:tblPr>
      <w:tblGrid>
        <w:gridCol w:w="5386"/>
        <w:gridCol w:w="146"/>
        <w:gridCol w:w="242"/>
        <w:gridCol w:w="846"/>
        <w:gridCol w:w="190"/>
        <w:gridCol w:w="167"/>
        <w:gridCol w:w="242"/>
        <w:gridCol w:w="846"/>
        <w:gridCol w:w="211"/>
      </w:tblGrid>
      <w:tr>
        <w:trPr/>
        <w:tc>
          <w:tcPr>
            <w:tcW w:w="5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3"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w:t>
            </w:r>
          </w:p>
        </w:tc>
        <w:tc>
          <w:tcPr>
            <w:tcW w:w="211" w:type="dxa"/>
            <w:tcBorders/>
            <w:shd w:fill="auto" w:val="clear"/>
            <w:vAlign w:val="center"/>
          </w:tcPr>
          <w:p>
            <w:pPr>
              <w:pStyle w:val="TableContents"/>
              <w:spacing w:before="0" w:after="0"/>
              <w:ind w:left="0" w:right="0" w:hanging="0"/>
              <w:jc w:val="center"/>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 thousands)</w:t>
            </w:r>
          </w:p>
        </w:tc>
        <w:tc>
          <w:tcPr>
            <w:tcW w:w="146" w:type="dxa"/>
            <w:tcBorders/>
            <w:shd w:fill="auto" w:val="clear"/>
            <w:vAlign w:val="center"/>
          </w:tcPr>
          <w:p>
            <w:pPr>
              <w:pStyle w:val="TableContents"/>
              <w:spacing w:before="0" w:after="0"/>
              <w:ind w:left="0" w:right="0" w:hanging="0"/>
              <w:jc w:val="left"/>
              <w:rPr/>
            </w:pPr>
            <w:r>
              <w:rPr/>
              <w:t> </w:t>
            </w:r>
          </w:p>
        </w:tc>
        <w:tc>
          <w:tcPr>
            <w:tcW w:w="253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7" w:type="dxa"/>
            <w:tcBorders/>
            <w:shd w:fill="auto" w:val="clear"/>
            <w:vAlign w:val="center"/>
          </w:tcPr>
          <w:p>
            <w:pPr>
              <w:pStyle w:val="TableContents"/>
              <w:spacing w:before="0" w:after="0"/>
              <w:ind w:left="0" w:right="0" w:hanging="0"/>
              <w:jc w:val="center"/>
              <w:rPr/>
            </w:pPr>
            <w:r>
              <w:rPr/>
              <w:t> </w:t>
            </w:r>
          </w:p>
        </w:tc>
        <w:tc>
          <w:tcPr>
            <w:tcW w:w="10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(14,025</w:t>
            </w:r>
          </w:p>
        </w:tc>
        <w:tc>
          <w:tcPr>
            <w:tcW w:w="1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(32,795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1,706</w:t>
            </w:r>
          </w:p>
        </w:tc>
        <w:tc>
          <w:tcPr>
            <w:tcW w:w="190"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1,542</w:t>
            </w:r>
          </w:p>
        </w:tc>
        <w:tc>
          <w:tcPr>
            <w:tcW w:w="211" w:type="dxa"/>
            <w:tcBorders/>
            <w:shd w:fill="auto" w:val="cle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90"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11" w:type="dxa"/>
            <w:tcBorders/>
            <w:shd w:fill="auto" w:val="cle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1,182</w:t>
            </w:r>
          </w:p>
        </w:tc>
        <w:tc>
          <w:tcPr>
            <w:tcW w:w="190"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1,105</w:t>
            </w:r>
          </w:p>
        </w:tc>
        <w:tc>
          <w:tcPr>
            <w:tcW w:w="211" w:type="dxa"/>
            <w:tcBorders/>
            <w:shd w:fill="auto" w:val="cle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6,774</w:t>
            </w:r>
          </w:p>
        </w:tc>
        <w:tc>
          <w:tcPr>
            <w:tcW w:w="190"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3,190</w:t>
            </w:r>
          </w:p>
        </w:tc>
        <w:tc>
          <w:tcPr>
            <w:tcW w:w="211" w:type="dxa"/>
            <w:tcBorders/>
            <w:shd w:fill="auto" w:val="cle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strategic financing and transactional expenses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0"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961</w:t>
            </w:r>
          </w:p>
        </w:tc>
        <w:tc>
          <w:tcPr>
            <w:tcW w:w="211" w:type="dxa"/>
            <w:tcBorders/>
            <w:shd w:fill="auto" w:val="cle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 of earnout liabilities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 of derivative asset on loans to stockholders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0"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5,572</w:t>
            </w:r>
          </w:p>
        </w:tc>
        <w:tc>
          <w:tcPr>
            <w:tcW w:w="211" w:type="dxa"/>
            <w:tcBorders/>
            <w:shd w:fill="auto" w:val="cle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 of public and private warrant liabilities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(4,526</w:t>
            </w:r>
          </w:p>
        </w:tc>
        <w:tc>
          <w:tcPr>
            <w:tcW w:w="1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67" w:type="dxa"/>
            <w:tcBorders/>
            <w:shd w:fill="auto" w:val="clear"/>
            <w:vAlign w:val="center"/>
          </w:tcPr>
          <w:p>
            <w:pPr>
              <w:pStyle w:val="TableContents"/>
              <w:spacing w:before="0" w:after="0"/>
              <w:ind w:left="0" w:right="0" w:hanging="0"/>
              <w:jc w:val="left"/>
              <w:rPr/>
            </w:pPr>
            <w:r>
              <w:rPr/>
              <w:t> </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(18,378</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8" w:type="dxa"/>
            <w:gridSpan w:val="2"/>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1088"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160" w:after="0"/>
        <w:jc w:val="left"/>
        <w:rPr>
          <w:rFonts w:ascii="Times New Roman;serif" w:hAnsi="Times New Roman;serif"/>
          <w:b/>
          <w:sz w:val="20"/>
        </w:rPr>
      </w:pPr>
      <w:r>
        <w:rPr>
          <w:rFonts w:ascii="Times New Roman;serif" w:hAnsi="Times New Roman;serif"/>
          <w:b/>
          <w:sz w:val="20"/>
        </w:rPr>
        <w:t>Liquidity and Capital Resources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past, we have financed our operations primarily from the issuance of preferred stock, issuances of convertible notes, funds from borrowings under the Debt Facility and the Credit Facility, and funds received as a result of the Business Combination. As of March 31, 2023 and December 31, 2022, our cash and cash equivalents, marketable securities and short-term investments balance was approximately $195.0 million and 192.0 million, respectively.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an early-stage company, the expenses we have incurred since inception are consistent with our strategy and approach to capital allocation. We expect to incur net losses in accordance with our operating plan as we continue to expand and improve upon our financial platform.</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ability to access capital when needed is not assured and, if capital is not available to Dave when, and in the amounts needed, Dave could be required to delay, scale back or abandon some or all of our development programs and other operations, which could materially harm our business, prospects, financial condition and operating results.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believe that our cash on hand should be sufficient to meet our working capital and capital expenditure requirements for a period of at least 12 months from the date of this report and sufficient to fund our operations. We may raise additional capital through private or public equity or debt financings. The amount and timing of our future funding requirements, if any, will depend on many factors, including the pace and results of our product development efforts. No assurances can be provided that additional funding will be available at terms acceptable to us, if at all. If we are unable to raise additional capital, we may significantly curtail our operations, modify existing strategic plans and/or dispose of certain operations or assets.</w:t>
      </w:r>
    </w:p>
    <w:p>
      <w:pPr>
        <w:pStyle w:val="TextBody"/>
        <w:spacing w:before="360" w:after="0"/>
        <w:jc w:val="left"/>
        <w:rPr>
          <w:rFonts w:ascii="Times New Roman;serif" w:hAnsi="Times New Roman;serif"/>
          <w:b/>
          <w:sz w:val="20"/>
        </w:rPr>
      </w:pPr>
      <w:r>
        <w:rPr>
          <w:rFonts w:ascii="Times New Roman;serif" w:hAnsi="Times New Roman;serif"/>
          <w:b/>
          <w:sz w:val="20"/>
        </w:rPr>
        <w:t>Material Cash Requirements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the normal course of business, we enter into various agreements with our vendors that may subject us to minimum annual requirements. While our contractual commitments will have an impact on our future liquidity, we believe that we will be able to adequately fulfill these obligations through cash generated from operations and from our existing cash balances. Dave does not have any “off-balance sheet arrangements,” as defined by the SEC regulations.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Although we have fully implemented our remote employee workforce strategy in the U.S., we have not closed our leased office locations. We are required to continue making our contractual payments until our operating leases are formally terminated or expire. Our remaining leases have remaining terms of 7 months to 33 months, subject to renewal options of varying terms, and as of March 31, 2023, we had a total lease liability of $0.8 million. See Note 12, Leases in the notes to our unaudited condensed consolidated financial statements for additional information regarding our lease liabilities as of March 31, 2023.</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the near term, we expect to continue to generate ExtraCash originations relying primarily on our balance sheet cash and debt facility, as needed. Interest payments on term loan borrowings under the Debt Facility are required to be made on a monthly basis. As of March 31, 2023, $75.0 million of term loans under the Debt Facility were outstanding. See Note 11, Debt Facility in the notes to our unaudited condensed consolidated financial statements in this report. Additionally, we also have certain contractual payment obligations for interest owed under the $100.0 million Note we issued and sold pursuant to the Purchase Agreement entered into with FTX Ventures. Interest payments relating to the Note are required to be made or added to the outstanding principal on a semi-annual basis. As of March 31, 2023, $3.1 million of interest was added to the outstanding principal. For more information on the Purchase Agreement with FTX Ventures, see Note 8, Convertible Note Payable.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may use cash to acquire businesses and technologies. The nature of these transactions, however, makes it difficult to predict the amount and timing of such cash requirements.</w:t>
      </w:r>
    </w:p>
    <w:p>
      <w:pPr>
        <w:pStyle w:val="TextBody"/>
        <w:spacing w:before="360" w:after="0"/>
        <w:jc w:val="left"/>
        <w:rPr>
          <w:rFonts w:ascii="Times New Roman;serif" w:hAnsi="Times New Roman;serif"/>
          <w:b/>
          <w:sz w:val="20"/>
        </w:rPr>
      </w:pPr>
      <w:r>
        <w:rPr>
          <w:rFonts w:ascii="Times New Roman;serif" w:hAnsi="Times New Roman;serif"/>
          <w:b/>
          <w:sz w:val="20"/>
        </w:rPr>
        <w:t>Cash Flows Summary</w:t>
      </w:r>
    </w:p>
    <w:p>
      <w:pPr>
        <w:pStyle w:val="TextBody"/>
        <w:spacing w:before="0" w:after="0"/>
        <w:jc w:val="left"/>
        <w:rPr/>
      </w:pPr>
      <w:r>
        <w:rPr/>
        <w:t> </w:t>
      </w:r>
    </w:p>
    <w:tbl>
      <w:tblPr>
        <w:tblW w:w="9694" w:type="dxa"/>
        <w:jc w:val="left"/>
        <w:tblInd w:w="0" w:type="dxa"/>
        <w:tblCellMar>
          <w:top w:w="28" w:type="dxa"/>
          <w:left w:w="28" w:type="dxa"/>
          <w:bottom w:w="28" w:type="dxa"/>
          <w:right w:w="28" w:type="dxa"/>
        </w:tblCellMar>
      </w:tblPr>
      <w:tblGrid>
        <w:gridCol w:w="6106"/>
        <w:gridCol w:w="146"/>
        <w:gridCol w:w="342"/>
        <w:gridCol w:w="1098"/>
        <w:gridCol w:w="187"/>
        <w:gridCol w:w="164"/>
        <w:gridCol w:w="288"/>
        <w:gridCol w:w="1152"/>
        <w:gridCol w:w="211"/>
      </w:tblGrid>
      <w:tr>
        <w:trPr/>
        <w:tc>
          <w:tcPr>
            <w:tcW w:w="61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61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 thousands)</w:t>
            </w:r>
          </w:p>
        </w:tc>
        <w:tc>
          <w:tcPr>
            <w:tcW w:w="146" w:type="dxa"/>
            <w:tcBorders/>
            <w:shd w:fill="auto" w:val="clear"/>
            <w:vAlign w:val="center"/>
          </w:tcPr>
          <w:p>
            <w:pPr>
              <w:pStyle w:val="TableContents"/>
              <w:spacing w:before="0" w:after="0"/>
              <w:ind w:left="0" w:right="0" w:hanging="0"/>
              <w:jc w:val="left"/>
              <w:rPr/>
            </w:pPr>
            <w:r>
              <w:rPr/>
              <w:t> </w:t>
            </w:r>
          </w:p>
        </w:tc>
        <w:tc>
          <w:tcPr>
            <w:tcW w:w="323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1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cash (used in) provided by:</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 w:type="dxa"/>
            <w:tcBorders/>
            <w:shd w:fill="auto" w:val="clear"/>
            <w:vAlign w:val="center"/>
          </w:tcPr>
          <w:p>
            <w:pPr>
              <w:pStyle w:val="TableContents"/>
              <w:spacing w:before="0" w:after="0"/>
              <w:ind w:left="0" w:right="0" w:hanging="0"/>
              <w:jc w:val="center"/>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1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(6,929</w:t>
            </w:r>
          </w:p>
        </w:tc>
        <w:tc>
          <w:tcPr>
            <w:tcW w:w="1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 w:type="dxa"/>
            <w:tcBorders/>
            <w:shd w:fill="auto" w:val="clear"/>
            <w:vAlign w:val="center"/>
          </w:tcPr>
          <w:p>
            <w:pPr>
              <w:pStyle w:val="TableContents"/>
              <w:spacing w:before="0" w:after="0"/>
              <w:ind w:left="0" w:right="0" w:hanging="0"/>
              <w:jc w:val="left"/>
              <w:rPr/>
            </w:pPr>
            <w:r>
              <w:rPr/>
              <w:t> </w:t>
            </w:r>
          </w:p>
        </w:tc>
        <w:tc>
          <w:tcPr>
            <w:tcW w:w="2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(12,512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35,806</w:t>
            </w:r>
          </w:p>
        </w:tc>
        <w:tc>
          <w:tcPr>
            <w:tcW w:w="187"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88" w:type="dxa"/>
            <w:tcBorders/>
            <w:shd w:fill="auto" w:val="clear"/>
            <w:vAlign w:val="center"/>
          </w:tcPr>
          <w:p>
            <w:pPr>
              <w:pStyle w:val="TableContents"/>
              <w:spacing w:before="0" w:after="0"/>
              <w:ind w:left="0" w:right="0" w:hanging="0"/>
              <w:jc w:val="left"/>
              <w:rPr/>
            </w:pPr>
            <w:r>
              <w:rPr/>
              <w:t> </w:t>
            </w:r>
          </w:p>
        </w:tc>
        <w:tc>
          <w:tcPr>
            <w:tcW w:w="11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(297,568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 w:type="dxa"/>
            <w:tcBorders/>
            <w:shd w:fill="auto" w:val="clear"/>
            <w:vAlign w:val="center"/>
          </w:tcPr>
          <w:p>
            <w:pPr>
              <w:pStyle w:val="TableContents"/>
              <w:spacing w:before="0" w:after="0"/>
              <w:ind w:left="0" w:right="0" w:hanging="0"/>
              <w:jc w:val="left"/>
              <w:rPr/>
            </w:pPr>
            <w:r>
              <w:rPr/>
              <w:t> </w:t>
            </w:r>
          </w:p>
        </w:tc>
        <w:tc>
          <w:tcPr>
            <w:tcW w:w="2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301,724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1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increase (decrease) in cash and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28,865</w:t>
            </w:r>
          </w:p>
        </w:tc>
        <w:tc>
          <w:tcPr>
            <w:tcW w:w="1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(8,356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61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160" w:after="0"/>
        <w:jc w:val="left"/>
        <w:rPr/>
      </w:pPr>
      <w:r>
        <w:rPr/>
        <w:t> </w:t>
      </w:r>
    </w:p>
    <w:p>
      <w:pPr>
        <w:pStyle w:val="TextBody"/>
        <w:spacing w:before="16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160" w:after="0"/>
        <w:jc w:val="left"/>
        <w:rPr/>
      </w:pPr>
      <w:r>
        <w:rPr/>
        <w:t> </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Cash Flows From Operating Activities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three months ended March 31, 2023, net cash used in operating activities decreased compared to the three months ended March 31, 2022 due to increases in operating revenues, offset primarily by increases in compensation and other operating expenses to support the growth of the business. Net cash used in operating activities for the three months ended March 31, 2023 included a net loss of $14.0 million, and excluding non-cash impacts, included an increase in prepaid expenses and other current assets of $4.1 million, a decrease in accounts payable of $6.9 million and a decrease in a legal settlement accrual of $5.7 million. These changes were offset primarily by an increase in accrued expenses of $2.6 million.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Net cash used in operating activities for the three months ended March 31, 2022 included a net loss of $32.8 million, adjusted for non-cash items of $1.1 million for depreciation and amortization, $13.8 million for provision for credit losses, $5.6 million for changes in fair value of derivative asset on loans to stockholders, $4.1 million for an increase in warrant liability fair value, and $3.2 million for stock-based compensation expense, partially offset by $2.0 million for decreases in the fair value of earnout liabilities. Excluding non-cash impacts, changes in cash flows from operations included an increase in receivables related to revenue from Member advances of $1.6 million, an increase in prepaid expenses and other current assets of $4.8 million, an increase in accrued expenses of $1.0 million, and a decrease in other non-current liabilities of $0.3 million. These changes were offset primarily by an increase in accounts payable of $2.5 million.</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Cash Flows From Investing Activities</w:t>
      </w:r>
    </w:p>
    <w:p>
      <w:pPr>
        <w:pStyle w:val="TextBody"/>
        <w:spacing w:before="120" w:after="0"/>
        <w:jc w:val="left"/>
        <w:rPr>
          <w:rFonts w:ascii="Times New Roman" w:hAnsi="Times New Roman"/>
          <w:sz w:val="20"/>
        </w:rPr>
      </w:pPr>
      <w:r>
        <w:rPr>
          <w:rFonts w:ascii="Times New Roman;serif" w:hAnsi="Times New Roman;serif"/>
          <w:b w:val="false"/>
          <w:sz w:val="20"/>
        </w:rPr>
        <w:t>During the three months ended March 31, 2023, net cash provided by investing activities was $35.8 million. This included the sale and maturity of short-term investments of $65.4 million and net disbursements and collections of Member advances of $11.9 million, offset by payments for internally developed software costs of $1.9 million, the purchase of property and equipment of $0.3 million, the purchase of short-term investments of $5.1 million, and the purchase of marketable securities of $34.1 million.</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three months ended March 31, 2022, net cash used in investing activities was $297.6 million. This included purchase of marketable securities of $302.1 million, an increase in net disbursements and collections of Member advances of $25.0 million, capitalization of internally developed software costs of $2.3 million, and the purchase of property and equipment of $0.2 million, partially offset by the sale of marketable securities of $32 million.</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Cash Flows From Financing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2023, net cash used in financing activities was $0.01 million, which primarily consisted of payments for fractional shares that resulted from a reverse stock split.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three months ended March 31, 2022, net cash provided by financing activities was $301.7 million, which consisted of $195.0 million in proceeds from PIPE offerings, $100.0 million in proceeds from borrowings related to the Purchase Agreement with FTX Ventures, $29.7 million in proceeds from the Business Combination, net of redemptions and $1.6 million in proceeds from stock option exercises, partially offset by $22.9 million for the payment of costs related to the Business Combination and $1.6 million related to the repurchase of common stock.</w:t>
      </w:r>
    </w:p>
    <w:p>
      <w:pPr>
        <w:pStyle w:val="TextBody"/>
        <w:spacing w:before="360" w:after="0"/>
        <w:jc w:val="left"/>
        <w:rPr>
          <w:rFonts w:ascii="Times New Roman;serif" w:hAnsi="Times New Roman;serif"/>
          <w:b/>
          <w:sz w:val="20"/>
        </w:rPr>
      </w:pPr>
      <w:r>
        <w:rPr>
          <w:rFonts w:ascii="Times New Roman;serif" w:hAnsi="Times New Roman;serif"/>
          <w:b/>
          <w:sz w:val="20"/>
        </w:rPr>
        <w:t>Critical Accounting Estimates</w:t>
      </w:r>
    </w:p>
    <w:p>
      <w:pPr>
        <w:pStyle w:val="TextBody"/>
        <w:spacing w:before="120" w:after="0"/>
        <w:jc w:val="left"/>
        <w:rPr>
          <w:rFonts w:ascii="Times New Roman" w:hAnsi="Times New Roman"/>
          <w:sz w:val="20"/>
        </w:rPr>
      </w:pPr>
      <w:r>
        <w:rPr>
          <w:rFonts w:ascii="Times New Roman;serif" w:hAnsi="Times New Roman;serif"/>
          <w:b w:val="false"/>
          <w:sz w:val="20"/>
        </w:rPr>
        <w:t>Our unaudited condensed consolidated financial statements have been prepared in accordance with U.S GAAP. The preparation of these unaudited condensed consolidated financial statements requires us to make estimates and assumptions that affect the reported amounts of assets and liabilities and the disclosure of contingent assets and liabilities as of the date of the unaudited condensed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Our critical accounting estimates and assumptions are evaluated on an ongoing basis including those related to the following: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 Fair value of warrant liabilities;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(ii) Fair value of earnout liabilities;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(iii) Allowance for credit losses;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(iv) Income taxes.</w:t>
      </w:r>
    </w:p>
    <w:p>
      <w:pPr>
        <w:pStyle w:val="TextBody"/>
        <w:spacing w:before="240" w:after="0"/>
        <w:jc w:val="left"/>
        <w:rPr>
          <w:rFonts w:ascii="Times New Roman" w:hAnsi="Times New Roman"/>
          <w:sz w:val="20"/>
        </w:rPr>
      </w:pPr>
      <w:r>
        <w:rPr>
          <w:rFonts w:ascii="Times New Roman;serif" w:hAnsi="Times New Roman;serif"/>
          <w:b w:val="false"/>
          <w:sz w:val="20"/>
        </w:rPr>
        <w:t>Actual results may differ from these estimates under different assumptions or conditions. We believe that the accounting estimates discussed below are critical to understanding our historical and future performance, as these estimates relate to the more significant</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areas involving management’s judgments and estimates. Please refer to Note 2 in our accompanying unaudited condensed consolidated financial statements for the three months ended March 31, 2023 and 2022 included in this report on Form 10-Q.</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While our significant accounting estimates are described in the notes to our unaudited condensed consolidated financial statements, we believe that the following accounting estimates require a greater degree of judgment and complexity and are the most critical to understanding our financial condition and historical and future results of operations.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Valuation techniques used to measure fair value must maximize the use of observable inputs and minimize the use of unobservable inputs.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Warrant Liabilities</w:t>
      </w:r>
    </w:p>
    <w:p>
      <w:pPr>
        <w:pStyle w:val="TextBody"/>
        <w:spacing w:before="120" w:after="0"/>
        <w:jc w:val="left"/>
        <w:rPr>
          <w:rFonts w:ascii="Times New Roman" w:hAnsi="Times New Roman"/>
          <w:sz w:val="20"/>
        </w:rPr>
      </w:pPr>
      <w:r>
        <w:rPr>
          <w:rFonts w:ascii="Times New Roman;serif" w:hAnsi="Times New Roman;serif"/>
          <w:b w:val="false"/>
          <w:sz w:val="20"/>
        </w:rPr>
        <w:t>We recorded a warrant liability associated with the Debt Facility. The warrant liability was carried on our unaudited condensed consolidated balance sheets as a long-term liability estimated at fair value and extinguished immediately prior to close of the Business Combination as the warrants were exercised. Changes in the estimated fair value of this warrant liability were driven by changes in the underlying value of our Common stock and were reported as a loss (gain) in the accompanying unaudited condensed consolidated statements of operations. We utilized the binomial option-pricing model to compute the fair value and to mark to market the fair value of the warrant liability at each unaudited condensed consolidated balance sheet date. The binomial option-pricing model considers a range of assumptions related to the fair value of common stock (see below Fair Value of Common Stock for further details), volatility, dividend yield and risk-free interest rate. The binomial option pricing model includes subjective input assumptions that can materially affect the fair value estimates.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also recorded warrant liabilities for both public and private warrants associated with the Business Combination. The warrant liabilities are carried on our unaudited condensed consolidated balance sheets as a long-term liability estimated at fair value. Changes in the estimated fair value of the warrant liabilities were driven by changes in the underlying value of our Common stock and were reported as a loss (gain) in the accompanying unaudited condensed consolidated statements of operations. We utilize the Black-Scholes model to compute the fair value and to mark to market the fair value of the private placement warrant liability at the time of the Business Combination and at each unaudited condensed consolidated balance sheet date. The public warrants were valued using the Black-Scholes model and public trading price of the warrants, when available. The Black-Scholes model considers a range of assumptions such as stock price, strike price, volatility, time to maturity, dividend yield and risk-free interest rate. The Black-Scholes pricing model includes subjective input assumptions that can materially affect the fair value estimates.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Earnout Liabilities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recorded earnout liabilities associated with the Business Combination. The earnout liabilities are carried on our unaudited condensed consolidated balance sheets as a long-term liability estimated at fair value. Changes in the estimated fair value of the earnout liabilities are reported as a loss (gain) in the accompanying unaudited condensed consolidated statements of operations. We utilized a Monte Carlo Simulation Method to compute the fair value and to mark to market the fair value of the earnout liabilities at each unaudited condensed consolidated balance sheet date. The Monte Carlo Simulation Method considers a range of assumptions such as stock price, volatility, and risk-free interest rate. The Monte Carlo Simulation Method includes subjective input assumptions that can materially affect the fair value estimates.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Allowance for Credit Losses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Member advances from contracts with Members as of the balance sheet dates are recorded at their original advance amounts reduced by an allowance for expected credit losses. We pool our Member advances, all of which are short-term in nature and arise from contracts with Members, based on shared risk characteristics to assess their risk of loss, even when that risk is remote. We use an aging method and historical loss rates as a basis for estimating the percentage of current and delinquent Member advances balances that will result in credit losses. We consider whether the conditions at the measurement date and reasonable and supportable forecasts about future conditions warrant an adjustment to our historical loss experience. In assessing such adjustments, we primarily evaluate current economic conditions, expectations of near-term economic trends and changes in customer payment terms and collection trends. For the measurement dates presented herein, given our methods of collecting funds, and that we have not observed meaningful changes in our customers’ payment behavior, it determined that our historical loss rates remained most indicative of our lifetime expected losses. We immediately recognize an allowance for expected credit losses upon the origination of the advance. Adjustments to the allowance each period for changes in the estimate of lifetime expected credit losses are recognized in operating expenses—provision for credit losses in the condensed consolidated statements of operations.</w:t>
      </w:r>
    </w:p>
    <w:p>
      <w:pPr>
        <w:pStyle w:val="TextBody"/>
        <w:spacing w:before="240" w:after="0"/>
        <w:jc w:val="left"/>
        <w:rPr>
          <w:rFonts w:ascii="Times New Roman" w:hAnsi="Times New Roman"/>
          <w:sz w:val="20"/>
        </w:rPr>
      </w:pPr>
      <w:r>
        <w:rPr>
          <w:rFonts w:ascii="Times New Roman;serif" w:hAnsi="Times New Roman;serif"/>
          <w:b w:val="false"/>
          <w:sz w:val="20"/>
        </w:rPr>
        <w:t>When we determine that a Member advance is not collectible, the uncollectible amount is written-off as a reduction to both the allowance and the gross asset balance. Subsequent recoveries are recorded when received and are recorded as a recovery of the allowance for expected credit losses. Any change in the assumptions used in analyzing a specific Member advance may result in an additional allowance for expected credit losses being recognized in the period in which the change occurs.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Income Taxes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follow ASC 740, Income Taxes (“ASC 740”), which requires recognition of deferred tax assets and liabilities for the expected future tax consequences of events that have been included in the unaudited condensed consolidated financial statements or tax returns. Under this method, deferred tax assets and liabilities are based on the differences between the financial statement and tax basis of assets and liabilities using enacted tax rates in effect for the period in which the differences are expected to reverse. Deferred tax assets are reduced by a valuation allowance to the extent management concludes it is more-likely-than-not that the asset will not be realized.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upon examination, including compromise settlements. For tax positions not meeting the more-likely-than-not threshold, no tax benefit is recorded. We have estimated $1.0 million and $0.5 million of uncertain tax positions as of March 31, 2023 and 2022, respectively, related to state income taxes and federal and state research tax credits.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Our policy is to recognize interest and penalties accrued on any unrecognized tax benefits as a component of income tax expense within the statement of operations.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subject to income tax in jurisdictions in which we operate, including the United States. For U.S. income tax purposes, we are taxed as a Subchapter C corporation.</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recognize deferred taxes for temporary differences between the basis of assets and liabilities for financial statement and income tax purposes. We recorded a valuation allowance against our deferred tax assets, net of certain deferred tax liabilities, at March 31, 2023 and December 31, 2022. Based upon management’s assessment of all available evidence, we have concluded that it is more-likely-than-not that the deferred tax assets, net of certain deferred tax liabilities, will not be realized.</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Emerging Growth Company Status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an “emerging growth company” as defined in Section 2(a) of the Securities Act of 1933, as amended, and have elected to take advantage of the benefits of the extended transition period for new or revised financial accounting standards. We expect to remain an emerging growth company and to continue to take advantage of the benefits of the extended transition period, although we may decide to early adopt such new or revised accounting standards to the extent permitted by such standards. We expect to use this extended transition period for complying with new or revised accounting standards that have different effective dates for public and non-public companies until the earlier of the date we (i) are no longer an emerging growth company or (ii) affirmatively and irrevocably opt out of the extended transition period provided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our accompanying unaudited condensed consolidated financial statements included in this report for the recent accounting pronouncements adopted and the recent accounting pronouncements not yet adopted for the periods ended March 31, 2023 and 2022.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we intend to rely on the other exemptions and reduced reporting requirements provided by the JOBS Act for emerging growth companies. Subject to certain conditions set forth in the JOBS Act, if we intend to rely on such exemptions, we are not required to, among other things: (a) provide an auditor’s attestation report on our system of internal control over financial reporting pursuant to Section 404(b) of the Sarbanes-Oxley Act; (b) provide all of the compensation disclosure that may be required of non-emerging growth public companies under the Dodd- Frank Wall Street Reform and Consumer Protection Act; (c) comply with any requirement that may be adopted by the Public Company Accounting Oversight Board regarding mandatory audit firm rotation or a supplement to the auditor’s report providing additional information about the unaudited condensed consolidated financial statements (auditor discussion and analysis); and (d) disclose certain executive compensation-related items such as the correlation between executive compensation and performance and comparisons of the Chief Executive Officer’s compensation to median employee compensation.</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will remain an emerging growth company under the JOBS Act until the earliest of (1) the last day of the fiscal year (a) following March 4, 2026, (b) in which we have total annual gross revenue of at least $1.07 billion, (c) in which we are deemed to be a “large accelerated filer” under the rules of the SEC, which means the market value of our common equity that is held by non-affiliates exceeds $700 million as of the end of the prior fiscal year’s second fiscal quarter; and (2) the date on which we have issued more than $1.0 billion in non-convertible debt securities during the previous three years.</w:t>
      </w:r>
    </w:p>
    <w:p>
      <w:pPr>
        <w:pStyle w:val="TextBody"/>
        <w:spacing w:before="360" w:after="0"/>
        <w:jc w:val="left"/>
        <w:rPr>
          <w:rFonts w:ascii="Times New Roman;serif" w:hAnsi="Times New Roman;serif"/>
          <w:b/>
          <w:sz w:val="20"/>
        </w:rPr>
      </w:pPr>
      <w:r>
        <w:rPr>
          <w:rFonts w:ascii="Times New Roman;serif" w:hAnsi="Times New Roman;serif"/>
          <w:b/>
          <w:sz w:val="20"/>
        </w:rPr>
        <w:t>Recently Issued Accounting Standards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Refer to Note 2, “Significant Accounting Policies,” of our unaudited condensed consolidated financial statements included in this report for a discussion of the impact of recent accounting pronouncements.</w:t>
      </w:r>
    </w:p>
    <w:p>
      <w:pPr>
        <w:pStyle w:val="TextBody"/>
        <w:spacing w:before="360" w:after="0"/>
        <w:jc w:val="left"/>
        <w:rPr>
          <w:rFonts w:ascii="Times New Roman" w:hAnsi="Times New Roman"/>
          <w:sz w:val="20"/>
        </w:rPr>
      </w:pPr>
      <w:bookmarkStart w:id="12" w:name="item3_quantitativeandqualitative"/>
      <w:bookmarkEnd w:id="12"/>
      <w:r>
        <w:rPr>
          <w:rFonts w:ascii="Times New Roman;serif" w:hAnsi="Times New Roman;serif"/>
          <w:b/>
          <w:sz w:val="20"/>
        </w:rPr>
        <w:t>Item 3. Quantitative and Qualitative Disclosures About Market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Not required for smaller reporting companies.</w:t>
      </w:r>
      <w:r>
        <w:rPr>
          <w:rFonts w:ascii="Times New Roman" w:hAnsi="Times New Roman"/>
          <w:sz w:val="20"/>
        </w:rPr>
        <w:t xml:space="preserve"> </w:t>
      </w:r>
    </w:p>
    <w:p>
      <w:pPr>
        <w:pStyle w:val="TextBody"/>
        <w:spacing w:before="360" w:after="0"/>
        <w:jc w:val="left"/>
        <w:rPr/>
      </w:pPr>
      <w:r>
        <w:rPr/>
        <w:t> </w:t>
      </w:r>
    </w:p>
    <w:p>
      <w:pPr>
        <w:pStyle w:val="TextBody"/>
        <w:spacing w:before="360" w:after="0"/>
        <w:jc w:val="left"/>
        <w:rPr>
          <w:rFonts w:ascii="Times New Roman;serif" w:hAnsi="Times New Roman;serif"/>
          <w:b/>
          <w:sz w:val="20"/>
        </w:rPr>
      </w:pPr>
      <w:bookmarkStart w:id="13" w:name="item4_controlsandprocedures"/>
      <w:bookmarkEnd w:id="13"/>
      <w:r>
        <w:rPr>
          <w:rFonts w:ascii="Times New Roman;serif" w:hAnsi="Times New Roman;serif"/>
          <w:b/>
          <w:sz w:val="20"/>
        </w:rPr>
        <w:t>Item 4. Controls and Procedures.</w:t>
      </w:r>
    </w:p>
    <w:p>
      <w:pPr>
        <w:pStyle w:val="TextBody"/>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required by Rules 13a-15 and 15d-15 under the Exchange Act, our Chief Executive Officer and Chief Financial Officer carried out an evaluation of the effectiveness of the design and operation of our disclosure controls and procedures as of March 31, 2023. Based on this evaluation, our Chief Executive Officer and Chief Financial Officer have concluded that our disclosure controls and procedures were not effective, due to the material weaknesses in our internal control over financial reporting described below. As a result, we performed additional analysis as deemed necessary to ensure that our financial statements were prepared in accordance with U.S. generally accepted accounting principles. Accordingly, management believes that the financial statements included in this Quarterly Report on Form 10-Q present fairly in all material respects our financial position, results of operations and cash flows for the period presented.</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Previously Identified Material Weaknesses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discussed in Part II, Item 9A in our Annual Report, we identified weaknesses in our internal control over financial reporting for the years ended December 31, 2022 and 2021 because:</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We did not design and maintain certain formal accounting policies, procedures, and internal controls to achieve complete, accurate and timely financial accounting, reporting and disclosures, including internal controls over the period-end financial reporting process addressing financial statement and footnote presentation and disclosures, account reconciliations, and journal entries. Additionally, the lack of a sufficient number of accounting and finance professionals resulted in an inability to consistently establish appropriate authorities and responsibilities in pursuit of Dave’s financial reporting objectives, as demonstrated by, amongst other things, insufficient segregation of duties within the finance and accounting functions. </w:t>
      </w:r>
    </w:p>
    <w:p>
      <w:pPr>
        <w:pStyle w:val="TextBody"/>
        <w:spacing w:before="240" w:after="0"/>
        <w:jc w:val="left"/>
        <w:rPr/>
      </w:pPr>
      <w:r>
        <w:rPr/>
        <w:t>•</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 xml:space="preserve">We did not design and maintain effective controls over information technology (“IT”) general controls for information systems that are relevant to the preparation of its financial statements, specifically, with respect to: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and (iii) computer operations controls to ensure that critical batch jobs are monitored and data backups are authorized and monitored.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Remediation Plan and Status</w:t>
      </w:r>
    </w:p>
    <w:p>
      <w:pPr>
        <w:pStyle w:val="TextBody"/>
        <w:spacing w:before="240" w:after="0"/>
        <w:jc w:val="left"/>
        <w:rPr>
          <w:rFonts w:ascii="Times New Roman" w:hAnsi="Times New Roman"/>
          <w:sz w:val="20"/>
        </w:rPr>
      </w:pPr>
      <w:r>
        <w:rPr>
          <w:rFonts w:ascii="Times New Roman;serif" w:hAnsi="Times New Roman;serif"/>
          <w:b w:val="false"/>
          <w:sz w:val="20"/>
        </w:rPr>
        <w:t>Dave is implementing a plan to remediate the material weaknesses described above. Those remediation measures are ongoing and include (i) hiring additional accounting and IT personnel to bolster its financial reporting, technical and transactional accounting and IT capabilities; (ii) designing and implementing controls to formalize roles and review responsibilities and designing and</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implementing formal controls over segregation of duties; (iii) designing and implementing formal processes, accounting policies, procedures, and controls supporting Dave’s financial close process, including creating standard balance sheet reconciliation templates and journal entry controls; (iv) designing and implementing IT general controls, including controls over change management, the review and update of user access rights and privileges and computer operations controls; and (v) redesigning its internal controls around the allowance for credit losses to detect and prevent future errors.</w:t>
      </w:r>
    </w:p>
    <w:p>
      <w:pPr>
        <w:pStyle w:val="TextBody"/>
        <w:spacing w:before="36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Other than described above,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center"/>
        <w:rPr>
          <w:rFonts w:ascii="Times New Roman;serif" w:hAnsi="Times New Roman;serif"/>
          <w:b/>
          <w:sz w:val="20"/>
        </w:rPr>
      </w:pPr>
      <w:bookmarkStart w:id="14" w:name="partii_other_information"/>
      <w:bookmarkEnd w:id="14"/>
      <w:r>
        <w:rPr>
          <w:rFonts w:ascii="Times New Roman;serif" w:hAnsi="Times New Roman;serif"/>
          <w:b/>
          <w:sz w:val="20"/>
        </w:rPr>
        <w:t>PART II —OTHER INFORMATION</w:t>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15" w:name="item1_legalproceedings"/>
      <w:bookmarkEnd w:id="15"/>
      <w:r>
        <w:rPr>
          <w:rFonts w:ascii="Times New Roman;serif" w:hAnsi="Times New Roman;serif"/>
          <w:b/>
          <w:sz w:val="20"/>
        </w:rPr>
        <w:t>Item 1. Legal Proceedings.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For a description of our material pending legal proceedings, please see Note 11, “Commitments and Contingencies,” to the unaudited condensed consolidated financial statements included elsewhere in this report.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From time to time, we may become involved in legal proceedings arising in the ordinary course of business. We are not currently a party to any such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and reputational harm and other factors.</w:t>
      </w:r>
    </w:p>
    <w:p>
      <w:pPr>
        <w:pStyle w:val="TextBody"/>
        <w:spacing w:before="360" w:after="0"/>
        <w:jc w:val="left"/>
        <w:rPr>
          <w:rFonts w:ascii="Times New Roman" w:hAnsi="Times New Roman"/>
          <w:sz w:val="20"/>
        </w:rPr>
      </w:pPr>
      <w:bookmarkStart w:id="16" w:name="item1a_riskfactors"/>
      <w:bookmarkEnd w:id="16"/>
      <w:r>
        <w:rPr>
          <w:rFonts w:ascii="Times New Roman;serif" w:hAnsi="Times New Roman;serif"/>
          <w:b/>
          <w:sz w:val="20"/>
        </w:rPr>
        <w:t>Item 1A. Risk Factors.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of the date of this Form 10-Q, there have been no material changes to the risk factors disclosed in in our Annual Report for the year ended December 31, 2022 filed with the SEC on March 13, 2023.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w:t>
      </w:r>
    </w:p>
    <w:p>
      <w:pPr>
        <w:pStyle w:val="TextBody"/>
        <w:spacing w:before="120" w:after="0"/>
        <w:jc w:val="left"/>
        <w:rPr/>
      </w:pPr>
      <w:r>
        <w:rPr/>
        <w:t> </w:t>
      </w:r>
    </w:p>
    <w:p>
      <w:pPr>
        <w:pStyle w:val="TextBody"/>
        <w:spacing w:before="240" w:after="0"/>
        <w:jc w:val="left"/>
        <w:rPr/>
      </w:pPr>
      <w:r>
        <w:rPr/>
        <w:t> </w:t>
      </w:r>
    </w:p>
    <w:p>
      <w:pPr>
        <w:pStyle w:val="TextBody"/>
        <w:spacing w:before="120" w:after="0"/>
        <w:jc w:val="left"/>
        <w:rPr>
          <w:rFonts w:ascii="Times New Roman;serif" w:hAnsi="Times New Roman;serif"/>
          <w:b/>
          <w:sz w:val="20"/>
        </w:rPr>
      </w:pPr>
      <w:bookmarkStart w:id="17" w:name="item2_unregisteredsalesofequity"/>
      <w:bookmarkEnd w:id="17"/>
      <w:r>
        <w:rPr>
          <w:rFonts w:ascii="Times New Roman;serif" w:hAnsi="Times New Roman;serif"/>
          <w:b/>
          <w:sz w:val="20"/>
        </w:rPr>
        <w:t>Item 2. Unregistered Sales of Equity Securities and Use of Proceeds.</w:t>
      </w:r>
    </w:p>
    <w:p>
      <w:pPr>
        <w:pStyle w:val="TextBody"/>
        <w:spacing w:before="120" w:after="0"/>
        <w:jc w:val="left"/>
        <w:rPr>
          <w:rFonts w:ascii="Times New Roman;serif" w:hAnsi="Times New Roman;serif"/>
          <w:b/>
          <w:sz w:val="20"/>
        </w:rPr>
      </w:pPr>
      <w:r>
        <w:rPr>
          <w:rFonts w:ascii="Times New Roman;serif" w:hAnsi="Times New Roman;serif"/>
          <w:b/>
          <w:sz w:val="20"/>
        </w:rPr>
        <w:t>None</w:t>
      </w:r>
    </w:p>
    <w:p>
      <w:pPr>
        <w:pStyle w:val="TextBody"/>
        <w:spacing w:before="120" w:after="0"/>
        <w:jc w:val="left"/>
        <w:rPr>
          <w:rFonts w:ascii="Times New Roman" w:hAnsi="Times New Roman"/>
          <w:sz w:val="20"/>
        </w:rPr>
      </w:pPr>
      <w:bookmarkStart w:id="18" w:name="item3_defaultsuponseniorsecurities"/>
      <w:bookmarkEnd w:id="18"/>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p>
    <w:p>
      <w:pPr>
        <w:pStyle w:val="TextBody"/>
        <w:spacing w:before="120" w:after="0"/>
        <w:jc w:val="left"/>
        <w:rPr>
          <w:rFonts w:ascii="Times New Roman;serif" w:hAnsi="Times New Roman;serif"/>
          <w:b/>
          <w:sz w:val="20"/>
        </w:rPr>
      </w:pPr>
      <w:r>
        <w:rPr>
          <w:rFonts w:ascii="Times New Roman;serif" w:hAnsi="Times New Roman;serif"/>
          <w:b/>
          <w:sz w:val="20"/>
        </w:rPr>
        <w:t>None</w:t>
      </w:r>
    </w:p>
    <w:p>
      <w:pPr>
        <w:pStyle w:val="TextBody"/>
        <w:spacing w:before="120" w:after="0"/>
        <w:jc w:val="left"/>
        <w:rPr>
          <w:rFonts w:ascii="Times New Roman" w:hAnsi="Times New Roman"/>
          <w:sz w:val="20"/>
        </w:rPr>
      </w:pPr>
      <w:bookmarkStart w:id="19" w:name="item4_minesafetydisclosures"/>
      <w:bookmarkEnd w:id="19"/>
      <w:r>
        <w:rPr>
          <w:rFonts w:ascii="Times New Roman;serif" w:hAnsi="Times New Roman;serif"/>
          <w:b/>
          <w:sz w:val="20"/>
        </w:rPr>
        <w:t>Item 4. Mine</w:t>
      </w:r>
      <w:r>
        <w:rPr>
          <w:rFonts w:ascii="Times New Roman" w:hAnsi="Times New Roman"/>
          <w:sz w:val="20"/>
        </w:rPr>
        <w:t xml:space="preserve"> </w:t>
      </w:r>
      <w:r>
        <w:rPr>
          <w:rFonts w:ascii="Times New Roman;serif" w:hAnsi="Times New Roman;serif"/>
          <w:b/>
          <w:sz w:val="20"/>
        </w:rPr>
        <w:t>Safety Disclosures.</w:t>
      </w:r>
    </w:p>
    <w:p>
      <w:pPr>
        <w:pStyle w:val="TextBody"/>
        <w:spacing w:before="120" w:after="0"/>
        <w:jc w:val="left"/>
        <w:rPr>
          <w:rFonts w:ascii="Times New Roman;serif" w:hAnsi="Times New Roman;serif"/>
          <w:b/>
          <w:sz w:val="20"/>
        </w:rPr>
      </w:pPr>
      <w:r>
        <w:rPr>
          <w:rFonts w:ascii="Times New Roman;serif" w:hAnsi="Times New Roman;serif"/>
          <w:b/>
          <w:sz w:val="20"/>
        </w:rPr>
        <w:t>None</w:t>
      </w:r>
    </w:p>
    <w:p>
      <w:pPr>
        <w:pStyle w:val="TextBody"/>
        <w:spacing w:before="120" w:after="0"/>
        <w:jc w:val="left"/>
        <w:rPr>
          <w:rFonts w:ascii="Times New Roman" w:hAnsi="Times New Roman"/>
          <w:sz w:val="20"/>
        </w:rPr>
      </w:pPr>
      <w:bookmarkStart w:id="20" w:name="item5_otherinformation"/>
      <w:bookmarkEnd w:id="20"/>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r>
        <w:rPr>
          <w:rFonts w:ascii="Times New Roman" w:hAnsi="Times New Roman"/>
          <w:sz w:val="20"/>
        </w:rPr>
        <w:t xml:space="preserve"> </w:t>
      </w:r>
    </w:p>
    <w:p>
      <w:pPr>
        <w:pStyle w:val="TextBody"/>
        <w:spacing w:before="120" w:after="0"/>
        <w:jc w:val="left"/>
        <w:rPr>
          <w:rFonts w:ascii="Times New Roman;serif" w:hAnsi="Times New Roman;serif"/>
          <w:b/>
          <w:sz w:val="20"/>
        </w:rPr>
      </w:pPr>
      <w:r>
        <w:rPr>
          <w:rFonts w:ascii="Times New Roman;serif" w:hAnsi="Times New Roman;serif"/>
          <w:b/>
          <w:sz w:val="20"/>
        </w:rPr>
        <w:t>None</w:t>
      </w:r>
    </w:p>
    <w:p>
      <w:pPr>
        <w:pStyle w:val="TextBody"/>
        <w:spacing w:before="240" w:after="0"/>
        <w:jc w:val="left"/>
        <w:rPr>
          <w:rFonts w:ascii="Times New Roman" w:hAnsi="Times New Roman"/>
          <w:sz w:val="20"/>
        </w:rPr>
      </w:pPr>
      <w:bookmarkStart w:id="21" w:name="item6_exhibits"/>
      <w:bookmarkEnd w:id="21"/>
      <w:r>
        <w:rPr>
          <w:rFonts w:ascii="Times New Roman;serif" w:hAnsi="Times New Roman;serif"/>
          <w:b/>
          <w:sz w:val="20"/>
        </w:rPr>
        <w:t>Item 6. Exhibits</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60"/>
        <w:gridCol w:w="9445"/>
      </w:tblGrid>
      <w:tr>
        <w:trPr/>
        <w:tc>
          <w:tcPr>
            <w:tcW w:w="760" w:type="dxa"/>
            <w:tcBorders/>
            <w:shd w:fill="auto" w:val="clear"/>
            <w:vAlign w:val="center"/>
          </w:tcPr>
          <w:p>
            <w:pPr>
              <w:pStyle w:val="TableContents"/>
              <w:spacing w:before="0" w:after="283"/>
              <w:rPr>
                <w:sz w:val="4"/>
                <w:szCs w:val="4"/>
              </w:rPr>
            </w:pPr>
            <w:r>
              <w:rPr>
                <w:sz w:val="4"/>
                <w:szCs w:val="4"/>
              </w:rPr>
            </w:r>
          </w:p>
        </w:tc>
        <w:tc>
          <w:tcPr>
            <w:tcW w:w="9445" w:type="dxa"/>
            <w:tcBorders/>
            <w:shd w:fill="auto"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Exhibit</w:t>
              <w:br/>
            </w:r>
            <w:r>
              <w:rPr>
                <w:rFonts w:ascii="Times New Roman;serif" w:hAnsi="Times New Roman;serif"/>
                <w:b/>
                <w:sz w:val="20"/>
                <w:u w:val="single"/>
              </w:rPr>
              <w:t>No.</w:t>
            </w:r>
          </w:p>
        </w:tc>
        <w:tc>
          <w:tcPr>
            <w:tcW w:w="9445" w:type="dxa"/>
            <w:tcBorders/>
            <w:shd w:fill="auto" w:val="clear"/>
            <w:vAlign w:val="center"/>
          </w:tcPr>
          <w:p>
            <w:pPr>
              <w:pStyle w:val="TableContents"/>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Description</w:t>
            </w:r>
          </w:p>
        </w:tc>
      </w:tr>
      <w:tr>
        <w:trPr/>
        <w:tc>
          <w:tcPr>
            <w:tcW w:w="760" w:type="dxa"/>
            <w:tcBorders/>
            <w:shd w:fill="auto" w:val="clear"/>
            <w:vAlign w:val="center"/>
          </w:tcPr>
          <w:p>
            <w:pPr>
              <w:pStyle w:val="TableContents"/>
              <w:spacing w:before="0" w:after="0"/>
              <w:ind w:left="0" w:right="0" w:hanging="0"/>
              <w:jc w:val="left"/>
              <w:rPr/>
            </w:pPr>
            <w:r>
              <w:rPr/>
              <w:t> </w:t>
            </w:r>
          </w:p>
        </w:tc>
        <w:tc>
          <w:tcPr>
            <w:tcW w:w="9445" w:type="dxa"/>
            <w:tcBorders/>
            <w:shd w:fill="auto" w:val="clear"/>
            <w:vAlign w:val="center"/>
          </w:tcPr>
          <w:p>
            <w:pPr>
              <w:pStyle w:val="TableContents"/>
              <w:spacing w:before="0" w:after="0"/>
              <w:ind w:left="0" w:right="0" w:hanging="0"/>
              <w:jc w:val="center"/>
              <w:rPr/>
            </w:pPr>
            <w:r>
              <w:rPr/>
              <w:t> </w:t>
            </w:r>
          </w:p>
        </w:tc>
      </w:tr>
      <w:tr>
        <w:trPr/>
        <w:tc>
          <w:tcPr>
            <w:tcW w:w="7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2.1</w:t>
            </w:r>
          </w:p>
        </w:tc>
        <w:tc>
          <w:tcPr>
            <w:tcW w:w="9445" w:type="dxa"/>
            <w:tcBorders/>
            <w:shd w:fill="auto" w:val="cle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Agreement and Plan of Merger, dated as of June 7, 2021, by and among VPC Impact Acquisition Holdings III, Inc., Bear Merger Company I Inc., Bear Merger Company II LLC, and Dave Inc. (incorporated by reference to Exhibit 2.1 to the Company’s Current Report on Form 8-K filed with the Commission on June 7, 2021)</w:t>
              </w:r>
            </w:hyperlink>
          </w:p>
        </w:tc>
      </w:tr>
      <w:tr>
        <w:trPr/>
        <w:tc>
          <w:tcPr>
            <w:tcW w:w="760" w:type="dxa"/>
            <w:tcBorders/>
            <w:shd w:fill="auto" w:val="clear"/>
            <w:vAlign w:val="center"/>
          </w:tcPr>
          <w:p>
            <w:pPr>
              <w:pStyle w:val="TableContents"/>
              <w:spacing w:before="0" w:after="0"/>
              <w:ind w:left="0" w:right="0" w:hanging="0"/>
              <w:jc w:val="left"/>
              <w:rPr/>
            </w:pPr>
            <w:r>
              <w:rPr/>
              <w:t> </w:t>
            </w:r>
          </w:p>
        </w:tc>
        <w:tc>
          <w:tcPr>
            <w:tcW w:w="9445" w:type="dxa"/>
            <w:tcBorders/>
            <w:shd w:fill="auto" w:val="clear"/>
            <w:vAlign w:val="center"/>
          </w:tcPr>
          <w:p>
            <w:pPr>
              <w:pStyle w:val="TableContents"/>
              <w:spacing w:before="0" w:after="0"/>
              <w:ind w:left="0" w:right="0" w:hanging="0"/>
              <w:jc w:val="left"/>
              <w:rPr/>
            </w:pPr>
            <w:r>
              <w:rPr/>
              <w:t> </w:t>
            </w:r>
          </w:p>
        </w:tc>
      </w:tr>
      <w:tr>
        <w:trPr/>
        <w:tc>
          <w:tcPr>
            <w:tcW w:w="7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9445" w:type="dxa"/>
            <w:tcBorders/>
            <w:shd w:fill="auto" w:val="cle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Second Amended and Restated Certificate of Incorporation of Dave Inc. (incorporated by reference to Exhibit 3.1 to the Company’s Current Report on Form 8-K filed with the Commission on January 11, 2022)</w:t>
              </w:r>
            </w:hyperlink>
          </w:p>
        </w:tc>
      </w:tr>
      <w:tr>
        <w:trPr/>
        <w:tc>
          <w:tcPr>
            <w:tcW w:w="760" w:type="dxa"/>
            <w:tcBorders/>
            <w:shd w:fill="auto" w:val="clear"/>
            <w:vAlign w:val="center"/>
          </w:tcPr>
          <w:p>
            <w:pPr>
              <w:pStyle w:val="TableContents"/>
              <w:spacing w:before="0" w:after="0"/>
              <w:ind w:left="0" w:right="0" w:hanging="0"/>
              <w:jc w:val="left"/>
              <w:rPr/>
            </w:pPr>
            <w:r>
              <w:rPr/>
              <w:t> </w:t>
            </w:r>
          </w:p>
        </w:tc>
        <w:tc>
          <w:tcPr>
            <w:tcW w:w="9445" w:type="dxa"/>
            <w:tcBorders/>
            <w:shd w:fill="auto" w:val="clear"/>
            <w:vAlign w:val="center"/>
          </w:tcPr>
          <w:p>
            <w:pPr>
              <w:pStyle w:val="TableContents"/>
              <w:spacing w:before="0" w:after="0"/>
              <w:ind w:left="0" w:right="0" w:hanging="0"/>
              <w:jc w:val="left"/>
              <w:rPr/>
            </w:pPr>
            <w:r>
              <w:rPr/>
              <w:t> </w:t>
            </w:r>
          </w:p>
        </w:tc>
      </w:tr>
      <w:tr>
        <w:trPr/>
        <w:tc>
          <w:tcPr>
            <w:tcW w:w="7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9445" w:type="dxa"/>
            <w:tcBorders/>
            <w:shd w:fill="auto" w:val="clear"/>
            <w:vAlign w:val="center"/>
          </w:tcPr>
          <w:p>
            <w:pPr>
              <w:pStyle w:val="TableContents"/>
              <w:spacing w:before="0" w:after="0"/>
              <w:ind w:left="0" w:right="0" w:hanging="0"/>
              <w:jc w:val="left"/>
              <w:rPr/>
            </w:pPr>
            <w:hyperlink r:id="rId4">
              <w:r>
                <w:rPr>
                  <w:rStyle w:val="InternetLink"/>
                  <w:rFonts w:ascii="Times New Roman;serif" w:hAnsi="Times New Roman;serif"/>
                  <w:b w:val="false"/>
                  <w:sz w:val="20"/>
                  <w:u w:val="single"/>
                </w:rPr>
                <w:t>Amended and Restated Bylaws of Dave Inc. (incorporated by reference to Exhibit 3.2 to the Company’s Current Report on Form 8-K filed with the Commission on January 11, 2022)</w:t>
              </w:r>
            </w:hyperlink>
          </w:p>
        </w:tc>
      </w:tr>
      <w:tr>
        <w:trPr/>
        <w:tc>
          <w:tcPr>
            <w:tcW w:w="760" w:type="dxa"/>
            <w:tcBorders/>
            <w:shd w:fill="auto" w:val="clear"/>
            <w:vAlign w:val="center"/>
          </w:tcPr>
          <w:p>
            <w:pPr>
              <w:pStyle w:val="TableContents"/>
              <w:spacing w:before="0" w:after="0"/>
              <w:ind w:left="0" w:right="0" w:hanging="0"/>
              <w:jc w:val="left"/>
              <w:rPr/>
            </w:pPr>
            <w:r>
              <w:rPr/>
              <w:t> </w:t>
            </w:r>
          </w:p>
        </w:tc>
        <w:tc>
          <w:tcPr>
            <w:tcW w:w="9445" w:type="dxa"/>
            <w:tcBorders/>
            <w:shd w:fill="auto" w:val="clear"/>
            <w:vAlign w:val="center"/>
          </w:tcPr>
          <w:p>
            <w:pPr>
              <w:pStyle w:val="TableContents"/>
              <w:spacing w:before="0" w:after="0"/>
              <w:ind w:left="0" w:right="0" w:hanging="0"/>
              <w:jc w:val="left"/>
              <w:rPr/>
            </w:pPr>
            <w:r>
              <w:rPr/>
              <w:t> </w:t>
            </w:r>
          </w:p>
        </w:tc>
      </w:tr>
      <w:tr>
        <w:trPr/>
        <w:tc>
          <w:tcPr>
            <w:tcW w:w="7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9445" w:type="dxa"/>
            <w:tcBorders/>
            <w:shd w:fill="auto" w:val="clear"/>
            <w:vAlign w:val="center"/>
          </w:tcPr>
          <w:p>
            <w:pPr>
              <w:pStyle w:val="TableContents"/>
              <w:spacing w:before="0" w:after="0"/>
              <w:ind w:left="0" w:right="0" w:hanging="0"/>
              <w:jc w:val="left"/>
              <w:rPr/>
            </w:pPr>
            <w:hyperlink w:anchor="dave-ex10_1.htm">
              <w:r>
                <w:rPr>
                  <w:rStyle w:val="InternetLink"/>
                  <w:rFonts w:ascii="Times New Roman;serif" w:hAnsi="Times New Roman;serif"/>
                  <w:b w:val="false"/>
                  <w:sz w:val="20"/>
                  <w:u w:val="single"/>
                </w:rPr>
                <w:t>Amended Non-employee Director Compensation Policy</w:t>
              </w:r>
            </w:hyperlink>
          </w:p>
        </w:tc>
      </w:tr>
      <w:tr>
        <w:trPr/>
        <w:tc>
          <w:tcPr>
            <w:tcW w:w="760" w:type="dxa"/>
            <w:tcBorders/>
            <w:shd w:fill="auto" w:val="clear"/>
            <w:vAlign w:val="center"/>
          </w:tcPr>
          <w:p>
            <w:pPr>
              <w:pStyle w:val="TableContents"/>
              <w:spacing w:before="0" w:after="0"/>
              <w:ind w:left="0" w:right="0" w:hanging="0"/>
              <w:jc w:val="left"/>
              <w:rPr/>
            </w:pPr>
            <w:r>
              <w:rPr/>
              <w:t> </w:t>
            </w:r>
          </w:p>
        </w:tc>
        <w:tc>
          <w:tcPr>
            <w:tcW w:w="9445" w:type="dxa"/>
            <w:tcBorders/>
            <w:shd w:fill="auto" w:val="clear"/>
            <w:vAlign w:val="center"/>
          </w:tcPr>
          <w:p>
            <w:pPr>
              <w:pStyle w:val="TableContents"/>
              <w:spacing w:before="0" w:after="0"/>
              <w:ind w:left="0" w:right="0" w:hanging="0"/>
              <w:jc w:val="left"/>
              <w:rPr/>
            </w:pPr>
            <w:r>
              <w:rPr/>
              <w:t> </w:t>
            </w:r>
          </w:p>
        </w:tc>
      </w:tr>
      <w:tr>
        <w:trPr/>
        <w:tc>
          <w:tcPr>
            <w:tcW w:w="7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9445" w:type="dxa"/>
            <w:tcBorders/>
            <w:shd w:fill="auto" w:val="clear"/>
            <w:vAlign w:val="center"/>
          </w:tcPr>
          <w:p>
            <w:pPr>
              <w:pStyle w:val="TableContents"/>
              <w:spacing w:before="0" w:after="0"/>
              <w:ind w:left="0" w:right="0" w:hanging="0"/>
              <w:jc w:val="left"/>
              <w:rPr/>
            </w:pPr>
            <w:hyperlink w:anchor="dave-ex31_1.htm">
              <w:r>
                <w:rPr>
                  <w:rStyle w:val="InternetLink"/>
                  <w:rFonts w:ascii="Times New Roman;serif" w:hAnsi="Times New Roman;serif"/>
                  <w:b w:val="false"/>
                  <w:sz w:val="20"/>
                  <w:u w:val="single"/>
                </w:rPr>
                <w:t>Certification of the Chief Executive Officer pursuant to Rule 13a-14(a) under the Securities Exchange Act of 1934, as adopted pursuant to §302 of the Sarbanes-Oxley Act of 2002</w:t>
              </w:r>
            </w:hyperlink>
          </w:p>
        </w:tc>
      </w:tr>
      <w:tr>
        <w:trPr/>
        <w:tc>
          <w:tcPr>
            <w:tcW w:w="760" w:type="dxa"/>
            <w:tcBorders/>
            <w:shd w:fill="auto" w:val="clear"/>
            <w:vAlign w:val="center"/>
          </w:tcPr>
          <w:p>
            <w:pPr>
              <w:pStyle w:val="TableContents"/>
              <w:spacing w:before="0" w:after="0"/>
              <w:ind w:left="0" w:right="0" w:hanging="0"/>
              <w:jc w:val="left"/>
              <w:rPr/>
            </w:pPr>
            <w:r>
              <w:rPr/>
              <w:t> </w:t>
            </w:r>
          </w:p>
        </w:tc>
        <w:tc>
          <w:tcPr>
            <w:tcW w:w="9445" w:type="dxa"/>
            <w:tcBorders/>
            <w:shd w:fill="auto" w:val="clear"/>
            <w:vAlign w:val="center"/>
          </w:tcPr>
          <w:p>
            <w:pPr>
              <w:pStyle w:val="TableContents"/>
              <w:spacing w:before="0" w:after="0"/>
              <w:ind w:left="0" w:right="0" w:hanging="0"/>
              <w:jc w:val="left"/>
              <w:rPr/>
            </w:pPr>
            <w:r>
              <w:rPr/>
              <w:t> </w:t>
            </w:r>
          </w:p>
        </w:tc>
      </w:tr>
      <w:tr>
        <w:trPr/>
        <w:tc>
          <w:tcPr>
            <w:tcW w:w="7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9445" w:type="dxa"/>
            <w:tcBorders/>
            <w:shd w:fill="auto" w:val="clear"/>
            <w:vAlign w:val="center"/>
          </w:tcPr>
          <w:p>
            <w:pPr>
              <w:pStyle w:val="TableContents"/>
              <w:spacing w:before="0" w:after="0"/>
              <w:ind w:left="0" w:right="0" w:hanging="0"/>
              <w:jc w:val="left"/>
              <w:rPr/>
            </w:pPr>
            <w:hyperlink w:anchor="dave-ex31_2.htm">
              <w:r>
                <w:rPr>
                  <w:rStyle w:val="InternetLink"/>
                  <w:rFonts w:ascii="Times New Roman;serif" w:hAnsi="Times New Roman;serif"/>
                  <w:b w:val="false"/>
                  <w:sz w:val="20"/>
                  <w:u w:val="single"/>
                </w:rPr>
                <w:t>Certification of the Chief Financial Officer pursuant to Rule 13a-14(a) under the Securities Exchange Act of 1934, as adopted pursuant to §302 of the Sarbanes-Oxley Act of 2002</w:t>
              </w:r>
            </w:hyperlink>
          </w:p>
        </w:tc>
      </w:tr>
      <w:tr>
        <w:trPr/>
        <w:tc>
          <w:tcPr>
            <w:tcW w:w="760" w:type="dxa"/>
            <w:tcBorders/>
            <w:shd w:fill="auto" w:val="clear"/>
            <w:vAlign w:val="center"/>
          </w:tcPr>
          <w:p>
            <w:pPr>
              <w:pStyle w:val="TableContents"/>
              <w:spacing w:before="0" w:after="0"/>
              <w:ind w:left="0" w:right="0" w:hanging="0"/>
              <w:jc w:val="left"/>
              <w:rPr/>
            </w:pPr>
            <w:r>
              <w:rPr/>
              <w:t> </w:t>
            </w:r>
          </w:p>
        </w:tc>
        <w:tc>
          <w:tcPr>
            <w:tcW w:w="9445" w:type="dxa"/>
            <w:tcBorders/>
            <w:shd w:fill="auto" w:val="clear"/>
            <w:vAlign w:val="center"/>
          </w:tcPr>
          <w:p>
            <w:pPr>
              <w:pStyle w:val="TableContents"/>
              <w:spacing w:before="0" w:after="0"/>
              <w:ind w:left="0" w:right="0" w:hanging="0"/>
              <w:jc w:val="left"/>
              <w:rPr/>
            </w:pPr>
            <w:r>
              <w:rPr/>
              <w:t> </w:t>
            </w:r>
          </w:p>
        </w:tc>
      </w:tr>
      <w:tr>
        <w:trPr/>
        <w:tc>
          <w:tcPr>
            <w:tcW w:w="7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9445" w:type="dxa"/>
            <w:tcBorders/>
            <w:shd w:fill="auto" w:val="clear"/>
            <w:vAlign w:val="center"/>
          </w:tcPr>
          <w:p>
            <w:pPr>
              <w:pStyle w:val="TableContents"/>
              <w:spacing w:before="0" w:after="0"/>
              <w:ind w:left="0" w:right="0" w:hanging="0"/>
              <w:jc w:val="left"/>
              <w:rPr/>
            </w:pPr>
            <w:hyperlink w:anchor="dave-ex32_1.htm">
              <w:r>
                <w:rPr>
                  <w:rStyle w:val="InternetLink"/>
                  <w:rFonts w:ascii="Times New Roman;serif" w:hAnsi="Times New Roman;serif"/>
                  <w:b w:val="false"/>
                  <w:sz w:val="20"/>
                  <w:u w:val="single"/>
                </w:rPr>
                <w:t>Certification of the Chief Executive Officer and Chief Financial Officer pursuant to 18 U.S.C. §1350, as adopted pursuant to §906 of the Sarbanes-Oxley Act of 2002</w:t>
              </w:r>
            </w:hyperlink>
          </w:p>
        </w:tc>
      </w:tr>
      <w:tr>
        <w:trPr/>
        <w:tc>
          <w:tcPr>
            <w:tcW w:w="760" w:type="dxa"/>
            <w:tcBorders/>
            <w:shd w:fill="auto" w:val="clear"/>
            <w:vAlign w:val="center"/>
          </w:tcPr>
          <w:p>
            <w:pPr>
              <w:pStyle w:val="TableContents"/>
              <w:spacing w:before="0" w:after="0"/>
              <w:ind w:left="0" w:right="0" w:hanging="0"/>
              <w:jc w:val="left"/>
              <w:rPr/>
            </w:pPr>
            <w:r>
              <w:rPr/>
              <w:t> </w:t>
            </w:r>
          </w:p>
        </w:tc>
        <w:tc>
          <w:tcPr>
            <w:tcW w:w="9445" w:type="dxa"/>
            <w:tcBorders/>
            <w:shd w:fill="auto" w:val="clear"/>
            <w:vAlign w:val="center"/>
          </w:tcPr>
          <w:p>
            <w:pPr>
              <w:pStyle w:val="TableContents"/>
              <w:spacing w:before="0" w:after="0"/>
              <w:ind w:left="0" w:right="0" w:hanging="0"/>
              <w:jc w:val="left"/>
              <w:rPr/>
            </w:pPr>
            <w:r>
              <w:rPr/>
              <w:t> </w:t>
            </w:r>
          </w:p>
        </w:tc>
      </w:tr>
      <w:tr>
        <w:trPr/>
        <w:tc>
          <w:tcPr>
            <w:tcW w:w="7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94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tbl>
      <w:tblPr>
        <w:tblW w:w="7472" w:type="dxa"/>
        <w:jc w:val="left"/>
        <w:tblInd w:w="0" w:type="dxa"/>
        <w:tblCellMar>
          <w:top w:w="28" w:type="dxa"/>
          <w:left w:w="28" w:type="dxa"/>
          <w:bottom w:w="28" w:type="dxa"/>
          <w:right w:w="28" w:type="dxa"/>
        </w:tblCellMar>
      </w:tblPr>
      <w:tblGrid>
        <w:gridCol w:w="871"/>
        <w:gridCol w:w="6601"/>
      </w:tblGrid>
      <w:tr>
        <w:trPr/>
        <w:tc>
          <w:tcPr>
            <w:tcW w:w="871" w:type="dxa"/>
            <w:tcBorders/>
            <w:shd w:fill="auto" w:val="clear"/>
            <w:vAlign w:val="center"/>
          </w:tcPr>
          <w:p>
            <w:pPr>
              <w:pStyle w:val="TableContents"/>
              <w:spacing w:before="0" w:after="283"/>
              <w:rPr>
                <w:sz w:val="4"/>
                <w:szCs w:val="4"/>
              </w:rPr>
            </w:pPr>
            <w:r>
              <w:rPr>
                <w:sz w:val="4"/>
                <w:szCs w:val="4"/>
              </w:rPr>
            </w:r>
          </w:p>
        </w:tc>
        <w:tc>
          <w:tcPr>
            <w:tcW w:w="6601" w:type="dxa"/>
            <w:tcBorders/>
            <w:shd w:fill="auto" w:val="clear"/>
            <w:vAlign w:val="center"/>
          </w:tcPr>
          <w:p>
            <w:pPr>
              <w:pStyle w:val="TableContents"/>
              <w:spacing w:before="0" w:after="283"/>
              <w:rPr>
                <w:sz w:val="4"/>
                <w:szCs w:val="4"/>
              </w:rPr>
            </w:pPr>
            <w:r>
              <w:rPr>
                <w:sz w:val="4"/>
                <w:szCs w:val="4"/>
              </w:rPr>
            </w:r>
          </w:p>
        </w:tc>
      </w:tr>
      <w:tr>
        <w:trPr/>
        <w:tc>
          <w:tcPr>
            <w:tcW w:w="871" w:type="dxa"/>
            <w:tcBorders/>
            <w:shd w:fill="auto" w:val="clear"/>
            <w:vAlign w:val="center"/>
          </w:tcPr>
          <w:p>
            <w:pPr>
              <w:pStyle w:val="TableContents"/>
              <w:spacing w:before="0" w:after="0"/>
              <w:ind w:left="0" w:right="0" w:hanging="0"/>
              <w:jc w:val="left"/>
              <w:rPr/>
            </w:pPr>
            <w:r>
              <w:rPr/>
              <w:t> </w:t>
            </w:r>
          </w:p>
        </w:tc>
        <w:tc>
          <w:tcPr>
            <w:tcW w:w="6601" w:type="dxa"/>
            <w:tcBorders/>
            <w:shd w:fill="auto" w:val="clear"/>
            <w:vAlign w:val="center"/>
          </w:tcPr>
          <w:p>
            <w:pPr>
              <w:pStyle w:val="TableContents"/>
              <w:spacing w:before="0" w:after="0"/>
              <w:ind w:left="0" w:right="0" w:hanging="0"/>
              <w:jc w:val="left"/>
              <w:rPr/>
            </w:pPr>
            <w:r>
              <w:rPr/>
              <w:t> </w:t>
            </w:r>
          </w:p>
        </w:tc>
      </w:tr>
      <w:tr>
        <w:trPr/>
        <w:tc>
          <w:tcPr>
            <w:tcW w:w="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6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71" w:type="dxa"/>
            <w:tcBorders/>
            <w:shd w:fill="auto" w:val="clear"/>
            <w:vAlign w:val="center"/>
          </w:tcPr>
          <w:p>
            <w:pPr>
              <w:pStyle w:val="TableContents"/>
              <w:spacing w:before="0" w:after="0"/>
              <w:ind w:left="0" w:right="0" w:hanging="0"/>
              <w:jc w:val="left"/>
              <w:rPr/>
            </w:pPr>
            <w:r>
              <w:rPr/>
              <w:t> </w:t>
            </w:r>
          </w:p>
        </w:tc>
        <w:tc>
          <w:tcPr>
            <w:tcW w:w="6601" w:type="dxa"/>
            <w:tcBorders/>
            <w:shd w:fill="auto" w:val="clear"/>
            <w:vAlign w:val="center"/>
          </w:tcPr>
          <w:p>
            <w:pPr>
              <w:pStyle w:val="TableContents"/>
              <w:spacing w:before="0" w:after="0"/>
              <w:ind w:left="0" w:right="0" w:hanging="0"/>
              <w:jc w:val="left"/>
              <w:rPr/>
            </w:pPr>
            <w:r>
              <w:rPr/>
              <w:t> </w:t>
            </w:r>
          </w:p>
        </w:tc>
      </w:tr>
      <w:tr>
        <w:trPr/>
        <w:tc>
          <w:tcPr>
            <w:tcW w:w="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6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71" w:type="dxa"/>
            <w:tcBorders/>
            <w:shd w:fill="auto" w:val="clear"/>
            <w:vAlign w:val="center"/>
          </w:tcPr>
          <w:p>
            <w:pPr>
              <w:pStyle w:val="TableContents"/>
              <w:spacing w:before="0" w:after="0"/>
              <w:ind w:left="0" w:right="0" w:hanging="0"/>
              <w:jc w:val="left"/>
              <w:rPr/>
            </w:pPr>
            <w:r>
              <w:rPr/>
              <w:t> </w:t>
            </w:r>
          </w:p>
        </w:tc>
        <w:tc>
          <w:tcPr>
            <w:tcW w:w="6601" w:type="dxa"/>
            <w:tcBorders/>
            <w:shd w:fill="auto" w:val="clear"/>
            <w:vAlign w:val="center"/>
          </w:tcPr>
          <w:p>
            <w:pPr>
              <w:pStyle w:val="TableContents"/>
              <w:spacing w:before="0" w:after="0"/>
              <w:ind w:left="0" w:right="0" w:hanging="0"/>
              <w:jc w:val="left"/>
              <w:rPr/>
            </w:pPr>
            <w:r>
              <w:rPr/>
              <w:t> </w:t>
            </w:r>
          </w:p>
        </w:tc>
      </w:tr>
      <w:tr>
        <w:trPr/>
        <w:tc>
          <w:tcPr>
            <w:tcW w:w="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6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71" w:type="dxa"/>
            <w:tcBorders/>
            <w:shd w:fill="auto" w:val="clear"/>
            <w:vAlign w:val="center"/>
          </w:tcPr>
          <w:p>
            <w:pPr>
              <w:pStyle w:val="TableContents"/>
              <w:spacing w:before="0" w:after="0"/>
              <w:ind w:left="0" w:right="0" w:hanging="0"/>
              <w:jc w:val="left"/>
              <w:rPr/>
            </w:pPr>
            <w:r>
              <w:rPr/>
              <w:t> </w:t>
            </w:r>
          </w:p>
        </w:tc>
        <w:tc>
          <w:tcPr>
            <w:tcW w:w="6601" w:type="dxa"/>
            <w:tcBorders/>
            <w:shd w:fill="auto" w:val="clear"/>
            <w:vAlign w:val="center"/>
          </w:tcPr>
          <w:p>
            <w:pPr>
              <w:pStyle w:val="TableContents"/>
              <w:spacing w:before="0" w:after="0"/>
              <w:ind w:left="0" w:right="0" w:hanging="0"/>
              <w:jc w:val="left"/>
              <w:rPr/>
            </w:pPr>
            <w:r>
              <w:rPr/>
              <w:t> </w:t>
            </w:r>
          </w:p>
        </w:tc>
      </w:tr>
      <w:tr>
        <w:trPr/>
        <w:tc>
          <w:tcPr>
            <w:tcW w:w="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6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71" w:type="dxa"/>
            <w:tcBorders/>
            <w:shd w:fill="auto" w:val="clear"/>
            <w:vAlign w:val="center"/>
          </w:tcPr>
          <w:p>
            <w:pPr>
              <w:pStyle w:val="TableContents"/>
              <w:spacing w:before="0" w:after="0"/>
              <w:ind w:left="0" w:right="0" w:hanging="0"/>
              <w:jc w:val="left"/>
              <w:rPr/>
            </w:pPr>
            <w:r>
              <w:rPr/>
              <w:t> </w:t>
            </w:r>
          </w:p>
        </w:tc>
        <w:tc>
          <w:tcPr>
            <w:tcW w:w="6601" w:type="dxa"/>
            <w:tcBorders/>
            <w:shd w:fill="auto" w:val="clear"/>
            <w:vAlign w:val="center"/>
          </w:tcPr>
          <w:p>
            <w:pPr>
              <w:pStyle w:val="TableContents"/>
              <w:spacing w:before="0" w:after="0"/>
              <w:ind w:left="0" w:right="0" w:hanging="0"/>
              <w:jc w:val="left"/>
              <w:rPr/>
            </w:pPr>
            <w:r>
              <w:rPr/>
              <w:t> </w:t>
            </w:r>
          </w:p>
        </w:tc>
      </w:tr>
      <w:tr>
        <w:trPr/>
        <w:tc>
          <w:tcPr>
            <w:tcW w:w="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6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871" w:type="dxa"/>
            <w:tcBorders/>
            <w:shd w:fill="auto" w:val="clear"/>
            <w:vAlign w:val="center"/>
          </w:tcPr>
          <w:p>
            <w:pPr>
              <w:pStyle w:val="TableContents"/>
              <w:spacing w:before="0" w:after="0"/>
              <w:ind w:left="0" w:right="0" w:hanging="0"/>
              <w:jc w:val="left"/>
              <w:rPr/>
            </w:pPr>
            <w:r>
              <w:rPr/>
              <w:t> </w:t>
            </w:r>
          </w:p>
        </w:tc>
        <w:tc>
          <w:tcPr>
            <w:tcW w:w="6601" w:type="dxa"/>
            <w:tcBorders/>
            <w:shd w:fill="auto" w:val="clear"/>
            <w:vAlign w:val="center"/>
          </w:tcPr>
          <w:p>
            <w:pPr>
              <w:pStyle w:val="TableContents"/>
              <w:spacing w:before="0" w:after="0"/>
              <w:ind w:left="0" w:right="0" w:hanging="0"/>
              <w:jc w:val="left"/>
              <w:rPr/>
            </w:pPr>
            <w:r>
              <w:rPr/>
              <w:t> </w:t>
            </w:r>
          </w:p>
        </w:tc>
      </w:tr>
      <w:tr>
        <w:trPr/>
        <w:tc>
          <w:tcPr>
            <w:tcW w:w="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6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Furnished not filed.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Indicates a management contract or compensatory plan, contract or arrangement.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center"/>
        <w:rPr>
          <w:rFonts w:ascii="Times New Roman" w:hAnsi="Times New Roman"/>
          <w:sz w:val="20"/>
        </w:rPr>
      </w:pPr>
      <w:bookmarkStart w:id="22" w:name="signatures"/>
      <w:bookmarkEnd w:id="22"/>
      <w:r>
        <w:rPr>
          <w:rFonts w:ascii="Times New Roman;serif" w:hAnsi="Times New Roman;serif"/>
          <w:b/>
          <w:sz w:val="20"/>
        </w:rPr>
        <w:t>SIGNATURES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r>
        <w:rPr>
          <w:rFonts w:ascii="Times New Roman" w:hAnsi="Times New Roman"/>
          <w:sz w:val="20"/>
        </w:rPr>
        <w:t xml:space="preserve"> </w:t>
      </w:r>
    </w:p>
    <w:tbl>
      <w:tblPr>
        <w:tblW w:w="4859" w:type="dxa"/>
        <w:jc w:val="left"/>
        <w:tblInd w:w="0" w:type="dxa"/>
        <w:tblCellMar>
          <w:top w:w="28" w:type="dxa"/>
          <w:left w:w="28" w:type="dxa"/>
          <w:bottom w:w="28" w:type="dxa"/>
          <w:right w:w="28" w:type="dxa"/>
        </w:tblCellMar>
      </w:tblPr>
      <w:tblGrid>
        <w:gridCol w:w="1741"/>
        <w:gridCol w:w="146"/>
        <w:gridCol w:w="406"/>
        <w:gridCol w:w="2566"/>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6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2566" w:type="dxa"/>
            <w:tcBorders/>
            <w:shd w:fill="auto" w:val="clear"/>
            <w:vAlign w:val="center"/>
          </w:tcPr>
          <w:p>
            <w:pPr>
              <w:pStyle w:val="TableContents"/>
              <w:spacing w:before="0" w:after="0"/>
              <w:ind w:left="0" w:right="0" w:hanging="0"/>
              <w:jc w:val="left"/>
              <w:rPr/>
            </w:pPr>
            <w:r>
              <w:rPr/>
              <w:t> </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Dated: May 9,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972" w:type="dxa"/>
            <w:gridSpan w:val="2"/>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Dave Inc.</w:t>
            </w:r>
          </w:p>
        </w:tc>
      </w:tr>
      <w:tr>
        <w:trPr/>
        <w:tc>
          <w:tcPr>
            <w:tcW w:w="17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2566" w:type="dxa"/>
            <w:tcBorders/>
            <w:shd w:fill="auto" w:val="clear"/>
            <w:vAlign w:val="center"/>
          </w:tcPr>
          <w:p>
            <w:pPr>
              <w:pStyle w:val="TableContents"/>
              <w:spacing w:before="0" w:after="283"/>
              <w:ind w:left="0" w:right="0" w:hanging="0"/>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6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Jason Wilk</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Jason Wilk</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Chief Executive Officer</w:t>
            </w:r>
          </w:p>
        </w:tc>
      </w:tr>
    </w:tbl>
    <w:p>
      <w:pPr>
        <w:pStyle w:val="TextBody"/>
        <w:spacing w:before="240" w:after="0"/>
        <w:jc w:val="center"/>
        <w:rPr/>
      </w:pPr>
      <w:r>
        <w:rPr/>
        <w:t> </w:t>
      </w:r>
    </w:p>
    <w:tbl>
      <w:tblPr>
        <w:tblW w:w="4799" w:type="dxa"/>
        <w:jc w:val="left"/>
        <w:tblInd w:w="0" w:type="dxa"/>
        <w:tblCellMar>
          <w:top w:w="28" w:type="dxa"/>
          <w:left w:w="28" w:type="dxa"/>
          <w:bottom w:w="28" w:type="dxa"/>
          <w:right w:w="28" w:type="dxa"/>
        </w:tblCellMar>
      </w:tblPr>
      <w:tblGrid>
        <w:gridCol w:w="1741"/>
        <w:gridCol w:w="146"/>
        <w:gridCol w:w="406"/>
        <w:gridCol w:w="2506"/>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0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2506" w:type="dxa"/>
            <w:tcBorders/>
            <w:shd w:fill="auto" w:val="clear"/>
            <w:vAlign w:val="center"/>
          </w:tcPr>
          <w:p>
            <w:pPr>
              <w:pStyle w:val="TableContents"/>
              <w:spacing w:before="0" w:after="0"/>
              <w:ind w:left="0" w:right="0" w:hanging="0"/>
              <w:jc w:val="left"/>
              <w:rPr/>
            </w:pPr>
            <w:r>
              <w:rPr/>
              <w:t> </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Dated: May 9,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912" w:type="dxa"/>
            <w:gridSpan w:val="2"/>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DAVE INC.</w:t>
            </w:r>
          </w:p>
        </w:tc>
      </w:tr>
      <w:tr>
        <w:trPr/>
        <w:tc>
          <w:tcPr>
            <w:tcW w:w="17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2506" w:type="dxa"/>
            <w:tcBorders/>
            <w:shd w:fill="auto" w:val="clear"/>
            <w:vAlign w:val="center"/>
          </w:tcPr>
          <w:p>
            <w:pPr>
              <w:pStyle w:val="TableContents"/>
              <w:spacing w:before="0" w:after="283"/>
              <w:ind w:left="0" w:right="0" w:hanging="0"/>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0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Kyle Beilman</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Kyle Beilman</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Chief Financial Officer</w:t>
            </w:r>
          </w:p>
        </w:tc>
      </w:tr>
    </w:tbl>
    <w:p>
      <w:pPr>
        <w:pStyle w:val="TextBody"/>
        <w:spacing w:before="0" w:after="0"/>
        <w:jc w:val="righ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r>
        <w:br w:type="page"/>
      </w:r>
    </w:p>
    <w:p>
      <w:pPr>
        <w:pStyle w:val="TextBody"/>
        <w:spacing w:before="0" w:after="0"/>
        <w:jc w:val="right"/>
        <w:rPr/>
      </w:pPr>
      <w:bookmarkStart w:id="23" w:name="dave-ex10_1.htm"/>
      <w:bookmarkStart w:id="24" w:name="ksdaveex10_1"/>
      <w:bookmarkEnd w:id="23"/>
      <w:bookmarkEnd w:id="24"/>
      <w:r>
        <w:rPr/>
        <w:t> </w:t>
      </w:r>
    </w:p>
    <w:p>
      <w:pPr>
        <w:pStyle w:val="TextBody"/>
        <w:spacing w:before="0" w:after="0"/>
        <w:jc w:val="right"/>
        <w:rPr>
          <w:rFonts w:ascii="Times New Roman" w:hAnsi="Times New Roman"/>
          <w:sz w:val="20"/>
        </w:rPr>
      </w:pPr>
      <w:r>
        <w:rPr>
          <w:rFonts w:ascii="Times New Roman;serif" w:hAnsi="Times New Roman;serif"/>
          <w:b/>
          <w:sz w:val="20"/>
        </w:rPr>
        <w:t>Exhibit 10.1</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DAVE INC.</w:t>
      </w:r>
    </w:p>
    <w:p>
      <w:pPr>
        <w:pStyle w:val="TextBody"/>
        <w:spacing w:before="0" w:after="0"/>
        <w:jc w:val="center"/>
        <w:rPr>
          <w:rFonts w:ascii="Times New Roman;serif" w:hAnsi="Times New Roman;serif"/>
          <w:b/>
          <w:sz w:val="20"/>
        </w:rPr>
      </w:pPr>
      <w:r>
        <w:rPr>
          <w:rFonts w:ascii="Times New Roman;serif" w:hAnsi="Times New Roman;serif"/>
          <w:b/>
          <w:sz w:val="20"/>
        </w:rPr>
        <w:t>NON-EMPLOYEE DIRECTOR COMPENSATION POLICY</w:t>
      </w:r>
    </w:p>
    <w:p>
      <w:pPr>
        <w:pStyle w:val="TextBody"/>
        <w:spacing w:before="0" w:after="0"/>
        <w:jc w:val="center"/>
        <w:rPr>
          <w:rFonts w:ascii="Times New Roman;serif" w:hAnsi="Times New Roman;serif"/>
          <w:b/>
          <w:sz w:val="20"/>
        </w:rPr>
      </w:pPr>
      <w:r>
        <w:rPr>
          <w:rFonts w:ascii="Times New Roman;serif" w:hAnsi="Times New Roman;serif"/>
          <w:b/>
          <w:sz w:val="20"/>
        </w:rPr>
        <w:t>AMENDED AND RESTATED: FEBRUARY 22, 2023</w:t>
      </w:r>
    </w:p>
    <w:p>
      <w:pPr>
        <w:pStyle w:val="TextBody"/>
        <w:spacing w:before="0" w:after="0"/>
        <w:jc w:val="both"/>
        <w:rPr>
          <w:rFonts w:ascii="Times New Roman" w:hAnsi="Times New Roman"/>
          <w:sz w:val="20"/>
        </w:rPr>
      </w:pPr>
      <w:r>
        <w:rPr>
          <w:rFonts w:ascii="Times New Roman;serif" w:hAnsi="Times New Roman;serif"/>
          <w:b w:val="false"/>
          <w:sz w:val="20"/>
        </w:rPr>
        <w:t>Each member of the Board of Directors (the “</w:t>
      </w:r>
      <w:r>
        <w:rPr>
          <w:rFonts w:ascii="Times New Roman;serif" w:hAnsi="Times New Roman;serif"/>
          <w:b/>
          <w:i/>
          <w:sz w:val="20"/>
        </w:rPr>
        <w:t>Board</w:t>
      </w:r>
      <w:r>
        <w:rPr>
          <w:rFonts w:ascii="Times New Roman" w:hAnsi="Times New Roman"/>
          <w:sz w:val="20"/>
        </w:rPr>
        <w:t>”</w:t>
      </w:r>
      <w:r>
        <w:rPr>
          <w:rFonts w:ascii="Times New Roman;serif" w:hAnsi="Times New Roman;serif"/>
          <w:b w:val="false"/>
          <w:sz w:val="20"/>
        </w:rPr>
        <w:t>) of Dave Inc. (the “</w:t>
      </w:r>
      <w:r>
        <w:rPr>
          <w:rFonts w:ascii="Times New Roman;serif" w:hAnsi="Times New Roman;serif"/>
          <w:b/>
          <w:i/>
          <w:sz w:val="20"/>
        </w:rPr>
        <w:t>Company</w:t>
      </w:r>
      <w:r>
        <w:rPr>
          <w:rFonts w:ascii="Times New Roman" w:hAnsi="Times New Roman"/>
          <w:sz w:val="20"/>
        </w:rPr>
        <w:t>”</w:t>
      </w:r>
      <w:r>
        <w:rPr>
          <w:rFonts w:ascii="Times New Roman;serif" w:hAnsi="Times New Roman;serif"/>
          <w:b w:val="false"/>
          <w:sz w:val="20"/>
        </w:rPr>
        <w:t>) who is not an employee of the Company (each such member, an “</w:t>
      </w:r>
      <w:r>
        <w:rPr>
          <w:rFonts w:ascii="Times New Roman;serif" w:hAnsi="Times New Roman;serif"/>
          <w:b/>
          <w:i/>
          <w:sz w:val="20"/>
        </w:rPr>
        <w:t>Outside Director</w:t>
      </w:r>
      <w:r>
        <w:rPr>
          <w:rFonts w:ascii="Times New Roman" w:hAnsi="Times New Roman"/>
          <w:sz w:val="20"/>
        </w:rPr>
        <w:t>”</w:t>
      </w:r>
      <w:r>
        <w:rPr>
          <w:rFonts w:ascii="Times New Roman;serif" w:hAnsi="Times New Roman;serif"/>
          <w:b w:val="false"/>
          <w:sz w:val="20"/>
        </w:rPr>
        <w:t>) will receive the compensation described in this Non-Employee Director Compensation Policy (the “</w:t>
      </w:r>
      <w:r>
        <w:rPr>
          <w:rFonts w:ascii="Times New Roman;serif" w:hAnsi="Times New Roman;serif"/>
          <w:b/>
          <w:i/>
          <w:sz w:val="20"/>
        </w:rPr>
        <w:t>Director Compensation Policy</w:t>
      </w:r>
      <w:r>
        <w:rPr>
          <w:rFonts w:ascii="Times New Roman" w:hAnsi="Times New Roman"/>
          <w:sz w:val="20"/>
        </w:rPr>
        <w:t>”</w:t>
      </w:r>
      <w:r>
        <w:rPr>
          <w:rFonts w:ascii="Times New Roman;serif" w:hAnsi="Times New Roman;serif"/>
          <w:b w:val="false"/>
          <w:sz w:val="20"/>
        </w:rPr>
        <w:t>), as amended, for his or her Board service following the date this Director Compensation Policy was originally adopted effective as of January 5, 2022 (the “</w:t>
      </w:r>
      <w:r>
        <w:rPr>
          <w:rFonts w:ascii="Times New Roman;serif" w:hAnsi="Times New Roman;serif"/>
          <w:b/>
          <w:i/>
          <w:sz w:val="20"/>
        </w:rPr>
        <w:t>Original Effective Date</w:t>
      </w:r>
      <w:r>
        <w:rPr>
          <w:rFonts w:ascii="Times New Roman" w:hAnsi="Times New Roman"/>
          <w:sz w:val="20"/>
        </w:rPr>
        <w:t>”</w:t>
      </w:r>
      <w:r>
        <w:rPr>
          <w:rFonts w:ascii="Times New Roman;serif" w:hAnsi="Times New Roman;serif"/>
          <w:b w:val="false"/>
          <w:sz w:val="20"/>
        </w:rPr>
        <w:t>).</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Director Compensation Policy may be amended at any time in the sole discretion of the Board.</w:t>
      </w:r>
    </w:p>
    <w:p>
      <w:pPr>
        <w:pStyle w:val="TextBody"/>
        <w:spacing w:before="0" w:after="0"/>
        <w:jc w:val="both"/>
        <w:rPr>
          <w:rFonts w:ascii="Times New Roman;serif" w:hAnsi="Times New Roman;serif"/>
          <w:b/>
          <w:sz w:val="20"/>
        </w:rPr>
      </w:pPr>
      <w:r>
        <w:rPr>
          <w:rFonts w:ascii="Times New Roman;serif" w:hAnsi="Times New Roman;serif"/>
          <w:b/>
          <w:sz w:val="20"/>
        </w:rPr>
        <w:t>Annual Cash Compensation</w:t>
      </w:r>
    </w:p>
    <w:p>
      <w:pPr>
        <w:pStyle w:val="TextBody"/>
        <w:spacing w:before="0" w:after="0"/>
        <w:jc w:val="both"/>
        <w:rPr>
          <w:rFonts w:ascii="Times New Roman;serif" w:hAnsi="Times New Roman;serif"/>
          <w:b w:val="false"/>
          <w:sz w:val="20"/>
        </w:rPr>
      </w:pPr>
      <w:r>
        <w:rPr>
          <w:rFonts w:ascii="Times New Roman;serif" w:hAnsi="Times New Roman;serif"/>
          <w:b w:val="false"/>
          <w:sz w:val="20"/>
        </w:rPr>
        <w:t>Each Outside Director will receive the cash compensation set forth below for service on the Board. The annual cash compensation amounts will be payable in arrears, in equal quarterly installments following the end of each fiscal quarter of the Company in which the service occurred. Any amount payable for a partial quarter of service will be pro-rated by multiplying such amount by a fraction, the numerator of which will be the number of days of service that the Outside Director provided in such quarter and the denominator of which will be the number of days in such quarter inclusive. All annual cash fees are vested upon payment.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 xml:space="preserve">1. </w:t>
      </w:r>
      <w:r>
        <w:rPr>
          <w:rFonts w:ascii="Times New Roman;serif" w:hAnsi="Times New Roman;serif"/>
          <w:b w:val="false"/>
          <w:sz w:val="20"/>
          <w:u w:val="single"/>
        </w:rPr>
        <w:t>Annual Board Member Service Retainer</w:t>
      </w:r>
      <w:r>
        <w:rPr>
          <w:rFonts w:ascii="Times New Roman;serif" w:hAnsi="Times New Roman;serif"/>
          <w:b w:val="false"/>
          <w:sz w:val="20"/>
        </w:rPr>
        <w:t>:</w:t>
      </w:r>
    </w:p>
    <w:p>
      <w:pPr>
        <w:pStyle w:val="TextBody"/>
        <w:spacing w:before="0" w:after="0"/>
        <w:jc w:val="both"/>
        <w:rPr>
          <w:rFonts w:ascii="Times New Roman" w:hAnsi="Times New Roman"/>
          <w:sz w:val="20"/>
        </w:rPr>
      </w:pPr>
      <w:r>
        <w:rPr>
          <w:rFonts w:ascii="Times New Roman;serif" w:hAnsi="Times New Roman;serif"/>
          <w:b w:val="false"/>
          <w:sz w:val="20"/>
        </w:rPr>
        <w:t xml:space="preserve">a. All Outside Directors: </w:t>
      </w:r>
      <w:r>
        <w:rPr>
          <w:rFonts w:ascii="Times New Roman;serif" w:hAnsi="Times New Roman;serif"/>
          <w:b/>
          <w:sz w:val="20"/>
          <w:u w:val="single"/>
        </w:rPr>
        <w:t>$35,000</w:t>
      </w:r>
      <w:r>
        <w:rPr>
          <w:rFonts w:ascii="Times New Roman;serif" w:hAnsi="Times New Roman;serif"/>
          <w:b w:val="false"/>
          <w:sz w:val="20"/>
        </w:rPr>
        <w:t>.</w:t>
      </w:r>
    </w:p>
    <w:p>
      <w:pPr>
        <w:pStyle w:val="TextBody"/>
        <w:spacing w:before="0" w:after="0"/>
        <w:jc w:val="both"/>
        <w:rPr>
          <w:rFonts w:ascii="Times New Roman" w:hAnsi="Times New Roman"/>
          <w:sz w:val="20"/>
        </w:rPr>
      </w:pPr>
      <w:r>
        <w:rPr>
          <w:rFonts w:ascii="Times New Roman;serif" w:hAnsi="Times New Roman;serif"/>
          <w:b w:val="false"/>
          <w:sz w:val="20"/>
        </w:rPr>
        <w:t xml:space="preserve">b. Outside Director serving as Chairperson: </w:t>
      </w:r>
      <w:r>
        <w:rPr>
          <w:rFonts w:ascii="Times New Roman;serif" w:hAnsi="Times New Roman;serif"/>
          <w:b/>
          <w:sz w:val="20"/>
          <w:u w:val="single"/>
        </w:rPr>
        <w:t>$35,000</w:t>
      </w:r>
      <w:r>
        <w:rPr>
          <w:rFonts w:ascii="Times New Roman" w:hAnsi="Times New Roman"/>
          <w:sz w:val="20"/>
        </w:rPr>
        <w:t xml:space="preserve"> </w:t>
      </w:r>
      <w:r>
        <w:rPr>
          <w:rFonts w:ascii="Times New Roman;serif" w:hAnsi="Times New Roman;serif"/>
          <w:b w:val="false"/>
          <w:sz w:val="20"/>
        </w:rPr>
        <w:t>(in addition to above).</w:t>
      </w:r>
    </w:p>
    <w:p>
      <w:pPr>
        <w:pStyle w:val="TextBody"/>
        <w:spacing w:before="0" w:after="0"/>
        <w:jc w:val="both"/>
        <w:rPr>
          <w:rFonts w:ascii="Times New Roman" w:hAnsi="Times New Roman"/>
          <w:sz w:val="20"/>
        </w:rPr>
      </w:pPr>
      <w:r>
        <w:rPr>
          <w:rFonts w:ascii="Times New Roman;serif" w:hAnsi="Times New Roman;serif"/>
          <w:b w:val="false"/>
          <w:sz w:val="20"/>
        </w:rPr>
        <w:t xml:space="preserve">c. Outside Director serving as Lead Independent Director: </w:t>
      </w:r>
      <w:r>
        <w:rPr>
          <w:rFonts w:ascii="Times New Roman;serif" w:hAnsi="Times New Roman;serif"/>
          <w:b/>
          <w:sz w:val="20"/>
          <w:u w:val="single"/>
        </w:rPr>
        <w:t>$20,000</w:t>
      </w:r>
      <w:r>
        <w:rPr>
          <w:rFonts w:ascii="Times New Roman" w:hAnsi="Times New Roman"/>
          <w:sz w:val="20"/>
        </w:rPr>
        <w:t xml:space="preserve"> </w:t>
      </w:r>
      <w:r>
        <w:rPr>
          <w:rFonts w:ascii="Times New Roman;serif" w:hAnsi="Times New Roman;serif"/>
          <w:b w:val="false"/>
          <w:sz w:val="20"/>
        </w:rPr>
        <w:t>(in addition to above).</w:t>
      </w:r>
    </w:p>
    <w:p>
      <w:pPr>
        <w:pStyle w:val="TextBody"/>
        <w:spacing w:before="0" w:after="0"/>
        <w:jc w:val="both"/>
        <w:rPr>
          <w:rFonts w:ascii="Times New Roman" w:hAnsi="Times New Roman"/>
          <w:sz w:val="20"/>
        </w:rPr>
      </w:pPr>
      <w:r>
        <w:rPr>
          <w:rFonts w:ascii="Times New Roman;serif" w:hAnsi="Times New Roman;serif"/>
          <w:b w:val="false"/>
          <w:sz w:val="20"/>
        </w:rPr>
        <w:t xml:space="preserve">2. </w:t>
      </w:r>
      <w:r>
        <w:rPr>
          <w:rFonts w:ascii="Times New Roman;serif" w:hAnsi="Times New Roman;serif"/>
          <w:b w:val="false"/>
          <w:sz w:val="20"/>
          <w:u w:val="single"/>
        </w:rPr>
        <w:t>Annual Committee Member Service Retainer</w:t>
      </w:r>
      <w:r>
        <w:rPr>
          <w:rFonts w:ascii="Times New Roman;serif" w:hAnsi="Times New Roman;serif"/>
          <w:b w:val="false"/>
          <w:sz w:val="20"/>
        </w:rPr>
        <w:t>:</w:t>
      </w:r>
    </w:p>
    <w:p>
      <w:pPr>
        <w:pStyle w:val="TextBody"/>
        <w:spacing w:before="0" w:after="0"/>
        <w:jc w:val="both"/>
        <w:rPr>
          <w:rFonts w:ascii="Times New Roman" w:hAnsi="Times New Roman"/>
          <w:sz w:val="20"/>
        </w:rPr>
      </w:pPr>
      <w:r>
        <w:rPr>
          <w:rFonts w:ascii="Times New Roman;serif" w:hAnsi="Times New Roman;serif"/>
          <w:b w:val="false"/>
          <w:sz w:val="20"/>
        </w:rPr>
        <w:t xml:space="preserve">a. Member of the Audit Committee: </w:t>
      </w:r>
      <w:r>
        <w:rPr>
          <w:rFonts w:ascii="Times New Roman;serif" w:hAnsi="Times New Roman;serif"/>
          <w:b/>
          <w:sz w:val="20"/>
          <w:u w:val="single"/>
        </w:rPr>
        <w:t>$10,000</w:t>
      </w:r>
      <w:r>
        <w:rPr>
          <w:rFonts w:ascii="Times New Roman;serif" w:hAnsi="Times New Roman;serif"/>
          <w:b w:val="false"/>
          <w:sz w:val="20"/>
        </w:rPr>
        <w:t>.</w:t>
      </w:r>
    </w:p>
    <w:p>
      <w:pPr>
        <w:pStyle w:val="TextBody"/>
        <w:spacing w:before="0" w:after="0"/>
        <w:jc w:val="both"/>
        <w:rPr>
          <w:rFonts w:ascii="Times New Roman" w:hAnsi="Times New Roman"/>
          <w:sz w:val="20"/>
        </w:rPr>
      </w:pPr>
      <w:r>
        <w:rPr>
          <w:rFonts w:ascii="Times New Roman;serif" w:hAnsi="Times New Roman;serif"/>
          <w:b w:val="false"/>
          <w:sz w:val="20"/>
        </w:rPr>
        <w:t xml:space="preserve">b. Member of the Compensation Committee: </w:t>
      </w:r>
      <w:r>
        <w:rPr>
          <w:rFonts w:ascii="Times New Roman;serif" w:hAnsi="Times New Roman;serif"/>
          <w:b/>
          <w:sz w:val="20"/>
          <w:u w:val="single"/>
        </w:rPr>
        <w:t>$7,000</w:t>
      </w:r>
      <w:r>
        <w:rPr>
          <w:rFonts w:ascii="Times New Roman;serif" w:hAnsi="Times New Roman;serif"/>
          <w:b w:val="false"/>
          <w:sz w:val="20"/>
        </w:rPr>
        <w:t>.</w:t>
      </w:r>
    </w:p>
    <w:p>
      <w:pPr>
        <w:pStyle w:val="TextBody"/>
        <w:spacing w:before="0" w:after="0"/>
        <w:jc w:val="both"/>
        <w:rPr>
          <w:rFonts w:ascii="Times New Roman" w:hAnsi="Times New Roman"/>
          <w:sz w:val="20"/>
        </w:rPr>
      </w:pPr>
      <w:r>
        <w:rPr>
          <w:rFonts w:ascii="Times New Roman;serif" w:hAnsi="Times New Roman;serif"/>
          <w:b w:val="false"/>
          <w:sz w:val="20"/>
        </w:rPr>
        <w:t xml:space="preserve">c. Member of the Nominating and Corporate Governance Committee: </w:t>
      </w:r>
      <w:r>
        <w:rPr>
          <w:rFonts w:ascii="Times New Roman;serif" w:hAnsi="Times New Roman;serif"/>
          <w:b/>
          <w:sz w:val="20"/>
          <w:u w:val="single"/>
        </w:rPr>
        <w:t>$4,000</w:t>
      </w:r>
      <w:r>
        <w:rPr>
          <w:rFonts w:ascii="Times New Roman;serif" w:hAnsi="Times New Roman;serif"/>
          <w:b w:val="false"/>
          <w:sz w:val="20"/>
        </w:rPr>
        <w:t>.</w:t>
      </w:r>
    </w:p>
    <w:p>
      <w:pPr>
        <w:pStyle w:val="TextBody"/>
        <w:spacing w:before="0" w:after="0"/>
        <w:jc w:val="both"/>
        <w:rPr>
          <w:rFonts w:ascii="Times New Roman" w:hAnsi="Times New Roman"/>
          <w:sz w:val="20"/>
        </w:rPr>
      </w:pPr>
      <w:r>
        <w:rPr>
          <w:rFonts w:ascii="Times New Roman;serif" w:hAnsi="Times New Roman;serif"/>
          <w:b w:val="false"/>
          <w:sz w:val="20"/>
        </w:rPr>
        <w:t xml:space="preserve">3. </w:t>
      </w:r>
      <w:r>
        <w:rPr>
          <w:rFonts w:ascii="Times New Roman;serif" w:hAnsi="Times New Roman;serif"/>
          <w:b w:val="false"/>
          <w:sz w:val="20"/>
          <w:u w:val="single"/>
        </w:rPr>
        <w:t>Annual Committee Chair Service Retainer (in lieu of Annual Committee Member Service Retainer)</w:t>
      </w:r>
      <w:r>
        <w:rPr>
          <w:rFonts w:ascii="Times New Roman;serif" w:hAnsi="Times New Roman;serif"/>
          <w:b w:val="false"/>
          <w:sz w:val="20"/>
        </w:rPr>
        <w:t>:</w:t>
      </w:r>
    </w:p>
    <w:p>
      <w:pPr>
        <w:pStyle w:val="TextBody"/>
        <w:spacing w:before="0" w:after="0"/>
        <w:jc w:val="both"/>
        <w:rPr>
          <w:rFonts w:ascii="Times New Roman" w:hAnsi="Times New Roman"/>
          <w:sz w:val="20"/>
        </w:rPr>
      </w:pPr>
      <w:r>
        <w:rPr>
          <w:rFonts w:ascii="Times New Roman;serif" w:hAnsi="Times New Roman;serif"/>
          <w:b w:val="false"/>
          <w:sz w:val="20"/>
        </w:rPr>
        <w:t xml:space="preserve">a. Chairperson of the Audit Committee: </w:t>
      </w:r>
      <w:r>
        <w:rPr>
          <w:rFonts w:ascii="Times New Roman;serif" w:hAnsi="Times New Roman;serif"/>
          <w:b/>
          <w:sz w:val="20"/>
          <w:u w:val="single"/>
        </w:rPr>
        <w:t>$20,000</w:t>
      </w:r>
      <w:r>
        <w:rPr>
          <w:rFonts w:ascii="Times New Roman;serif" w:hAnsi="Times New Roman;serif"/>
          <w:b w:val="false"/>
          <w:sz w:val="20"/>
        </w:rPr>
        <w:t>.</w:t>
      </w:r>
    </w:p>
    <w:p>
      <w:pPr>
        <w:pStyle w:val="TextBody"/>
        <w:spacing w:before="0" w:after="0"/>
        <w:jc w:val="both"/>
        <w:rPr>
          <w:rFonts w:ascii="Times New Roman" w:hAnsi="Times New Roman"/>
          <w:sz w:val="20"/>
        </w:rPr>
      </w:pPr>
      <w:r>
        <w:rPr>
          <w:rFonts w:ascii="Times New Roman;serif" w:hAnsi="Times New Roman;serif"/>
          <w:b w:val="false"/>
          <w:sz w:val="20"/>
        </w:rPr>
        <w:t xml:space="preserve">b. Chairperson of the Compensation Committee: </w:t>
      </w:r>
      <w:r>
        <w:rPr>
          <w:rFonts w:ascii="Times New Roman;serif" w:hAnsi="Times New Roman;serif"/>
          <w:b/>
          <w:sz w:val="20"/>
          <w:u w:val="single"/>
        </w:rPr>
        <w:t>$14,000</w:t>
      </w:r>
      <w:r>
        <w:rPr>
          <w:rFonts w:ascii="Times New Roman;serif" w:hAnsi="Times New Roman;serif"/>
          <w:b w:val="false"/>
          <w:sz w:val="20"/>
        </w:rPr>
        <w:t>.</w:t>
      </w:r>
    </w:p>
    <w:p>
      <w:pPr>
        <w:pStyle w:val="TextBody"/>
        <w:spacing w:before="0" w:after="0"/>
        <w:jc w:val="both"/>
        <w:rPr>
          <w:rFonts w:ascii="Times New Roman" w:hAnsi="Times New Roman"/>
          <w:sz w:val="20"/>
        </w:rPr>
      </w:pPr>
      <w:r>
        <w:rPr>
          <w:rFonts w:ascii="Times New Roman;serif" w:hAnsi="Times New Roman;serif"/>
          <w:b w:val="false"/>
          <w:sz w:val="20"/>
        </w:rPr>
        <w:t xml:space="preserve">c. Chairperson of the Nominating and Corporate Governance Committee: </w:t>
      </w:r>
      <w:r>
        <w:rPr>
          <w:rFonts w:ascii="Times New Roman;serif" w:hAnsi="Times New Roman;serif"/>
          <w:b/>
          <w:sz w:val="20"/>
          <w:u w:val="single"/>
        </w:rPr>
        <w:t>$8,000</w:t>
      </w:r>
      <w:r>
        <w:rPr>
          <w:rFonts w:ascii="Times New Roman;serif" w:hAnsi="Times New Roman;serif"/>
          <w:b w:val="false"/>
          <w:sz w:val="20"/>
        </w:rPr>
        <w:t>.</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Equity Compensation</w:t>
      </w:r>
    </w:p>
    <w:p>
      <w:pPr>
        <w:pStyle w:val="TextBody"/>
        <w:spacing w:before="0" w:after="0"/>
        <w:jc w:val="both"/>
        <w:rPr>
          <w:rFonts w:ascii="Times New Roman" w:hAnsi="Times New Roman"/>
          <w:sz w:val="20"/>
        </w:rPr>
      </w:pPr>
      <w:r>
        <w:rPr>
          <w:rFonts w:ascii="Times New Roman;serif" w:hAnsi="Times New Roman;serif"/>
          <w:b w:val="false"/>
          <w:sz w:val="20"/>
        </w:rPr>
        <w:t>Equity awards will be granted under the Company’s 2021 Equity Incentive Plan or any successor equity incentive plan adopted by the Board and the stockholders of the Company (the “</w:t>
      </w:r>
      <w:r>
        <w:rPr>
          <w:rFonts w:ascii="Times New Roman;serif" w:hAnsi="Times New Roman;serif"/>
          <w:b/>
          <w:i/>
          <w:sz w:val="20"/>
        </w:rPr>
        <w:t>Plan</w:t>
      </w:r>
      <w:r>
        <w:rPr>
          <w:rFonts w:ascii="Times New Roman" w:hAnsi="Times New Roman"/>
          <w:sz w:val="20"/>
        </w:rPr>
        <w:t>”</w:t>
      </w:r>
      <w:r>
        <w:rPr>
          <w:rFonts w:ascii="Times New Roman;serif" w:hAnsi="Times New Roman;serif"/>
          <w:b w:val="false"/>
          <w:sz w:val="20"/>
        </w:rPr>
        <w:t>).</w:t>
      </w:r>
      <w:r>
        <w:rPr>
          <w:rFonts w:ascii="Times New Roman" w:hAnsi="Times New Roman"/>
          <w:sz w:val="20"/>
        </w:rPr>
        <w:t xml:space="preserve"> </w:t>
      </w:r>
    </w:p>
    <w:p>
      <w:pPr>
        <w:pStyle w:val="TextBody"/>
        <w:spacing w:before="0" w:after="0"/>
        <w:jc w:val="both"/>
        <w:rPr>
          <w:rFonts w:ascii="Times New Roman" w:hAnsi="Times New Roman"/>
          <w:b/>
          <w:sz w:val="22"/>
        </w:rPr>
      </w:pPr>
      <w:r>
        <w:rPr>
          <w:rFonts w:ascii="Times New Roman" w:hAnsi="Times New Roman"/>
          <w:b/>
          <w:sz w:val="22"/>
        </w:rPr>
        <w:t>(a)</w:t>
      </w:r>
    </w:p>
    <w:p>
      <w:pPr>
        <w:pStyle w:val="TextBody"/>
        <w:jc w:val="both"/>
        <w:rPr/>
      </w:pPr>
      <w:r>
        <w:rPr>
          <w:rFonts w:ascii="Times New Roman;serif" w:hAnsi="Times New Roman;serif"/>
          <w:b/>
          <w:sz w:val="20"/>
        </w:rPr>
        <w:t xml:space="preserve">Automatic Annual Grant for Outside Directors. </w:t>
      </w:r>
      <w:r>
        <w:rPr>
          <w:rFonts w:ascii="Times New Roman;serif" w:hAnsi="Times New Roman;serif"/>
          <w:b w:val="false"/>
          <w:sz w:val="20"/>
        </w:rPr>
        <w:t>Without any further action of the Board, at the close of business on the date of each annual meeting of the Company’s stockholders (an “</w:t>
      </w:r>
      <w:r>
        <w:rPr>
          <w:rFonts w:ascii="Times New Roman;serif" w:hAnsi="Times New Roman;serif"/>
          <w:b/>
          <w:i/>
          <w:sz w:val="20"/>
        </w:rPr>
        <w:t>Annual Meeting</w:t>
      </w:r>
      <w:r>
        <w:rPr/>
        <w:t>”</w:t>
      </w:r>
      <w:r>
        <w:rPr>
          <w:rFonts w:ascii="Times New Roman;serif" w:hAnsi="Times New Roman;serif"/>
          <w:b w:val="false"/>
          <w:sz w:val="20"/>
        </w:rPr>
        <w:t>) following the Original Effective Date, each Outside Director who has served as a member of the Board since December 31</w:t>
      </w:r>
      <w:r>
        <w:rPr>
          <w:rFonts w:ascii="Times New Roman;serif" w:hAnsi="Times New Roman;serif"/>
          <w:b w:val="false"/>
          <w:sz w:val="13"/>
        </w:rPr>
        <w:t>st</w:t>
      </w:r>
      <w:r>
        <w:rPr/>
        <w:t xml:space="preserve"> </w:t>
      </w:r>
      <w:r>
        <w:rPr>
          <w:rFonts w:ascii="Times New Roman;serif" w:hAnsi="Times New Roman;serif"/>
          <w:b w:val="false"/>
          <w:sz w:val="20"/>
        </w:rPr>
        <w:t>of the calendar year prior to such Annual Meeting shall be granted restricted stock units under the Plan covering shares of Class A Common Stock of the Company (each, a “</w:t>
      </w:r>
      <w:r>
        <w:rPr>
          <w:rFonts w:ascii="Times New Roman;serif" w:hAnsi="Times New Roman;serif"/>
          <w:b/>
          <w:i/>
          <w:sz w:val="20"/>
        </w:rPr>
        <w:t>Share</w:t>
      </w:r>
      <w:r>
        <w:rPr/>
        <w:t>”</w:t>
      </w:r>
      <w:r>
        <w:rPr>
          <w:rFonts w:ascii="Times New Roman;serif" w:hAnsi="Times New Roman;serif"/>
          <w:b w:val="false"/>
          <w:sz w:val="20"/>
        </w:rPr>
        <w:t xml:space="preserve">) having an RSU Value of </w:t>
      </w:r>
      <w:r>
        <w:rPr>
          <w:rFonts w:ascii="Times New Roman;serif" w:hAnsi="Times New Roman;serif"/>
          <w:b/>
          <w:sz w:val="20"/>
          <w:u w:val="single"/>
        </w:rPr>
        <w:t>$165,000</w:t>
      </w:r>
      <w:r>
        <w:rPr/>
        <w:t xml:space="preserve"> </w:t>
      </w:r>
      <w:r>
        <w:rPr>
          <w:rFonts w:ascii="Times New Roman;serif" w:hAnsi="Times New Roman;serif"/>
          <w:b w:val="false"/>
          <w:sz w:val="20"/>
        </w:rPr>
        <w:t>(a “</w:t>
      </w:r>
      <w:r>
        <w:rPr>
          <w:rFonts w:ascii="Times New Roman;serif" w:hAnsi="Times New Roman;serif"/>
          <w:b/>
          <w:i/>
          <w:sz w:val="20"/>
        </w:rPr>
        <w:t>Annual RSU Award</w:t>
      </w:r>
      <w:r>
        <w:rPr/>
        <w:t>”</w:t>
      </w:r>
      <w:r>
        <w:rPr>
          <w:rFonts w:ascii="Times New Roman;serif" w:hAnsi="Times New Roman;serif"/>
          <w:b w:val="false"/>
          <w:sz w:val="20"/>
        </w:rPr>
        <w:t>); provided that the number of Shares covered by each Annual RSU Award will be rounded down to the nearest whole Share.</w:t>
      </w:r>
      <w:r>
        <w:rPr/>
        <w:t xml:space="preserve"> </w:t>
      </w:r>
      <w:r>
        <w:rPr>
          <w:rFonts w:ascii="Times New Roman;serif" w:hAnsi="Times New Roman;serif"/>
          <w:b w:val="false"/>
          <w:sz w:val="20"/>
        </w:rPr>
        <w:t>Each Annual RSU Award shall vest in full on the earlier to occur of (i) the next Annual Meeting or (ii) the one-year anniversary of the date of grant, subject to the applicable Outside Director’s continued service as a member of the Board through such date.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0"/>
        </w:rPr>
        <w:t>(b) Vesting; Change in Control.</w:t>
      </w:r>
      <w:r>
        <w:rPr>
          <w:rFonts w:ascii="Times New Roman" w:hAnsi="Times New Roman"/>
          <w:sz w:val="20"/>
        </w:rPr>
        <w:t xml:space="preserve"> </w:t>
      </w:r>
      <w:r>
        <w:rPr>
          <w:rFonts w:ascii="Times New Roman;serif" w:hAnsi="Times New Roman;serif"/>
          <w:b w:val="false"/>
          <w:sz w:val="20"/>
        </w:rPr>
        <w:t>All vesting is subject to the Outside Director’s continued service as a member of the Board through each applicable vesting date. Notwithstanding the foregoing, for each Outside Director who remains in continuous service as a member of the Board until immediately prior to the closing of a “</w:t>
      </w:r>
      <w:r>
        <w:rPr>
          <w:rFonts w:ascii="Times New Roman;serif" w:hAnsi="Times New Roman;serif"/>
          <w:b/>
          <w:i/>
          <w:sz w:val="20"/>
        </w:rPr>
        <w:t>Change in</w:t>
      </w:r>
      <w:r>
        <w:rPr>
          <w:rFonts w:ascii="Times New Roman" w:hAnsi="Times New Roman"/>
          <w:sz w:val="20"/>
        </w:rPr>
        <w:t xml:space="preserve">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both"/>
        <w:rPr>
          <w:rFonts w:ascii="Times New Roman" w:hAnsi="Times New Roman"/>
          <w:sz w:val="20"/>
        </w:rPr>
      </w:pPr>
      <w:r>
        <w:rPr>
          <w:rFonts w:ascii="Times New Roman;serif" w:hAnsi="Times New Roman;serif"/>
          <w:b/>
          <w:i/>
          <w:sz w:val="20"/>
        </w:rPr>
        <w:t>Control</w:t>
      </w:r>
      <w:r>
        <w:rPr>
          <w:rFonts w:ascii="Times New Roman" w:hAnsi="Times New Roman"/>
          <w:sz w:val="20"/>
        </w:rPr>
        <w:t xml:space="preserve">” </w:t>
      </w:r>
      <w:r>
        <w:rPr>
          <w:rFonts w:ascii="Times New Roman;serif" w:hAnsi="Times New Roman;serif"/>
          <w:b w:val="false"/>
          <w:sz w:val="20"/>
        </w:rPr>
        <w:t>(as defined in the Plan), any unvested portion of any restricted stock unit award granted in consideration of such Outside Director’s service as a member of the Board shall vest in full immediately prior to, and contingent upon, the consummation of the Change in Control.</w:t>
      </w:r>
    </w:p>
    <w:p>
      <w:pPr>
        <w:pStyle w:val="TextBody"/>
        <w:spacing w:before="0" w:after="0"/>
        <w:jc w:val="both"/>
        <w:rPr>
          <w:rFonts w:ascii="Times New Roman" w:hAnsi="Times New Roman"/>
          <w:sz w:val="20"/>
        </w:rPr>
      </w:pPr>
      <w:r>
        <w:rPr>
          <w:rFonts w:ascii="Times New Roman;serif" w:hAnsi="Times New Roman;serif"/>
          <w:b/>
          <w:sz w:val="20"/>
        </w:rPr>
        <w:t>(c) Calculation of RSU Value.</w:t>
      </w:r>
      <w:r>
        <w:rPr>
          <w:rFonts w:ascii="Times New Roman" w:hAnsi="Times New Roman"/>
          <w:sz w:val="20"/>
        </w:rPr>
        <w:t xml:space="preserve"> </w:t>
      </w:r>
      <w:r>
        <w:rPr>
          <w:rFonts w:ascii="Times New Roman;serif" w:hAnsi="Times New Roman;serif"/>
          <w:b w:val="false"/>
          <w:sz w:val="20"/>
        </w:rPr>
        <w:t>The “</w:t>
      </w:r>
      <w:r>
        <w:rPr>
          <w:rFonts w:ascii="Times New Roman;serif" w:hAnsi="Times New Roman;serif"/>
          <w:b/>
          <w:i/>
          <w:sz w:val="20"/>
        </w:rPr>
        <w:t>RSU Value</w:t>
      </w:r>
      <w:r>
        <w:rPr>
          <w:rFonts w:ascii="Times New Roman" w:hAnsi="Times New Roman"/>
          <w:sz w:val="20"/>
        </w:rPr>
        <w:t xml:space="preserve">” </w:t>
      </w:r>
      <w:r>
        <w:rPr>
          <w:rFonts w:ascii="Times New Roman;serif" w:hAnsi="Times New Roman;serif"/>
          <w:b w:val="false"/>
          <w:sz w:val="20"/>
        </w:rPr>
        <w:t>of a restricted stock unit award to be granted under this policy will equal the number of Shares subject to the restricted stock unit award multiplied by the average closing price of a Share on the stock exchange or a national market system on which the Shares are listed over the 30 trading days preceding the grant date.</w:t>
      </w:r>
    </w:p>
    <w:p>
      <w:pPr>
        <w:pStyle w:val="TextBody"/>
        <w:spacing w:before="0" w:after="0"/>
        <w:jc w:val="both"/>
        <w:rPr>
          <w:rFonts w:ascii="Times New Roman" w:hAnsi="Times New Roman"/>
          <w:sz w:val="20"/>
        </w:rPr>
      </w:pPr>
      <w:r>
        <w:rPr>
          <w:rFonts w:ascii="Times New Roman;serif" w:hAnsi="Times New Roman;serif"/>
          <w:b/>
          <w:sz w:val="20"/>
        </w:rPr>
        <w:t>(d) Discretionary Grants.</w:t>
      </w:r>
      <w:r>
        <w:rPr>
          <w:rFonts w:ascii="Times New Roman" w:hAnsi="Times New Roman"/>
          <w:sz w:val="20"/>
        </w:rPr>
        <w:t xml:space="preserve"> </w:t>
      </w:r>
      <w:r>
        <w:rPr>
          <w:rFonts w:ascii="Times New Roman;serif" w:hAnsi="Times New Roman;serif"/>
          <w:b w:val="false"/>
          <w:sz w:val="20"/>
        </w:rPr>
        <w:t>In addition to the automatic grants described herein, the Board, in its sole discretion, may grant additional equity awards to certain Outside Directors for services to the Company that exceed the standard expectations of an Outside Director or for other circumstances determined appropriate by the Board, including, without limitation, an inducement for the Outside Director to remain on the Board or an initial grant for an individual to become an Outside Director.</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 xml:space="preserve">(e) </w:t>
      </w:r>
      <w:r>
        <w:rPr>
          <w:rFonts w:ascii="Times New Roman;serif" w:hAnsi="Times New Roman;serif"/>
          <w:b/>
          <w:sz w:val="20"/>
        </w:rPr>
        <w:t>Remaining Terms.</w:t>
      </w:r>
      <w:r>
        <w:rPr>
          <w:rFonts w:ascii="Times New Roman" w:hAnsi="Times New Roman"/>
          <w:sz w:val="20"/>
        </w:rPr>
        <w:t xml:space="preserve"> </w:t>
      </w:r>
      <w:r>
        <w:rPr>
          <w:rFonts w:ascii="Times New Roman;serif" w:hAnsi="Times New Roman;serif"/>
          <w:b w:val="false"/>
          <w:sz w:val="20"/>
        </w:rPr>
        <w:t>The remaining terms and conditions of each restricted stock unit award granted under this policy will be as set forth in the Plan and the Company’s standard form of restricted stock unit award agreement, as amended from time to time by the Board or the Compensation Committee of the Board, as applicable.</w:t>
      </w:r>
    </w:p>
    <w:p>
      <w:pPr>
        <w:pStyle w:val="TextBody"/>
        <w:spacing w:before="0" w:after="0"/>
        <w:jc w:val="both"/>
        <w:rPr>
          <w:rFonts w:ascii="Times New Roman;serif" w:hAnsi="Times New Roman;serif"/>
          <w:b/>
          <w:sz w:val="20"/>
        </w:rPr>
      </w:pPr>
      <w:r>
        <w:rPr>
          <w:rFonts w:ascii="Times New Roman;serif" w:hAnsi="Times New Roman;serif"/>
          <w:b/>
          <w:sz w:val="20"/>
        </w:rPr>
        <w:t>Expenses</w:t>
      </w:r>
    </w:p>
    <w:p>
      <w:pPr>
        <w:pStyle w:val="TextBody"/>
        <w:spacing w:before="0" w:after="0"/>
        <w:jc w:val="both"/>
        <w:rPr>
          <w:rFonts w:ascii="Times New Roman" w:hAnsi="Times New Roman"/>
          <w:sz w:val="20"/>
        </w:rPr>
      </w:pPr>
      <w:r>
        <w:rPr>
          <w:rFonts w:ascii="Times New Roman;serif" w:hAnsi="Times New Roman;serif"/>
          <w:b w:val="false"/>
          <w:sz w:val="20"/>
        </w:rPr>
        <w:t xml:space="preserve">The Company will reimburse each Outside Director for ordinary, necessary and reasonable out-of-pocket travel expenses to cover in-person attendance at, and participation in, Board and committee meetings; </w:t>
      </w:r>
      <w:r>
        <w:rPr>
          <w:rFonts w:ascii="Times New Roman;serif" w:hAnsi="Times New Roman;serif"/>
          <w:b w:val="false"/>
          <w:i/>
          <w:sz w:val="20"/>
        </w:rPr>
        <w:t>provided</w:t>
      </w:r>
      <w:r>
        <w:rPr>
          <w:rFonts w:ascii="Times New Roman;serif" w:hAnsi="Times New Roman;serif"/>
          <w:b w:val="false"/>
          <w:sz w:val="20"/>
        </w:rPr>
        <w:t>, that the Outside Director timely submits to the Company appropriate documentation substantiating such expenses in accordance with the Company’s travel and expense policy, as in effect from time to time.</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2</w:t>
      </w:r>
    </w:p>
    <w:p>
      <w:pPr>
        <w:pStyle w:val="TextBody"/>
        <w:spacing w:before="0" w:after="0"/>
        <w:jc w:val="left"/>
        <w:rPr/>
      </w:pPr>
      <w:r>
        <w:rPr/>
        <w:t> </w:t>
      </w:r>
    </w:p>
    <w:p>
      <w:pPr>
        <w:pStyle w:val="HorizontalLine"/>
        <w:rPr/>
      </w:pPr>
      <w:r>
        <w:rPr/>
      </w:r>
      <w:r>
        <w:br w:type="page"/>
      </w:r>
    </w:p>
    <w:p>
      <w:pPr>
        <w:pStyle w:val="TextBody"/>
        <w:spacing w:before="270" w:after="0"/>
        <w:jc w:val="left"/>
        <w:rPr/>
      </w:pPr>
      <w:bookmarkStart w:id="25" w:name="dave-ex31_1.htm"/>
      <w:bookmarkStart w:id="26" w:name="ksdaveex31_1"/>
      <w:bookmarkEnd w:id="25"/>
      <w:bookmarkEnd w:id="26"/>
      <w:r>
        <w:rPr/>
        <w:t> </w:t>
      </w:r>
    </w:p>
    <w:p>
      <w:pPr>
        <w:pStyle w:val="TextBody"/>
        <w:spacing w:before="0" w:after="0"/>
        <w:jc w:val="right"/>
        <w:rPr>
          <w:rFonts w:ascii="Times New Roman" w:hAnsi="Times New Roman"/>
          <w:sz w:val="20"/>
        </w:rPr>
      </w:pPr>
      <w:r>
        <w:rPr>
          <w:rFonts w:ascii="Times New Roman;serif" w:hAnsi="Times New Roman;serif"/>
          <w:b/>
          <w:sz w:val="20"/>
        </w:rPr>
        <w:t>Exhibit 31.1</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CERTIFICATION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RULES 13a-14(a) AND 15d-14(a) UNDER THE SECURITIES EXCHANGE ACT OF 1934,</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AS ADOPTED PURSUANT TO SECTION 302 OF THE SARBANES-OXLEY ACT OF 2002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 Jason Wilk, certify that:</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for the quarter ended March 31, 2023 of Dave Inc.; </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before="120" w:after="0"/>
        <w:jc w:val="left"/>
        <w:rPr>
          <w:rFonts w:ascii="Times New Roman" w:hAnsi="Times New Roman"/>
          <w:b w:val="false"/>
          <w:sz w:val="2"/>
        </w:rPr>
      </w:pPr>
      <w:r>
        <w:rPr>
          <w:rFonts w:ascii="Times New Roman" w:hAnsi="Times New Roman"/>
          <w:b w:val="false"/>
          <w:sz w:val="2"/>
        </w:rPr>
        <w:t>1)</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p>
      <w:pPr>
        <w:pStyle w:val="TextBody"/>
        <w:spacing w:before="240" w:after="0"/>
        <w:jc w:val="left"/>
        <w:rPr>
          <w:rFonts w:ascii="Times New Roman" w:hAnsi="Times New Roman"/>
          <w:sz w:val="20"/>
        </w:rPr>
      </w:pPr>
      <w:r>
        <w:rPr>
          <w:rFonts w:ascii="Times New Roman;serif" w:hAnsi="Times New Roman;serif"/>
          <w:b w:val="false"/>
          <w:sz w:val="20"/>
        </w:rPr>
        <w:t>Date: May 9, 2023</w:t>
      </w:r>
      <w:r>
        <w:rPr>
          <w:rFonts w:ascii="Times New Roman" w:hAnsi="Times New Roman"/>
          <w:sz w:val="20"/>
        </w:rPr>
        <w:t xml:space="preserve"> </w:t>
      </w:r>
    </w:p>
    <w:tbl>
      <w:tblPr>
        <w:tblW w:w="2431" w:type="dxa"/>
        <w:jc w:val="left"/>
        <w:tblInd w:w="0" w:type="dxa"/>
        <w:tblCellMar>
          <w:top w:w="28" w:type="dxa"/>
          <w:left w:w="28" w:type="dxa"/>
          <w:bottom w:w="28" w:type="dxa"/>
          <w:right w:w="28" w:type="dxa"/>
        </w:tblCellMar>
      </w:tblPr>
      <w:tblGrid>
        <w:gridCol w:w="2431"/>
      </w:tblGrid>
      <w:tr>
        <w:trPr/>
        <w:tc>
          <w:tcPr>
            <w:tcW w:w="2431" w:type="dxa"/>
            <w:tcBorders/>
            <w:shd w:fill="auto" w:val="clear"/>
            <w:vAlign w:val="center"/>
          </w:tcPr>
          <w:p>
            <w:pPr>
              <w:pStyle w:val="TableContents"/>
              <w:spacing w:before="0" w:after="283"/>
              <w:rPr>
                <w:sz w:val="4"/>
                <w:szCs w:val="4"/>
              </w:rPr>
            </w:pPr>
            <w:r>
              <w:rPr>
                <w:sz w:val="4"/>
                <w:szCs w:val="4"/>
              </w:rPr>
            </w:r>
          </w:p>
        </w:tc>
      </w:tr>
      <w:tr>
        <w:trPr/>
        <w:tc>
          <w:tcPr>
            <w:tcW w:w="2431" w:type="dxa"/>
            <w:tcBorders/>
            <w:shd w:fill="auto" w:val="clear"/>
            <w:vAlign w:val="center"/>
          </w:tcPr>
          <w:p>
            <w:pPr>
              <w:pStyle w:val="TableContents"/>
              <w:spacing w:before="0" w:after="0"/>
              <w:ind w:left="0" w:right="0" w:hanging="0"/>
              <w:jc w:val="left"/>
              <w:rPr/>
            </w:pPr>
            <w:r>
              <w:rPr/>
              <w:t> </w:t>
            </w:r>
          </w:p>
        </w:tc>
      </w:tr>
      <w:tr>
        <w:trPr/>
        <w:tc>
          <w:tcPr>
            <w:tcW w:w="2431" w:type="dxa"/>
            <w:tcBorders/>
            <w:shd w:fill="auto" w:val="clear"/>
            <w:vAlign w:val="center"/>
          </w:tcPr>
          <w:p>
            <w:pPr>
              <w:pStyle w:val="TableContents"/>
              <w:spacing w:before="0" w:after="283"/>
              <w:ind w:left="0" w:right="0" w:hanging="0"/>
              <w:rPr>
                <w:sz w:val="4"/>
                <w:szCs w:val="4"/>
              </w:rPr>
            </w:pPr>
            <w:r>
              <w:rPr>
                <w:sz w:val="4"/>
                <w:szCs w:val="4"/>
              </w:rPr>
            </w:r>
          </w:p>
        </w:tc>
      </w:tr>
      <w:tr>
        <w:trPr/>
        <w:tc>
          <w:tcPr>
            <w:tcW w:w="243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Jason Wilk</w:t>
            </w:r>
          </w:p>
        </w:tc>
      </w:tr>
      <w:tr>
        <w:trPr/>
        <w:tc>
          <w:tcPr>
            <w:tcW w:w="243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Executive Officer</w:t>
            </w:r>
          </w:p>
        </w:tc>
      </w:tr>
      <w:tr>
        <w:trPr/>
        <w:tc>
          <w:tcPr>
            <w:tcW w:w="243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executive officer)</w:t>
            </w:r>
          </w:p>
        </w:tc>
      </w:tr>
    </w:tbl>
    <w:p>
      <w:pPr>
        <w:pStyle w:val="HorizontalLine"/>
        <w:rPr/>
      </w:pPr>
      <w:r>
        <w:rPr/>
      </w:r>
      <w:r>
        <w:br w:type="page"/>
      </w:r>
    </w:p>
    <w:p>
      <w:pPr>
        <w:pStyle w:val="TextBody"/>
        <w:spacing w:before="0" w:after="0"/>
        <w:jc w:val="right"/>
        <w:rPr>
          <w:rFonts w:ascii="Times New Roman" w:hAnsi="Times New Roman"/>
          <w:sz w:val="20"/>
        </w:rPr>
      </w:pPr>
      <w:bookmarkStart w:id="27" w:name="dave-ex31_2.htm"/>
      <w:bookmarkStart w:id="28" w:name="ksdaveex31_2"/>
      <w:bookmarkEnd w:id="27"/>
      <w:bookmarkEnd w:id="28"/>
      <w:r>
        <w:rPr>
          <w:rFonts w:ascii="Times New Roman;serif" w:hAnsi="Times New Roman;serif"/>
          <w:b/>
          <w:sz w:val="20"/>
        </w:rPr>
        <w:t>Exhibit 31.2</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CERTIFICATION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RULES 13a-14(a) AND 15d-14(a) UNDER THE SECURITIES EXCHANGE ACT OF 1934,</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AS ADOPTED PURSUANT TO SECTION 302 OF THE SARBANES-OXLEY ACT OF 2002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 Kyle Beilman, certify that:</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for the quarter ended March 31, 2023 of Dave Inc.; </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p>
      <w:pPr>
        <w:pStyle w:val="TextBody"/>
        <w:spacing w:before="240" w:after="0"/>
        <w:jc w:val="left"/>
        <w:rPr>
          <w:rFonts w:ascii="Times New Roman" w:hAnsi="Times New Roman"/>
          <w:sz w:val="20"/>
        </w:rPr>
      </w:pPr>
      <w:r>
        <w:rPr>
          <w:rFonts w:ascii="Times New Roman;serif" w:hAnsi="Times New Roman;serif"/>
          <w:b w:val="false"/>
          <w:sz w:val="20"/>
        </w:rPr>
        <w:t>Date: May 9, 2023</w:t>
      </w:r>
      <w:r>
        <w:rPr>
          <w:rFonts w:ascii="Times New Roman" w:hAnsi="Times New Roman"/>
          <w:sz w:val="20"/>
        </w:rPr>
        <w:t xml:space="preserve"> </w:t>
      </w:r>
    </w:p>
    <w:tbl>
      <w:tblPr>
        <w:tblW w:w="2356" w:type="dxa"/>
        <w:jc w:val="left"/>
        <w:tblInd w:w="0" w:type="dxa"/>
        <w:tblCellMar>
          <w:top w:w="28" w:type="dxa"/>
          <w:left w:w="28" w:type="dxa"/>
          <w:bottom w:w="28" w:type="dxa"/>
          <w:right w:w="28" w:type="dxa"/>
        </w:tblCellMar>
      </w:tblPr>
      <w:tblGrid>
        <w:gridCol w:w="2356"/>
      </w:tblGrid>
      <w:tr>
        <w:trPr/>
        <w:tc>
          <w:tcPr>
            <w:tcW w:w="2356" w:type="dxa"/>
            <w:tcBorders/>
            <w:shd w:fill="auto" w:val="clear"/>
            <w:vAlign w:val="center"/>
          </w:tcPr>
          <w:p>
            <w:pPr>
              <w:pStyle w:val="TableContents"/>
              <w:spacing w:before="0" w:after="283"/>
              <w:rPr>
                <w:sz w:val="4"/>
                <w:szCs w:val="4"/>
              </w:rPr>
            </w:pPr>
            <w:r>
              <w:rPr>
                <w:sz w:val="4"/>
                <w:szCs w:val="4"/>
              </w:rPr>
            </w:r>
          </w:p>
        </w:tc>
      </w:tr>
      <w:tr>
        <w:trPr/>
        <w:tc>
          <w:tcPr>
            <w:tcW w:w="2356" w:type="dxa"/>
            <w:tcBorders/>
            <w:shd w:fill="auto" w:val="clear"/>
            <w:vAlign w:val="center"/>
          </w:tcPr>
          <w:p>
            <w:pPr>
              <w:pStyle w:val="TableContents"/>
              <w:spacing w:before="0" w:after="0"/>
              <w:ind w:left="0" w:right="0" w:hanging="0"/>
              <w:jc w:val="left"/>
              <w:rPr/>
            </w:pPr>
            <w:r>
              <w:rPr/>
              <w:t> </w:t>
            </w:r>
          </w:p>
        </w:tc>
      </w:tr>
      <w:tr>
        <w:trPr/>
        <w:tc>
          <w:tcPr>
            <w:tcW w:w="235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Kyle Beilman</w:t>
            </w:r>
          </w:p>
        </w:tc>
      </w:tr>
      <w:tr>
        <w:trPr/>
        <w:tc>
          <w:tcPr>
            <w:tcW w:w="23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Officer</w:t>
            </w:r>
          </w:p>
        </w:tc>
      </w:tr>
      <w:tr>
        <w:trPr/>
        <w:tc>
          <w:tcPr>
            <w:tcW w:w="23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financial officer)</w:t>
            </w:r>
          </w:p>
        </w:tc>
      </w:tr>
    </w:tbl>
    <w:p>
      <w:pPr>
        <w:pStyle w:val="HorizontalLine"/>
        <w:rPr/>
      </w:pPr>
      <w:r>
        <w:rPr/>
      </w:r>
      <w:r>
        <w:br w:type="page"/>
      </w:r>
    </w:p>
    <w:p>
      <w:pPr>
        <w:pStyle w:val="TextBody"/>
        <w:spacing w:before="0" w:after="0"/>
        <w:jc w:val="right"/>
        <w:rPr>
          <w:rFonts w:ascii="Times New Roman" w:hAnsi="Times New Roman"/>
          <w:sz w:val="20"/>
        </w:rPr>
      </w:pPr>
      <w:bookmarkStart w:id="29" w:name="dave-ex32_1.htm"/>
      <w:bookmarkStart w:id="30" w:name="ksdaveex32_1"/>
      <w:bookmarkEnd w:id="29"/>
      <w:bookmarkEnd w:id="30"/>
      <w:r>
        <w:rPr>
          <w:rFonts w:ascii="Times New Roman;serif" w:hAnsi="Times New Roman;serif"/>
          <w:b/>
          <w:sz w:val="20"/>
        </w:rPr>
        <w:t>EXHIBIT 32.1</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CERTIFICATIONS PURSUANT TO</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undersigned, Jason Wilk, Chief Executive Officer, and Kyle Beilman, Chief Financial Officer of Dave Inc. (the “Company”), hereby certify as of the date hereof, solely for the purposes of 18 U.S.C. §1350, that:</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(i)</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Quarterly Report on Form 10-Q for the period ended March 31, 2023 of the Company (the “Report”) fully complies with the requirements of Section 13(a) or 15(d), as applicable, of the Securities Exchange Act of 1934; and </w:t>
      </w:r>
    </w:p>
    <w:p>
      <w:pPr>
        <w:pStyle w:val="TextBody"/>
        <w:spacing w:before="120" w:after="0"/>
        <w:jc w:val="left"/>
        <w:rPr>
          <w:rFonts w:ascii="Times New Roman" w:hAnsi="Times New Roman"/>
          <w:b w:val="false"/>
          <w:sz w:val="20"/>
        </w:rPr>
      </w:pPr>
      <w:r>
        <w:rPr>
          <w:rFonts w:ascii="Times New Roman" w:hAnsi="Times New Roman"/>
          <w:b w:val="false"/>
          <w:sz w:val="20"/>
        </w:rPr>
        <w:t>(ii)</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information contained in the Report fairly presents, in all material respects, the financial condition and results of operations of the Company at the dates and for the periods indicated. </w:t>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val="false"/>
          <w:sz w:val="20"/>
        </w:rPr>
        <w:t>Date: May 9, 2023</w:t>
      </w:r>
      <w:r>
        <w:rPr>
          <w:rFonts w:ascii="Times New Roman" w:hAnsi="Times New Roman"/>
          <w:sz w:val="20"/>
        </w:rPr>
        <w:t xml:space="preserve"> </w:t>
      </w:r>
    </w:p>
    <w:tbl>
      <w:tblPr>
        <w:tblW w:w="2086" w:type="dxa"/>
        <w:jc w:val="left"/>
        <w:tblInd w:w="0" w:type="dxa"/>
        <w:tblCellMar>
          <w:top w:w="28" w:type="dxa"/>
          <w:left w:w="28" w:type="dxa"/>
          <w:bottom w:w="28" w:type="dxa"/>
          <w:right w:w="28" w:type="dxa"/>
        </w:tblCellMar>
      </w:tblPr>
      <w:tblGrid>
        <w:gridCol w:w="2086"/>
      </w:tblGrid>
      <w:tr>
        <w:trPr/>
        <w:tc>
          <w:tcPr>
            <w:tcW w:w="2086"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283"/>
              <w:ind w:left="0" w:right="0" w:hanging="0"/>
              <w:rPr>
                <w:sz w:val="4"/>
                <w:szCs w:val="4"/>
              </w:rPr>
            </w:pPr>
            <w:r>
              <w:rPr>
                <w:sz w:val="4"/>
                <w:szCs w:val="4"/>
              </w:rPr>
            </w:r>
          </w:p>
        </w:tc>
      </w:tr>
      <w:tr>
        <w:trPr/>
        <w:tc>
          <w:tcPr>
            <w:tcW w:w="208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Jason Wilk</w:t>
            </w:r>
          </w:p>
        </w:tc>
      </w:tr>
      <w:tr>
        <w:trPr/>
        <w:tc>
          <w:tcPr>
            <w:tcW w:w="20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Executive Officer</w:t>
            </w:r>
          </w:p>
        </w:tc>
      </w:tr>
      <w:tr>
        <w:trPr/>
        <w:tc>
          <w:tcPr>
            <w:tcW w:w="2086" w:type="dxa"/>
            <w:tcBorders/>
            <w:shd w:fill="auto" w:val="clear"/>
            <w:vAlign w:val="center"/>
          </w:tcPr>
          <w:p>
            <w:pPr>
              <w:pStyle w:val="TableContents"/>
              <w:spacing w:before="0" w:after="283"/>
              <w:ind w:left="0" w:right="0" w:hanging="0"/>
              <w:rPr>
                <w:sz w:val="4"/>
                <w:szCs w:val="4"/>
              </w:rPr>
            </w:pPr>
            <w:r>
              <w:rPr>
                <w:sz w:val="4"/>
                <w:szCs w:val="4"/>
              </w:rPr>
            </w:r>
          </w:p>
        </w:tc>
      </w:tr>
      <w:tr>
        <w:trPr/>
        <w:tc>
          <w:tcPr>
            <w:tcW w:w="208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Kyle Beilman</w:t>
            </w:r>
          </w:p>
        </w:tc>
      </w:tr>
      <w:tr>
        <w:trPr/>
        <w:tc>
          <w:tcPr>
            <w:tcW w:w="20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Officer</w:t>
            </w:r>
          </w:p>
        </w:tc>
      </w:tr>
    </w:tbl>
    <w:p>
      <w:pPr>
        <w:pStyle w:val="TextBody"/>
        <w:spacing w:before="240" w:after="0"/>
        <w:jc w:val="left"/>
        <w:rPr>
          <w:rFonts w:ascii="Times New Roman" w:hAnsi="Times New Roman"/>
          <w:sz w:val="20"/>
        </w:rPr>
      </w:pPr>
      <w:r>
        <w:rPr>
          <w:rFonts w:ascii="Times New Roman;serif" w:hAnsi="Times New Roman;serif"/>
          <w:b w:val="false"/>
          <w:sz w:val="20"/>
        </w:rPr>
        <w:t>The foregoing certification is being furnished solely pursuant to 18 U.S.C. Section 1350 and is not being filed as part of the Report or as a separate disclosure document.</w:t>
      </w:r>
      <w:r>
        <w:rPr>
          <w:rFonts w:ascii="Times New Roman" w:hAnsi="Times New Roman"/>
          <w:sz w:val="20"/>
        </w:rPr>
        <w:t xml:space="preserve">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1408/000119312521183575/d165916dex21.htm" TargetMode="External"/><Relationship Id="rId3" Type="http://schemas.openxmlformats.org/officeDocument/2006/relationships/hyperlink" Target="https://www.sec.gov/Archives/edgar/data/1841408/000119312522006854/d253532dex31.htm" TargetMode="External"/><Relationship Id="rId4" Type="http://schemas.openxmlformats.org/officeDocument/2006/relationships/hyperlink" Target="https://www.sec.gov/Archives/edgar/data/1841408/000119312522006854/d253532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27280</Words>
  <CharactersWithSpaces>176699</CharactersWithSpaces>
  <Paragraphs>5642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