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0"/>
        <w:jc w:val="center"/>
        <w:rPr>
          <w:rFonts w:ascii="Times New Roman" w:hAnsi="Times New Roman"/>
          <w:sz w:val="20"/>
        </w:rPr>
      </w:pPr>
      <w:bookmarkStart w:id="0" w:name="dave-20230630.htm"/>
      <w:bookmarkStart w:id="1" w:name="ksdave20230630"/>
      <w:bookmarkEnd w:id="0"/>
      <w:bookmarkEnd w:id="1"/>
      <w:r>
        <w:rPr>
          <w:rFonts w:ascii="Times New Roman;serif" w:hAnsi="Times New Roman;serif"/>
          <w:b/>
          <w:sz w:val="35"/>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5"/>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5"/>
        </w:rPr>
        <w:t>Washington, D.C. 20549</w:t>
      </w:r>
      <w:r>
        <w:rPr>
          <w:rFonts w:ascii="Times New Roman" w:hAnsi="Times New Roman"/>
          <w:sz w:val="20"/>
        </w:rPr>
        <w:t xml:space="preserve"> </w:t>
      </w:r>
    </w:p>
    <w:p>
      <w:pPr>
        <w:pStyle w:val="TextBody"/>
        <w:pBdr>
          <w:bottom w:val="single" w:sz="8" w:space="1" w:color="000000"/>
        </w:pBdr>
        <w:bidi w:val="0"/>
        <w:spacing w:before="4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sz w:val="35"/>
        </w:rPr>
        <w:t>Form 10-Q</w:t>
      </w:r>
      <w:r>
        <w:rPr>
          <w:rFonts w:ascii="Times New Roman" w:hAnsi="Times New Roman"/>
          <w:sz w:val="20"/>
        </w:rPr>
        <w:t xml:space="preserve"> </w:t>
      </w:r>
    </w:p>
    <w:p>
      <w:pPr>
        <w:pStyle w:val="TextBody"/>
        <w:pBdr>
          <w:bottom w:val="single" w:sz="8" w:space="1" w:color="000000"/>
        </w:pBdr>
        <w:bidi w:val="0"/>
        <w:spacing w:before="4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p>
      <w:pPr>
        <w:pStyle w:val="TextBody"/>
        <w:bidi w:val="0"/>
        <w:spacing w:before="4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40" w:after="0"/>
        <w:jc w:val="left"/>
        <w:rPr/>
      </w:pPr>
      <w:r>
        <w:rPr/>
        <w:t xml:space="preserve">☐ </w:t>
      </w: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p>
      <w:pPr>
        <w:pStyle w:val="TextBody"/>
        <w:bidi w:val="0"/>
        <w:spacing w:before="40" w:after="0"/>
        <w:jc w:val="center"/>
        <w:rPr>
          <w:rFonts w:ascii="Times New Roman" w:hAnsi="Times New Roman"/>
          <w:sz w:val="20"/>
        </w:rPr>
      </w:pPr>
      <w:r>
        <w:rPr>
          <w:rFonts w:ascii="Times New Roman;serif" w:hAnsi="Times New Roman;serif"/>
          <w:b/>
          <w:sz w:val="20"/>
        </w:rPr>
        <w:t>For the transition period from to _______</w:t>
      </w:r>
      <w:r>
        <w:rPr>
          <w:rFonts w:ascii="Times New Roman" w:hAnsi="Times New Roman"/>
          <w:sz w:val="20"/>
        </w:rPr>
        <w:t xml:space="preserve"> </w:t>
      </w:r>
    </w:p>
    <w:p>
      <w:pPr>
        <w:pStyle w:val="TextBody"/>
        <w:bidi w:val="0"/>
        <w:spacing w:before="40" w:after="0"/>
        <w:jc w:val="center"/>
        <w:rPr>
          <w:rFonts w:ascii="Times New Roman" w:hAnsi="Times New Roman"/>
          <w:sz w:val="20"/>
        </w:rPr>
      </w:pPr>
      <w:r>
        <w:rPr>
          <w:rFonts w:ascii="Times New Roman;serif" w:hAnsi="Times New Roman;serif"/>
          <w:b/>
          <w:sz w:val="20"/>
        </w:rPr>
        <w:t>Commission file number: 001-40161</w:t>
      </w:r>
      <w:r>
        <w:rPr>
          <w:rFonts w:ascii="Times New Roman" w:hAnsi="Times New Roman"/>
          <w:sz w:val="20"/>
        </w:rPr>
        <w:t xml:space="preserve"> </w:t>
      </w:r>
    </w:p>
    <w:p>
      <w:pPr>
        <w:pStyle w:val="TextBody"/>
        <w:pBdr>
          <w:bottom w:val="single" w:sz="8" w:space="1" w:color="000000"/>
        </w:pBdr>
        <w:bidi w:val="0"/>
        <w:spacing w:before="4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sz w:val="48"/>
        </w:rPr>
        <w:t>DAVE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bidi w:val="0"/>
        <w:spacing w:before="40" w:after="0"/>
        <w:jc w:val="center"/>
        <w:rPr/>
      </w:pPr>
      <w:r>
        <w:rPr/>
        <w:t> </w:t>
      </w:r>
    </w:p>
    <w:tbl>
      <w:tblPr>
        <w:tblW w:w="3722" w:type="dxa"/>
        <w:jc w:val="left"/>
        <w:tblInd w:w="0" w:type="dxa"/>
        <w:tblLayout w:type="fixed"/>
        <w:tblCellMar>
          <w:top w:w="28" w:type="dxa"/>
          <w:left w:w="28" w:type="dxa"/>
          <w:bottom w:w="28" w:type="dxa"/>
          <w:right w:w="28" w:type="dxa"/>
        </w:tblCellMar>
      </w:tblPr>
      <w:tblGrid>
        <w:gridCol w:w="2431"/>
        <w:gridCol w:w="1291"/>
      </w:tblGrid>
      <w:tr>
        <w:trP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9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86-1481509</w:t>
            </w:r>
          </w:p>
        </w:tc>
      </w:tr>
      <w:tr>
        <w:trPr/>
        <w:tc>
          <w:tcPr>
            <w:tcW w:w="2431"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4"/>
              </w:rPr>
              <w:t>(State or other jurisdiction of</w:t>
              <w:br/>
              <w:t>incorporation or organization)</w:t>
            </w:r>
            <w:r>
              <w:rPr>
                <w:rFonts w:ascii="Times New Roman" w:hAnsi="Times New Roman"/>
                <w:sz w:val="16"/>
              </w:rPr>
              <w:t xml:space="preserve"> </w:t>
            </w:r>
          </w:p>
        </w:tc>
        <w:tc>
          <w:tcPr>
            <w:tcW w:w="1291"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4"/>
              </w:rPr>
              <w:t>(I.R.S. Employer</w:t>
              <w:br/>
              <w:t>Identification No.)</w:t>
            </w:r>
            <w:r>
              <w:rPr>
                <w:rFonts w:ascii="Times New Roman" w:hAnsi="Times New Roman"/>
                <w:sz w:val="16"/>
              </w:rPr>
              <w:t xml:space="preserve"> </w:t>
            </w:r>
          </w:p>
        </w:tc>
      </w:tr>
      <w:tr>
        <w:trPr/>
        <w:tc>
          <w:tcPr>
            <w:tcW w:w="2431" w:type="dxa"/>
            <w:tcBorders/>
            <w:vAlign w:val="center"/>
          </w:tcPr>
          <w:p>
            <w:pPr>
              <w:pStyle w:val="TableContents"/>
              <w:bidi w:val="0"/>
              <w:spacing w:before="40" w:after="0"/>
              <w:ind w:left="0" w:right="0" w:hanging="0"/>
              <w:jc w:val="center"/>
              <w:rPr>
                <w:rFonts w:ascii="Times New Roman" w:hAnsi="Times New Roman"/>
                <w:sz w:val="20"/>
              </w:rPr>
            </w:pPr>
            <w:r>
              <w:rPr>
                <w:rFonts w:ascii="Times New Roman;serif" w:hAnsi="Times New Roman;serif"/>
                <w:b/>
                <w:sz w:val="20"/>
              </w:rPr>
              <w:t>1265 South Cochran Ave</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Los Angeles, CA</w:t>
            </w:r>
          </w:p>
        </w:tc>
        <w:tc>
          <w:tcPr>
            <w:tcW w:w="129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90019</w:t>
            </w:r>
          </w:p>
        </w:tc>
      </w:tr>
      <w:tr>
        <w:trPr/>
        <w:tc>
          <w:tcPr>
            <w:tcW w:w="2431"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91"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rFonts w:ascii="Times New Roman" w:hAnsi="Times New Roman"/>
          <w:sz w:val="20"/>
        </w:rPr>
      </w:pPr>
      <w:r>
        <w:rPr>
          <w:rFonts w:ascii="Times New Roman;serif" w:hAnsi="Times New Roman;serif"/>
          <w:b/>
          <w:sz w:val="20"/>
        </w:rPr>
        <w:t>Registrant's telephone number, including area code: (844) 857-3283</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sz w:val="16"/>
        </w:rPr>
        <w:t>Securities registered pursuant to Section 12(b) of the Act:</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557"/>
        <w:gridCol w:w="1175"/>
        <w:gridCol w:w="2473"/>
      </w:tblGrid>
      <w:tr>
        <w:trPr/>
        <w:tc>
          <w:tcPr>
            <w:tcW w:w="655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655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175"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2473"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6557"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2473" w:type="dxa"/>
            <w:tcBorders/>
            <w:vAlign w:val="center"/>
          </w:tcPr>
          <w:p>
            <w:pPr>
              <w:pStyle w:val="TableContents"/>
              <w:bidi w:val="0"/>
              <w:spacing w:before="0" w:after="0"/>
              <w:ind w:left="0" w:right="0" w:hanging="0"/>
              <w:jc w:val="left"/>
              <w:rPr/>
            </w:pPr>
            <w:r>
              <w:rPr/>
              <w:t> </w:t>
            </w:r>
          </w:p>
        </w:tc>
      </w:tr>
      <w:tr>
        <w:trPr/>
        <w:tc>
          <w:tcPr>
            <w:tcW w:w="655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A common stock, par value $0.0001</w:t>
            </w:r>
          </w:p>
        </w:tc>
        <w:tc>
          <w:tcPr>
            <w:tcW w:w="1175"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DAVE</w:t>
            </w:r>
          </w:p>
        </w:tc>
        <w:tc>
          <w:tcPr>
            <w:tcW w:w="2473"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r>
        <w:trPr/>
        <w:tc>
          <w:tcPr>
            <w:tcW w:w="655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Redeemable warrants, each whole warrant exercisable for one share of Class A common stock, each at an exercise price of $368 per share</w:t>
            </w:r>
          </w:p>
        </w:tc>
        <w:tc>
          <w:tcPr>
            <w:tcW w:w="1175"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DAVEW</w:t>
            </w:r>
          </w:p>
        </w:tc>
        <w:tc>
          <w:tcPr>
            <w:tcW w:w="2473"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bl>
    <w:p>
      <w:pPr>
        <w:pStyle w:val="TextBody"/>
        <w:bidi w:val="0"/>
        <w:spacing w:before="4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serif" w:hAnsi="Times New Roman;serif"/>
          <w:b w:val="false"/>
          <w:caps/>
          <w:sz w:val="18"/>
        </w:rPr>
        <w:t>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serif" w:hAnsi="Times New Roman;serif"/>
          <w:b w:val="false"/>
          <w:caps/>
          <w:sz w:val="18"/>
        </w:rPr>
        <w:t>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4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Act). YES ☐ NO </w:t>
      </w:r>
      <w:r>
        <w:rPr>
          <w:rFonts w:ascii="Times New Roman" w:hAnsi="Times New Roman"/>
          <w:sz w:val="20"/>
        </w:rPr>
        <w:t xml:space="preserve">☒ </w:t>
      </w:r>
    </w:p>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18"/>
        </w:rPr>
        <w:t>As of August 1, 2023, there were 10,470,714</w:t>
      </w:r>
      <w:r>
        <w:rPr>
          <w:rFonts w:ascii="Times New Roman" w:hAnsi="Times New Roman"/>
          <w:sz w:val="20"/>
        </w:rPr>
        <w:t xml:space="preserve"> </w:t>
      </w:r>
      <w:r>
        <w:rPr>
          <w:rFonts w:ascii="Times New Roman;serif" w:hAnsi="Times New Roman;serif"/>
          <w:b w:val="false"/>
          <w:sz w:val="18"/>
        </w:rPr>
        <w:t>shares of Class A common stock, $0.0001 par value and 1,514,082</w:t>
      </w:r>
      <w:r>
        <w:rPr>
          <w:rFonts w:ascii="Times New Roman" w:hAnsi="Times New Roman"/>
          <w:sz w:val="20"/>
        </w:rPr>
        <w:t xml:space="preserve"> </w:t>
      </w:r>
      <w:r>
        <w:rPr>
          <w:rFonts w:ascii="Times New Roman;serif" w:hAnsi="Times New Roman;serif"/>
          <w:b w:val="false"/>
          <w:sz w:val="18"/>
        </w:rPr>
        <w:t>shares of Class V common stock, $0.0001 par value, issued and outstanding.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20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DAVE INC.</w:t>
      </w:r>
    </w:p>
    <w:p>
      <w:pPr>
        <w:pStyle w:val="TextBody"/>
        <w:bidi w:val="0"/>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center"/>
        <w:rPr/>
      </w:pPr>
      <w:r>
        <w:rP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Page</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1_financial_information">
              <w:r>
                <w:rPr>
                  <w:rStyle w:val="InternetLink"/>
                  <w:rFonts w:ascii="Times New Roman;serif" w:hAnsi="Times New Roman;serif"/>
                  <w:b/>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statements">
              <w:r>
                <w:rPr>
                  <w:rStyle w:val="InternetLink"/>
                  <w:rFonts w:ascii="Times New Roman;serif" w:hAnsi="Times New Roman;serif"/>
                  <w:b w:val="false"/>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sheet">
              <w:r>
                <w:rPr>
                  <w:rStyle w:val="InternetLink"/>
                  <w:rFonts w:ascii="Times New Roman;serif" w:hAnsi="Times New Roman;serif"/>
                  <w:b w:val="false"/>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sheet_daveodfunding">
              <w:r>
                <w:rPr>
                  <w:rStyle w:val="InternetLink"/>
                  <w:rFonts w:ascii="Times New Roman;serif" w:hAnsi="Times New Roman;serif"/>
                  <w:b w:val="false"/>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7" w:after="0"/>
              <w:ind w:left="0" w:right="0" w:hanging="0"/>
              <w:jc w:val="left"/>
              <w:rPr/>
            </w:pPr>
            <w:hyperlink w:anchor="statementsofoperatrions">
              <w:r>
                <w:rPr>
                  <w:rStyle w:val="InternetLink"/>
                  <w:rFonts w:ascii="Times New Roman;serif" w:hAnsi="Times New Roman;serif"/>
                  <w:b w:val="false"/>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statementofcomprehensiveloss">
              <w:r>
                <w:rPr>
                  <w:rStyle w:val="InternetLink"/>
                  <w:rFonts w:ascii="Times New Roman;serif" w:hAnsi="Times New Roman;serif"/>
                  <w:b w:val="false"/>
                  <w:sz w:val="20"/>
                  <w:u w:val="single"/>
                </w:rPr>
                <w:t>Condensed Consolidated Statements of Comprehensive Loss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statementstockholdersequity">
              <w:r>
                <w:rPr>
                  <w:rStyle w:val="InternetLink"/>
                  <w:rFonts w:ascii="Times New Roman;serif" w:hAnsi="Times New Roman;serif"/>
                  <w:b w:val="false"/>
                  <w:sz w:val="20"/>
                  <w:u w:val="single"/>
                </w:rPr>
                <w:t>Condensed Consolidated Statement of Stockholders’ Equity</w:t>
              </w:r>
            </w:hyperlink>
            <w:hyperlink w:anchor="consolidatedstatementstockholdersequity">
              <w:r>
                <w:rPr>
                  <w:rStyle w:val="InternetLink"/>
                  <w:rFonts w:ascii="Times New Roman" w:hAnsi="Times New Roman"/>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statementsofcashflows">
              <w:r>
                <w:rPr>
                  <w:rStyle w:val="InternetLink"/>
                  <w:rFonts w:ascii="Times New Roman;serif" w:hAnsi="Times New Roman;serif"/>
                  <w:b w:val="false"/>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toconsolidatedfinancialstatements">
              <w:r>
                <w:rPr>
                  <w:rStyle w:val="InternetLink"/>
                  <w:rFonts w:ascii="Times New Roman;serif" w:hAnsi="Times New Roman;serif"/>
                  <w:b w:val="false"/>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2_mda">
              <w:r>
                <w:rPr>
                  <w:rStyle w:val="InternetLink"/>
                  <w:rFonts w:ascii="Times New Roman;serif" w:hAnsi="Times New Roman;serif"/>
                  <w:b w:val="false"/>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3_quantitativeandqualitative">
              <w:r>
                <w:rPr>
                  <w:rStyle w:val="InternetLink"/>
                  <w:rFonts w:ascii="Times New Roman;serif" w:hAnsi="Times New Roman;serif"/>
                  <w:b w:val="false"/>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4_controlsandprocedures">
              <w:r>
                <w:rPr>
                  <w:rStyle w:val="InternetLink"/>
                  <w:rFonts w:ascii="Times New Roman;serif" w:hAnsi="Times New Roman;serif"/>
                  <w:b w:val="false"/>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ii_other_information">
              <w:r>
                <w:rPr>
                  <w:rStyle w:val="InternetLink"/>
                  <w:rFonts w:ascii="Times New Roman;serif" w:hAnsi="Times New Roman;serif"/>
                  <w:b/>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1_legalproceedings">
              <w:r>
                <w:rPr>
                  <w:rStyle w:val="InternetLink"/>
                  <w:rFonts w:ascii="Times New Roman;serif" w:hAnsi="Times New Roman;serif"/>
                  <w:b w:val="false"/>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1a_riskfactors">
              <w:r>
                <w:rPr>
                  <w:rStyle w:val="InternetLink"/>
                  <w:rFonts w:ascii="Times New Roman;serif" w:hAnsi="Times New Roman;serif"/>
                  <w:b w:val="false"/>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2_unregisteredsalesofequity">
              <w:r>
                <w:rPr>
                  <w:rStyle w:val="InternetLink"/>
                  <w:rFonts w:ascii="Times New Roman;serif" w:hAnsi="Times New Roman;serif"/>
                  <w:b w:val="false"/>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3_defaultsuponseniorsecurities">
              <w:r>
                <w:rPr>
                  <w:rStyle w:val="InternetLink"/>
                  <w:rFonts w:ascii="Times New Roman;serif" w:hAnsi="Times New Roman;serif"/>
                  <w:b w:val="false"/>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4_minesafetydisclosures">
              <w:r>
                <w:rPr>
                  <w:rStyle w:val="InternetLink"/>
                  <w:rFonts w:ascii="Times New Roman;serif" w:hAnsi="Times New Roman;serif"/>
                  <w:b w:val="false"/>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5_otherinformation">
              <w:r>
                <w:rPr>
                  <w:rStyle w:val="InternetLink"/>
                  <w:rFonts w:ascii="Times New Roman;serif" w:hAnsi="Times New Roman;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6_exhibits">
              <w:r>
                <w:rPr>
                  <w:rStyle w:val="InternetLink"/>
                  <w:rFonts w:ascii="Times New Roman;serif" w:hAnsi="Times New Roman;serif"/>
                  <w:b w:val="false"/>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r>
    </w:tbl>
    <w:p>
      <w:pPr>
        <w:pStyle w:val="TextBody"/>
        <w:bidi w:val="0"/>
        <w:spacing w:before="0" w:after="0"/>
        <w:jc w:val="left"/>
        <w:rPr/>
      </w:pPr>
      <w:r>
        <w:rPr/>
        <w:t> </w:t>
      </w:r>
    </w:p>
    <w:p>
      <w:pPr>
        <w:pStyle w:val="TextBody"/>
        <w:bidi w:val="0"/>
        <w:spacing w:before="20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that are forward looking and as such are not historical facts.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2022 filed with the Securities and Exchange Commission (the “SEC”) on March 13, 2023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ability of Dave to compete in its highly competitive industry;</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ability of Dave to keep pace with the rapid technological developments in its industry and the larger financial services industry;</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ability of Dave to manage its growth as a public company;</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ability of Dave to protect intellectual property and trade secrets;</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changes in applicable laws or regulations and extensive and evolving government regulations that impact operations and business;</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ability to attract or maintain a qualified workforce;</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level of product service failures that could lead Dave members (“Members”) to use competitors’ services;</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investigations, claims, disputes, enforcement actions, litigation and/or other regulatory or legal proceedings;</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ability to maintain the listing of Dave Class A Common Stock on Nasdaq;</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effects of COVID-19 outbreaks, the Russia-Ukraine war or rising inflation on Dave’s business;</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possibility that Dave may be adversely affected by other economic, business, and/or competitive factors; and</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other risks and uncertainties described in this Form 10-Q, including those described under Item 1A, “Risk Factors” of the Annual Report.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caution you that the foregoing list of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and our actual future results, levels of activity, performance and events and circumstances may be materially different from what we expect.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Except as required by law, we do not intend to update any of these forward-looking statements after the date of this report or to conform these statements to actual results or revised expectations.</w:t>
      </w:r>
    </w:p>
    <w:p>
      <w:pPr>
        <w:pStyle w:val="TextBody"/>
        <w:bidi w:val="0"/>
        <w:spacing w:before="20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As used in this report, the “Company,” “Dave,” “we,” “us,” “our” and similar terms refer Dave Inc. (f/k/a VPC Impact Acquisition Holdings III, Inc. (“VPCC”)) and its consolidated subsidiaries, unless otherwise noted or the context otherwise requires. “Business Combination” refers to the business combination pursuant we consummated on January 5, 2022 pursuant to the Agreement and Plan of Merger, dated as of June 7, 2021 among VPCC, Dave Inc., a Delaware corporation, and other entities.</w:t>
      </w:r>
    </w:p>
    <w:p>
      <w:pPr>
        <w:pStyle w:val="TextBody"/>
        <w:bidi w:val="0"/>
        <w:spacing w:before="0" w:after="0"/>
        <w:jc w:val="left"/>
        <w:rPr>
          <w:rFonts w:ascii="Times New Roman" w:hAnsi="Times New Roman"/>
          <w:sz w:val="20"/>
        </w:rPr>
      </w:pPr>
      <w:r>
        <w:rPr>
          <w:rFonts w:ascii="Times New Roman;serif" w:hAnsi="Times New Roman;serif"/>
          <w:b w:val="false"/>
          <w:i/>
          <w:sz w:val="20"/>
        </w:rPr>
        <w:br/>
      </w:r>
      <w:r>
        <w:rPr>
          <w:rFonts w:ascii="Times New Roman" w:hAnsi="Times New Roman"/>
          <w:sz w:val="20"/>
        </w:rPr>
        <w:t> </w:t>
      </w:r>
    </w:p>
    <w:p>
      <w:pPr>
        <w:pStyle w:val="TextBody"/>
        <w:bidi w:val="0"/>
        <w:spacing w:before="20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bookmarkStart w:id="2" w:name="part_1_financial_information"/>
      <w:bookmarkEnd w:id="2"/>
      <w:r>
        <w:rPr>
          <w:rFonts w:ascii="Times New Roman;serif" w:hAnsi="Times New Roman;serif"/>
          <w:b/>
          <w:sz w:val="20"/>
        </w:rPr>
        <w:t>PART I—FINANCIAL INFORMATION</w:t>
      </w:r>
    </w:p>
    <w:p>
      <w:pPr>
        <w:pStyle w:val="TextBody"/>
        <w:bidi w:val="0"/>
        <w:spacing w:before="0" w:after="0"/>
        <w:jc w:val="left"/>
        <w:rPr>
          <w:rFonts w:ascii="Times New Roman" w:hAnsi="Times New Roman"/>
          <w:sz w:val="20"/>
        </w:rPr>
      </w:pPr>
      <w:bookmarkStart w:id="3" w:name="item_1_financial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Dave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balancesheet"/>
      <w:bookmarkEnd w:id="4"/>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Balance Sheets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109"/>
        <w:gridCol w:w="146"/>
        <w:gridCol w:w="208"/>
        <w:gridCol w:w="797"/>
        <w:gridCol w:w="166"/>
        <w:gridCol w:w="146"/>
        <w:gridCol w:w="231"/>
        <w:gridCol w:w="889"/>
        <w:gridCol w:w="513"/>
      </w:tblGrid>
      <w:tr>
        <w:trPr/>
        <w:tc>
          <w:tcPr>
            <w:tcW w:w="7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1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br/>
              <w:t>2023</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w:t>
              <w:br/>
              <w:t>2022</w:t>
            </w:r>
          </w:p>
        </w:tc>
        <w:tc>
          <w:tcPr>
            <w:tcW w:w="513" w:type="dxa"/>
            <w:tcBorders/>
            <w:vAlign w:val="center"/>
          </w:tcPr>
          <w:p>
            <w:pPr>
              <w:pStyle w:val="TableContents"/>
              <w:bidi w:val="0"/>
              <w:spacing w:before="0" w:after="0"/>
              <w:ind w:left="0" w:right="0" w:hanging="0"/>
              <w:jc w:val="center"/>
              <w:rPr/>
            </w:pPr>
            <w:r>
              <w:rPr/>
              <w:t> </w:t>
            </w:r>
          </w:p>
        </w:tc>
      </w:tr>
      <w:tr>
        <w:trPr/>
        <w:tc>
          <w:tcPr>
            <w:tcW w:w="71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(unaudited)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0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left"/>
              <w:rPr/>
            </w:pPr>
            <w:r>
              <w:rPr/>
              <w:t> </w:t>
            </w:r>
          </w:p>
        </w:tc>
      </w:tr>
      <w:tr>
        <w:trPr/>
        <w:tc>
          <w:tcPr>
            <w:tcW w:w="710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Current assets: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22,889</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Marketable securities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285</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Member advances, net of allowance for credit losses of $19,751</w:t>
            </w:r>
            <w:r>
              <w:rPr>
                <w:rFonts w:ascii="Times New Roman" w:hAnsi="Times New Roman"/>
                <w:sz w:val="20"/>
              </w:rPr>
              <w:t> </w:t>
            </w:r>
            <w:r>
              <w:rPr>
                <w:rFonts w:ascii="Times New Roman;serif" w:hAnsi="Times New Roman;serif"/>
                <w:b w:val="false"/>
                <w:sz w:val="16"/>
              </w:rPr>
              <w:t>and $24,501</w:t>
            </w:r>
            <w:r>
              <w:rPr>
                <w:rFonts w:ascii="Times New Roman" w:hAnsi="Times New Roman"/>
                <w:sz w:val="20"/>
              </w:rPr>
              <w:t> </w:t>
            </w:r>
            <w:r>
              <w:rPr>
                <w:rFonts w:ascii="Times New Roman;serif" w:hAnsi="Times New Roman;serif"/>
                <w:b w:val="false"/>
                <w:sz w:val="16"/>
              </w:rPr>
              <w:t>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88,654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104,183</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Short-term investments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168,789</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Prepaid income taxes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831</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11,591</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7109" w:type="dxa"/>
            <w:tcBorders/>
            <w:vAlign w:val="center"/>
          </w:tcPr>
          <w:p>
            <w:pPr>
              <w:pStyle w:val="TableContents"/>
              <w:bidi w:val="0"/>
              <w:spacing w:before="0" w:after="0"/>
              <w:ind w:left="300" w:right="0" w:hanging="0"/>
              <w:jc w:val="left"/>
              <w:rPr>
                <w:rFonts w:ascii="Times New Roman;serif" w:hAnsi="Times New Roman;serif"/>
                <w:b/>
                <w:sz w:val="16"/>
              </w:rPr>
            </w:pPr>
            <w:r>
              <w:rPr>
                <w:rFonts w:ascii="Times New Roman;serif" w:hAnsi="Times New Roman;serif"/>
                <w:b/>
                <w:sz w:val="16"/>
              </w:rPr>
              <w:t>Total current assets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281,100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308,568</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1,026</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Lease right-of-use assets (related-party of $607</w:t>
            </w:r>
            <w:r>
              <w:rPr>
                <w:rFonts w:ascii="Times New Roman" w:hAnsi="Times New Roman"/>
                <w:sz w:val="20"/>
              </w:rPr>
              <w:t> </w:t>
            </w:r>
            <w:r>
              <w:rPr>
                <w:rFonts w:ascii="Times New Roman;serif" w:hAnsi="Times New Roman;serif"/>
                <w:b w:val="false"/>
                <w:sz w:val="16"/>
              </w:rPr>
              <w:t>and $735</w:t>
            </w:r>
            <w:r>
              <w:rPr>
                <w:rFonts w:ascii="Times New Roman" w:hAnsi="Times New Roman"/>
                <w:sz w:val="20"/>
              </w:rPr>
              <w:t> </w:t>
            </w:r>
            <w:r>
              <w:rPr>
                <w:rFonts w:ascii="Times New Roman;serif" w:hAnsi="Times New Roman;serif"/>
                <w:b w:val="false"/>
                <w:sz w:val="16"/>
              </w:rPr>
              <w:t>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735</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Intangible assets, net</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10,163</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Debt facility commitment fee, long-term</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Restricted cash</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788</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non-current assets</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7109" w:type="dxa"/>
            <w:tcBorders/>
            <w:vAlign w:val="center"/>
          </w:tcPr>
          <w:p>
            <w:pPr>
              <w:pStyle w:val="TableContents"/>
              <w:bidi w:val="0"/>
              <w:spacing w:before="0" w:after="0"/>
              <w:ind w:left="3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296,012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321,492</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0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left"/>
              <w:rPr/>
            </w:pPr>
            <w:r>
              <w:rPr/>
              <w:t> </w:t>
            </w:r>
          </w:p>
        </w:tc>
      </w:tr>
      <w:tr>
        <w:trPr/>
        <w:tc>
          <w:tcPr>
            <w:tcW w:w="710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Current liabilities: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11,418</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Accrued expenses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10,965</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Lease liabilities, short-term (related-party of $258</w:t>
            </w:r>
            <w:r>
              <w:rPr>
                <w:rFonts w:ascii="Times New Roman" w:hAnsi="Times New Roman"/>
                <w:sz w:val="20"/>
              </w:rPr>
              <w:t> </w:t>
            </w:r>
            <w:r>
              <w:rPr>
                <w:rFonts w:ascii="Times New Roman;serif" w:hAnsi="Times New Roman;serif"/>
                <w:b w:val="false"/>
                <w:sz w:val="16"/>
              </w:rPr>
              <w:t>and $273</w:t>
            </w:r>
            <w:r>
              <w:rPr>
                <w:rFonts w:ascii="Times New Roman" w:hAnsi="Times New Roman"/>
                <w:sz w:val="20"/>
              </w:rPr>
              <w:t> </w:t>
            </w:r>
            <w:r>
              <w:rPr>
                <w:rFonts w:ascii="Times New Roman;serif" w:hAnsi="Times New Roman;serif"/>
                <w:b w:val="false"/>
                <w:sz w:val="16"/>
              </w:rPr>
              <w:t>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273</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Legal settlement accrual</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9,450</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current liabilities</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4,311</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7109" w:type="dxa"/>
            <w:tcBorders/>
            <w:vAlign w:val="center"/>
          </w:tcPr>
          <w:p>
            <w:pPr>
              <w:pStyle w:val="TableContents"/>
              <w:bidi w:val="0"/>
              <w:spacing w:before="0" w:after="0"/>
              <w:ind w:left="300" w:right="0" w:hanging="0"/>
              <w:jc w:val="left"/>
              <w:rPr>
                <w:rFonts w:ascii="Times New Roman;serif" w:hAnsi="Times New Roman;serif"/>
                <w:b/>
                <w:sz w:val="16"/>
              </w:rPr>
            </w:pPr>
            <w:r>
              <w:rPr>
                <w:rFonts w:ascii="Times New Roman;serif" w:hAnsi="Times New Roman;serif"/>
                <w:b/>
                <w:sz w:val="16"/>
              </w:rPr>
              <w:t>Total current liabilities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31,982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36,417</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Lease liabilities, long-term (related-party of $426</w:t>
            </w:r>
            <w:r>
              <w:rPr>
                <w:rFonts w:ascii="Times New Roman" w:hAnsi="Times New Roman"/>
                <w:sz w:val="20"/>
              </w:rPr>
              <w:t> </w:t>
            </w:r>
            <w:r>
              <w:rPr>
                <w:rFonts w:ascii="Times New Roman;serif" w:hAnsi="Times New Roman;serif"/>
                <w:b w:val="false"/>
                <w:sz w:val="16"/>
              </w:rPr>
              <w:t>and $550</w:t>
            </w:r>
            <w:r>
              <w:rPr>
                <w:rFonts w:ascii="Times New Roman" w:hAnsi="Times New Roman"/>
                <w:sz w:val="20"/>
              </w:rPr>
              <w:t> </w:t>
            </w:r>
            <w:r>
              <w:rPr>
                <w:rFonts w:ascii="Times New Roman;serif" w:hAnsi="Times New Roman;serif"/>
                <w:b w:val="false"/>
                <w:sz w:val="16"/>
              </w:rPr>
              <w:t>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Debt facility, long-term</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75,000</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Convertible debt, long-term</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103,863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102,325</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Warrant and earnout liabilities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516</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7109" w:type="dxa"/>
            <w:tcBorders/>
            <w:vAlign w:val="center"/>
          </w:tcPr>
          <w:p>
            <w:pPr>
              <w:pStyle w:val="TableContents"/>
              <w:bidi w:val="0"/>
              <w:spacing w:before="0" w:after="0"/>
              <w:ind w:left="3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211,894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214,932</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Commitments and contingencies (Note 11)</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Stockholders’ equity:</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Preferred stock, par value per share $0.0001, 10,000,000</w:t>
            </w:r>
            <w:r>
              <w:rPr>
                <w:rFonts w:ascii="Times New Roman" w:hAnsi="Times New Roman"/>
                <w:sz w:val="20"/>
              </w:rPr>
              <w:t> </w:t>
            </w:r>
            <w:r>
              <w:rPr>
                <w:rFonts w:ascii="Times New Roman;serif" w:hAnsi="Times New Roman;serif"/>
                <w:b w:val="false"/>
                <w:sz w:val="16"/>
              </w:rPr>
              <w:t>shares authorized; 0</w:t>
            </w:r>
            <w:r>
              <w:rPr>
                <w:rFonts w:ascii="Times New Roman" w:hAnsi="Times New Roman"/>
                <w:sz w:val="20"/>
              </w:rPr>
              <w:t> </w:t>
            </w:r>
            <w:r>
              <w:rPr>
                <w:rFonts w:ascii="Times New Roman;serif" w:hAnsi="Times New Roman;serif"/>
                <w:b w:val="false"/>
                <w:sz w:val="16"/>
              </w:rPr>
              <w:t>shares issued and outstanding at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Class A common stock, par value per share $0.0001, 500,000,000</w:t>
            </w:r>
            <w:r>
              <w:rPr>
                <w:rFonts w:ascii="Times New Roman" w:hAnsi="Times New Roman"/>
                <w:sz w:val="20"/>
              </w:rPr>
              <w:t> </w:t>
            </w:r>
            <w:r>
              <w:rPr>
                <w:rFonts w:ascii="Times New Roman;serif" w:hAnsi="Times New Roman;serif"/>
                <w:b w:val="false"/>
                <w:sz w:val="16"/>
              </w:rPr>
              <w:t>shares authorized; 10,470,714</w:t>
            </w:r>
            <w:r>
              <w:rPr>
                <w:rFonts w:ascii="Times New Roman" w:hAnsi="Times New Roman"/>
                <w:sz w:val="20"/>
              </w:rPr>
              <w:t> </w:t>
            </w:r>
            <w:r>
              <w:rPr>
                <w:rFonts w:ascii="Times New Roman;serif" w:hAnsi="Times New Roman;serif"/>
                <w:b w:val="false"/>
                <w:sz w:val="16"/>
              </w:rPr>
              <w:t>and 10,334,220</w:t>
            </w:r>
            <w:r>
              <w:rPr>
                <w:rFonts w:ascii="Times New Roman" w:hAnsi="Times New Roman"/>
                <w:sz w:val="20"/>
              </w:rPr>
              <w:t> </w:t>
            </w:r>
            <w:r>
              <w:rPr>
                <w:rFonts w:ascii="Times New Roman;serif" w:hAnsi="Times New Roman;serif"/>
                <w:b w:val="false"/>
                <w:sz w:val="16"/>
              </w:rPr>
              <w:t>shares issued at June 30, 2023 and December 31, 2022, respectively; 10,421,151</w:t>
            </w:r>
            <w:r>
              <w:rPr>
                <w:rFonts w:ascii="Times New Roman" w:hAnsi="Times New Roman"/>
                <w:sz w:val="20"/>
              </w:rPr>
              <w:t> </w:t>
            </w:r>
            <w:r>
              <w:rPr>
                <w:rFonts w:ascii="Times New Roman;serif" w:hAnsi="Times New Roman;serif"/>
                <w:b w:val="false"/>
                <w:sz w:val="16"/>
              </w:rPr>
              <w:t>and 10,284,657</w:t>
            </w:r>
            <w:r>
              <w:rPr>
                <w:rFonts w:ascii="Times New Roman" w:hAnsi="Times New Roman"/>
                <w:sz w:val="20"/>
              </w:rPr>
              <w:t> </w:t>
            </w:r>
            <w:r>
              <w:rPr>
                <w:rFonts w:ascii="Times New Roman;serif" w:hAnsi="Times New Roman;serif"/>
                <w:b w:val="false"/>
                <w:sz w:val="16"/>
              </w:rPr>
              <w:t>shares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Class V common stock, par value per share $0.0001, 100,000,000</w:t>
            </w:r>
            <w:r>
              <w:rPr>
                <w:rFonts w:ascii="Times New Roman" w:hAnsi="Times New Roman"/>
                <w:sz w:val="20"/>
              </w:rPr>
              <w:t> </w:t>
            </w:r>
            <w:r>
              <w:rPr>
                <w:rFonts w:ascii="Times New Roman;serif" w:hAnsi="Times New Roman;serif"/>
                <w:b w:val="false"/>
                <w:sz w:val="16"/>
              </w:rPr>
              <w:t>shares authorized; 1,514,082</w:t>
            </w:r>
            <w:r>
              <w:rPr>
                <w:rFonts w:ascii="Times New Roman" w:hAnsi="Times New Roman"/>
                <w:sz w:val="20"/>
              </w:rPr>
              <w:t> </w:t>
            </w:r>
            <w:r>
              <w:rPr>
                <w:rFonts w:ascii="Times New Roman;serif" w:hAnsi="Times New Roman;serif"/>
                <w:b w:val="false"/>
                <w:sz w:val="16"/>
              </w:rPr>
              <w:t>shares 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283,432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270,037</w:t>
            </w:r>
          </w:p>
        </w:tc>
        <w:tc>
          <w:tcPr>
            <w:tcW w:w="513" w:type="dxa"/>
            <w:tcBorders/>
            <w:vAlign w:val="center"/>
          </w:tcPr>
          <w:p>
            <w:pPr>
              <w:pStyle w:val="TableContents"/>
              <w:bidi w:val="0"/>
              <w:spacing w:before="0" w:after="0"/>
              <w:ind w:left="0" w:right="0" w:firstLine="100"/>
              <w:jc w:val="left"/>
              <w:rPr/>
            </w:pPr>
            <w:r>
              <w:rPr/>
              <w:t> </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w:t>
            </w:r>
          </w:p>
        </w:tc>
        <w:tc>
          <w:tcPr>
            <w:tcW w:w="513"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7109"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(198,446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(161,803</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7109" w:type="dxa"/>
            <w:tcBorders/>
            <w:vAlign w:val="center"/>
          </w:tcPr>
          <w:p>
            <w:pPr>
              <w:pStyle w:val="TableContents"/>
              <w:bidi w:val="0"/>
              <w:spacing w:before="0" w:after="0"/>
              <w:ind w:left="300" w:right="0" w:hanging="0"/>
              <w:jc w:val="left"/>
              <w:rPr>
                <w:rFonts w:ascii="Times New Roman;serif" w:hAnsi="Times New Roman;serif"/>
                <w:b/>
                <w:sz w:val="16"/>
              </w:rPr>
            </w:pPr>
            <w:r>
              <w:rPr>
                <w:rFonts w:ascii="Times New Roman;serif" w:hAnsi="Times New Roman;serif"/>
                <w:b/>
                <w:sz w:val="16"/>
              </w:rPr>
              <w:t>Total stockholders’ equity</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84,118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106,560</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7109" w:type="dxa"/>
            <w:tcBorders/>
            <w:vAlign w:val="center"/>
          </w:tcPr>
          <w:p>
            <w:pPr>
              <w:pStyle w:val="TableContents"/>
              <w:bidi w:val="0"/>
              <w:spacing w:before="0" w:after="0"/>
              <w:ind w:left="300" w:right="0" w:hanging="0"/>
              <w:jc w:val="left"/>
              <w:rPr>
                <w:rFonts w:ascii="Times New Roman;serif" w:hAnsi="Times New Roman;serif"/>
                <w:b/>
                <w:sz w:val="16"/>
              </w:rPr>
            </w:pPr>
            <w:r>
              <w:rPr>
                <w:rFonts w:ascii="Times New Roman;serif" w:hAnsi="Times New Roman;serif"/>
                <w:b/>
                <w:sz w:val="16"/>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296,012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321,492</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Dave Inc.</w:t>
      </w:r>
    </w:p>
    <w:p>
      <w:pPr>
        <w:pStyle w:val="TextBody"/>
        <w:bidi w:val="0"/>
        <w:spacing w:before="0" w:after="0"/>
        <w:jc w:val="center"/>
        <w:rPr>
          <w:rFonts w:ascii="Times New Roman;serif" w:hAnsi="Times New Roman;serif"/>
          <w:b/>
          <w:sz w:val="20"/>
        </w:rPr>
      </w:pPr>
      <w:bookmarkStart w:id="5" w:name="balancesheet_daveodfunding"/>
      <w:bookmarkEnd w:id="5"/>
      <w:r>
        <w:rPr>
          <w:rFonts w:ascii="Times New Roman;serif" w:hAnsi="Times New Roman;serif"/>
          <w:b/>
          <w:sz w:val="20"/>
        </w:rPr>
        <w:t>Condensed Consolidated Balance Sheets, Continued</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w:t>
      </w:r>
      <w:r>
        <w:rPr>
          <w:rFonts w:ascii="Times New Roman" w:hAnsi="Times New Roman"/>
          <w:sz w:val="20"/>
        </w:rPr>
        <w:t xml:space="preserve"> </w:t>
      </w:r>
    </w:p>
    <w:p>
      <w:pPr>
        <w:pStyle w:val="TextBody"/>
        <w:bidi w:val="0"/>
        <w:spacing w:before="0" w:after="0"/>
        <w:jc w:val="left"/>
        <w:rPr/>
      </w:pPr>
      <w:r>
        <w:rPr/>
        <w:t> </w:t>
      </w:r>
    </w:p>
    <w:tbl>
      <w:tblPr>
        <w:tblW w:w="9180" w:type="dxa"/>
        <w:jc w:val="left"/>
        <w:tblInd w:w="0" w:type="dxa"/>
        <w:tblLayout w:type="fixed"/>
        <w:tblCellMar>
          <w:top w:w="28" w:type="dxa"/>
          <w:left w:w="28" w:type="dxa"/>
          <w:bottom w:w="28" w:type="dxa"/>
          <w:right w:w="28" w:type="dxa"/>
        </w:tblCellMar>
      </w:tblPr>
      <w:tblGrid>
        <w:gridCol w:w="4321"/>
        <w:gridCol w:w="146"/>
        <w:gridCol w:w="370"/>
        <w:gridCol w:w="1370"/>
        <w:gridCol w:w="146"/>
        <w:gridCol w:w="146"/>
        <w:gridCol w:w="519"/>
        <w:gridCol w:w="1671"/>
        <w:gridCol w:w="4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40" w:type="dxa"/>
            <w:gridSpan w:val="2"/>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(unaudited)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12,030</w:t>
            </w:r>
          </w:p>
        </w:tc>
        <w:tc>
          <w:tcPr>
            <w:tcW w:w="4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Member advances, net of allowance for credit losses</w:t>
            </w:r>
          </w:p>
        </w:tc>
        <w:tc>
          <w:tcPr>
            <w:tcW w:w="14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1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71,545</w:t>
            </w:r>
          </w:p>
        </w:tc>
        <w:tc>
          <w:tcPr>
            <w:tcW w:w="4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Debt facility commitment fee, current</w:t>
            </w:r>
          </w:p>
        </w:tc>
        <w:tc>
          <w:tcPr>
            <w:tcW w:w="14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1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4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Debt facility commitment fee, long-term</w:t>
            </w:r>
          </w:p>
        </w:tc>
        <w:tc>
          <w:tcPr>
            <w:tcW w:w="146" w:type="dxa"/>
            <w:tcBorders/>
            <w:vAlign w:val="center"/>
          </w:tcPr>
          <w:p>
            <w:pPr>
              <w:pStyle w:val="TableContents"/>
              <w:bidi w:val="0"/>
              <w:spacing w:before="0" w:after="0"/>
              <w:ind w:left="0" w:right="0" w:hanging="0"/>
              <w:jc w:val="left"/>
              <w:rPr/>
            </w:pPr>
            <w:r>
              <w:rPr/>
              <w:t> </w:t>
            </w:r>
          </w:p>
        </w:tc>
        <w:tc>
          <w:tcPr>
            <w:tcW w:w="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321" w:type="dxa"/>
            <w:tcBorders/>
            <w:vAlign w:val="center"/>
          </w:tcPr>
          <w:p>
            <w:pPr>
              <w:pStyle w:val="TableContents"/>
              <w:bidi w:val="0"/>
              <w:spacing w:before="0" w:after="0"/>
              <w:ind w:left="30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3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101,659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83,712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16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491" w:type="dxa"/>
            <w:tcBorders/>
            <w:vAlign w:val="center"/>
          </w:tcPr>
          <w:p>
            <w:pPr>
              <w:pStyle w:val="TableContents"/>
              <w:bidi w:val="0"/>
              <w:spacing w:before="0" w:after="0"/>
              <w:ind w:left="0" w:right="0" w:firstLine="100"/>
              <w:jc w:val="left"/>
              <w:rPr/>
            </w:pPr>
            <w:r>
              <w:rPr/>
              <w:t> </w:t>
            </w:r>
          </w:p>
        </w:tc>
      </w:tr>
      <w:tr>
        <w:trPr/>
        <w:tc>
          <w:tcPr>
            <w:tcW w:w="43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facility</w:t>
            </w:r>
          </w:p>
        </w:tc>
        <w:tc>
          <w:tcPr>
            <w:tcW w:w="146" w:type="dxa"/>
            <w:tcBorders/>
            <w:vAlign w:val="center"/>
          </w:tcPr>
          <w:p>
            <w:pPr>
              <w:pStyle w:val="TableContents"/>
              <w:bidi w:val="0"/>
              <w:spacing w:before="0" w:after="0"/>
              <w:ind w:left="0" w:right="0" w:hanging="0"/>
              <w:jc w:val="left"/>
              <w:rPr/>
            </w:pPr>
            <w:r>
              <w:rPr/>
              <w:t> </w:t>
            </w:r>
          </w:p>
        </w:tc>
        <w:tc>
          <w:tcPr>
            <w:tcW w:w="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321" w:type="dxa"/>
            <w:tcBorders/>
            <w:vAlign w:val="center"/>
          </w:tcPr>
          <w:p>
            <w:pPr>
              <w:pStyle w:val="TableContents"/>
              <w:bidi w:val="0"/>
              <w:spacing w:before="0" w:after="0"/>
              <w:ind w:left="3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3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75,748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75,531</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Dave Inc.</w:t>
      </w:r>
      <w:r>
        <w:rPr>
          <w:rFonts w:ascii="Times New Roman" w:hAnsi="Times New Roman"/>
          <w:sz w:val="20"/>
        </w:rPr>
        <w:t xml:space="preserve"> </w:t>
      </w:r>
    </w:p>
    <w:p>
      <w:pPr>
        <w:pStyle w:val="TextBody"/>
        <w:bidi w:val="0"/>
        <w:spacing w:before="7" w:after="0"/>
        <w:jc w:val="center"/>
        <w:rPr>
          <w:rFonts w:ascii="Times New Roman;serif" w:hAnsi="Times New Roman;serif"/>
          <w:b/>
          <w:sz w:val="20"/>
        </w:rPr>
      </w:pPr>
      <w:bookmarkStart w:id="6" w:name="statementsofoperatrions"/>
      <w:bookmarkEnd w:id="6"/>
      <w:r>
        <w:rPr>
          <w:rFonts w:ascii="Times New Roman;serif" w:hAnsi="Times New Roman;serif"/>
          <w:b/>
          <w:sz w:val="20"/>
        </w:rPr>
        <w:t>Condensed Consolidated Statements of Operations</w:t>
      </w:r>
    </w:p>
    <w:p>
      <w:pPr>
        <w:pStyle w:val="TextBody"/>
        <w:bidi w:val="0"/>
        <w:spacing w:before="12"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bidi w:val="0"/>
        <w:spacing w:before="12"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12" w:after="0"/>
        <w:jc w:val="center"/>
        <w:rPr/>
      </w:pPr>
      <w:r>
        <w:rPr/>
        <w:t> </w:t>
      </w:r>
    </w:p>
    <w:tbl>
      <w:tblPr>
        <w:tblW w:w="10205" w:type="dxa"/>
        <w:jc w:val="left"/>
        <w:tblInd w:w="0" w:type="dxa"/>
        <w:tblLayout w:type="fixed"/>
        <w:tblCellMar>
          <w:top w:w="28" w:type="dxa"/>
          <w:left w:w="28" w:type="dxa"/>
          <w:bottom w:w="28" w:type="dxa"/>
          <w:right w:w="28" w:type="dxa"/>
        </w:tblCellMar>
      </w:tblPr>
      <w:tblGrid>
        <w:gridCol w:w="3484"/>
        <w:gridCol w:w="146"/>
        <w:gridCol w:w="228"/>
        <w:gridCol w:w="1119"/>
        <w:gridCol w:w="179"/>
        <w:gridCol w:w="157"/>
        <w:gridCol w:w="228"/>
        <w:gridCol w:w="1119"/>
        <w:gridCol w:w="166"/>
        <w:gridCol w:w="146"/>
        <w:gridCol w:w="219"/>
        <w:gridCol w:w="1077"/>
        <w:gridCol w:w="172"/>
        <w:gridCol w:w="151"/>
        <w:gridCol w:w="219"/>
        <w:gridCol w:w="1077"/>
        <w:gridCol w:w="318"/>
      </w:tblGrid>
      <w:tr>
        <w:trPr/>
        <w:tc>
          <w:tcPr>
            <w:tcW w:w="3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1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2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revenues:</w:t>
            </w:r>
          </w:p>
        </w:tc>
        <w:tc>
          <w:tcPr>
            <w:tcW w:w="146"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Service based revenue, net</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54,985</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107,561</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82,259</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based revenue, net</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6,250</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12,602</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6,097</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sz w:val="20"/>
              </w:rPr>
            </w:pPr>
            <w:r>
              <w:rPr>
                <w:rFonts w:ascii="Times New Roman;serif" w:hAnsi="Times New Roman;serif"/>
                <w:b/>
                <w:sz w:val="20"/>
              </w:rPr>
              <w:t>Total operating revenues, net</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61,235</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45,805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120,163</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88,356</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15,925</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27,878</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27,642</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Processing and servicing costs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7,232</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14,350</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14,133</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Advertising and marketing</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14,985</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24,456</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32,997</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Compensation and benefits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23,932</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48,299</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57,032</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20,078</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38,579</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32,240</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sz w:val="20"/>
              </w:rPr>
            </w:pPr>
            <w:r>
              <w:rPr>
                <w:rFonts w:ascii="Times New Roman;serif" w:hAnsi="Times New Roman;serif"/>
                <w:b/>
                <w:sz w:val="20"/>
              </w:rPr>
              <w:t>Total operating expenses</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82,152</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98,820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153,562</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164,044</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(income) expenses:</w:t>
            </w:r>
          </w:p>
        </w:tc>
        <w:tc>
          <w:tcPr>
            <w:tcW w:w="146"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(2,677</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31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3,027</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5,925</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3,843</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(9,634</w:t>
            </w:r>
          </w:p>
        </w:tc>
        <w:tc>
          <w:tcPr>
            <w:tcW w:w="31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Gain on extinguishment of liability</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31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318" w:type="dxa"/>
            <w:tcBorders/>
            <w:vAlign w:val="center"/>
          </w:tcPr>
          <w:p>
            <w:pPr>
              <w:pStyle w:val="TableContents"/>
              <w:bidi w:val="0"/>
              <w:spacing w:before="0" w:after="0"/>
              <w:ind w:left="0" w:right="0" w:firstLine="10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(13,484</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sz w:val="20"/>
              </w:rPr>
            </w:pPr>
            <w:r>
              <w:rPr>
                <w:rFonts w:ascii="Times New Roman;serif" w:hAnsi="Times New Roman;serif"/>
                <w:b/>
                <w:sz w:val="20"/>
              </w:rPr>
              <w:t>Total other expense (income), net</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1,694</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(25,922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3,229</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(15,822</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4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 before provision for income taxes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(22,611</w:t>
            </w:r>
          </w:p>
        </w:tc>
        <w:tc>
          <w:tcPr>
            <w:tcW w:w="17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7"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(27,093</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(36,628</w:t>
            </w:r>
          </w:p>
        </w:tc>
        <w:tc>
          <w:tcPr>
            <w:tcW w:w="1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1" w:type="dxa"/>
            <w:tcBorders/>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(59,866</w:t>
            </w:r>
          </w:p>
        </w:tc>
        <w:tc>
          <w:tcPr>
            <w:tcW w:w="318" w:type="dxa"/>
            <w:tcBorders/>
            <w:vAlign w:val="center"/>
          </w:tcPr>
          <w:p>
            <w:pPr>
              <w:pStyle w:val="TableContents"/>
              <w:bidi w:val="0"/>
              <w:spacing w:before="0" w:after="0"/>
              <w:ind w:left="0" w:right="0" w:firstLine="100"/>
              <w:jc w:val="left"/>
              <w:rPr>
                <w:rFonts w:ascii="Times New Roman;serif" w:hAnsi="Times New Roman;serif"/>
                <w:b/>
                <w:sz w:val="20"/>
              </w:rPr>
            </w:pPr>
            <w:r>
              <w:rPr>
                <w:rFonts w:ascii="Times New Roman;serif" w:hAnsi="Times New Roman;serif"/>
                <w:b/>
                <w:sz w:val="20"/>
              </w:rPr>
              <w:t>)</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firstLine="100"/>
              <w:jc w:val="left"/>
              <w:rPr>
                <w:rFonts w:ascii="Times New Roman;serif" w:hAnsi="Times New Roman;serif"/>
                <w:b/>
                <w:sz w:val="20"/>
              </w:rPr>
            </w:pPr>
            <w:r>
              <w:rPr>
                <w:rFonts w:ascii="Times New Roman;serif" w:hAnsi="Times New Roman;serif"/>
                <w:b/>
                <w:sz w:val="20"/>
              </w:rPr>
              <w:t>Net loss</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(22,618</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(27,115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(36,643</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(59,910</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4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center"/>
              <w:rPr/>
            </w:pPr>
            <w:r>
              <w:rPr/>
              <w:t> </w:t>
            </w:r>
          </w:p>
        </w:tc>
        <w:tc>
          <w:tcPr>
            <w:tcW w:w="179" w:type="dxa"/>
            <w:tcBorders/>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 </w:t>
            </w:r>
          </w:p>
        </w:tc>
        <w:tc>
          <w:tcPr>
            <w:tcW w:w="13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6" w:type="dxa"/>
            <w:gridSpan w:val="2"/>
            <w:tcBorders/>
            <w:vAlign w:val="center"/>
          </w:tcPr>
          <w:p>
            <w:pPr>
              <w:pStyle w:val="TableContents"/>
              <w:bidi w:val="0"/>
              <w:spacing w:before="0" w:after="0"/>
              <w:ind w:left="0" w:right="0" w:hanging="0"/>
              <w:jc w:val="center"/>
              <w:rPr/>
            </w:pPr>
            <w:r>
              <w:rPr/>
              <w:t> </w:t>
            </w:r>
          </w:p>
        </w:tc>
        <w:tc>
          <w:tcPr>
            <w:tcW w:w="172"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296" w:type="dxa"/>
            <w:gridSpan w:val="2"/>
            <w:tcBorders/>
            <w:vAlign w:val="center"/>
          </w:tcPr>
          <w:p>
            <w:pPr>
              <w:pStyle w:val="TableContents"/>
              <w:bidi w:val="0"/>
              <w:spacing w:before="0" w:after="0"/>
              <w:ind w:left="0" w:right="0" w:hanging="0"/>
              <w:jc w:val="center"/>
              <w:rPr/>
            </w:pPr>
            <w:r>
              <w:rPr/>
              <w:t> </w:t>
            </w:r>
          </w:p>
        </w:tc>
        <w:tc>
          <w:tcPr>
            <w:tcW w:w="318" w:type="dxa"/>
            <w:tcBorders/>
            <w:vAlign w:val="center"/>
          </w:tcPr>
          <w:p>
            <w:pPr>
              <w:pStyle w:val="TableContents"/>
              <w:bidi w:val="0"/>
              <w:spacing w:before="0" w:after="0"/>
              <w:ind w:left="0" w:right="0" w:hanging="0"/>
              <w:jc w:val="center"/>
              <w:rPr/>
            </w:pPr>
            <w:r>
              <w:rPr/>
              <w:t> </w:t>
            </w:r>
          </w:p>
        </w:tc>
      </w:tr>
      <w:tr>
        <w:trPr/>
        <w:tc>
          <w:tcPr>
            <w:tcW w:w="34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 per share:</w:t>
            </w:r>
          </w:p>
        </w:tc>
        <w:tc>
          <w:tcPr>
            <w:tcW w:w="146"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8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Weighted-average shares used to compute net loss per share</w:t>
            </w:r>
          </w:p>
        </w:tc>
        <w:tc>
          <w:tcPr>
            <w:tcW w:w="146"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296" w:type="dxa"/>
            <w:gridSpan w:val="2"/>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11,884,473</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11,609,452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11,850,151</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11,435,206</w:t>
            </w:r>
          </w:p>
        </w:tc>
        <w:tc>
          <w:tcPr>
            <w:tcW w:w="318" w:type="dxa"/>
            <w:tcBorders/>
            <w:vAlign w:val="center"/>
          </w:tcPr>
          <w:p>
            <w:pPr>
              <w:pStyle w:val="TableContents"/>
              <w:bidi w:val="0"/>
              <w:spacing w:before="0" w:after="0"/>
              <w:ind w:left="0" w:right="0" w:hanging="0"/>
              <w:jc w:val="left"/>
              <w:rPr/>
            </w:pPr>
            <w:r>
              <w:rPr/>
              <w:t> </w:t>
            </w:r>
          </w:p>
        </w:tc>
      </w:tr>
      <w:tr>
        <w:trPr/>
        <w:tc>
          <w:tcPr>
            <w:tcW w:w="348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11,884,473</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11,609,452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11,850,151</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11,435,206</w:t>
            </w:r>
          </w:p>
        </w:tc>
        <w:tc>
          <w:tcPr>
            <w:tcW w:w="318"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6" w:after="0"/>
        <w:jc w:val="left"/>
        <w:rPr/>
      </w:pPr>
      <w:r>
        <w:rPr/>
        <w:t>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See accompanying notes to the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8"/>
        </w:rPr>
      </w:pPr>
      <w:r>
        <w:rPr>
          <w:rFonts w:ascii="Times New Roman;serif" w:hAnsi="Times New Roman;serif"/>
          <w:b/>
          <w:sz w:val="18"/>
        </w:rPr>
        <w:t>Dave Inc.</w:t>
      </w:r>
    </w:p>
    <w:p>
      <w:pPr>
        <w:pStyle w:val="TextBody"/>
        <w:bidi w:val="0"/>
        <w:spacing w:before="0" w:after="0"/>
        <w:jc w:val="center"/>
        <w:rPr>
          <w:rFonts w:ascii="Times New Roman;serif" w:hAnsi="Times New Roman;serif"/>
          <w:b/>
          <w:sz w:val="18"/>
        </w:rPr>
      </w:pPr>
      <w:bookmarkStart w:id="7" w:name="consolidatedstatementofcomprehensiveloss"/>
      <w:bookmarkEnd w:id="7"/>
      <w:r>
        <w:rPr>
          <w:rFonts w:ascii="Times New Roman;serif" w:hAnsi="Times New Roman;serif"/>
          <w:b/>
          <w:sz w:val="18"/>
        </w:rPr>
        <w:t>Condensed Consolidated Statements of Comprehensive Loss</w:t>
      </w:r>
    </w:p>
    <w:p>
      <w:pPr>
        <w:pStyle w:val="TextBody"/>
        <w:bidi w:val="0"/>
        <w:spacing w:before="0" w:after="0"/>
        <w:jc w:val="center"/>
        <w:rPr>
          <w:rFonts w:ascii="Times New Roman;serif" w:hAnsi="Times New Roman;serif"/>
          <w:b w:val="false"/>
          <w:i/>
          <w:sz w:val="18"/>
        </w:rPr>
      </w:pPr>
      <w:r>
        <w:rPr>
          <w:rFonts w:ascii="Times New Roman;serif" w:hAnsi="Times New Roman;serif"/>
          <w:b w:val="false"/>
          <w:i/>
          <w:sz w:val="18"/>
        </w:rPr>
        <w:t>(in thousands)</w:t>
      </w:r>
    </w:p>
    <w:p>
      <w:pPr>
        <w:pStyle w:val="TextBody"/>
        <w:bidi w:val="0"/>
        <w:spacing w:before="0" w:after="0"/>
        <w:jc w:val="center"/>
        <w:rPr>
          <w:rFonts w:ascii="Times New Roman" w:hAnsi="Times New Roman"/>
          <w:sz w:val="20"/>
        </w:rPr>
      </w:pPr>
      <w:r>
        <w:rPr>
          <w:rFonts w:ascii="Times New Roman;serif" w:hAnsi="Times New Roman;serif"/>
          <w:b w:val="false"/>
          <w:i/>
          <w:sz w:val="18"/>
        </w:rPr>
        <w:t>(unaudited)</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715"/>
        <w:gridCol w:w="146"/>
        <w:gridCol w:w="297"/>
        <w:gridCol w:w="1037"/>
        <w:gridCol w:w="233"/>
        <w:gridCol w:w="297"/>
        <w:gridCol w:w="1037"/>
        <w:gridCol w:w="166"/>
        <w:gridCol w:w="146"/>
        <w:gridCol w:w="279"/>
        <w:gridCol w:w="978"/>
        <w:gridCol w:w="220"/>
        <w:gridCol w:w="279"/>
        <w:gridCol w:w="978"/>
        <w:gridCol w:w="397"/>
      </w:tblGrid>
      <w:tr>
        <w:trPr/>
        <w:tc>
          <w:tcPr>
            <w:tcW w:w="3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7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1"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3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2023</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2022</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(22,618</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(36,643</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(59,910</w:t>
            </w:r>
          </w:p>
        </w:tc>
        <w:tc>
          <w:tcPr>
            <w:tcW w:w="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w:t>
            </w:r>
          </w:p>
        </w:tc>
        <w:tc>
          <w:tcPr>
            <w:tcW w:w="146" w:type="dxa"/>
            <w:tcBorders/>
            <w:vAlign w:val="center"/>
          </w:tcPr>
          <w:p>
            <w:pPr>
              <w:pStyle w:val="TableContents"/>
              <w:bidi w:val="0"/>
              <w:spacing w:before="0" w:after="0"/>
              <w:ind w:left="0" w:right="0" w:hanging="0"/>
              <w:jc w:val="left"/>
              <w:rPr/>
            </w:pPr>
            <w:r>
              <w:rPr/>
              <w:t> </w:t>
            </w:r>
          </w:p>
        </w:tc>
        <w:tc>
          <w:tcPr>
            <w:tcW w:w="1334" w:type="dxa"/>
            <w:gridSpan w:val="2"/>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1334"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firstLine="200"/>
              <w:jc w:val="left"/>
              <w:rPr/>
            </w:pPr>
            <w:r>
              <w:rPr/>
              <w:t> </w:t>
            </w:r>
          </w:p>
        </w:tc>
      </w:tr>
      <w:tr>
        <w:trPr/>
        <w:tc>
          <w:tcPr>
            <w:tcW w:w="37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Unrealized gain (loss) on available-for-sale securities</w:t>
            </w:r>
          </w:p>
        </w:tc>
        <w:tc>
          <w:tcPr>
            <w:tcW w:w="146" w:type="dxa"/>
            <w:tcBorders/>
            <w:vAlign w:val="center"/>
          </w:tcPr>
          <w:p>
            <w:pPr>
              <w:pStyle w:val="TableContents"/>
              <w:bidi w:val="0"/>
              <w:spacing w:before="0" w:after="0"/>
              <w:ind w:left="20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1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7"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(22,595</w:t>
            </w:r>
          </w:p>
        </w:tc>
        <w:tc>
          <w:tcPr>
            <w:tcW w:w="23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7"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(29,545</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(35,837</w:t>
            </w:r>
          </w:p>
        </w:tc>
        <w:tc>
          <w:tcPr>
            <w:tcW w:w="2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7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(62,340</w:t>
            </w:r>
          </w:p>
        </w:tc>
        <w:tc>
          <w:tcPr>
            <w:tcW w:w="3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See accompanying notes to the condensed consolidated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Dave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consolidatedstatementstockholdersequity"/>
      <w:bookmarkEnd w:id="8"/>
      <w:r>
        <w:rPr>
          <w:rFonts w:ascii="Times New Roman;serif" w:hAnsi="Times New Roman;serif"/>
          <w:b/>
          <w:sz w:val="20"/>
        </w:rPr>
        <w:t>Condensed Consolidated Statement of</w:t>
      </w:r>
      <w:r>
        <w:rPr>
          <w:rFonts w:ascii="Times New Roman" w:hAnsi="Times New Roman"/>
          <w:sz w:val="20"/>
        </w:rPr>
        <w:t xml:space="preserve"> </w:t>
      </w:r>
      <w:r>
        <w:rPr>
          <w:rFonts w:ascii="Times New Roman;serif" w:hAnsi="Times New Roman;serif"/>
          <w:b/>
          <w:sz w:val="20"/>
        </w:rPr>
        <w:t>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left"/>
        <w:rPr/>
      </w:pPr>
      <w:r>
        <w:rPr/>
        <w:t> </w:t>
      </w:r>
    </w:p>
    <w:tbl>
      <w:tblPr>
        <w:tblW w:w="11361" w:type="dxa"/>
        <w:jc w:val="left"/>
        <w:tblInd w:w="0" w:type="dxa"/>
        <w:tblLayout w:type="fixed"/>
        <w:tblCellMar>
          <w:top w:w="28" w:type="dxa"/>
          <w:left w:w="28" w:type="dxa"/>
          <w:bottom w:w="28" w:type="dxa"/>
          <w:right w:w="28" w:type="dxa"/>
        </w:tblCellMar>
      </w:tblPr>
      <w:tblGrid>
        <w:gridCol w:w="1126"/>
        <w:gridCol w:w="146"/>
        <w:gridCol w:w="796"/>
        <w:gridCol w:w="146"/>
        <w:gridCol w:w="315"/>
        <w:gridCol w:w="316"/>
        <w:gridCol w:w="146"/>
        <w:gridCol w:w="146"/>
        <w:gridCol w:w="146"/>
        <w:gridCol w:w="721"/>
        <w:gridCol w:w="146"/>
        <w:gridCol w:w="344"/>
        <w:gridCol w:w="287"/>
        <w:gridCol w:w="146"/>
        <w:gridCol w:w="181"/>
        <w:gridCol w:w="601"/>
        <w:gridCol w:w="151"/>
        <w:gridCol w:w="146"/>
        <w:gridCol w:w="499"/>
        <w:gridCol w:w="417"/>
        <w:gridCol w:w="146"/>
        <w:gridCol w:w="376"/>
        <w:gridCol w:w="315"/>
        <w:gridCol w:w="146"/>
        <w:gridCol w:w="280"/>
        <w:gridCol w:w="771"/>
        <w:gridCol w:w="151"/>
        <w:gridCol w:w="207"/>
        <w:gridCol w:w="739"/>
        <w:gridCol w:w="151"/>
        <w:gridCol w:w="222"/>
        <w:gridCol w:w="73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center"/>
              <w:rPr/>
            </w:pPr>
            <w:r>
              <w:rPr/>
              <w:t> </w:t>
            </w:r>
          </w:p>
        </w:tc>
        <w:tc>
          <w:tcPr>
            <w:tcW w:w="3655" w:type="dxa"/>
            <w:gridSpan w:val="1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961" w:type="dxa"/>
            <w:gridSpan w:val="2"/>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pPr>
            <w:r>
              <w:rPr/>
              <w:t> </w:t>
            </w:r>
          </w:p>
        </w:tc>
        <w:tc>
          <w:tcPr>
            <w:tcW w:w="171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V</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9" w:type="dxa"/>
            <w:gridSpan w:val="4"/>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 paid-in capital</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Loans to stockholders</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Treasury stock</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 other comprehensive loss</w:t>
            </w:r>
          </w:p>
        </w:tc>
        <w:tc>
          <w:tcPr>
            <w:tcW w:w="151"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 deficit</w:t>
            </w:r>
          </w:p>
        </w:tc>
        <w:tc>
          <w:tcPr>
            <w:tcW w:w="151" w:type="dxa"/>
            <w:tcBorders/>
            <w:vAlign w:val="center"/>
          </w:tcPr>
          <w:p>
            <w:pPr>
              <w:pStyle w:val="TableContents"/>
              <w:bidi w:val="0"/>
              <w:spacing w:before="0" w:after="0"/>
              <w:ind w:left="0" w:right="0" w:hanging="0"/>
              <w:jc w:val="center"/>
              <w:rPr/>
            </w:pPr>
            <w:r>
              <w:rPr/>
              <w:t> </w:t>
            </w:r>
          </w:p>
        </w:tc>
        <w:tc>
          <w:tcPr>
            <w:tcW w:w="96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 stockholders’ equity</w:t>
            </w:r>
          </w:p>
        </w:tc>
        <w:tc>
          <w:tcPr>
            <w:tcW w:w="196" w:type="dxa"/>
            <w:tcBorders/>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pPr>
            <w:r>
              <w:rPr/>
              <w:t> </w:t>
            </w:r>
          </w:p>
        </w:tc>
        <w:tc>
          <w:tcPr>
            <w:tcW w:w="9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Balance at January 1, 2023</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10,284,657</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6"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1,514,082</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87"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601"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270,037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417"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5"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71"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(1,675</w:t>
            </w:r>
          </w:p>
        </w:tc>
        <w:tc>
          <w:tcPr>
            <w:tcW w:w="15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07"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(161,803</w:t>
            </w:r>
          </w:p>
        </w:tc>
        <w:tc>
          <w:tcPr>
            <w:tcW w:w="15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22"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106,560</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Issuance of Class A common stock in connection with stock plans</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136,494</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9" w:type="dxa"/>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2</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Payment for fractional shares after reverse stock split</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499" w:type="dxa"/>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(13</w:t>
            </w:r>
          </w:p>
        </w:tc>
        <w:tc>
          <w:tcPr>
            <w:tcW w:w="19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13,406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9" w:type="dxa"/>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13,406</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Unrealized gain on available-for-sale securities</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9" w:type="dxa"/>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806</w:t>
            </w:r>
          </w:p>
        </w:tc>
        <w:tc>
          <w:tcPr>
            <w:tcW w:w="151"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806</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(36,643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(36,643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Balance at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10,421,151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1,514,082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283,432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4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(869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(198,446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5"/>
              </w:rPr>
            </w:pPr>
            <w:r>
              <w:rPr>
                <w:rFonts w:ascii="Times New Roman;serif" w:hAnsi="Times New Roman;serif"/>
                <w:b/>
                <w:sz w:val="15"/>
              </w:rPr>
              <w:t>84,118</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2621" w:type="dxa"/>
        <w:jc w:val="left"/>
        <w:tblInd w:w="0" w:type="dxa"/>
        <w:tblLayout w:type="fixed"/>
        <w:tblCellMar>
          <w:top w:w="28" w:type="dxa"/>
          <w:left w:w="28" w:type="dxa"/>
          <w:bottom w:w="28" w:type="dxa"/>
          <w:right w:w="28" w:type="dxa"/>
        </w:tblCellMar>
      </w:tblPr>
      <w:tblGrid>
        <w:gridCol w:w="1321"/>
        <w:gridCol w:w="146"/>
        <w:gridCol w:w="916"/>
        <w:gridCol w:w="166"/>
        <w:gridCol w:w="345"/>
        <w:gridCol w:w="346"/>
        <w:gridCol w:w="146"/>
        <w:gridCol w:w="146"/>
        <w:gridCol w:w="146"/>
        <w:gridCol w:w="826"/>
        <w:gridCol w:w="146"/>
        <w:gridCol w:w="374"/>
        <w:gridCol w:w="317"/>
        <w:gridCol w:w="146"/>
        <w:gridCol w:w="196"/>
        <w:gridCol w:w="691"/>
        <w:gridCol w:w="166"/>
        <w:gridCol w:w="146"/>
        <w:gridCol w:w="230"/>
        <w:gridCol w:w="776"/>
        <w:gridCol w:w="166"/>
        <w:gridCol w:w="332"/>
        <w:gridCol w:w="434"/>
        <w:gridCol w:w="166"/>
        <w:gridCol w:w="299"/>
        <w:gridCol w:w="872"/>
        <w:gridCol w:w="166"/>
        <w:gridCol w:w="240"/>
        <w:gridCol w:w="811"/>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center"/>
              <w:rPr/>
            </w:pPr>
            <w:r>
              <w:rPr/>
              <w:t> </w:t>
            </w:r>
          </w:p>
        </w:tc>
        <w:tc>
          <w:tcPr>
            <w:tcW w:w="4020" w:type="dxa"/>
            <w:gridSpan w:val="1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76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66"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91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V</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9" w:type="dxa"/>
            <w:gridSpan w:val="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 capital</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Loans to stockholders</w:t>
            </w:r>
          </w:p>
        </w:tc>
        <w:tc>
          <w:tcPr>
            <w:tcW w:w="166" w:type="dxa"/>
            <w:tcBorders/>
            <w:vAlign w:val="center"/>
          </w:tcPr>
          <w:p>
            <w:pPr>
              <w:pStyle w:val="TableContents"/>
              <w:bidi w:val="0"/>
              <w:spacing w:before="0" w:after="0"/>
              <w:ind w:left="0" w:right="0" w:hanging="0"/>
              <w:jc w:val="center"/>
              <w:rPr/>
            </w:pPr>
            <w:r>
              <w:rPr/>
              <w:t> </w:t>
            </w:r>
          </w:p>
        </w:tc>
        <w:tc>
          <w:tcPr>
            <w:tcW w:w="7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 loss</w:t>
            </w:r>
          </w:p>
        </w:tc>
        <w:tc>
          <w:tcPr>
            <w:tcW w:w="16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deficit</w:t>
            </w:r>
          </w:p>
        </w:tc>
        <w:tc>
          <w:tcPr>
            <w:tcW w:w="166" w:type="dxa"/>
            <w:tcBorders/>
            <w:vAlign w:val="center"/>
          </w:tcPr>
          <w:p>
            <w:pPr>
              <w:pStyle w:val="TableContents"/>
              <w:bidi w:val="0"/>
              <w:spacing w:before="0" w:after="0"/>
              <w:ind w:left="0" w:right="0" w:hanging="0"/>
              <w:jc w:val="center"/>
              <w:rPr/>
            </w:pPr>
            <w:r>
              <w:rPr/>
              <w:t> </w:t>
            </w:r>
          </w:p>
        </w:tc>
        <w:tc>
          <w:tcPr>
            <w:tcW w:w="10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stockholders’ equity</w:t>
            </w:r>
          </w:p>
        </w:tc>
        <w:tc>
          <w:tcPr>
            <w:tcW w:w="211"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January 1, 2022</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9,283,010</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1,514,082</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7"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86,830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7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(15,192</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34"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9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72"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1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(32,897</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3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38,737</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in connection with stock plans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106,222</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1,570</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pursuant to the PIPE financing</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656,247</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210,000</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pursuant to the Merger Agreement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211,415</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(26,702</w:t>
            </w:r>
          </w:p>
        </w:tc>
        <w:tc>
          <w:tcPr>
            <w:tcW w:w="2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Series B-1 preferred stock warrants, net of settlement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14,087</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3,365</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Conversion of 2019 convertible notes and accrued interest to Class A common stock</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7,040</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720</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 of Class A common stock</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(1,583</w:t>
            </w:r>
          </w:p>
        </w:tc>
        <w:tc>
          <w:tcPr>
            <w:tcW w:w="2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warrant for Class A common stock</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Stockholder loans interest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(12</w:t>
            </w:r>
          </w:p>
        </w:tc>
        <w:tc>
          <w:tcPr>
            <w:tcW w:w="2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derivative asset and paydown of stockholder loans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(187,945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(44,885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15,204</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(29,681</w:t>
            </w:r>
          </w:p>
        </w:tc>
        <w:tc>
          <w:tcPr>
            <w:tcW w:w="2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Extinguishment of liability</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42,613</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3,150</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26,048</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Unrealized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(2,430</w:t>
            </w:r>
          </w:p>
        </w:tc>
        <w:tc>
          <w:tcPr>
            <w:tcW w:w="2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(59,910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(59,910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10,126,489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1,514,082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258,508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(2,430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(92,807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163,272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0" w:after="0"/>
        <w:jc w:val="center"/>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Dave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Condensed Consolidated Statement of Stockholders’ Equity, Continued</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center"/>
        <w:rPr/>
      </w:pPr>
      <w:r>
        <w:rPr/>
        <w:t> </w:t>
      </w:r>
    </w:p>
    <w:tbl>
      <w:tblPr>
        <w:tblW w:w="10477"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363"/>
        <w:gridCol w:w="808"/>
        <w:gridCol w:w="16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center"/>
              <w:rPr/>
            </w:pPr>
            <w:r>
              <w:rPr/>
              <w:t> </w:t>
            </w:r>
          </w:p>
        </w:tc>
        <w:tc>
          <w:tcPr>
            <w:tcW w:w="4000" w:type="dxa"/>
            <w:gridSpan w:val="1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66"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89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V</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9" w:type="dxa"/>
            <w:gridSpan w:val="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 capital</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 loss</w:t>
            </w:r>
          </w:p>
        </w:tc>
        <w:tc>
          <w:tcPr>
            <w:tcW w:w="16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deficit</w:t>
            </w:r>
          </w:p>
        </w:tc>
        <w:tc>
          <w:tcPr>
            <w:tcW w:w="166" w:type="dxa"/>
            <w:tcBorders/>
            <w:vAlign w:val="center"/>
          </w:tcPr>
          <w:p>
            <w:pPr>
              <w:pStyle w:val="TableContents"/>
              <w:bidi w:val="0"/>
              <w:spacing w:before="0" w:after="0"/>
              <w:ind w:left="0" w:right="0" w:hanging="0"/>
              <w:jc w:val="center"/>
              <w:rPr/>
            </w:pPr>
            <w:r>
              <w:rPr/>
              <w:t> </w:t>
            </w:r>
          </w:p>
        </w:tc>
        <w:tc>
          <w:tcPr>
            <w:tcW w:w="10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stockholders’ equity</w:t>
            </w:r>
          </w:p>
        </w:tc>
        <w:tc>
          <w:tcPr>
            <w:tcW w:w="211"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March 31, 2023</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10,352,968</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1,514,082</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7"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276,799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08"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(892</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1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(175,828</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3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100,080</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in connection with stock plans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68,183</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3"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3"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6,632</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Unrealized gain on available-for-sale securities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3"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23</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(22,618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10,421,151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1,514,082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283,432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(198,446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84,118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477"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299"/>
        <w:gridCol w:w="872"/>
        <w:gridCol w:w="166"/>
        <w:gridCol w:w="240"/>
        <w:gridCol w:w="811"/>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center"/>
              <w:rPr/>
            </w:pPr>
            <w:r>
              <w:rPr/>
              <w:t> </w:t>
            </w:r>
          </w:p>
        </w:tc>
        <w:tc>
          <w:tcPr>
            <w:tcW w:w="4000" w:type="dxa"/>
            <w:gridSpan w:val="1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66"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89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 V</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9" w:type="dxa"/>
            <w:gridSpan w:val="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 capital</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 loss</w:t>
            </w:r>
          </w:p>
        </w:tc>
        <w:tc>
          <w:tcPr>
            <w:tcW w:w="16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deficit</w:t>
            </w:r>
          </w:p>
        </w:tc>
        <w:tc>
          <w:tcPr>
            <w:tcW w:w="166" w:type="dxa"/>
            <w:tcBorders/>
            <w:vAlign w:val="center"/>
          </w:tcPr>
          <w:p>
            <w:pPr>
              <w:pStyle w:val="TableContents"/>
              <w:bidi w:val="0"/>
              <w:spacing w:before="0" w:after="0"/>
              <w:ind w:left="0" w:right="0" w:hanging="0"/>
              <w:jc w:val="center"/>
              <w:rPr/>
            </w:pPr>
            <w:r>
              <w:rPr/>
              <w:t> </w:t>
            </w:r>
          </w:p>
        </w:tc>
        <w:tc>
          <w:tcPr>
            <w:tcW w:w="10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stockholders’ equity</w:t>
            </w:r>
          </w:p>
        </w:tc>
        <w:tc>
          <w:tcPr>
            <w:tcW w:w="211"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March 31, 2022</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10,081,925</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1,514,082</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7"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232,488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72"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1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(65,692</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3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166,797</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in connection with stock plans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1,951</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12</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Extinguishment of liability</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42,613</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3,150</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22,858</w:t>
            </w:r>
          </w:p>
        </w:tc>
        <w:tc>
          <w:tcPr>
            <w:tcW w:w="21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Unrealized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(2,430</w:t>
            </w:r>
          </w:p>
        </w:tc>
        <w:tc>
          <w:tcPr>
            <w:tcW w:w="2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(27,115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10,126,489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1,514,082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258,508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(2,430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(92,807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163,272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Dave Inc.</w:t>
      </w:r>
    </w:p>
    <w:p>
      <w:pPr>
        <w:pStyle w:val="TextBody"/>
        <w:bidi w:val="0"/>
        <w:spacing w:before="0" w:after="0"/>
        <w:jc w:val="center"/>
        <w:rPr>
          <w:rFonts w:ascii="Times New Roman" w:hAnsi="Times New Roman"/>
          <w:sz w:val="20"/>
        </w:rPr>
      </w:pPr>
      <w:bookmarkStart w:id="9" w:name="consolidatedstatementsofcashflows"/>
      <w:bookmarkEnd w:id="9"/>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Cash Flows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tbl>
      <w:tblPr>
        <w:tblW w:w="10205" w:type="dxa"/>
        <w:jc w:val="left"/>
        <w:tblInd w:w="0" w:type="dxa"/>
        <w:tblLayout w:type="fixed"/>
        <w:tblCellMar>
          <w:top w:w="28" w:type="dxa"/>
          <w:left w:w="28" w:type="dxa"/>
          <w:bottom w:w="28" w:type="dxa"/>
          <w:right w:w="28" w:type="dxa"/>
        </w:tblCellMar>
      </w:tblPr>
      <w:tblGrid>
        <w:gridCol w:w="361"/>
        <w:gridCol w:w="6542"/>
        <w:gridCol w:w="146"/>
        <w:gridCol w:w="268"/>
        <w:gridCol w:w="938"/>
        <w:gridCol w:w="210"/>
        <w:gridCol w:w="185"/>
        <w:gridCol w:w="268"/>
        <w:gridCol w:w="1071"/>
        <w:gridCol w:w="216"/>
      </w:tblGrid>
      <w:tr>
        <w:trPr/>
        <w:tc>
          <w:tcPr>
            <w:tcW w:w="361" w:type="dxa"/>
            <w:tcBorders/>
            <w:vAlign w:val="center"/>
          </w:tcPr>
          <w:p>
            <w:pPr>
              <w:pStyle w:val="TableContents"/>
              <w:bidi w:val="0"/>
              <w:spacing w:before="0" w:after="283"/>
              <w:jc w:val="left"/>
              <w:rPr>
                <w:sz w:val="4"/>
                <w:szCs w:val="4"/>
              </w:rPr>
            </w:pPr>
            <w:r>
              <w:rPr>
                <w:sz w:val="4"/>
                <w:szCs w:val="4"/>
              </w:rPr>
            </w:r>
          </w:p>
        </w:tc>
        <w:tc>
          <w:tcPr>
            <w:tcW w:w="6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center"/>
              <w:rPr/>
            </w:pPr>
            <w:r>
              <w:rPr/>
              <w:t> </w:t>
            </w:r>
          </w:p>
        </w:tc>
        <w:tc>
          <w:tcPr>
            <w:tcW w:w="13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center"/>
              <w:rPr/>
            </w:pPr>
            <w:r>
              <w:rPr/>
              <w:t> </w:t>
            </w:r>
          </w:p>
        </w:tc>
        <w:tc>
          <w:tcPr>
            <w:tcW w:w="1339" w:type="dxa"/>
            <w:gridSpan w:val="2"/>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(36,643</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(59,910</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Adjustments to reconcile net loss to 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3,027</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27,878</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27,642</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(9,634</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warrant liabilities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(13,484</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Gain on extinguishment of liability</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13,406</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26,048</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Non-cash interest</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1,532</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marketable securities and short-term investments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Member advances, service based revenue</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(3,526</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Prepaid income taxes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(2,353</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(7,013</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(5,160</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9,928</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2,951</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Legal settlement accrual</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2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2,752</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(26,628</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Payments for internally developed software costs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(4,068</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(4,439</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disbursements and collections of Member advances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(13,025</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(51,189</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Purchase of short-term investments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(54,422</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(196,777</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Sale and maturity of short-term investments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98,747</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Purchase of marketable securities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(34,345</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(302,382</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Sale of marketable securities</w:t>
            </w:r>
          </w:p>
        </w:tc>
        <w:tc>
          <w:tcPr>
            <w:tcW w:w="146" w:type="dxa"/>
            <w:tcBorders/>
            <w:vAlign w:val="center"/>
          </w:tcPr>
          <w:p>
            <w:pPr>
              <w:pStyle w:val="TableContents"/>
              <w:bidi w:val="0"/>
              <w:spacing w:before="0" w:after="0"/>
              <w:ind w:left="2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31,423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274,500</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23,716</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(280,592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PIPE offering</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195,000</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escrow account</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29,688</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Payment of issuance costs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(23,005</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Payment for fractional shares on reverse stock split</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issuance of common stock for stock option exercises</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1,574</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Repurchase of common stock</w:t>
            </w:r>
          </w:p>
        </w:tc>
        <w:tc>
          <w:tcPr>
            <w:tcW w:w="146" w:type="dxa"/>
            <w:tcBorders/>
            <w:vAlign w:val="center"/>
          </w:tcPr>
          <w:p>
            <w:pPr>
              <w:pStyle w:val="TableContents"/>
              <w:bidi w:val="0"/>
              <w:spacing w:before="0" w:after="0"/>
              <w:ind w:left="2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firstLine="200"/>
              <w:jc w:val="left"/>
              <w:rPr/>
            </w:pPr>
            <w:r>
              <w:rPr/>
              <w:t> </w:t>
            </w:r>
          </w:p>
        </w:tc>
        <w:tc>
          <w:tcPr>
            <w:tcW w:w="654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borrowings on convertible debt</w:t>
            </w:r>
          </w:p>
        </w:tc>
        <w:tc>
          <w:tcPr>
            <w:tcW w:w="146" w:type="dxa"/>
            <w:tcBorders/>
            <w:vAlign w:val="center"/>
          </w:tcPr>
          <w:p>
            <w:pPr>
              <w:pStyle w:val="TableContents"/>
              <w:bidi w:val="0"/>
              <w:spacing w:before="0" w:after="0"/>
              <w:ind w:left="2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100,000</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301,674</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26,457</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(5,546</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and restricted cash, beginning of the period</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23,677</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32,372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and restricted cash, end of the period</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50,134</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26,826</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7894" w:type="dxa"/>
            <w:gridSpan w:val="4"/>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5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6"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61"/>
        <w:gridCol w:w="7375"/>
        <w:gridCol w:w="146"/>
        <w:gridCol w:w="211"/>
        <w:gridCol w:w="676"/>
        <w:gridCol w:w="146"/>
        <w:gridCol w:w="146"/>
        <w:gridCol w:w="211"/>
        <w:gridCol w:w="676"/>
        <w:gridCol w:w="166"/>
        <w:gridCol w:w="191"/>
      </w:tblGrid>
      <w:tr>
        <w:trPr/>
        <w:tc>
          <w:tcPr>
            <w:tcW w:w="261" w:type="dxa"/>
            <w:tcBorders/>
            <w:vAlign w:val="center"/>
          </w:tcPr>
          <w:p>
            <w:pPr>
              <w:pStyle w:val="TableContents"/>
              <w:bidi w:val="0"/>
              <w:spacing w:before="0" w:after="283"/>
              <w:jc w:val="left"/>
              <w:rPr>
                <w:sz w:val="4"/>
                <w:szCs w:val="4"/>
              </w:rPr>
            </w:pPr>
            <w:r>
              <w:rPr>
                <w:sz w:val="4"/>
                <w:szCs w:val="4"/>
              </w:rPr>
            </w:r>
          </w:p>
        </w:tc>
        <w:tc>
          <w:tcPr>
            <w:tcW w:w="7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 purchases in accounts payable and accrued liabilities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Conversion of convertible preferred stock to Class A common stock in connection with the reverse recapitalization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72,173</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Recapitalization transaction costs liability incurred</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Conversion of convertible notes and accrued interest to Class A common stock in connection with the reverse recapitalization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Conversion of B-1 warrants to Class A common stock in connection with the reverse recapitalization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Discharge of PIPE promissory note in connection with the reverse recapitalization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paid (received) for:</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Income taxes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737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2,332</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table provides a reconciliation of cash and cash equivalents, and restricted cash reported within the condensed consolidated balance sheet with the same as shown in the condensed consolidated statement of cash flows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26,379</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cash, cash equivalents, and restricted cash,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50,134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26,826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73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See accompanying notes to the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bookmarkStart w:id="10" w:name="notestoconsolidatedfinancialstatements"/>
      <w:bookmarkEnd w:id="10"/>
      <w:r>
        <w:rPr>
          <w:rFonts w:ascii="Times New Roman;serif" w:hAnsi="Times New Roman;serif"/>
          <w:b/>
          <w:sz w:val="20"/>
        </w:rPr>
        <w:t>Note 1 Organization and Nature of Business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Overview:</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Dave Inc. (“Dave” or the “Company”), a Delaware corporation, with headquarters located in Los Angeles,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businesses. On January 5, 2022, the Company consummated the transactions contemplated by that certain Agreement and Plan of Merger, dated as of June 7, 2021 among VPCC, Dave Inc., a Delaware corporation (“Legacy Dave”), and other entities (the “Business Combination”). In connection with the closing of the Business Combination, the Company changed its name from “VPC Impact Acquisition Holdings III, Inc.” to “Dave Inc.”</w:t>
      </w:r>
    </w:p>
    <w:p>
      <w:pPr>
        <w:pStyle w:val="TextBody"/>
        <w:bidi w:val="0"/>
        <w:spacing w:before="240" w:after="0"/>
        <w:jc w:val="left"/>
        <w:rPr>
          <w:rFonts w:ascii="Times New Roman" w:hAnsi="Times New Roman"/>
          <w:sz w:val="20"/>
        </w:rPr>
      </w:pPr>
      <w:r>
        <w:rPr>
          <w:rFonts w:ascii="Times New Roman;serif" w:hAnsi="Times New Roman;serif"/>
          <w:b w:val="false"/>
          <w:sz w:val="20"/>
        </w:rPr>
        <w:t>Dave offers a suite of innovative financial products aimed at helping Members improve their financial health. To help Members avoid punitive overdraft fees and access short-term liquidity, Dave offers cash advances through its flagship 0% interest ExtraCash product. Through Dave Banking, the Company provides a digital checking account experience with valuable tools for building long-term financial health. Dave also helps Members generate extra income for spending or emergencies through Dave’s Side Hustle product and Surveys, where Dave presents Members with supplemental work and income opportunities.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ExtraCash:</w:t>
      </w:r>
    </w:p>
    <w:p>
      <w:pPr>
        <w:pStyle w:val="TextBody"/>
        <w:bidi w:val="0"/>
        <w:spacing w:before="240" w:after="0"/>
        <w:jc w:val="left"/>
        <w:rPr>
          <w:rFonts w:ascii="Times New Roman" w:hAnsi="Times New Roman"/>
          <w:sz w:val="20"/>
        </w:rPr>
      </w:pPr>
      <w:r>
        <w:rPr>
          <w:rFonts w:ascii="Times New Roman;serif" w:hAnsi="Times New Roman;serif"/>
          <w:b w:val="false"/>
          <w:sz w:val="20"/>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w:t>
      </w:r>
      <w:r>
        <w:rPr>
          <w:rFonts w:ascii="Times New Roman" w:hAnsi="Times New Roman"/>
          <w:sz w:val="20"/>
        </w:rPr>
        <w:t xml:space="preserve"> </w:t>
      </w:r>
      <w:r>
        <w:rPr>
          <w:rFonts w:ascii="Times New Roman;serif" w:hAnsi="Times New Roman;serif"/>
          <w:b w:val="false"/>
          <w:sz w:val="20"/>
        </w:rPr>
        <w:t>for access to as little as $5</w:t>
      </w:r>
      <w:r>
        <w:rPr>
          <w:rFonts w:ascii="Times New Roman" w:hAnsi="Times New Roman"/>
          <w:sz w:val="20"/>
        </w:rPr>
        <w:t xml:space="preserve"> </w:t>
      </w:r>
      <w:r>
        <w:rPr>
          <w:rFonts w:ascii="Times New Roman;serif" w:hAnsi="Times New Roman;serif"/>
          <w:b w:val="false"/>
          <w:sz w:val="20"/>
        </w:rPr>
        <w:t>of overdraft, and many others in the financial services sector do not allow for overdraft at all. Dave invented a short-term liquidity alternative called ExtraCash, which allows Members to advance funds to their account and avoid a fee altogether. Members may receive an advance of up to $500</w:t>
      </w:r>
      <w:r>
        <w:rPr>
          <w:rFonts w:ascii="Times New Roman" w:hAnsi="Times New Roman"/>
          <w:sz w:val="20"/>
        </w:rPr>
        <w:t xml:space="preserve"> </w:t>
      </w:r>
      <w:r>
        <w:rPr>
          <w:rFonts w:ascii="Times New Roman;serif" w:hAnsi="Times New Roman;serif"/>
          <w:b w:val="false"/>
          <w:sz w:val="20"/>
        </w:rPr>
        <w:t>and may only have one advance outstanding at any given time.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Dave Banking: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Dave offers a full-service digital checking account through its partnership with Evolve Bank and Trust (“Evolve”). The Dave Spending Account does not have overdraft or minimum balance fees.</w:t>
      </w:r>
    </w:p>
    <w:p>
      <w:pPr>
        <w:pStyle w:val="TextBody"/>
        <w:bidi w:val="0"/>
        <w:spacing w:before="360" w:after="0"/>
        <w:jc w:val="left"/>
        <w:rPr>
          <w:rFonts w:ascii="Times New Roman" w:hAnsi="Times New Roman"/>
          <w:sz w:val="20"/>
        </w:rPr>
      </w:pPr>
      <w:r>
        <w:rPr>
          <w:rFonts w:ascii="Times New Roman;serif" w:hAnsi="Times New Roman;serif"/>
          <w:b w:val="false"/>
          <w:sz w:val="20"/>
        </w:rPr>
        <w:t>Budget: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Dave’s automated financial management tool leverages historical bank account data to help Members understand both recurring and commonly occurring charges. Budget notifies Members when there is a chance of an overdraft and allows Members to qualify for Dave’s ExtraCash product for up to $500</w:t>
      </w:r>
      <w:r>
        <w:rPr>
          <w:rFonts w:ascii="Times New Roman" w:hAnsi="Times New Roman"/>
          <w:sz w:val="20"/>
        </w:rPr>
        <w:t xml:space="preserve"> </w:t>
      </w:r>
      <w:r>
        <w:rPr>
          <w:rFonts w:ascii="Times New Roman;serif" w:hAnsi="Times New Roman;serif"/>
          <w:b w:val="false"/>
          <w:sz w:val="20"/>
        </w:rPr>
        <w:t>of additional liquidity. Dave charges a $1</w:t>
      </w:r>
      <w:r>
        <w:rPr>
          <w:rFonts w:ascii="Times New Roman" w:hAnsi="Times New Roman"/>
          <w:sz w:val="20"/>
        </w:rPr>
        <w:t xml:space="preserve"> </w:t>
      </w:r>
      <w:r>
        <w:rPr>
          <w:rFonts w:ascii="Times New Roman;serif" w:hAnsi="Times New Roman;serif"/>
          <w:b w:val="false"/>
          <w:sz w:val="20"/>
        </w:rPr>
        <w:t>monthly subscription for access to the Budget product.</w:t>
      </w:r>
      <w:r>
        <w:rPr>
          <w:rFonts w:ascii="Times New Roman" w:hAnsi="Times New Roman"/>
          <w:sz w:val="20"/>
        </w:rPr>
        <w:t xml:space="preserve">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Side Hustle: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Dave seeks to help Members improve their financial health by presenting new job opportunities to them. Through Dave’s partnership with leading employers, Members can quickly submit applications to improve their income with flexible employment.</w:t>
      </w:r>
    </w:p>
    <w:p>
      <w:pPr>
        <w:pStyle w:val="TextBody"/>
        <w:bidi w:val="0"/>
        <w:spacing w:before="360" w:after="0"/>
        <w:jc w:val="left"/>
        <w:rPr>
          <w:rFonts w:ascii="Times New Roman" w:hAnsi="Times New Roman"/>
          <w:sz w:val="20"/>
        </w:rPr>
      </w:pPr>
      <w:r>
        <w:rPr>
          <w:rFonts w:ascii="Times New Roman;serif" w:hAnsi="Times New Roman;serif"/>
          <w:b w:val="false"/>
          <w:sz w:val="20"/>
        </w:rPr>
        <w:t>Surveys: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Dave’s Surveys product allows for additional income earning opportunities, allowing Members to take paid surveys anytime within the Dave mobile application. This functionality drives engagement within the Dave ecosystem and deepens the Company’s relationship to its Members’ financial wellbeing.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Note 2 Significant Accounting Policies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unaudited condensed consolidated financial statements have been prepared in accordance with accounting principles generally accepted in the United States of America (“U.S. GAAP”).</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January 4, 2023, the Board approved an amendment to the Company’s certificate of incorporation to complete a 1-for-32</w:t>
      </w:r>
      <w:r>
        <w:rPr>
          <w:rFonts w:ascii="Times New Roman;serif" w:hAnsi="Times New Roman;serif"/>
          <w:sz w:val="20"/>
        </w:rPr>
        <w:t xml:space="preserve"> </w:t>
      </w:r>
      <w:r>
        <w:rPr>
          <w:rFonts w:ascii="Times New Roman;serif" w:hAnsi="Times New Roman;serif"/>
          <w:b w:val="false"/>
          <w:sz w:val="20"/>
        </w:rPr>
        <w:t>reverse stock split effective January 5, 2023. At a special meeting held on December 16, 2022, stockholders approved the reverse stock split. The primary goal of the reverse stock split was to bring the Company’s stock price above the share bid price requirement for continued listing on Nasdaq. The effects of the reverse stock split have been reflected in the unaudited condensed consolidated financial statements and the footnotes.</w:t>
      </w:r>
    </w:p>
    <w:p>
      <w:pPr>
        <w:pStyle w:val="TextBody"/>
        <w:bidi w:val="0"/>
        <w:spacing w:before="360" w:after="0"/>
        <w:jc w:val="left"/>
        <w:rPr>
          <w:rFonts w:ascii="Times New Roman;serif" w:hAnsi="Times New Roman;serif"/>
          <w:b/>
          <w:sz w:val="20"/>
        </w:rPr>
      </w:pPr>
      <w:r>
        <w:rPr>
          <w:rFonts w:ascii="Times New Roman;serif" w:hAnsi="Times New Roman;serif"/>
          <w:b/>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unaudited condensed consolidated financial statements include the accounts of the Company and a variable interest entity (“VIE”). All intercompany transactions and balances have been eliminated upon consolidation.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unaudited condensed consolidated balance sheets. The assets of Dave OD are restricted and its creditors have full recourse against the Company for its liabilities.</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Use of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these unaudited condensed</w:t>
      </w:r>
      <w:r>
        <w:rPr>
          <w:rFonts w:ascii="Times New Roman" w:hAnsi="Times New Roman"/>
          <w:sz w:val="20"/>
        </w:rPr>
        <w:t xml:space="preserve"> </w:t>
      </w:r>
      <w:r>
        <w:rPr>
          <w:rFonts w:ascii="Times New Roman;serif" w:hAnsi="Times New Roman;serif"/>
          <w:b w:val="false"/>
          <w:sz w:val="20"/>
        </w:rPr>
        <w:t xml:space="preserve">consolidated financial statements requires the Company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The Company’s estimates are based on its historical experience and </w:t>
      </w:r>
      <w:r>
        <w:rPr>
          <w:rFonts w:ascii="Times New Roman;serif" w:hAnsi="Times New Roman;serif"/>
          <w:b w:val="false"/>
          <w:strike/>
          <w:sz w:val="20"/>
        </w:rPr>
        <w:t xml:space="preserve">on </w:t>
      </w:r>
      <w:r>
        <w:rPr>
          <w:rFonts w:ascii="Times New Roman;serif" w:hAnsi="Times New Roman;serif"/>
          <w:b w:val="false"/>
          <w:sz w:val="20"/>
        </w:rPr>
        <w:t>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 Fair value of warrant liabilities;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(ii) Fair value of earnout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(iii) Allowance for credit losses;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(iv)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Actual results may differ from these estimates under different assumptions or conditions.</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Revenue Recognition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Below is detail of operating revenues (in thousands):</w:t>
      </w:r>
    </w:p>
    <w:p>
      <w:pPr>
        <w:pStyle w:val="TextBody"/>
        <w:bidi w:val="0"/>
        <w:spacing w:before="0" w:after="0"/>
        <w:jc w:val="left"/>
        <w:rPr/>
      </w:pPr>
      <w:r>
        <w:rPr/>
        <w:t> </w:t>
      </w:r>
    </w:p>
    <w:tbl>
      <w:tblPr>
        <w:tblW w:w="8082" w:type="dxa"/>
        <w:jc w:val="left"/>
        <w:tblInd w:w="0" w:type="dxa"/>
        <w:tblLayout w:type="fixed"/>
        <w:tblCellMar>
          <w:top w:w="28" w:type="dxa"/>
          <w:left w:w="28" w:type="dxa"/>
          <w:bottom w:w="28" w:type="dxa"/>
          <w:right w:w="28" w:type="dxa"/>
        </w:tblCellMar>
      </w:tblPr>
      <w:tblGrid>
        <w:gridCol w:w="2626"/>
        <w:gridCol w:w="146"/>
        <w:gridCol w:w="259"/>
        <w:gridCol w:w="829"/>
        <w:gridCol w:w="179"/>
        <w:gridCol w:w="179"/>
        <w:gridCol w:w="259"/>
        <w:gridCol w:w="829"/>
        <w:gridCol w:w="146"/>
        <w:gridCol w:w="146"/>
        <w:gridCol w:w="223"/>
        <w:gridCol w:w="825"/>
        <w:gridCol w:w="154"/>
        <w:gridCol w:w="154"/>
        <w:gridCol w:w="223"/>
        <w:gridCol w:w="714"/>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3"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191"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9"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9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based revenue, net</w:t>
            </w:r>
          </w:p>
        </w:tc>
        <w:tc>
          <w:tcPr>
            <w:tcW w:w="146"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8" w:type="dxa"/>
            <w:gridSpan w:val="2"/>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3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Processing fees, net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35,985</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68,987</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44,831</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Tips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13,139</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26,899</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28,494</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Subscriptions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5,412</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11,031</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8,500</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based revenue, net</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6,250</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12,602</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61,235</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45,805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120,163</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88,356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12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Service Based Revenue,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Service based revenue, net primarily consists of optional tips, optional processing fees, and subscriptions charged to Members, net of processor costs associated with advance disbursements. Member advances are treated as financial receivables under ASC 310 Receivables (“ASC 310”) and processing fees, net and tips are also accounted for in accordance with ASC 310.</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Processing Fees, Net: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Processing fees apply when a Member requests an expedited cash advance. At the Member’s election, the Company expedites the funding of advance funds within eight hours, as opposed to the customary three business days, of the advance approval. Processing fees are nonrefundable loan origination fees and are recognized as revenues over the average expected contractual term of its advances.</w:t>
      </w:r>
    </w:p>
    <w:p>
      <w:pPr>
        <w:pStyle w:val="TextBody"/>
        <w:bidi w:val="0"/>
        <w:spacing w:before="240" w:after="0"/>
        <w:jc w:val="left"/>
        <w:rPr>
          <w:rFonts w:ascii="Times New Roman" w:hAnsi="Times New Roman"/>
          <w:sz w:val="20"/>
        </w:rPr>
      </w:pPr>
      <w:r>
        <w:rPr>
          <w:rFonts w:ascii="Times New Roman;serif" w:hAnsi="Times New Roman;serif"/>
          <w:b w:val="false"/>
          <w:sz w:val="20"/>
        </w:rPr>
        <w:t>Costs incurred by the Company to fund cash advances are treated as direct loan origination costs. These direct loan origination costs are netted against advance-related income over the average expected contractual term of its advances. Direct origination costs recognized as a reduction of advance-related income during the three and six months ended June 30, 2023 were approximately $0.7</w:t>
      </w:r>
      <w:r>
        <w:rPr>
          <w:rFonts w:ascii="Times New Roman" w:hAnsi="Times New Roman"/>
          <w:sz w:val="20"/>
        </w:rPr>
        <w:t xml:space="preserve"> </w:t>
      </w:r>
      <w:r>
        <w:rPr>
          <w:rFonts w:ascii="Times New Roman;serif" w:hAnsi="Times New Roman;serif"/>
          <w:b w:val="false"/>
          <w:sz w:val="20"/>
        </w:rPr>
        <w:t>million and $2.0</w:t>
      </w:r>
      <w:r>
        <w:rPr>
          <w:rFonts w:ascii="Times New Roman" w:hAnsi="Times New Roman"/>
          <w:sz w:val="20"/>
        </w:rPr>
        <w:t xml:space="preserve"> </w:t>
      </w:r>
      <w:r>
        <w:rPr>
          <w:rFonts w:ascii="Times New Roman;serif" w:hAnsi="Times New Roman;serif"/>
          <w:b w:val="false"/>
          <w:sz w:val="20"/>
        </w:rPr>
        <w:t>million, respectively. During the three and six months ended June 30, 2022, the Company recognized direct origination costs as a reduction of advance-related income of approximately $1.1</w:t>
      </w:r>
      <w:r>
        <w:rPr>
          <w:rFonts w:ascii="Times New Roman" w:hAnsi="Times New Roman"/>
          <w:sz w:val="20"/>
        </w:rPr>
        <w:t xml:space="preserve"> </w:t>
      </w:r>
      <w:r>
        <w:rPr>
          <w:rFonts w:ascii="Times New Roman;serif" w:hAnsi="Times New Roman;serif"/>
          <w:b w:val="false"/>
          <w:sz w:val="20"/>
        </w:rPr>
        <w:t>million and $2.1</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Tips: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encourages, but does not contractually require its Members who receive a cash advance to leave a discretionary tip. The Company treats tips as an adjustment of yield to the advances and are recognized over the average expected contractual term of its advances.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Subscriptions: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accounts for subscriptions in accordance with ASC 606, Revenue from Contracts with Customers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 ASC 606 include subscription fees, lead generation fees and reward program fees.</w:t>
      </w:r>
    </w:p>
    <w:p>
      <w:pPr>
        <w:pStyle w:val="TextBody"/>
        <w:bidi w:val="0"/>
        <w:spacing w:before="240" w:after="0"/>
        <w:jc w:val="left"/>
        <w:rPr>
          <w:rFonts w:ascii="Times New Roman" w:hAnsi="Times New Roman"/>
          <w:sz w:val="20"/>
        </w:rPr>
      </w:pPr>
      <w:r>
        <w:rPr>
          <w:rFonts w:ascii="Times New Roman;serif" w:hAnsi="Times New Roman;serif"/>
          <w:b w:val="false"/>
          <w:sz w:val="20"/>
        </w:rPr>
        <w:t>Subscription fees of $1</w:t>
      </w:r>
      <w:r>
        <w:rPr>
          <w:rFonts w:ascii="Times New Roman" w:hAnsi="Times New Roman"/>
          <w:sz w:val="20"/>
        </w:rPr>
        <w:t xml:space="preserve"> </w:t>
      </w:r>
      <w:r>
        <w:rPr>
          <w:rFonts w:ascii="Times New Roman;serif" w:hAnsi="Times New Roman;serif"/>
          <w:b w:val="false"/>
          <w:sz w:val="20"/>
        </w:rPr>
        <w:t>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contract period.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Price concessions granted to Members who have insufficient funds when subscription fees are due are forms of variable consideration under the Company’s contracts with Members. For price concessions, the Company has elected, as an accounting policy, to account for price concessions for the month at the end of the reporting month based on the actual amount of concessions granted as the impact is considered insignificant.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Other service based revenue consists of lead generation fees from the Company’s Side Hustle advertising partners and revenue share from its survey partners.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Transaction Based Revenue, Net:</w:t>
      </w:r>
    </w:p>
    <w:p>
      <w:pPr>
        <w:pStyle w:val="TextBody"/>
        <w:bidi w:val="0"/>
        <w:spacing w:before="240" w:after="0"/>
        <w:jc w:val="left"/>
        <w:rPr>
          <w:rFonts w:ascii="Times New Roman" w:hAnsi="Times New Roman"/>
          <w:sz w:val="20"/>
        </w:rPr>
      </w:pPr>
      <w:r>
        <w:rPr>
          <w:rFonts w:ascii="Times New Roman;serif" w:hAnsi="Times New Roman;serif"/>
          <w:b w:val="false"/>
          <w:sz w:val="20"/>
        </w:rPr>
        <w:t>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the Member’s usage of out-of-network ATMs reduced by related ATM transaction costs during the three and six months ended June 30, 2023, were $0.5</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respectively. ATM-related fees recognized as a reduction of transaction based revenue during the three and six months ended June 30, 2022 were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Processing and Servicing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Processor costs consist of amounts paid to third party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pStyle w:val="TextBody"/>
        <w:bidi w:val="0"/>
        <w:spacing w:before="360" w:after="0"/>
        <w:jc w:val="left"/>
        <w:rPr>
          <w:rFonts w:ascii="Times New Roman;serif" w:hAnsi="Times New Roman;serif"/>
          <w:b/>
          <w:sz w:val="20"/>
        </w:rPr>
      </w:pPr>
      <w:r>
        <w:rPr>
          <w:rFonts w:ascii="Times New Roman;serif" w:hAnsi="Times New Roman;serif"/>
          <w:b/>
          <w:sz w:val="20"/>
        </w:rPr>
        <w:t>Cash and Cash Equivalents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classifies all highly liquid instruments with an original maturity of three months or less as cash equivalents.</w:t>
      </w:r>
    </w:p>
    <w:p>
      <w:pPr>
        <w:pStyle w:val="TextBody"/>
        <w:bidi w:val="0"/>
        <w:spacing w:before="360" w:after="0"/>
        <w:jc w:val="left"/>
        <w:rPr>
          <w:rFonts w:ascii="Times New Roman;serif" w:hAnsi="Times New Roman;serif"/>
          <w:b/>
          <w:sz w:val="20"/>
        </w:rPr>
      </w:pPr>
      <w:r>
        <w:rPr>
          <w:rFonts w:ascii="Times New Roman;serif" w:hAnsi="Times New Roman;serif"/>
          <w:b/>
          <w:sz w:val="20"/>
        </w:rPr>
        <w:t>Restricted Cash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Restricted cash primarily represents cash held at financial institutions that is pledged as collateral for specific accounts that may become overdrawn.</w:t>
      </w:r>
    </w:p>
    <w:p>
      <w:pPr>
        <w:pStyle w:val="TextBody"/>
        <w:bidi w:val="0"/>
        <w:spacing w:before="360" w:after="0"/>
        <w:jc w:val="left"/>
        <w:rPr>
          <w:rFonts w:ascii="Times New Roman;serif" w:hAnsi="Times New Roman;serif"/>
          <w:b/>
          <w:sz w:val="20"/>
        </w:rPr>
      </w:pPr>
      <w:r>
        <w:rPr>
          <w:rFonts w:ascii="Times New Roman;serif" w:hAnsi="Times New Roman;serif"/>
          <w:b/>
          <w:sz w:val="20"/>
        </w:rPr>
        <w:t>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Marketable securities consist of a money market mutual fund. The fair value of marketable securities is determined by quoted prices in active markets and changes in fair value are recorded in other (income) expense in the unaudited condensed consolidated statements of operations.</w:t>
      </w:r>
    </w:p>
    <w:p>
      <w:pPr>
        <w:pStyle w:val="TextBody"/>
        <w:bidi w:val="0"/>
        <w:spacing w:before="16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Short-Term Investments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Short-term investments consist of corporate bonds and notes, asset backed securities, and government securities and are classified as “available-for-sale”, as the sale of such securities may be required prior to maturity to implement the Company’s strategies. The fair value of short-term investments is determined by quoted prices in active markets with unrealized gains and losses (other than credit related impairment) reported as a separate component of other comprehensive income. For securities with unrealized losses, inclusive of any accrued interest,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unaudited condensed consolidated statements of comprehensive income. Any related amounts recorded in accumulated other comprehensive income are reclassified to earnings (on a pretax basis).</w:t>
      </w:r>
    </w:p>
    <w:p>
      <w:pPr>
        <w:pStyle w:val="TextBody"/>
        <w:bidi w:val="0"/>
        <w:spacing w:before="16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16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Member Advances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Member advances include ExtraCash advances, fees, and tips, net of certain direct origination costs and allowance for expected credit losses. Management’s intent is to hold advances until the earlier of repayment or payoff date. Members’ cash advances are treated as financial receivables under ASC 310.</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Advances to Members are not interest-bearing. The Company recognizes these advances at the advanced amount and does not use discounting techniques to determine present value of advances due to their short-term nature.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does not provide modifications to advances and does not charge late fees.</w:t>
      </w:r>
    </w:p>
    <w:p>
      <w:pPr>
        <w:pStyle w:val="TextBody"/>
        <w:bidi w:val="0"/>
        <w:spacing w:before="360" w:after="0"/>
        <w:jc w:val="left"/>
        <w:rPr>
          <w:rFonts w:ascii="Times New Roman;serif" w:hAnsi="Times New Roman;serif"/>
          <w:b/>
          <w:sz w:val="20"/>
        </w:rPr>
      </w:pPr>
      <w:r>
        <w:rPr>
          <w:rFonts w:ascii="Times New Roman;serif" w:hAnsi="Times New Roman;serif"/>
          <w:b/>
          <w:sz w:val="20"/>
        </w:rPr>
        <w:t>Allowance for Credit Losses</w:t>
      </w:r>
    </w:p>
    <w:p>
      <w:pPr>
        <w:pStyle w:val="TextBody"/>
        <w:bidi w:val="0"/>
        <w:spacing w:before="240" w:after="0"/>
        <w:jc w:val="left"/>
        <w:rPr>
          <w:rFonts w:ascii="Times New Roman" w:hAnsi="Times New Roman"/>
          <w:sz w:val="20"/>
        </w:rPr>
      </w:pPr>
      <w:r>
        <w:rPr>
          <w:rFonts w:ascii="Times New Roman;serif" w:hAnsi="Times New Roman;serif"/>
          <w:b w:val="false"/>
          <w:sz w:val="20"/>
        </w:rPr>
        <w:t>Member advances from contracts with Members as of the balance sheet dates are recorded at their original advance amounts, inclusive of outstanding processing fees and tips, and reduced by an allowance for expected credit losses. The Company pools its Member advances, all of which are short-term (average term of approximately 11</w:t>
      </w:r>
      <w:r>
        <w:rPr>
          <w:rFonts w:ascii="Times New Roman" w:hAnsi="Times New Roman"/>
          <w:sz w:val="20"/>
        </w:rPr>
        <w:t xml:space="preserve"> </w:t>
      </w:r>
      <w:r>
        <w:rPr>
          <w:rFonts w:ascii="Times New Roman;serif" w:hAnsi="Times New Roman;serif"/>
          <w:b w:val="false"/>
          <w:sz w:val="20"/>
        </w:rPr>
        <w:t>days) in nature and arise from contracts with Members, based on shared risk characteristics to assess their risk of loss, even when that risk is remote. The Company uses an aging method and historical loss rates as a basis for estimating the percentage of current and delinquent Member advances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remained most indicative of its lifetime expected losses. The Company immediately recognizes an allowance for expected credit losses upon the origination of the advance. Adjustments to the allowance each period for changes in the estimate of lifetime expected credit losses are recognized in operating expenses—provision for credit losses in the unaudited condensed consolidated statements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When the Company determines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the assumptions used in analyzing a specific Member advance may result in an additional allowance for expected credit losses being recognized in the period in which the change occurs.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Internally Developed Software</w:t>
      </w:r>
    </w:p>
    <w:p>
      <w:pPr>
        <w:pStyle w:val="TextBody"/>
        <w:bidi w:val="0"/>
        <w:spacing w:before="120" w:after="0"/>
        <w:jc w:val="left"/>
        <w:rPr>
          <w:rFonts w:ascii="Times New Roman" w:hAnsi="Times New Roman"/>
          <w:sz w:val="20"/>
        </w:rPr>
      </w:pPr>
      <w:r>
        <w:rPr>
          <w:rFonts w:ascii="Times New Roman;serif" w:hAnsi="Times New Roman;serif"/>
          <w:b w:val="false"/>
          <w:sz w:val="20"/>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unaudited condensed consolidated balance sheets as intangible assets, net. Other costs are expensed as incurred and included within other operating expenses in the unaudited condensed consolidated statements of operations. Capitalized costs for the three and six months ended June 30, 2023, were $2.1</w:t>
      </w:r>
      <w:r>
        <w:rPr>
          <w:rFonts w:ascii="Times New Roman" w:hAnsi="Times New Roman"/>
          <w:sz w:val="20"/>
        </w:rPr>
        <w:t xml:space="preserve"> </w:t>
      </w:r>
      <w:r>
        <w:rPr>
          <w:rFonts w:ascii="Times New Roman;serif" w:hAnsi="Times New Roman;serif"/>
          <w:b w:val="false"/>
          <w:sz w:val="20"/>
        </w:rPr>
        <w:t>million and $4.1</w:t>
      </w:r>
      <w:r>
        <w:rPr>
          <w:rFonts w:ascii="Times New Roman" w:hAnsi="Times New Roman"/>
          <w:sz w:val="20"/>
        </w:rPr>
        <w:t xml:space="preserve"> </w:t>
      </w:r>
      <w:r>
        <w:rPr>
          <w:rFonts w:ascii="Times New Roman;serif" w:hAnsi="Times New Roman;serif"/>
          <w:b w:val="false"/>
          <w:sz w:val="20"/>
        </w:rPr>
        <w:t>million, respectively. Additionally, $7.7</w:t>
      </w:r>
      <w:r>
        <w:rPr>
          <w:rFonts w:ascii="Times New Roman" w:hAnsi="Times New Roman"/>
          <w:sz w:val="20"/>
        </w:rPr>
        <w:t xml:space="preserve"> </w:t>
      </w:r>
      <w:r>
        <w:rPr>
          <w:rFonts w:ascii="Times New Roman;serif" w:hAnsi="Times New Roman;serif"/>
          <w:b w:val="false"/>
          <w:sz w:val="20"/>
        </w:rPr>
        <w:t>million related to the Company's Legacy Application software asset has been fully amortized and written off as of June 30, 2023. Capitalized costs for the three and six months ended June 30, 2022, were $2.2</w:t>
      </w:r>
      <w:r>
        <w:rPr>
          <w:rFonts w:ascii="Times New Roman" w:hAnsi="Times New Roman"/>
          <w:sz w:val="20"/>
        </w:rPr>
        <w:t xml:space="preserve"> </w:t>
      </w:r>
      <w:r>
        <w:rPr>
          <w:rFonts w:ascii="Times New Roman;serif" w:hAnsi="Times New Roman;serif"/>
          <w:b w:val="false"/>
          <w:sz w:val="20"/>
        </w:rPr>
        <w:t>million and $4.4</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Amortization of internally developed software commences when the software is ready for its intended use (i.e., after all substantial testing is complete). Internally developed software is amortized over its estimated useful life of three years.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360" w:after="0"/>
        <w:jc w:val="left"/>
        <w:rPr>
          <w:rFonts w:ascii="Times New Roman;serif" w:hAnsi="Times New Roman;serif"/>
          <w:b/>
          <w:sz w:val="20"/>
        </w:rPr>
      </w:pPr>
      <w:r>
        <w:rPr>
          <w:rFonts w:ascii="Times New Roman;serif" w:hAnsi="Times New Roman;serif"/>
          <w:b/>
          <w:sz w:val="20"/>
        </w:rPr>
        <w:t>Property and Equipment</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are stated at cost less accumulated depreciation. Property and equipment are recorded at cost and depreciated over the estimated useful lives ranging from three</w:t>
      </w:r>
      <w:r>
        <w:rPr>
          <w:rFonts w:ascii="Times New Roman" w:hAnsi="Times New Roman"/>
          <w:sz w:val="20"/>
        </w:rPr>
        <w:t xml:space="preserve"> </w:t>
      </w:r>
      <w:r>
        <w:rPr>
          <w:rFonts w:ascii="Times New Roman;serif" w:hAnsi="Times New Roman;serif"/>
          <w:b w:val="false"/>
          <w:sz w:val="20"/>
        </w:rPr>
        <w:t>to seven years</w:t>
      </w:r>
      <w:r>
        <w:rPr>
          <w:rFonts w:ascii="Times New Roman" w:hAnsi="Times New Roman"/>
          <w:sz w:val="20"/>
        </w:rPr>
        <w:t xml:space="preserve"> </w:t>
      </w:r>
      <w:r>
        <w:rPr>
          <w:rFonts w:ascii="Times New Roman;serif" w:hAnsi="Times New Roman;serif"/>
          <w:b w:val="false"/>
          <w:sz w:val="20"/>
        </w:rPr>
        <w:t>using the straight-line method. Maintenance and repair costs are charged to operations as incurred and included within other operating expenses in the unaudited condensed consolidated statements of operations.</w:t>
      </w:r>
    </w:p>
    <w:p>
      <w:pPr>
        <w:pStyle w:val="TextBody"/>
        <w:bidi w:val="0"/>
        <w:spacing w:before="360" w:after="0"/>
        <w:jc w:val="left"/>
        <w:rPr>
          <w:rFonts w:ascii="Times New Roman;serif" w:hAnsi="Times New Roman;serif"/>
          <w:b/>
          <w:sz w:val="20"/>
        </w:rPr>
      </w:pPr>
      <w:r>
        <w:rPr>
          <w:rFonts w:ascii="Times New Roman;serif" w:hAnsi="Times New Roman;serif"/>
          <w:b/>
          <w:sz w:val="20"/>
        </w:rPr>
        <w:t>Impairment of Long-Lived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spacing w:before="360" w:after="0"/>
        <w:jc w:val="left"/>
        <w:rPr>
          <w:rFonts w:ascii="Times New Roman;serif" w:hAnsi="Times New Roman;serif"/>
          <w:b/>
          <w:sz w:val="20"/>
        </w:rPr>
      </w:pPr>
      <w:r>
        <w:rPr>
          <w:rFonts w:ascii="Times New Roman;serif" w:hAnsi="Times New Roman;serif"/>
          <w:b/>
          <w:sz w:val="20"/>
        </w:rPr>
        <w:t>Fair Value of Financial Instruments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ASC 820, Fair Value Measurement (“ASC 820”), provides a single definition of fair value and a common framework for measuring fair value as well as disclosure requirements for fair value measurements used in the unaudited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Level 1—Quoted prices in active markets for identical assets or liabilities.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360" w:after="0"/>
        <w:jc w:val="left"/>
        <w:rPr>
          <w:rFonts w:ascii="Times New Roman;serif" w:hAnsi="Times New Roman;serif"/>
          <w:b/>
          <w:sz w:val="20"/>
        </w:rPr>
      </w:pPr>
      <w:r>
        <w:rPr>
          <w:rFonts w:ascii="Times New Roman;serif" w:hAnsi="Times New Roman;serif"/>
          <w:b/>
          <w:sz w:val="20"/>
        </w:rPr>
        <w:t>Concentration of Risk</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which potentially subject the Company to concentrations of credit risk, principally consist of cash and cash equivalents, restricted cash, Member cash advances, and short-term investments.</w:t>
      </w:r>
      <w:r>
        <w:rPr>
          <w:rFonts w:ascii="Times New Roman" w:hAnsi="Times New Roman"/>
          <w:sz w:val="20"/>
        </w:rPr>
        <w:t xml:space="preserve"> </w:t>
      </w:r>
      <w:r>
        <w:rPr>
          <w:rFonts w:ascii="Times New Roman;serif" w:hAnsi="Times New Roman;serif"/>
          <w:b w:val="false"/>
          <w:sz w:val="20"/>
        </w:rPr>
        <w:t>The Company’s cash and cash equivalents and restricted cash in excess of the Federal Deposit Insurance Corporation (“FDIC”) insured limits were</w:t>
      </w:r>
      <w:r>
        <w:rPr>
          <w:rFonts w:ascii="Times New Roman" w:hAnsi="Times New Roman"/>
          <w:sz w:val="20"/>
        </w:rPr>
        <w:t xml:space="preserve"> </w:t>
      </w:r>
      <w:r>
        <w:rPr>
          <w:rFonts w:ascii="Times New Roman;serif" w:hAnsi="Times New Roman;serif"/>
          <w:b w:val="false"/>
          <w:sz w:val="20"/>
        </w:rPr>
        <w:t>$48.6</w:t>
      </w:r>
      <w:r>
        <w:rPr>
          <w:rFonts w:ascii="Times New Roman" w:hAnsi="Times New Roman"/>
          <w:sz w:val="20"/>
        </w:rPr>
        <w:t xml:space="preserve"> </w:t>
      </w:r>
      <w:r>
        <w:rPr>
          <w:rFonts w:ascii="Times New Roman;serif" w:hAnsi="Times New Roman;serif"/>
          <w:b w:val="false"/>
          <w:sz w:val="20"/>
        </w:rPr>
        <w:t>million at June 30, 2023 and $20.7</w:t>
      </w:r>
      <w:r>
        <w:rPr>
          <w:rFonts w:ascii="Times New Roman" w:hAnsi="Times New Roman"/>
          <w:sz w:val="20"/>
        </w:rPr>
        <w:t xml:space="preserve"> </w:t>
      </w:r>
      <w:r>
        <w:rPr>
          <w:rFonts w:ascii="Times New Roman;serif" w:hAnsi="Times New Roman;serif"/>
          <w:b w:val="false"/>
          <w:sz w:val="20"/>
        </w:rPr>
        <w:t>million at December 31, 2022,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 Member individually exceeded 10% or more of the Company’s Member cash advances balances as of June 30, 2023 and December 31,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ASC 842, Leases (“ASC 842”) requires lessees to recognize most leases on the unaudited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pStyle w:val="TextBody"/>
        <w:bidi w:val="0"/>
        <w:spacing w:before="4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Stock-Based Compensation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 Option Awards: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Restricted Stock Unit Awards: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Restricted stock units (“RSUs”) are valued on the grant date. The fair value of the RSUs that vest based solely on a service condition is equal to the estimated fair value of the Company’s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unaudited condensed consolidated statements of operations. The Company recognizes forfeitures as they occur.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Restricted Stock Awards: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Restricted stock awards (“RSAs”) are valued on the grant date. The fair value of the RSAs is equal to the estimated fair value of the Company’s Common Stock on the grant date. This compensation cost is recognized over the requisite service period as a component of stock-based compensation expense, presented within compensation and benefits in the unaudited condensed consolidated statements of operations. The Company recognizes forfeitures as they occur.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RSAs Issued to Non-Employees: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issued shares of restricted stock to consultants for various advisory and consulting-related services. The Company recognized this expense, measured as the estimated value of the shares issued, as a component of stock-based compensation expense, presented within compensation and benefits in the unaudited condensed consolidated statements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Advertising Costs</w:t>
      </w:r>
    </w:p>
    <w:p>
      <w:pPr>
        <w:pStyle w:val="TextBody"/>
        <w:bidi w:val="0"/>
        <w:spacing w:before="120" w:after="0"/>
        <w:jc w:val="left"/>
        <w:rPr>
          <w:rFonts w:ascii="Times New Roman" w:hAnsi="Times New Roman"/>
          <w:sz w:val="20"/>
        </w:rPr>
      </w:pPr>
      <w:r>
        <w:rPr>
          <w:rFonts w:ascii="Times New Roman;serif" w:hAnsi="Times New Roman;serif"/>
          <w:b w:val="false"/>
          <w:sz w:val="20"/>
        </w:rPr>
        <w:t>Advertising costs are expensed as incurred. Advertising expense for the three and six months ended June 30, 2023, were $15.0</w:t>
      </w:r>
      <w:r>
        <w:rPr>
          <w:rFonts w:ascii="Times New Roman" w:hAnsi="Times New Roman"/>
          <w:sz w:val="20"/>
        </w:rPr>
        <w:t xml:space="preserve"> </w:t>
      </w:r>
      <w:r>
        <w:rPr>
          <w:rFonts w:ascii="Times New Roman;serif" w:hAnsi="Times New Roman;serif"/>
          <w:b w:val="false"/>
          <w:sz w:val="20"/>
        </w:rPr>
        <w:t>million and $24.5</w:t>
      </w:r>
      <w:r>
        <w:rPr>
          <w:rFonts w:ascii="Times New Roman" w:hAnsi="Times New Roman"/>
          <w:sz w:val="20"/>
        </w:rPr>
        <w:t xml:space="preserve"> </w:t>
      </w:r>
      <w:r>
        <w:rPr>
          <w:rFonts w:ascii="Times New Roman;serif" w:hAnsi="Times New Roman;serif"/>
          <w:b w:val="false"/>
          <w:sz w:val="20"/>
        </w:rPr>
        <w:t>million, respectively, and are presented within advertising and marketing within the unaudited condensed consolidated statements of operations. Advertising expense for the three and six months ended June 30, 2022, were $20.8</w:t>
      </w:r>
      <w:r>
        <w:rPr>
          <w:rFonts w:ascii="Times New Roman" w:hAnsi="Times New Roman"/>
          <w:sz w:val="20"/>
        </w:rPr>
        <w:t xml:space="preserve"> </w:t>
      </w:r>
      <w:r>
        <w:rPr>
          <w:rFonts w:ascii="Times New Roman;serif" w:hAnsi="Times New Roman;serif"/>
          <w:b w:val="false"/>
          <w:sz w:val="20"/>
        </w:rPr>
        <w:t>million and $33.0</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Income Taxes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follows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unaudited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spacing w:before="0" w:after="0"/>
        <w:jc w:val="left"/>
        <w:rPr>
          <w:rFonts w:ascii="Times New Roman" w:hAnsi="Times New Roman"/>
          <w:sz w:val="20"/>
        </w:rPr>
      </w:pPr>
      <w:r>
        <w:rPr>
          <w:rFonts w:ascii="Times New Roman;serif" w:hAnsi="Times New Roman;serif"/>
          <w:b w:val="false"/>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$1.0</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of uncertain tax positions as of June 30, 2023 and December 31, 2022, respectively, related to state income taxes. and federal and state research tax credits.</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policy is to recognize interest expense and penalties accrued on any unrecognized tax benefits as a component of income tax expense within the statement of operations. The Company recognized $0.002</w:t>
      </w:r>
      <w:r>
        <w:rPr>
          <w:rFonts w:ascii="Times New Roman" w:hAnsi="Times New Roman"/>
          <w:sz w:val="20"/>
        </w:rPr>
        <w:t xml:space="preserve"> </w:t>
      </w:r>
      <w:r>
        <w:rPr>
          <w:rFonts w:ascii="Times New Roman;serif" w:hAnsi="Times New Roman;serif"/>
          <w:b w:val="false"/>
          <w:sz w:val="20"/>
        </w:rPr>
        <w:t>million and $0.002</w:t>
      </w:r>
      <w:r>
        <w:rPr>
          <w:rFonts w:ascii="Times New Roman" w:hAnsi="Times New Roman"/>
          <w:sz w:val="20"/>
        </w:rPr>
        <w:t xml:space="preserve"> </w:t>
      </w:r>
      <w:r>
        <w:rPr>
          <w:rFonts w:ascii="Times New Roman;serif" w:hAnsi="Times New Roman;serif"/>
          <w:b w:val="false"/>
          <w:sz w:val="20"/>
        </w:rPr>
        <w:t>million of interest expense and penalties as a component of income tax expense during the six months ended June 30, 2023 and 2022, respectively.</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Segment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reportable segment.</w:t>
      </w:r>
    </w:p>
    <w:p>
      <w:pPr>
        <w:pStyle w:val="TextBody"/>
        <w:bidi w:val="0"/>
        <w:spacing w:before="360" w:after="0"/>
        <w:jc w:val="left"/>
        <w:rPr>
          <w:rFonts w:ascii="Times New Roman;serif" w:hAnsi="Times New Roman;serif"/>
          <w:b/>
          <w:sz w:val="20"/>
        </w:rPr>
      </w:pPr>
      <w:r>
        <w:rPr>
          <w:rFonts w:ascii="Times New Roman;serif" w:hAnsi="Times New Roman;serif"/>
          <w:b/>
          <w:sz w:val="20"/>
        </w:rPr>
        <w:t>Net Loss Per Share Attributable to Stockholders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two classes of participating securities (Class A Common Stock and Class V Common Stock) issued and outstanding as of June 30, 2023.</w:t>
      </w:r>
      <w:r>
        <w:rPr>
          <w:rFonts w:ascii="Times New Roman" w:hAnsi="Times New Roman"/>
          <w:sz w:val="20"/>
        </w:rPr>
        <w:t xml:space="preserve"> </w:t>
      </w:r>
    </w:p>
    <w:p>
      <w:pPr>
        <w:pStyle w:val="TextBody"/>
        <w:bidi w:val="0"/>
        <w:spacing w:before="6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Basic net loss attributable to holders of Common Stock per share is calculated by dividing net loss attributable to holders of Common Stock by the weighted-average number of shares outstanding, excluding shares issued in relation to unvested restricted stock awards and vested early exercise options funded by non-recourse notes (refer to Note 16, Related-Party Transactions for further details on the Company’s Loans to Stockholders).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Diluted net loss per share attributable to holders of common stock adjusts the basic net loss per share attributable to stockholders and the weighted- average number of shares outstanding for the potentially dilutive impact of stock options, warrants, and restricted stock using the treasury stock method and convertible preferred stock using the as-if-converted method.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sets forth the computation of the Company’s basic and diluted net loss per share attributable to holders of common stock (in thousands, except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62"/>
        <w:gridCol w:w="146"/>
        <w:gridCol w:w="211"/>
        <w:gridCol w:w="1036"/>
        <w:gridCol w:w="166"/>
        <w:gridCol w:w="211"/>
        <w:gridCol w:w="1036"/>
        <w:gridCol w:w="166"/>
        <w:gridCol w:w="211"/>
        <w:gridCol w:w="1036"/>
        <w:gridCol w:w="166"/>
        <w:gridCol w:w="211"/>
        <w:gridCol w:w="1036"/>
        <w:gridCol w:w="411"/>
      </w:tblGrid>
      <w:tr>
        <w:trPr/>
        <w:tc>
          <w:tcPr>
            <w:tcW w:w="4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For the Three Months Ended </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6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For the Six Months Ended </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Numerator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(59,910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6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noncumulative dividend to convertible preferred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vAlign w:val="center"/>
          </w:tcPr>
          <w:p>
            <w:pPr>
              <w:pStyle w:val="TableContents"/>
              <w:bidi w:val="0"/>
              <w:spacing w:before="0" w:after="0"/>
              <w:ind w:left="0" w:right="0" w:firstLine="200"/>
              <w:jc w:val="left"/>
              <w:rPr/>
            </w:pPr>
            <w:r>
              <w:rPr/>
              <w:t> </w:t>
            </w:r>
          </w:p>
        </w:tc>
      </w:tr>
      <w:tr>
        <w:trPr/>
        <w:tc>
          <w:tcPr>
            <w:tcW w:w="416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undistributed earnings to participating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attributed to common stockholders—basic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(59,910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6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 undistributed earnings reallocated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attributed to common stockholders—diluted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(59,910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11,884,473</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11,609,452</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11,850,151</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11,435,206</w:t>
            </w:r>
          </w:p>
        </w:tc>
        <w:tc>
          <w:tcPr>
            <w:tcW w:w="411" w:type="dxa"/>
            <w:tcBorders/>
            <w:vAlign w:val="center"/>
          </w:tcPr>
          <w:p>
            <w:pPr>
              <w:pStyle w:val="TableContents"/>
              <w:bidi w:val="0"/>
              <w:spacing w:before="0" w:after="0"/>
              <w:ind w:left="0" w:right="0" w:firstLine="200"/>
              <w:jc w:val="left"/>
              <w:rPr/>
            </w:pPr>
            <w:r>
              <w:rPr/>
              <w:t> </w:t>
            </w:r>
          </w:p>
        </w:tc>
      </w:tr>
      <w:tr>
        <w:trPr/>
        <w:tc>
          <w:tcPr>
            <w:tcW w:w="416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Dilutive effect of convertible preferred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vAlign w:val="center"/>
          </w:tcPr>
          <w:p>
            <w:pPr>
              <w:pStyle w:val="TableContents"/>
              <w:bidi w:val="0"/>
              <w:spacing w:before="0" w:after="0"/>
              <w:ind w:left="0" w:right="0" w:firstLine="200"/>
              <w:jc w:val="left"/>
              <w:rPr/>
            </w:pPr>
            <w:r>
              <w:rPr/>
              <w:t> </w:t>
            </w:r>
          </w:p>
        </w:tc>
      </w:tr>
      <w:tr>
        <w:trPr/>
        <w:tc>
          <w:tcPr>
            <w:tcW w:w="416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Dilutive effect of equity incentive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11,884,473</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11,609,452</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11,850,151</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11,435,206</w:t>
            </w:r>
          </w:p>
        </w:tc>
        <w:tc>
          <w:tcPr>
            <w:tcW w:w="411" w:type="dxa"/>
            <w:tcBorders/>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162"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Net loss per share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416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6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potentially dilutive shares were excluded from the computation of diluted net loss per share for the periods presented because including them would have been antidilutive:</w:t>
      </w:r>
    </w:p>
    <w:p>
      <w:pPr>
        <w:pStyle w:val="TextBody"/>
        <w:bidi w:val="0"/>
        <w:spacing w:before="0" w:after="0"/>
        <w:jc w:val="left"/>
        <w:rPr/>
      </w:pPr>
      <w:r>
        <w:rPr/>
        <w:t> </w:t>
      </w:r>
    </w:p>
    <w:tbl>
      <w:tblPr>
        <w:tblW w:w="7484" w:type="dxa"/>
        <w:jc w:val="left"/>
        <w:tblInd w:w="0" w:type="dxa"/>
        <w:tblLayout w:type="fixed"/>
        <w:tblCellMar>
          <w:top w:w="28" w:type="dxa"/>
          <w:left w:w="28" w:type="dxa"/>
          <w:bottom w:w="28" w:type="dxa"/>
          <w:right w:w="28" w:type="dxa"/>
        </w:tblCellMar>
      </w:tblPr>
      <w:tblGrid>
        <w:gridCol w:w="2086"/>
        <w:gridCol w:w="146"/>
        <w:gridCol w:w="163"/>
        <w:gridCol w:w="1044"/>
        <w:gridCol w:w="163"/>
        <w:gridCol w:w="163"/>
        <w:gridCol w:w="1044"/>
        <w:gridCol w:w="146"/>
        <w:gridCol w:w="148"/>
        <w:gridCol w:w="947"/>
        <w:gridCol w:w="148"/>
        <w:gridCol w:w="148"/>
        <w:gridCol w:w="947"/>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7"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For the 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38"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For the Six Months Ended </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2023</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2023</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incentive awards</w:t>
            </w:r>
          </w:p>
        </w:tc>
        <w:tc>
          <w:tcPr>
            <w:tcW w:w="14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2,560,295</w:t>
            </w:r>
          </w:p>
        </w:tc>
        <w:tc>
          <w:tcPr>
            <w:tcW w:w="16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1,426,641</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2,560,295</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1,426,641</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debt</w:t>
            </w:r>
          </w:p>
        </w:tc>
        <w:tc>
          <w:tcPr>
            <w:tcW w:w="146" w:type="dxa"/>
            <w:tcBorders/>
            <w:vAlign w:val="center"/>
          </w:tcPr>
          <w:p>
            <w:pPr>
              <w:pStyle w:val="TableContents"/>
              <w:bidi w:val="0"/>
              <w:spacing w:before="0" w:after="0"/>
              <w:ind w:left="0" w:right="0" w:hanging="0"/>
              <w:jc w:val="left"/>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312,500</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312,500</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312,500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2,872,795</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1,739,141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2,872,795</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1,739,141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7" w:type="dxa"/>
            <w:gridSpan w:val="2"/>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2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Management does not believe that any recently issued, but not yet effective, accounting pronouncements, if currently adopted, would have a material effect on the Company’s financial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Recently Adopted Accounting Pronouncements: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 June 2016, the Financial Accounting Standards Board (“FASB”) issued Accounting Standards Update (“ASU”) 2016-13, </w:t>
      </w:r>
      <w:r>
        <w:rPr>
          <w:rFonts w:ascii="Times New Roman;serif" w:hAnsi="Times New Roman;serif"/>
          <w:b w:val="false"/>
          <w:i/>
          <w:sz w:val="20"/>
        </w:rPr>
        <w:t>Financial Instruments—Credit Losses (Topic 326): Measurement of Credit Losses on Financial Instruments (“ASU 2016-13”)</w:t>
      </w:r>
      <w:r>
        <w:rPr>
          <w:rFonts w:ascii="Times New Roman;serif" w:hAnsi="Times New Roman;serif"/>
          <w:b w:val="false"/>
          <w:sz w:val="20"/>
        </w:rPr>
        <w:t>. ASU 2016-13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The Company adopted this ASU on January 1, 2023 and determined that ASU 2016-13 had no material impact on the Company’s unaudited condensed consolidated financial statements and related disclosures.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40" w:after="0"/>
        <w:jc w:val="left"/>
        <w:rPr>
          <w:rFonts w:ascii="Times New Roman" w:hAnsi="Times New Roman"/>
          <w:sz w:val="20"/>
        </w:rPr>
      </w:pPr>
      <w:r>
        <w:rPr>
          <w:rFonts w:ascii="Times New Roman;serif" w:hAnsi="Times New Roman;serif"/>
          <w:b w:val="false"/>
          <w:sz w:val="20"/>
        </w:rPr>
        <w:t xml:space="preserve">In March 2020, the FASB issued ASU No. 2020-04, </w:t>
      </w:r>
      <w:r>
        <w:rPr>
          <w:rFonts w:ascii="Times New Roman;serif" w:hAnsi="Times New Roman;serif"/>
          <w:b w:val="false"/>
          <w:i/>
          <w:sz w:val="20"/>
        </w:rPr>
        <w:t>Reference Rate Reform (Topic 848): Facilitation of the Effects of Reference Rate Reform on Financial Reporting</w:t>
      </w:r>
      <w:r>
        <w:rPr>
          <w:rFonts w:ascii="Times New Roman;serif" w:hAnsi="Times New Roman;serif"/>
          <w:b w:val="false"/>
          <w:sz w:val="20"/>
        </w:rPr>
        <w:t>, which provides optional guidance for accounting for contracts, hedging relationships, and other transactions affected by reference rate reform, if certain criteria are met. In December 2022, the FASB issued ASU No. 2022-06, Reference Rate Reform (Topic 848), Deferral of the Sunset Date of Topic 848. The amendments in this Update defer the sunset date of Topic 848 from December 31, 2022, to December 31, 2024, after which entities will no longer be permitted to apply the relief in Topic 848. The Company has evaluated the effect that the updated standard had on its internal processes, unaudited condensed consolidated financial statements, and related disclosures, and has determined that the adoption did not have a significant impact on its unaudited condensed consolidated financial statements and related disclosures.</w:t>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3 Marketable Securities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Below is a detail of marketable securities (in thousands):</w:t>
      </w:r>
    </w:p>
    <w:p>
      <w:pPr>
        <w:pStyle w:val="TextBody"/>
        <w:bidi w:val="0"/>
        <w:spacing w:before="0" w:after="0"/>
        <w:jc w:val="left"/>
        <w:rPr/>
      </w:pPr>
      <w:r>
        <w:rPr/>
        <w:t> </w:t>
      </w:r>
    </w:p>
    <w:tbl>
      <w:tblPr>
        <w:tblW w:w="5490" w:type="dxa"/>
        <w:jc w:val="left"/>
        <w:tblInd w:w="0" w:type="dxa"/>
        <w:tblLayout w:type="fixed"/>
        <w:tblCellMar>
          <w:top w:w="28" w:type="dxa"/>
          <w:left w:w="28" w:type="dxa"/>
          <w:bottom w:w="28" w:type="dxa"/>
          <w:right w:w="28" w:type="dxa"/>
        </w:tblCellMar>
      </w:tblPr>
      <w:tblGrid>
        <w:gridCol w:w="1861"/>
        <w:gridCol w:w="146"/>
        <w:gridCol w:w="344"/>
        <w:gridCol w:w="931"/>
        <w:gridCol w:w="146"/>
        <w:gridCol w:w="146"/>
        <w:gridCol w:w="574"/>
        <w:gridCol w:w="115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December 31, 2022</w:t>
            </w:r>
          </w:p>
        </w:tc>
        <w:tc>
          <w:tcPr>
            <w:tcW w:w="191" w:type="dxa"/>
            <w:tcBorders/>
            <w:vAlign w:val="center"/>
          </w:tcPr>
          <w:p>
            <w:pPr>
              <w:pStyle w:val="TableContents"/>
              <w:bidi w:val="0"/>
              <w:spacing w:before="0" w:after="0"/>
              <w:ind w:left="0" w:right="0" w:hanging="0"/>
              <w:jc w:val="center"/>
              <w:rPr/>
            </w:pPr>
            <w:r>
              <w:rPr/>
              <w:t> </w:t>
            </w:r>
          </w:p>
        </w:tc>
      </w:tr>
      <w:tr>
        <w:trPr/>
        <w:tc>
          <w:tcPr>
            <w:tcW w:w="1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3,202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At June 30, 2023 and December 31, 2022, the Company’s marketable securities consisted of investments in a publicly traded money market mutual fund with a ticker symbol SSPXX. The underlying money market instruments were primarily comprised of certificates of deposit and financial company asset backed commercial paper. At June 30, 2023 the investment portfolio had a weighted-average maturity of 45</w:t>
      </w:r>
      <w:r>
        <w:rPr>
          <w:rFonts w:ascii="Times New Roman" w:hAnsi="Times New Roman"/>
          <w:sz w:val="20"/>
        </w:rPr>
        <w:t xml:space="preserve"> </w:t>
      </w:r>
      <w:r>
        <w:rPr>
          <w:rFonts w:ascii="Times New Roman;serif" w:hAnsi="Times New Roman;serif"/>
          <w:b w:val="false"/>
          <w:sz w:val="20"/>
        </w:rPr>
        <w:t>days. At December 31, 2022 the investment portfolio had a weighted-average maturity of 48</w:t>
      </w:r>
      <w:r>
        <w:rPr>
          <w:rFonts w:ascii="Times New Roman" w:hAnsi="Times New Roman"/>
          <w:sz w:val="20"/>
        </w:rPr>
        <w:t xml:space="preserve"> </w:t>
      </w:r>
      <w:r>
        <w:rPr>
          <w:rFonts w:ascii="Times New Roman;serif" w:hAnsi="Times New Roman;serif"/>
          <w:b w:val="false"/>
          <w:sz w:val="20"/>
        </w:rPr>
        <w:t>days. The gain recognized in connection with the investment in marketable securities for the three and six months ended June 30, 2023 was $0.2</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 and recorded as a component of interest income in the unaudited condensed consolidated statements of operations. The gain recognized in connection with the investment in marketable securities for the three and six months ended June 30, 2022 was $0.3</w:t>
      </w:r>
      <w:r>
        <w:rPr>
          <w:rFonts w:ascii="Times New Roman" w:hAnsi="Times New Roman"/>
          <w:sz w:val="20"/>
        </w:rPr>
        <w:t xml:space="preserve"> </w:t>
      </w:r>
      <w:r>
        <w:rPr>
          <w:rFonts w:ascii="Times New Roman;serif" w:hAnsi="Times New Roman;serif"/>
          <w:b w:val="false"/>
          <w:sz w:val="20"/>
        </w:rPr>
        <w:t>million and recorded as a component of interest income in the unaudited condensed consolidated statements of operations.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Note 4 Short-Term Investments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Below is a summary of short-term investments, which are measured at fair value as of June 30, 2023 (in thousands):</w:t>
      </w:r>
    </w:p>
    <w:p>
      <w:pPr>
        <w:pStyle w:val="TextBody"/>
        <w:bidi w:val="0"/>
        <w:spacing w:before="0" w:after="0"/>
        <w:jc w:val="left"/>
        <w:rPr/>
      </w:pPr>
      <w:r>
        <w:rPr/>
        <w:t> </w:t>
      </w:r>
    </w:p>
    <w:tbl>
      <w:tblPr>
        <w:tblW w:w="9547"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704"/>
        <w:gridCol w:w="1411"/>
        <w:gridCol w:w="146"/>
        <w:gridCol w:w="146"/>
        <w:gridCol w:w="544"/>
        <w:gridCol w:w="1632"/>
        <w:gridCol w:w="166"/>
        <w:gridCol w:w="146"/>
        <w:gridCol w:w="217"/>
        <w:gridCol w:w="803"/>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116,120</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2,149</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securities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125,998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125,129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Below is a summary of short-term investments, which are measured at fair value as of December 31, 2022 (in thousands):</w:t>
      </w:r>
    </w:p>
    <w:p>
      <w:pPr>
        <w:pStyle w:val="TextBody"/>
        <w:bidi w:val="0"/>
        <w:spacing w:before="0" w:after="0"/>
        <w:jc w:val="left"/>
        <w:rPr/>
      </w:pPr>
      <w:r>
        <w:rPr/>
        <w:t> </w:t>
      </w:r>
    </w:p>
    <w:tbl>
      <w:tblPr>
        <w:tblW w:w="9693"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704"/>
        <w:gridCol w:w="1411"/>
        <w:gridCol w:w="146"/>
        <w:gridCol w:w="146"/>
        <w:gridCol w:w="544"/>
        <w:gridCol w:w="1632"/>
        <w:gridCol w:w="166"/>
        <w:gridCol w:w="146"/>
        <w:gridCol w:w="217"/>
        <w:gridCol w:w="803"/>
        <w:gridCol w:w="14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149,576</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16,254</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securities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170,464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168,789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gross unrealized losses and fair values of available-for-sale investment securities that were in unrealized loss positions were as follows (in thousands):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2"/>
        <w:gridCol w:w="146"/>
        <w:gridCol w:w="214"/>
        <w:gridCol w:w="792"/>
        <w:gridCol w:w="146"/>
        <w:gridCol w:w="146"/>
        <w:gridCol w:w="313"/>
        <w:gridCol w:w="942"/>
        <w:gridCol w:w="166"/>
        <w:gridCol w:w="146"/>
        <w:gridCol w:w="226"/>
        <w:gridCol w:w="727"/>
        <w:gridCol w:w="146"/>
        <w:gridCol w:w="146"/>
        <w:gridCol w:w="382"/>
        <w:gridCol w:w="874"/>
        <w:gridCol w:w="166"/>
        <w:gridCol w:w="146"/>
        <w:gridCol w:w="214"/>
        <w:gridCol w:w="792"/>
        <w:gridCol w:w="146"/>
        <w:gridCol w:w="146"/>
        <w:gridCol w:w="313"/>
        <w:gridCol w:w="942"/>
        <w:gridCol w:w="216"/>
      </w:tblGrid>
      <w:tr>
        <w:trPr/>
        <w:tc>
          <w:tcPr>
            <w:tcW w:w="1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Less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12 Months or More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center"/>
              <w:rPr/>
            </w:pPr>
            <w:r>
              <w:rPr/>
              <w:t> </w:t>
            </w:r>
          </w:p>
        </w:tc>
        <w:tc>
          <w:tcPr>
            <w:tcW w:w="2553" w:type="dxa"/>
            <w:gridSpan w:val="6"/>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01" w:type="dxa"/>
            <w:gridSpan w:val="6"/>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3" w:type="dxa"/>
            <w:gridSpan w:val="6"/>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r>
      <w:tr>
        <w:trPr/>
        <w:tc>
          <w:tcPr>
            <w:tcW w:w="16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securities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38,605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46,794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85,399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(1,122</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16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16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Less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12 Months or More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center"/>
              <w:rPr/>
            </w:pPr>
            <w:r>
              <w:rPr/>
              <w:t> </w:t>
            </w:r>
          </w:p>
        </w:tc>
        <w:tc>
          <w:tcPr>
            <w:tcW w:w="2553" w:type="dxa"/>
            <w:gridSpan w:val="6"/>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01" w:type="dxa"/>
            <w:gridSpan w:val="6"/>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3" w:type="dxa"/>
            <w:gridSpan w:val="6"/>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r>
      <w:tr>
        <w:trPr/>
        <w:tc>
          <w:tcPr>
            <w:tcW w:w="16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securities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140,573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140,573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(1,815</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16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gain recorded in connection with the investment in short-term investments for the three and six months ended June 30, 2023, was $0.2</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 and was recorded as a component of interest income in the condensed consolidated statements of operations. The Company recorded no</w:t>
      </w:r>
      <w:r>
        <w:rPr>
          <w:rFonts w:ascii="Times New Roman" w:hAnsi="Times New Roman"/>
          <w:sz w:val="20"/>
        </w:rPr>
        <w:t xml:space="preserve"> </w:t>
      </w:r>
      <w:r>
        <w:rPr>
          <w:rFonts w:ascii="Times New Roman;serif" w:hAnsi="Times New Roman;serif"/>
          <w:b w:val="false"/>
          <w:sz w:val="20"/>
        </w:rPr>
        <w:t>gain or loss in connection with the investment in short-term investments for the three and six months ended June 30, 2022. Accrued interest of $1.2</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is included in Short-term investments within the unaudited condensed consolidated balance sheets for the period ended June 30, 2023 and December 31,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Unrealized losses on the available-for-sale investment securities as of June 30, 2023 and December 31, 2022 are primarily the result of increases in interest rates as a significant portion of the investments were purchased prior to recent increases in interest rates.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and six months ended June 30, 2023 and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the contractual maturities of available-for-sale investment securities were as follows (in thousands):</w:t>
      </w:r>
    </w:p>
    <w:p>
      <w:pPr>
        <w:pStyle w:val="TextBody"/>
        <w:bidi w:val="0"/>
        <w:spacing w:before="0" w:after="0"/>
        <w:jc w:val="left"/>
        <w:rPr/>
      </w:pPr>
      <w:r>
        <w:rPr/>
        <w:t> </w:t>
      </w:r>
    </w:p>
    <w:tbl>
      <w:tblPr>
        <w:tblW w:w="6326" w:type="dxa"/>
        <w:jc w:val="left"/>
        <w:tblInd w:w="0" w:type="dxa"/>
        <w:tblLayout w:type="fixed"/>
        <w:tblCellMar>
          <w:top w:w="28" w:type="dxa"/>
          <w:left w:w="28" w:type="dxa"/>
          <w:bottom w:w="28" w:type="dxa"/>
          <w:right w:w="28" w:type="dxa"/>
        </w:tblCellMar>
      </w:tblPr>
      <w:tblGrid>
        <w:gridCol w:w="3106"/>
        <w:gridCol w:w="146"/>
        <w:gridCol w:w="301"/>
        <w:gridCol w:w="1124"/>
        <w:gridCol w:w="146"/>
        <w:gridCol w:w="146"/>
        <w:gridCol w:w="217"/>
        <w:gridCol w:w="803"/>
        <w:gridCol w:w="14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1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66,920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one year through five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1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125,998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125,129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1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5 Member Cash Advances, Net</w:t>
      </w:r>
    </w:p>
    <w:p>
      <w:pPr>
        <w:pStyle w:val="TextBody"/>
        <w:bidi w:val="0"/>
        <w:spacing w:before="120" w:after="0"/>
        <w:jc w:val="left"/>
        <w:rPr>
          <w:rFonts w:ascii="Times New Roman" w:hAnsi="Times New Roman"/>
          <w:sz w:val="20"/>
        </w:rPr>
      </w:pPr>
      <w:r>
        <w:rPr>
          <w:rFonts w:ascii="Times New Roman;serif" w:hAnsi="Times New Roman;serif"/>
          <w:b w:val="false"/>
          <w:sz w:val="20"/>
        </w:rPr>
        <w:t>Below is a detail of Member cash advances, net as of June 30, 2023</w:t>
      </w:r>
      <w:r>
        <w:rPr>
          <w:rFonts w:ascii="Times New Roman" w:hAnsi="Times New Roman"/>
          <w:sz w:val="20"/>
        </w:rPr>
        <w:t xml:space="preserve"> </w:t>
      </w:r>
      <w:r>
        <w:rPr>
          <w:rFonts w:ascii="Times New Roman;serif" w:hAnsi="Times New Roman;serif"/>
          <w:b w:val="false"/>
          <w:sz w:val="20"/>
        </w:rPr>
        <w:t>(in thousands):</w:t>
      </w:r>
    </w:p>
    <w:p>
      <w:pPr>
        <w:pStyle w:val="TextBody"/>
        <w:bidi w:val="0"/>
        <w:spacing w:before="120" w:after="0"/>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87"/>
        <w:gridCol w:w="156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Days From Origination</w:t>
            </w:r>
          </w:p>
        </w:tc>
        <w:tc>
          <w:tcPr>
            <w:tcW w:w="146" w:type="dxa"/>
            <w:tcBorders/>
            <w:vAlign w:val="center"/>
          </w:tcPr>
          <w:p>
            <w:pPr>
              <w:pStyle w:val="TableContents"/>
              <w:bidi w:val="0"/>
              <w:spacing w:before="0" w:after="0"/>
              <w:ind w:left="0" w:right="0" w:hanging="0"/>
              <w:jc w:val="center"/>
              <w:rPr/>
            </w:pPr>
            <w:r>
              <w:rPr/>
              <w:t> </w:t>
            </w:r>
          </w:p>
        </w:tc>
        <w:tc>
          <w:tcPr>
            <w:tcW w:w="22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Member Advances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Member Advances, 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1-10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74,164</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11-30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87" w:type="dxa"/>
            <w:tcBorders/>
            <w:vAlign w:val="center"/>
          </w:tcPr>
          <w:p>
            <w:pPr>
              <w:pStyle w:val="TableContents"/>
              <w:bidi w:val="0"/>
              <w:spacing w:before="0" w:after="0"/>
              <w:ind w:left="0" w:right="0" w:hanging="0"/>
              <w:jc w:val="left"/>
              <w:rPr/>
            </w:pPr>
            <w:r>
              <w:rPr/>
              <w:t> </w:t>
            </w:r>
          </w:p>
        </w:tc>
        <w:tc>
          <w:tcPr>
            <w:tcW w:w="1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8,855</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31-60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87" w:type="dxa"/>
            <w:tcBorders/>
            <w:vAlign w:val="center"/>
          </w:tcPr>
          <w:p>
            <w:pPr>
              <w:pStyle w:val="TableContents"/>
              <w:bidi w:val="0"/>
              <w:spacing w:before="0" w:after="0"/>
              <w:ind w:left="0" w:right="0" w:hanging="0"/>
              <w:jc w:val="left"/>
              <w:rPr/>
            </w:pPr>
            <w:r>
              <w:rPr/>
              <w:t> </w:t>
            </w:r>
          </w:p>
        </w:tc>
        <w:tc>
          <w:tcPr>
            <w:tcW w:w="1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2,968</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61-90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87" w:type="dxa"/>
            <w:tcBorders/>
            <w:vAlign w:val="center"/>
          </w:tcPr>
          <w:p>
            <w:pPr>
              <w:pStyle w:val="TableContents"/>
              <w:bidi w:val="0"/>
              <w:spacing w:before="0" w:after="0"/>
              <w:ind w:left="0" w:right="0" w:hanging="0"/>
              <w:jc w:val="left"/>
              <w:rPr/>
            </w:pPr>
            <w:r>
              <w:rPr/>
              <w:t> </w:t>
            </w:r>
          </w:p>
        </w:tc>
        <w:tc>
          <w:tcPr>
            <w:tcW w:w="1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91-120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108,405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(19,751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88,654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Below is a detail of Member cash advances, net as of December 31, 2022 (in thousands):</w:t>
      </w:r>
    </w:p>
    <w:p>
      <w:pPr>
        <w:pStyle w:val="TextBody"/>
        <w:bidi w:val="0"/>
        <w:spacing w:before="4" w:after="0"/>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37"/>
        <w:gridCol w:w="161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Days From Origination</w:t>
            </w:r>
          </w:p>
        </w:tc>
        <w:tc>
          <w:tcPr>
            <w:tcW w:w="146" w:type="dxa"/>
            <w:tcBorders/>
            <w:vAlign w:val="center"/>
          </w:tcPr>
          <w:p>
            <w:pPr>
              <w:pStyle w:val="TableContents"/>
              <w:bidi w:val="0"/>
              <w:spacing w:before="0" w:after="0"/>
              <w:ind w:left="0" w:right="0" w:hanging="0"/>
              <w:jc w:val="center"/>
              <w:rPr/>
            </w:pPr>
            <w:r>
              <w:rPr/>
              <w:t> </w:t>
            </w:r>
          </w:p>
        </w:tc>
        <w:tc>
          <w:tcPr>
            <w:tcW w:w="22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Member Advances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Member Advances, 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1-10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88,897</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11-30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1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8,101</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31-60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1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3,493</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61-90</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1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left"/>
              <w:rPr/>
            </w:pPr>
            <w:r>
              <w:rPr/>
              <w:t> </w:t>
            </w:r>
          </w:p>
        </w:tc>
        <w:tc>
          <w:tcPr>
            <w:tcW w:w="1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1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91-120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128,684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(24,501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104,183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Member advances, net, represent outstanding advances, tips, and processing fees, net of direct origination costs, less an allowance for credit losses.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roll-forward of the allowance for credit losses is as follows (in thousands):</w:t>
      </w:r>
    </w:p>
    <w:p>
      <w:pPr>
        <w:pStyle w:val="TextBody"/>
        <w:bidi w:val="0"/>
        <w:spacing w:before="0" w:after="0"/>
        <w:jc w:val="left"/>
        <w:rPr/>
      </w:pPr>
      <w:r>
        <w:rPr/>
        <w:t> </w:t>
      </w:r>
    </w:p>
    <w:tbl>
      <w:tblPr>
        <w:tblW w:w="5677" w:type="dxa"/>
        <w:jc w:val="left"/>
        <w:tblInd w:w="0" w:type="dxa"/>
        <w:tblLayout w:type="fixed"/>
        <w:tblCellMar>
          <w:top w:w="28" w:type="dxa"/>
          <w:left w:w="28" w:type="dxa"/>
          <w:bottom w:w="28" w:type="dxa"/>
          <w:right w:w="28" w:type="dxa"/>
        </w:tblCellMar>
      </w:tblPr>
      <w:tblGrid>
        <w:gridCol w:w="4081"/>
        <w:gridCol w:w="146"/>
        <w:gridCol w:w="146"/>
        <w:gridCol w:w="146"/>
        <w:gridCol w:w="211"/>
        <w:gridCol w:w="736"/>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Opening allowance balance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24,501</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Plus: provision for credit losses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27,878</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Plus: amounts recovered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6,655</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amounts written-off</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Ending allowance balance at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19,751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Opening allowance balance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11,995</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Plus: provision for credit losses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27,642</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Plus: amounts recovered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4,312</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amounts written-off</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(24,799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Ending allowance balance at 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19,150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6 Intangible Assets, Net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Company’s intangible assets, net consisted of the following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76"/>
        <w:gridCol w:w="146"/>
        <w:gridCol w:w="1061"/>
        <w:gridCol w:w="146"/>
        <w:gridCol w:w="228"/>
        <w:gridCol w:w="732"/>
        <w:gridCol w:w="146"/>
        <w:gridCol w:w="146"/>
        <w:gridCol w:w="328"/>
        <w:gridCol w:w="982"/>
        <w:gridCol w:w="166"/>
        <w:gridCol w:w="146"/>
        <w:gridCol w:w="218"/>
        <w:gridCol w:w="698"/>
        <w:gridCol w:w="146"/>
        <w:gridCol w:w="146"/>
        <w:gridCol w:w="228"/>
        <w:gridCol w:w="732"/>
        <w:gridCol w:w="146"/>
        <w:gridCol w:w="291"/>
        <w:gridCol w:w="1018"/>
        <w:gridCol w:w="166"/>
        <w:gridCol w:w="218"/>
        <w:gridCol w:w="698"/>
        <w:gridCol w:w="197"/>
      </w:tblGrid>
      <w:tr>
        <w:trPr/>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79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97"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 Useful Lives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 Book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 Book Value</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Internally developed software</w:t>
            </w:r>
          </w:p>
        </w:tc>
        <w:tc>
          <w:tcPr>
            <w:tcW w:w="146"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3.0</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21,694</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10,089</w:t>
            </w:r>
          </w:p>
        </w:tc>
        <w:tc>
          <w:tcPr>
            <w:tcW w:w="197" w:type="dxa"/>
            <w:tcBorders/>
            <w:vAlign w:val="center"/>
          </w:tcPr>
          <w:p>
            <w:pPr>
              <w:pStyle w:val="TableContents"/>
              <w:bidi w:val="0"/>
              <w:spacing w:before="0" w:after="0"/>
              <w:ind w:left="0" w:right="0" w:hanging="0"/>
              <w:jc w:val="left"/>
              <w:rPr/>
            </w:pPr>
            <w:r>
              <w:rPr/>
              <w:t> </w:t>
            </w:r>
          </w:p>
        </w:tc>
      </w:tr>
      <w:tr>
        <w:trPr/>
        <w:tc>
          <w:tcPr>
            <w:tcW w:w="10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Domain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15.0</w:t>
            </w:r>
            <w:r>
              <w:rPr>
                <w:rFonts w:ascii="Times New Roman" w:hAnsi="Times New Roman"/>
                <w:sz w:val="20"/>
              </w:rPr>
              <w:t> </w:t>
            </w:r>
            <w:r>
              <w:rPr>
                <w:rFonts w:ascii="Times New Roman;serif" w:hAnsi="Times New Roman;serif"/>
                <w:b w:val="false"/>
                <w:sz w:val="20"/>
              </w:rP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Intangible assets, net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18,233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12,095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21,815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(11,652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10,163</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future estimated amortization expenses as of June 30, 2023, were as follows (in thousands):</w:t>
      </w:r>
    </w:p>
    <w:tbl>
      <w:tblPr>
        <w:tblW w:w="3812"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3,164</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1,931</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future amortization</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12,095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Amortization expense for the three and six months ended June 30, 2023, was $1.1</w:t>
      </w:r>
      <w:r>
        <w:rPr>
          <w:rFonts w:ascii="Times New Roman" w:hAnsi="Times New Roman"/>
          <w:sz w:val="20"/>
        </w:rPr>
        <w:t xml:space="preserve"> </w:t>
      </w:r>
      <w:r>
        <w:rPr>
          <w:rFonts w:ascii="Times New Roman;serif" w:hAnsi="Times New Roman;serif"/>
          <w:b w:val="false"/>
          <w:sz w:val="20"/>
        </w:rPr>
        <w:t>million and $2.2</w:t>
      </w:r>
      <w:r>
        <w:rPr>
          <w:rFonts w:ascii="Times New Roman" w:hAnsi="Times New Roman"/>
          <w:sz w:val="20"/>
        </w:rPr>
        <w:t xml:space="preserve"> </w:t>
      </w:r>
      <w:r>
        <w:rPr>
          <w:rFonts w:ascii="Times New Roman;serif" w:hAnsi="Times New Roman;serif"/>
          <w:b w:val="false"/>
          <w:sz w:val="20"/>
        </w:rPr>
        <w:t>million, respectively. Amortization expense for the three and six months ended June 30, 2022, was $1.6</w:t>
      </w:r>
      <w:r>
        <w:rPr>
          <w:rFonts w:ascii="Times New Roman" w:hAnsi="Times New Roman"/>
          <w:sz w:val="20"/>
        </w:rPr>
        <w:t xml:space="preserve"> </w:t>
      </w:r>
      <w:r>
        <w:rPr>
          <w:rFonts w:ascii="Times New Roman;serif" w:hAnsi="Times New Roman;serif"/>
          <w:b w:val="false"/>
          <w:sz w:val="20"/>
        </w:rPr>
        <w:t>million and $2.6</w:t>
      </w:r>
      <w:r>
        <w:rPr>
          <w:rFonts w:ascii="Times New Roman" w:hAnsi="Times New Roman"/>
          <w:sz w:val="20"/>
        </w:rPr>
        <w:t xml:space="preserve"> </w:t>
      </w:r>
      <w:r>
        <w:rPr>
          <w:rFonts w:ascii="Times New Roman;serif" w:hAnsi="Times New Roman;serif"/>
          <w:b w:val="false"/>
          <w:sz w:val="20"/>
        </w:rPr>
        <w:t>million, respectively. No</w:t>
      </w:r>
      <w:r>
        <w:rPr>
          <w:rFonts w:ascii="Times New Roman" w:hAnsi="Times New Roman"/>
          <w:sz w:val="20"/>
        </w:rPr>
        <w:t xml:space="preserve"> </w:t>
      </w:r>
      <w:r>
        <w:rPr>
          <w:rFonts w:ascii="Times New Roman;serif" w:hAnsi="Times New Roman;serif"/>
          <w:b w:val="false"/>
          <w:sz w:val="20"/>
        </w:rPr>
        <w:t>impairment charges were recognized related to long-lived assets for the for the three and six months ended June 30, 2023 and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Amortization expense related to change in useful life of a certain definite-lived intangible asset for the three and six months ended June 30, 2023, was $0.1</w:t>
      </w:r>
      <w:r>
        <w:rPr>
          <w:rFonts w:ascii="Times New Roman" w:hAnsi="Times New Roman"/>
          <w:sz w:val="20"/>
        </w:rPr>
        <w:t xml:space="preserve"> </w:t>
      </w:r>
      <w:r>
        <w:rPr>
          <w:rFonts w:ascii="Times New Roman;serif" w:hAnsi="Times New Roman;serif"/>
          <w:b w:val="false"/>
          <w:sz w:val="20"/>
        </w:rPr>
        <w:t>million and $0.3, respectively. Amortization expense related to change in useful life of a certain definite-lived intangible asset for the three and six months ended June 30, 2022, were both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36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7 Accrued Expenses and Other Current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Accrued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accrued expenses consisted of the following (dollars in thousands):</w:t>
      </w:r>
    </w:p>
    <w:p>
      <w:pPr>
        <w:pStyle w:val="TextBody"/>
        <w:bidi w:val="0"/>
        <w:spacing w:before="0" w:after="0"/>
        <w:jc w:val="left"/>
        <w:rPr/>
      </w:pPr>
      <w:r>
        <w:rPr/>
        <w:t> </w:t>
      </w:r>
    </w:p>
    <w:tbl>
      <w:tblPr>
        <w:tblW w:w="6885" w:type="dxa"/>
        <w:jc w:val="left"/>
        <w:tblInd w:w="0" w:type="dxa"/>
        <w:tblLayout w:type="fixed"/>
        <w:tblCellMar>
          <w:top w:w="28" w:type="dxa"/>
          <w:left w:w="28" w:type="dxa"/>
          <w:bottom w:w="28" w:type="dxa"/>
          <w:right w:w="28" w:type="dxa"/>
        </w:tblCellMar>
      </w:tblPr>
      <w:tblGrid>
        <w:gridCol w:w="3256"/>
        <w:gridCol w:w="146"/>
        <w:gridCol w:w="303"/>
        <w:gridCol w:w="972"/>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December 31, 2022</w:t>
            </w:r>
          </w:p>
        </w:tc>
        <w:tc>
          <w:tcPr>
            <w:tcW w:w="19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charitable contributions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3,067</w:t>
            </w:r>
          </w:p>
        </w:tc>
        <w:tc>
          <w:tcPr>
            <w:tcW w:w="1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tax payable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1,357</w:t>
            </w:r>
          </w:p>
        </w:tc>
        <w:tc>
          <w:tcPr>
            <w:tcW w:w="1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and program fees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4,008</w:t>
            </w:r>
          </w:p>
        </w:tc>
        <w:tc>
          <w:tcPr>
            <w:tcW w:w="191" w:type="dxa"/>
            <w:tcBorders/>
            <w:vAlign w:val="center"/>
          </w:tcPr>
          <w:p>
            <w:pPr>
              <w:pStyle w:val="TableContents"/>
              <w:bidi w:val="0"/>
              <w:spacing w:before="0" w:after="0"/>
              <w:ind w:left="0" w:right="0" w:hanging="0"/>
              <w:jc w:val="left"/>
              <w:rPr/>
            </w:pPr>
            <w:r>
              <w:rPr/>
              <w:t> </w:t>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13,917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10,965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Accrued charitable contributions includes amounts the Company has pledged related to charitable meal donations. The Company uses a portion of tips received to make a charitable cash donation to third parties who use the funds to provide meals to those in need. For the three and six months ended June 30, 2023, the Company pledged approximately $0.7</w:t>
      </w:r>
      <w:r>
        <w:rPr>
          <w:rFonts w:ascii="Times New Roman" w:hAnsi="Times New Roman"/>
          <w:sz w:val="20"/>
        </w:rPr>
        <w:t xml:space="preserve"> </w:t>
      </w:r>
      <w:r>
        <w:rPr>
          <w:rFonts w:ascii="Times New Roman;serif" w:hAnsi="Times New Roman;serif"/>
          <w:b w:val="false"/>
          <w:sz w:val="20"/>
        </w:rPr>
        <w:t>million and $3.2</w:t>
      </w:r>
      <w:r>
        <w:rPr>
          <w:rFonts w:ascii="Times New Roman" w:hAnsi="Times New Roman"/>
          <w:sz w:val="20"/>
        </w:rPr>
        <w:t xml:space="preserve"> </w:t>
      </w:r>
      <w:r>
        <w:rPr>
          <w:rFonts w:ascii="Times New Roman;serif" w:hAnsi="Times New Roman;serif"/>
          <w:b w:val="false"/>
          <w:sz w:val="20"/>
        </w:rPr>
        <w:t>million related to charitable donations, respectively. For the three and six months ended June 30, 2022, the Company pledged approximately $1.0</w:t>
      </w:r>
      <w:r>
        <w:rPr>
          <w:rFonts w:ascii="Times New Roman" w:hAnsi="Times New Roman"/>
          <w:sz w:val="20"/>
        </w:rPr>
        <w:t xml:space="preserve"> </w:t>
      </w:r>
      <w:r>
        <w:rPr>
          <w:rFonts w:ascii="Times New Roman;serif" w:hAnsi="Times New Roman;serif"/>
          <w:b w:val="false"/>
          <w:sz w:val="20"/>
        </w:rPr>
        <w:t>million and $2.0</w:t>
      </w:r>
      <w:r>
        <w:rPr>
          <w:rFonts w:ascii="Times New Roman" w:hAnsi="Times New Roman"/>
          <w:sz w:val="20"/>
        </w:rPr>
        <w:t xml:space="preserve"> </w:t>
      </w:r>
      <w:r>
        <w:rPr>
          <w:rFonts w:ascii="Times New Roman;serif" w:hAnsi="Times New Roman;serif"/>
          <w:b w:val="false"/>
          <w:sz w:val="20"/>
        </w:rPr>
        <w:t>million related to charitable donations, respectively. These costs are expensed as incurred and are presented within other operating expenses in the unaudited condensed consolidated statements of operations.</w:t>
      </w:r>
    </w:p>
    <w:p>
      <w:pPr>
        <w:pStyle w:val="TextBody"/>
        <w:bidi w:val="0"/>
        <w:spacing w:before="4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Other Current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other current liabilities consisted of the following (dollars in thousands):</w:t>
      </w:r>
    </w:p>
    <w:p>
      <w:pPr>
        <w:pStyle w:val="TextBody"/>
        <w:bidi w:val="0"/>
        <w:spacing w:before="120" w:after="0"/>
        <w:jc w:val="left"/>
        <w:rPr/>
      </w:pPr>
      <w:r>
        <w:rPr/>
        <w:t> </w:t>
      </w:r>
    </w:p>
    <w:tbl>
      <w:tblPr>
        <w:tblW w:w="5835" w:type="dxa"/>
        <w:jc w:val="left"/>
        <w:tblInd w:w="0" w:type="dxa"/>
        <w:tblLayout w:type="fixed"/>
        <w:tblCellMar>
          <w:top w:w="28" w:type="dxa"/>
          <w:left w:w="28" w:type="dxa"/>
          <w:bottom w:w="28" w:type="dxa"/>
          <w:right w:w="28" w:type="dxa"/>
        </w:tblCellMar>
      </w:tblPr>
      <w:tblGrid>
        <w:gridCol w:w="2206"/>
        <w:gridCol w:w="146"/>
        <w:gridCol w:w="344"/>
        <w:gridCol w:w="931"/>
        <w:gridCol w:w="146"/>
        <w:gridCol w:w="146"/>
        <w:gridCol w:w="465"/>
        <w:gridCol w:w="1260"/>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December 31, 2022</w:t>
            </w:r>
          </w:p>
        </w:tc>
        <w:tc>
          <w:tcPr>
            <w:tcW w:w="191" w:type="dxa"/>
            <w:tcBorders/>
            <w:vAlign w:val="center"/>
          </w:tcPr>
          <w:p>
            <w:pPr>
              <w:pStyle w:val="TableContents"/>
              <w:bidi w:val="0"/>
              <w:spacing w:before="0" w:after="0"/>
              <w:ind w:left="0" w:right="0" w:hanging="0"/>
              <w:jc w:val="center"/>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transaction costs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3,150</w:t>
            </w:r>
          </w:p>
        </w:tc>
        <w:tc>
          <w:tcPr>
            <w:tcW w:w="191" w:type="dxa"/>
            <w:tcBorders/>
            <w:vAlign w:val="center"/>
          </w:tcPr>
          <w:p>
            <w:pPr>
              <w:pStyle w:val="TableContents"/>
              <w:bidi w:val="0"/>
              <w:spacing w:before="0" w:after="0"/>
              <w:ind w:left="0" w:right="0" w:hanging="0"/>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3,938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Other current liabilities includes $3.2</w:t>
      </w:r>
      <w:r>
        <w:rPr>
          <w:rFonts w:ascii="Times New Roman" w:hAnsi="Times New Roman"/>
          <w:sz w:val="20"/>
        </w:rPr>
        <w:t xml:space="preserve"> </w:t>
      </w:r>
      <w:r>
        <w:rPr>
          <w:rFonts w:ascii="Times New Roman;serif" w:hAnsi="Times New Roman;serif"/>
          <w:b w:val="false"/>
          <w:sz w:val="20"/>
        </w:rPr>
        <w:t>million in deferred transaction costs associated with the Business Combination. These transaction costs were also capitalized and included within APIC in the unaudited condensed consolidated balance sheets. Other current liabilities also includes approximately $0.4</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in unearned revenue as of June 30, 2023 and December 31, 2022, respectively.</w:t>
      </w:r>
    </w:p>
    <w:p>
      <w:pPr>
        <w:pStyle w:val="TextBody"/>
        <w:bidi w:val="0"/>
        <w:spacing w:before="360" w:after="0"/>
        <w:jc w:val="left"/>
        <w:rPr>
          <w:rFonts w:ascii="Times New Roman" w:hAnsi="Times New Roman"/>
          <w:sz w:val="20"/>
        </w:rPr>
      </w:pPr>
      <w:r>
        <w:rPr>
          <w:rFonts w:ascii="Times New Roman;serif" w:hAnsi="Times New Roman;serif"/>
          <w:b/>
          <w:sz w:val="20"/>
        </w:rPr>
        <w:t>Note 8 Convertible Note Payable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March 21, 2022, the Company entered into a Convertible Note Purchase Agreement (“Purchase Agreement”) with FTX Ventures Ltd., (the “Purchaser”) owner of FTX US (“FTX”), providing for the purchase and sale of a convertible note in the initial principal amount of $100.0</w:t>
      </w:r>
      <w:r>
        <w:rPr>
          <w:rFonts w:ascii="Times New Roman" w:hAnsi="Times New Roman"/>
          <w:sz w:val="20"/>
        </w:rPr>
        <w:t xml:space="preserve"> </w:t>
      </w:r>
      <w:r>
        <w:rPr>
          <w:rFonts w:ascii="Times New Roman;serif" w:hAnsi="Times New Roman;serif"/>
          <w:b w:val="false"/>
          <w:sz w:val="20"/>
        </w:rPr>
        <w:t>million (the “Note”). The Note bears interest at a rate of 3.00% per year (compounded semiannually), payable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0"/>
        </w:rPr>
        <w:t>semi-annually in arrears on June 30th and December 31st of each year. Interest may be paid in-kind or in cash, at the Company’s option. Forty-eight months</w:t>
      </w:r>
      <w:r>
        <w:rPr>
          <w:rFonts w:ascii="Times New Roman" w:hAnsi="Times New Roman"/>
          <w:sz w:val="20"/>
        </w:rPr>
        <w:t xml:space="preserve"> </w:t>
      </w:r>
      <w:r>
        <w:rPr>
          <w:rFonts w:ascii="Times New Roman;serif" w:hAnsi="Times New Roman;serif"/>
          <w:b w:val="false"/>
          <w:sz w:val="20"/>
        </w:rPr>
        <w:t>(the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pStyle w:val="TextBody"/>
        <w:bidi w:val="0"/>
        <w:spacing w:before="40" w:after="0"/>
        <w:jc w:val="left"/>
        <w:rPr>
          <w:rFonts w:ascii="Times New Roman" w:hAnsi="Times New Roman"/>
          <w:sz w:val="20"/>
        </w:rPr>
      </w:pPr>
      <w:r>
        <w:rPr>
          <w:rFonts w:ascii="Times New Roman;serif" w:hAnsi="Times New Roman;serif"/>
          <w:b w:val="false"/>
          <w:sz w:val="20"/>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$320.00</w:t>
      </w:r>
      <w:r>
        <w:rPr>
          <w:rFonts w:ascii="Times New Roman" w:hAnsi="Times New Roman"/>
          <w:sz w:val="20"/>
        </w:rPr>
        <w:t xml:space="preserve"> </w:t>
      </w:r>
      <w:r>
        <w:rPr>
          <w:rFonts w:ascii="Times New Roman;serif" w:hAnsi="Times New Roman;serif"/>
          <w:b w:val="false"/>
          <w:sz w:val="20"/>
        </w:rPr>
        <w:t>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pStyle w:val="TextBody"/>
        <w:bidi w:val="0"/>
        <w:spacing w:before="40" w:after="0"/>
        <w:jc w:val="left"/>
        <w:rPr>
          <w:rFonts w:ascii="Times New Roman" w:hAnsi="Times New Roman"/>
          <w:sz w:val="20"/>
        </w:rPr>
      </w:pPr>
      <w:r>
        <w:rPr>
          <w:rFonts w:ascii="Times New Roman;serif" w:hAnsi="Times New Roman;serif"/>
          <w:b w:val="false"/>
          <w:sz w:val="20"/>
        </w:rPr>
        <w:t>Beginning on the 24-month anniversary of the Issuance Date continuing until the Maturity Date, if the closing price of the Common Stock equals or exceeds 175% of the Conversion Price for 20</w:t>
      </w:r>
      <w:r>
        <w:rPr>
          <w:rFonts w:ascii="Times New Roman" w:hAnsi="Times New Roman"/>
          <w:sz w:val="20"/>
        </w:rPr>
        <w:t xml:space="preserve"> </w:t>
      </w:r>
      <w:r>
        <w:rPr>
          <w:rFonts w:ascii="Times New Roman;serif" w:hAnsi="Times New Roman;serif"/>
          <w:b w:val="false"/>
          <w:sz w:val="20"/>
        </w:rPr>
        <w:t>out of the 30</w:t>
      </w:r>
      <w:r>
        <w:rPr>
          <w:rFonts w:ascii="Times New Roman" w:hAnsi="Times New Roman"/>
          <w:sz w:val="20"/>
        </w:rPr>
        <w:t xml:space="preserve"> </w:t>
      </w:r>
      <w:r>
        <w:rPr>
          <w:rFonts w:ascii="Times New Roman;serif" w:hAnsi="Times New Roman;serif"/>
          <w:b w:val="false"/>
          <w:sz w:val="20"/>
        </w:rPr>
        <w:t>consecutive trading days ending immediately preceding the delivery of the notice of the Company’s election to convert the Note, the Note will be convertible into shares of Class A Common Stock at the option of the Company, upon delivery of a written notice to the Purchaser electing to convert the Note or all or any portion of the outstanding principal amount of the Note.</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canceled and retired.</w:t>
      </w:r>
    </w:p>
    <w:p>
      <w:pPr>
        <w:pStyle w:val="TextBody"/>
        <w:bidi w:val="0"/>
        <w:spacing w:before="40" w:after="0"/>
        <w:jc w:val="left"/>
        <w:rPr>
          <w:rFonts w:ascii="Times New Roman" w:hAnsi="Times New Roman"/>
          <w:sz w:val="20"/>
        </w:rPr>
      </w:pPr>
      <w:r>
        <w:rPr>
          <w:rFonts w:ascii="Times New Roman;serif" w:hAnsi="Times New Roman;serif"/>
          <w:b w:val="false"/>
          <w:sz w:val="20"/>
        </w:rPr>
        <w:t>The effective interest rate as of June 30, 2023 was 3.01%. As of June 30, 2023, the outstanding balance of the Note, including paid in-kind interest, was approximately $103.9</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360" w:after="0"/>
        <w:jc w:val="left"/>
        <w:rPr>
          <w:rFonts w:ascii="Times New Roman" w:hAnsi="Times New Roman"/>
          <w:sz w:val="20"/>
        </w:rPr>
      </w:pPr>
      <w:r>
        <w:rPr>
          <w:rFonts w:ascii="Times New Roman;serif" w:hAnsi="Times New Roman;serif"/>
          <w:b/>
          <w:sz w:val="20"/>
        </w:rPr>
        <w:t>Note 9 Warrant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there were</w:t>
      </w:r>
      <w:r>
        <w:rPr>
          <w:rFonts w:ascii="Times New Roman" w:hAnsi="Times New Roman"/>
          <w:sz w:val="20"/>
        </w:rPr>
        <w:t xml:space="preserve"> </w:t>
      </w:r>
      <w:r>
        <w:rPr>
          <w:rFonts w:ascii="Times New Roman;serif" w:hAnsi="Times New Roman;serif"/>
          <w:b w:val="false"/>
          <w:sz w:val="20"/>
        </w:rPr>
        <w:t>6,344,021</w:t>
      </w:r>
      <w:r>
        <w:rPr>
          <w:rFonts w:ascii="Times New Roman" w:hAnsi="Times New Roman"/>
          <w:sz w:val="20"/>
        </w:rPr>
        <w:t xml:space="preserve"> </w:t>
      </w:r>
      <w:r>
        <w:rPr>
          <w:rFonts w:ascii="Times New Roman;serif" w:hAnsi="Times New Roman;serif"/>
          <w:b w:val="false"/>
          <w:sz w:val="20"/>
        </w:rPr>
        <w:t>public warrants (“Public Warrants”) outstanding and 5,100,214</w:t>
      </w:r>
      <w:r>
        <w:rPr>
          <w:rFonts w:ascii="Times New Roman" w:hAnsi="Times New Roman"/>
          <w:sz w:val="20"/>
        </w:rPr>
        <w:t xml:space="preserve"> </w:t>
      </w:r>
      <w:r>
        <w:rPr>
          <w:rFonts w:ascii="Times New Roman;serif" w:hAnsi="Times New Roman;serif"/>
          <w:b w:val="false"/>
          <w:sz w:val="20"/>
        </w:rPr>
        <w:t>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Following the 1-for-32</w:t>
      </w:r>
      <w:r>
        <w:rPr>
          <w:rFonts w:ascii="Times New Roman;serif" w:hAnsi="Times New Roman;serif"/>
          <w:sz w:val="20"/>
        </w:rPr>
        <w:t xml:space="preserve"> </w:t>
      </w:r>
      <w:r>
        <w:rPr>
          <w:rFonts w:ascii="Times New Roman;serif" w:hAnsi="Times New Roman;serif"/>
          <w:b w:val="false"/>
          <w:sz w:val="20"/>
        </w:rPr>
        <w:t>reverse stock split effective January 5, 2023, a total of 32 Public Warrants or Private Warrants would need to be exercised for one share of Class A Common Stock.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bidi w:val="0"/>
        <w:spacing w:before="240" w:after="0"/>
        <w:jc w:val="left"/>
        <w:rPr>
          <w:rFonts w:ascii="Times New Roman" w:hAnsi="Times New Roman"/>
          <w:sz w:val="20"/>
        </w:rPr>
      </w:pPr>
      <w:r>
        <w:rPr>
          <w:rFonts w:ascii="Times New Roman;serif" w:hAnsi="Times New Roman;serif"/>
          <w:b w:val="false"/>
          <w:sz w:val="20"/>
        </w:rPr>
        <w:t>The Public Warrants and the Private Warrants have an exercise price of $368</w:t>
      </w:r>
      <w:r>
        <w:rPr>
          <w:rFonts w:ascii="Times New Roman" w:hAnsi="Times New Roman"/>
          <w:sz w:val="20"/>
        </w:rPr>
        <w:t xml:space="preserve"> </w:t>
      </w:r>
      <w:r>
        <w:rPr>
          <w:rFonts w:ascii="Times New Roman;serif" w:hAnsi="Times New Roman;serif"/>
          <w:b w:val="false"/>
          <w:sz w:val="20"/>
        </w:rPr>
        <w:t>per share, subject to adjustments and will expire five years</w:t>
      </w:r>
      <w:r>
        <w:rPr>
          <w:rFonts w:ascii="Times New Roman" w:hAnsi="Times New Roman"/>
          <w:sz w:val="20"/>
        </w:rPr>
        <w:t xml:space="preserve"> </w:t>
      </w:r>
      <w:r>
        <w:rPr>
          <w:rFonts w:ascii="Times New Roman;serif" w:hAnsi="Times New Roman;serif"/>
          <w:b w:val="false"/>
          <w:sz w:val="20"/>
        </w:rPr>
        <w:t>after the completion of the Business Combination or earlier upon redemption or liquidation.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Redemption of Public Warrants when the price per share of Class A Common Stock equals or exceeds $576.00:</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Once the Public Warrants become exercisable, the Company may redeem the outstanding Public Warrants for cash: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in whole and not in part;</w:t>
      </w:r>
    </w:p>
    <w:p>
      <w:pPr>
        <w:pStyle w:val="TextBody"/>
        <w:bidi w:val="0"/>
        <w:spacing w:before="120" w:after="0"/>
        <w:jc w:val="left"/>
        <w:rPr>
          <w:rFonts w:ascii="Times New Roman" w:hAnsi="Times New Roman"/>
          <w:sz w:val="20"/>
        </w:rPr>
      </w:pPr>
      <w:r>
        <w:rPr>
          <w:rFonts w:ascii="Times New Roman;serif" w:hAnsi="Times New Roman;serif"/>
          <w:b w:val="false"/>
          <w:sz w:val="20"/>
        </w:rPr>
        <w:t> at a price of $0.01</w:t>
      </w:r>
      <w:r>
        <w:rPr>
          <w:rFonts w:ascii="Times New Roman" w:hAnsi="Times New Roman"/>
          <w:sz w:val="20"/>
        </w:rPr>
        <w:t xml:space="preserve"> </w:t>
      </w:r>
      <w:r>
        <w:rPr>
          <w:rFonts w:ascii="Times New Roman;serif" w:hAnsi="Times New Roman;serif"/>
          <w:b w:val="false"/>
          <w:sz w:val="20"/>
        </w:rPr>
        <w:t>per warrant;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val="false"/>
          <w:sz w:val="20"/>
        </w:rPr>
        <w:t> upon a minimum of 30</w:t>
      </w:r>
      <w:r>
        <w:rPr>
          <w:rFonts w:ascii="Times New Roman" w:hAnsi="Times New Roman"/>
          <w:sz w:val="20"/>
        </w:rPr>
        <w:t xml:space="preserve"> </w:t>
      </w:r>
      <w:r>
        <w:rPr>
          <w:rFonts w:ascii="Times New Roman;serif" w:hAnsi="Times New Roman;serif"/>
          <w:b w:val="false"/>
          <w:sz w:val="20"/>
        </w:rPr>
        <w:t>days prior written notice of redemption; and if, and only if, the closing price of Class A Common Stock equals or exceeds $576.00</w:t>
      </w:r>
      <w:r>
        <w:rPr>
          <w:rFonts w:ascii="Times New Roman" w:hAnsi="Times New Roman"/>
          <w:sz w:val="20"/>
        </w:rPr>
        <w:t xml:space="preserve"> </w:t>
      </w:r>
      <w:r>
        <w:rPr>
          <w:rFonts w:ascii="Times New Roman;serif" w:hAnsi="Times New Roman;serif"/>
          <w:b w:val="false"/>
          <w:sz w:val="20"/>
        </w:rPr>
        <w:t>per share (as adjusted) for any 20</w:t>
      </w:r>
      <w:r>
        <w:rPr>
          <w:rFonts w:ascii="Times New Roman" w:hAnsi="Times New Roman"/>
          <w:sz w:val="20"/>
        </w:rPr>
        <w:t xml:space="preserve"> </w:t>
      </w:r>
      <w:r>
        <w:rPr>
          <w:rFonts w:ascii="Times New Roman;serif" w:hAnsi="Times New Roman;serif"/>
          <w:b w:val="false"/>
          <w:sz w:val="20"/>
        </w:rPr>
        <w:t>trading days within a 30-trading day period ending on the third</w:t>
      </w:r>
      <w:r>
        <w:rPr>
          <w:rFonts w:ascii="Times New Roman" w:hAnsi="Times New Roman"/>
          <w:sz w:val="20"/>
        </w:rPr>
        <w:t xml:space="preserve"> </w:t>
      </w:r>
      <w:r>
        <w:rPr>
          <w:rFonts w:ascii="Times New Roman;serif" w:hAnsi="Times New Roman;serif"/>
          <w:b w:val="false"/>
          <w:sz w:val="20"/>
        </w:rPr>
        <w:t>trading day prior to the date on which the Company sends the notice of redemption to the warrant holders.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Redemption of Public Warrants for when the price per share of Class A Common Stock equals or exceeds $320.00:</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Once the Public Warrants become exercisable, the Company may redeem the outstanding Public Warrants:</w:t>
      </w:r>
    </w:p>
    <w:p>
      <w:pPr>
        <w:pStyle w:val="TextBody"/>
        <w:bidi w:val="0"/>
        <w:spacing w:before="120" w:after="0"/>
        <w:jc w:val="left"/>
        <w:rPr>
          <w:rFonts w:ascii="Times New Roman" w:hAnsi="Times New Roman"/>
          <w:sz w:val="20"/>
        </w:rPr>
      </w:pPr>
      <w:r>
        <w:rPr>
          <w:rFonts w:ascii="Times New Roman;serif" w:hAnsi="Times New Roman;serif"/>
          <w:b w:val="false"/>
          <w:sz w:val="20"/>
        </w:rPr>
        <w:t> in whole and not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at $0.10</w:t>
      </w:r>
      <w:r>
        <w:rPr>
          <w:rFonts w:ascii="Times New Roman" w:hAnsi="Times New Roman"/>
          <w:sz w:val="20"/>
        </w:rPr>
        <w:t xml:space="preserve"> </w:t>
      </w:r>
      <w:r>
        <w:rPr>
          <w:rFonts w:ascii="Times New Roman;serif" w:hAnsi="Times New Roman;serif"/>
          <w:b w:val="false"/>
          <w:sz w:val="20"/>
        </w:rPr>
        <w:t>per warrant upon a minimum of 30</w:t>
      </w:r>
      <w:r>
        <w:rPr>
          <w:rFonts w:ascii="Times New Roman" w:hAnsi="Times New Roman"/>
          <w:sz w:val="20"/>
        </w:rPr>
        <w:t xml:space="preserve"> </w:t>
      </w:r>
      <w:r>
        <w:rPr>
          <w:rFonts w:ascii="Times New Roman;serif" w:hAnsi="Times New Roman;serif"/>
          <w:b w:val="false"/>
          <w:sz w:val="20"/>
        </w:rPr>
        <w:t>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bidi w:val="0"/>
        <w:spacing w:before="120" w:after="0"/>
        <w:jc w:val="left"/>
        <w:rPr>
          <w:rFonts w:ascii="Times New Roman" w:hAnsi="Times New Roman"/>
          <w:sz w:val="20"/>
        </w:rPr>
      </w:pPr>
      <w:r>
        <w:rPr>
          <w:rFonts w:ascii="Times New Roman;serif" w:hAnsi="Times New Roman;serif"/>
          <w:b w:val="false"/>
          <w:sz w:val="20"/>
        </w:rPr>
        <w:t> if, and only if, the closing price of Class A Common Stock equals or exceeds $320.00</w:t>
      </w:r>
      <w:r>
        <w:rPr>
          <w:rFonts w:ascii="Times New Roman" w:hAnsi="Times New Roman"/>
          <w:sz w:val="20"/>
        </w:rPr>
        <w:t xml:space="preserve"> </w:t>
      </w:r>
      <w:r>
        <w:rPr>
          <w:rFonts w:ascii="Times New Roman;serif" w:hAnsi="Times New Roman;serif"/>
          <w:b w:val="false"/>
          <w:sz w:val="20"/>
        </w:rPr>
        <w:t>per Public Share (as adjusted) for any 20</w:t>
      </w:r>
      <w:r>
        <w:rPr>
          <w:rFonts w:ascii="Times New Roman" w:hAnsi="Times New Roman"/>
          <w:sz w:val="20"/>
        </w:rPr>
        <w:t xml:space="preserve"> </w:t>
      </w:r>
      <w:r>
        <w:rPr>
          <w:rFonts w:ascii="Times New Roman;serif" w:hAnsi="Times New Roman;serif"/>
          <w:b w:val="false"/>
          <w:sz w:val="20"/>
        </w:rPr>
        <w:t>trading days within the 30-trading day period ending three</w:t>
      </w:r>
      <w:r>
        <w:rPr>
          <w:rFonts w:ascii="Times New Roman" w:hAnsi="Times New Roman"/>
          <w:sz w:val="20"/>
        </w:rPr>
        <w:t xml:space="preserve"> </w:t>
      </w:r>
      <w:r>
        <w:rPr>
          <w:rFonts w:ascii="Times New Roman;serif" w:hAnsi="Times New Roman;serif"/>
          <w:b w:val="false"/>
          <w:sz w:val="20"/>
        </w:rPr>
        <w:t>trading days before the Company sends notice of redemption to the warrant holders.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spacing w:before="240" w:after="0"/>
        <w:jc w:val="left"/>
        <w:rPr>
          <w:rFonts w:ascii="Times New Roman" w:hAnsi="Times New Roman"/>
          <w:sz w:val="20"/>
        </w:rPr>
      </w:pPr>
      <w:r>
        <w:rPr>
          <w:rFonts w:ascii="Times New Roman;serif" w:hAnsi="Times New Roman;serif"/>
          <w:b w:val="false"/>
          <w:sz w:val="20"/>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w:t>
      </w:r>
      <w:r>
        <w:rPr>
          <w:rFonts w:ascii="Times New Roman" w:hAnsi="Times New Roman"/>
          <w:sz w:val="20"/>
        </w:rPr>
        <w:t xml:space="preserve"> </w:t>
      </w:r>
      <w:r>
        <w:rPr>
          <w:rFonts w:ascii="Times New Roman;serif" w:hAnsi="Times New Roman;serif"/>
          <w:b w:val="false"/>
          <w:sz w:val="20"/>
        </w:rPr>
        <w:t>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w:t>
      </w:r>
      <w:r>
        <w:rPr>
          <w:rFonts w:ascii="Times New Roman" w:hAnsi="Times New Roman"/>
          <w:sz w:val="20"/>
        </w:rPr>
        <w:t xml:space="preserve"> </w:t>
      </w:r>
      <w:r>
        <w:rPr>
          <w:rFonts w:ascii="Times New Roman;serif" w:hAnsi="Times New Roman;serif"/>
          <w:b w:val="false"/>
          <w:sz w:val="20"/>
        </w:rPr>
        <w:t>million (“Qualified Financing Event”) or immediately prior to the consummation of a liquidity event. The exercise price of the warrants is the greater of (i) 80% of the fair market value of each share of Common Stock at the Equity Closing Date and (ii) $120.0656</w:t>
      </w:r>
      <w:r>
        <w:rPr>
          <w:rFonts w:ascii="Times New Roman" w:hAnsi="Times New Roman"/>
          <w:sz w:val="20"/>
        </w:rPr>
        <w:t xml:space="preserve"> </w:t>
      </w:r>
      <w:r>
        <w:rPr>
          <w:rFonts w:ascii="Times New Roman;serif" w:hAnsi="Times New Roman;serif"/>
          <w:b w:val="false"/>
          <w:sz w:val="20"/>
        </w:rPr>
        <w:t>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unaudited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w:t>
      </w:r>
      <w:r>
        <w:rPr>
          <w:rFonts w:ascii="Times New Roman" w:hAnsi="Times New Roman"/>
          <w:sz w:val="20"/>
        </w:rPr>
        <w:t xml:space="preserve"> </w:t>
      </w:r>
      <w:r>
        <w:rPr>
          <w:rFonts w:ascii="Times New Roman;serif" w:hAnsi="Times New Roman;serif"/>
          <w:b w:val="false"/>
          <w:sz w:val="20"/>
        </w:rPr>
        <w:t>million using the Black-Scholes option-pricing model. Determining the fair value of these warrants under this model requires subjective assumptions. These estimates involve inherent uncertainties and the application of management’s judgment.</w:t>
      </w:r>
    </w:p>
    <w:p>
      <w:pPr>
        <w:pStyle w:val="TextBody"/>
        <w:bidi w:val="0"/>
        <w:spacing w:before="240" w:after="0"/>
        <w:jc w:val="left"/>
        <w:rPr>
          <w:rFonts w:ascii="Times New Roman" w:hAnsi="Times New Roman"/>
          <w:sz w:val="20"/>
        </w:rPr>
      </w:pPr>
      <w:r>
        <w:rPr>
          <w:rFonts w:ascii="Times New Roman;serif" w:hAnsi="Times New Roman;serif"/>
          <w:b w:val="false"/>
          <w:sz w:val="20"/>
        </w:rPr>
        <w:t>Immediately prior to the close of the Business Combination, all, or 1,664,394</w:t>
      </w:r>
      <w:r>
        <w:rPr>
          <w:rFonts w:ascii="Times New Roman" w:hAnsi="Times New Roman"/>
          <w:sz w:val="20"/>
        </w:rPr>
        <w:t xml:space="preserve"> </w:t>
      </w:r>
      <w:r>
        <w:rPr>
          <w:rFonts w:ascii="Times New Roman;serif" w:hAnsi="Times New Roman;serif"/>
          <w:b w:val="false"/>
          <w:sz w:val="20"/>
        </w:rPr>
        <w:t>of</w:t>
      </w:r>
      <w:r>
        <w:rPr>
          <w:rFonts w:ascii="Times New Roman" w:hAnsi="Times New Roman"/>
          <w:sz w:val="20"/>
        </w:rPr>
        <w:t xml:space="preserve"> </w:t>
      </w:r>
      <w:r>
        <w:rPr>
          <w:rFonts w:ascii="Times New Roman;serif" w:hAnsi="Times New Roman;serif"/>
          <w:b w:val="false"/>
          <w:sz w:val="20"/>
        </w:rPr>
        <w:t>the vested warrants were exercised and net settled for 14,087</w:t>
      </w:r>
      <w:r>
        <w:rPr>
          <w:rFonts w:ascii="Times New Roman" w:hAnsi="Times New Roman"/>
          <w:sz w:val="20"/>
        </w:rPr>
        <w:t xml:space="preserve"> </w:t>
      </w:r>
      <w:r>
        <w:rPr>
          <w:rFonts w:ascii="Times New Roman;serif" w:hAnsi="Times New Roman;serif"/>
          <w:b w:val="false"/>
          <w:sz w:val="20"/>
        </w:rPr>
        <w:t>shares of Legacy Dave’s Class A Common Stock after applying the exchange ratio for the Business Combination.</w:t>
      </w:r>
    </w:p>
    <w:p>
      <w:pPr>
        <w:pStyle w:val="TextBody"/>
        <w:bidi w:val="0"/>
        <w:spacing w:before="360" w:after="0"/>
        <w:jc w:val="left"/>
        <w:rPr>
          <w:rFonts w:ascii="Times New Roman" w:hAnsi="Times New Roman"/>
          <w:sz w:val="20"/>
        </w:rPr>
      </w:pPr>
      <w:r>
        <w:rPr>
          <w:rFonts w:ascii="Times New Roman;serif" w:hAnsi="Times New Roman;serif"/>
          <w:b/>
          <w:sz w:val="20"/>
        </w:rPr>
        <w:t>Note 10 Debt Facility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January 2021, Dave OD Funding I, LLC (“Borrower”) entered into a delayed draw senior secured loan facility (the “Debt Facility”) with Victory Park Management, LLC (“Agent”), allowing the Borrower to draw up to $100</w:t>
      </w:r>
      <w:r>
        <w:rPr>
          <w:rFonts w:ascii="Times New Roman" w:hAnsi="Times New Roman"/>
          <w:sz w:val="20"/>
        </w:rPr>
        <w:t xml:space="preserve"> </w:t>
      </w:r>
      <w:r>
        <w:rPr>
          <w:rFonts w:ascii="Times New Roman;serif" w:hAnsi="Times New Roman;serif"/>
          <w:b w:val="false"/>
          <w:sz w:val="20"/>
        </w:rPr>
        <w:t xml:space="preserve">million from various lenders associated with Victory Park Management, LLC (the “Lenders”). The Debt Facility has an interest rate of 6.95% annually plus a base rate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0"/>
        </w:rPr>
        <w:t>defined as the greater of three-month LIBOR</w:t>
      </w:r>
      <w:r>
        <w:rPr>
          <w:rFonts w:ascii="Times New Roman;serif" w:hAnsi="Times New Roman;serif"/>
          <w:sz w:val="20"/>
        </w:rPr>
        <w:t xml:space="preserve"> </w:t>
      </w:r>
      <w:r>
        <w:rPr>
          <w:rFonts w:ascii="Times New Roman;serif" w:hAnsi="Times New Roman;serif"/>
          <w:b w:val="false"/>
          <w:sz w:val="20"/>
        </w:rPr>
        <w:t>(as of the last business day of each calendar month) and 2.55%. The use of LIBOR was phased out on June 30, 2023. Effective July 1, 2023, the base rate is equal to the three-month term Secured Overnight Financing Rate (“SOFR”)</w:t>
      </w:r>
      <w:r>
        <w:rPr>
          <w:rFonts w:ascii="Times New Roman;serif" w:hAnsi="Times New Roman;serif"/>
          <w:sz w:val="20"/>
        </w:rPr>
        <w:t xml:space="preserve"> </w:t>
      </w:r>
      <w:r>
        <w:rPr>
          <w:rFonts w:ascii="Times New Roman;serif" w:hAnsi="Times New Roman;serif"/>
          <w:b w:val="false"/>
          <w:sz w:val="20"/>
        </w:rPr>
        <w:t>plus 0.30% for all interest rate calculations.</w:t>
      </w:r>
      <w:r>
        <w:rPr>
          <w:rFonts w:ascii="Times New Roman" w:hAnsi="Times New Roman"/>
          <w:sz w:val="20"/>
        </w:rPr>
        <w:t xml:space="preserve"> </w:t>
      </w:r>
      <w:r>
        <w:rPr>
          <w:rFonts w:ascii="Times New Roman;serif" w:hAnsi="Times New Roman;serif"/>
          <w:b w:val="false"/>
          <w:sz w:val="20"/>
        </w:rPr>
        <w:t>Interest is payable monthly in arrears. The Debt Facility has certain financial covenants, including a requirement to maintain a minimum cash, cash equivalents, or marketable securities</w:t>
      </w:r>
      <w:r>
        <w:rPr>
          <w:rFonts w:ascii="Times New Roman" w:hAnsi="Times New Roman"/>
          <w:sz w:val="20"/>
        </w:rPr>
        <w:t xml:space="preserve"> </w:t>
      </w:r>
      <w:r>
        <w:rPr>
          <w:rFonts w:ascii="Times New Roman;serif" w:hAnsi="Times New Roman;serif"/>
          <w:b w:val="false"/>
          <w:sz w:val="20"/>
        </w:rPr>
        <w:t>balance of</w:t>
      </w:r>
      <w:r>
        <w:rPr>
          <w:rFonts w:ascii="Times New Roman" w:hAnsi="Times New Roman"/>
          <w:sz w:val="20"/>
        </w:rPr>
        <w:t xml:space="preserve"> </w:t>
      </w:r>
      <w:r>
        <w:rPr>
          <w:rFonts w:ascii="Times New Roman;serif" w:hAnsi="Times New Roman;serif"/>
          <w:b w:val="false"/>
          <w:sz w:val="20"/>
        </w:rPr>
        <w:t>$8.0</w:t>
      </w:r>
      <w:r>
        <w:rPr>
          <w:rFonts w:ascii="Times New Roman" w:hAnsi="Times New Roman"/>
          <w:sz w:val="20"/>
        </w:rPr>
        <w:t xml:space="preserve"> </w:t>
      </w:r>
      <w:r>
        <w:rPr>
          <w:rFonts w:ascii="Times New Roman;serif" w:hAnsi="Times New Roman;serif"/>
          <w:b w:val="false"/>
          <w:sz w:val="20"/>
        </w:rPr>
        <w:t>million. As of June 30, 2023, the Company was in compliance with all covenants. Payments of the loan draws are due at the following dates: (i) within five business days after the date of receipt by the Borrower and the Company (each, a “Credit Party”) or any of their subsidiaries of any net cash proceeds in excess of $250</w:t>
      </w:r>
      <w:r>
        <w:rPr>
          <w:rFonts w:ascii="Times New Roman" w:hAnsi="Times New Roman"/>
          <w:sz w:val="20"/>
        </w:rPr>
        <w:t xml:space="preserve"> </w:t>
      </w:r>
      <w:r>
        <w:rPr>
          <w:rFonts w:ascii="Times New Roman;serif" w:hAnsi="Times New Roman;serif"/>
          <w:b w:val="false"/>
          <w:sz w:val="20"/>
        </w:rPr>
        <w:t>thousand in the aggregate during any fiscal year from any asset sales (other than certain permitted dispositions), the Borrower shall prepay the loans or remit such net cash proceeds in an aggregate amount equal to 100% of such net cash proceeds; (ii) within five business days after the date of receipt by any Credit Party or any of their subsidiaries, or the Agent as loss payee, of any net cash proceeds from any destruction or taking, the Borrower shall prepay the loans or remit such net cash proceeds in an aggregate amount equal to 100% of such net cash proceeds; (iii) within three business days after the date of receipt by any Credit Party or any of their subsidiaries of any net cash proceeds from the incurrence of any indebtedness of any Credit Party or any of their subsidiaries (other than with respect to permitted indebtedness), the Borrower shall prepay the loans or remit such net cash proceeds in an aggregate amount equal to 100% of such net cash proceeds; and (iv) (a) if extraordinary receipts are received by any Credit Party in the aggregate amount in any fiscal year in excess of $250</w:t>
      </w:r>
      <w:r>
        <w:rPr>
          <w:rFonts w:ascii="Times New Roman" w:hAnsi="Times New Roman"/>
          <w:sz w:val="20"/>
        </w:rPr>
        <w:t xml:space="preserve"> </w:t>
      </w:r>
      <w:r>
        <w:rPr>
          <w:rFonts w:ascii="Times New Roman;serif" w:hAnsi="Times New Roman;serif"/>
          <w:b w:val="false"/>
          <w:sz w:val="20"/>
        </w:rPr>
        <w:t>thousand or (b) if an event of default has occurred and is continuing at any time when any extraordinary receipts are received by any Credit Party, then within five business days of the receipt by any Credit Party of any such extraordinary receipts, the Borrower shall prepay the loans or remit such net cash proceeds in an aggregate amount equal to (x) 100% of such extraordinary receipts in excess of $250</w:t>
      </w:r>
      <w:r>
        <w:rPr>
          <w:rFonts w:ascii="Times New Roman" w:hAnsi="Times New Roman"/>
          <w:sz w:val="20"/>
        </w:rPr>
        <w:t xml:space="preserve"> </w:t>
      </w:r>
      <w:r>
        <w:rPr>
          <w:rFonts w:ascii="Times New Roman;serif" w:hAnsi="Times New Roman;serif"/>
          <w:b w:val="false"/>
          <w:sz w:val="20"/>
        </w:rPr>
        <w:t>thousand in respect of clause (a) above and (y) 100% of such extraordinary receipts in respect of clause (b) above. As of June 30, 2023 and December 31, 2022, the Company had drawn $75.0</w:t>
      </w:r>
      <w:r>
        <w:rPr>
          <w:rFonts w:ascii="Times New Roman" w:hAnsi="Times New Roman"/>
          <w:sz w:val="20"/>
        </w:rPr>
        <w:t xml:space="preserve"> </w:t>
      </w:r>
      <w:r>
        <w:rPr>
          <w:rFonts w:ascii="Times New Roman;serif" w:hAnsi="Times New Roman;serif"/>
          <w:b w:val="false"/>
          <w:sz w:val="20"/>
        </w:rPr>
        <w:t>million on the Debt Facility and had made no repayments. The debt facility matures in January 2025.</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sz w:val="20"/>
        </w:rPr>
        <w:t>Note 11 Commitments and Contingencies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From time to time, the Company is subject to various legal proceedings and claims, either asserted or unasserted, that arise in the ordinary course of business.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1. Martinsek v. Dave Inc. (filed January 9, 2020</w:t>
      </w:r>
      <w:r>
        <w:rPr>
          <w:rFonts w:ascii="Times New Roman" w:hAnsi="Times New Roman"/>
          <w:sz w:val="20"/>
        </w:rPr>
        <w:t xml:space="preserve"> </w:t>
      </w:r>
      <w:r>
        <w:rPr>
          <w:rFonts w:ascii="Times New Roman;serif" w:hAnsi="Times New Roman;serif"/>
          <w:b w:val="false"/>
          <w:sz w:val="20"/>
        </w:rPr>
        <w:t>in the California Superior Court for the County of Los Angeles)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Company settled this matter in January 2023 for approximately $6.0</w:t>
      </w:r>
      <w:r>
        <w:rPr>
          <w:rFonts w:ascii="Times New Roman" w:hAnsi="Times New Roman"/>
          <w:sz w:val="20"/>
        </w:rPr>
        <w:t xml:space="preserve"> </w:t>
      </w:r>
      <w:r>
        <w:rPr>
          <w:rFonts w:ascii="Times New Roman;serif" w:hAnsi="Times New Roman;serif"/>
          <w:b w:val="false"/>
          <w:sz w:val="20"/>
        </w:rPr>
        <w:t>million which</w:t>
      </w:r>
      <w:r>
        <w:rPr>
          <w:rFonts w:ascii="Times New Roman" w:hAnsi="Times New Roman"/>
          <w:sz w:val="20"/>
        </w:rPr>
        <w:t xml:space="preserve"> </w:t>
      </w:r>
      <w:r>
        <w:rPr>
          <w:rFonts w:ascii="Times New Roman;serif" w:hAnsi="Times New Roman;serif"/>
          <w:b w:val="false"/>
          <w:sz w:val="20"/>
        </w:rPr>
        <w:t>was included in the Legal settlement accrual within the unaudited condensed consolidated balance sheet for the period ended December 31, 2022.</w:t>
      </w:r>
    </w:p>
    <w:p>
      <w:pPr>
        <w:pStyle w:val="TextBody"/>
        <w:bidi w:val="0"/>
        <w:spacing w:before="240" w:after="0"/>
        <w:jc w:val="left"/>
        <w:rPr>
          <w:rFonts w:ascii="Times New Roman" w:hAnsi="Times New Roman"/>
          <w:sz w:val="20"/>
        </w:rPr>
      </w:pPr>
      <w:r>
        <w:rPr>
          <w:rFonts w:ascii="Times New Roman;serif" w:hAnsi="Times New Roman;serif"/>
          <w:b w:val="false"/>
          <w:sz w:val="20"/>
        </w:rPr>
        <w:t>2. Stoffers v. Dave Inc. (filed September 16, 2020</w:t>
      </w:r>
      <w:r>
        <w:rPr>
          <w:rFonts w:ascii="Times New Roman" w:hAnsi="Times New Roman"/>
          <w:sz w:val="20"/>
        </w:rPr>
        <w:t xml:space="preserve"> </w:t>
      </w:r>
      <w:r>
        <w:rPr>
          <w:rFonts w:ascii="Times New Roman;serif" w:hAnsi="Times New Roman;serif"/>
          <w:b w:val="false"/>
          <w:sz w:val="20"/>
        </w:rPr>
        <w:t>in LA County Superior Court)</w:t>
      </w:r>
    </w:p>
    <w:p>
      <w:pPr>
        <w:pStyle w:val="TextBody"/>
        <w:bidi w:val="0"/>
        <w:spacing w:before="240" w:after="0"/>
        <w:jc w:val="left"/>
        <w:rPr>
          <w:rFonts w:ascii="Times New Roman" w:hAnsi="Times New Roman"/>
          <w:sz w:val="20"/>
        </w:rPr>
      </w:pPr>
      <w:r>
        <w:rPr>
          <w:rFonts w:ascii="Times New Roman;serif" w:hAnsi="Times New Roman;serif"/>
          <w:b w:val="false"/>
          <w:sz w:val="20"/>
        </w:rPr>
        <w:t>This is a purported class action lawsuit filed in connection with a July 2020 data breach. The Company is in the process of settling this matter and the estimated settlement amount of approximately $3.2</w:t>
      </w:r>
      <w:r>
        <w:rPr>
          <w:rFonts w:ascii="Times New Roman" w:hAnsi="Times New Roman"/>
          <w:sz w:val="20"/>
        </w:rPr>
        <w:t xml:space="preserve"> </w:t>
      </w:r>
      <w:r>
        <w:rPr>
          <w:rFonts w:ascii="Times New Roman;serif" w:hAnsi="Times New Roman;serif"/>
          <w:b w:val="false"/>
          <w:sz w:val="20"/>
        </w:rPr>
        <w:t>million is included in the Legal settlement accrual within the unaudited condensed consolidated balance sheets for the period ended June 30, 2023 and December 31, 2022.</w:t>
      </w:r>
    </w:p>
    <w:p>
      <w:pPr>
        <w:pStyle w:val="TextBody"/>
        <w:bidi w:val="0"/>
        <w:spacing w:before="240" w:after="0"/>
        <w:jc w:val="left"/>
        <w:rPr>
          <w:rFonts w:ascii="Times New Roman" w:hAnsi="Times New Roman"/>
          <w:sz w:val="20"/>
        </w:rPr>
      </w:pPr>
      <w:r>
        <w:rPr>
          <w:rFonts w:ascii="Times New Roman;serif" w:hAnsi="Times New Roman;serif"/>
          <w:b w:val="false"/>
          <w:sz w:val="20"/>
        </w:rPr>
        <w:t>3. The Company has recorded an estimated legal settlement expense in the amount of $3.8</w:t>
      </w:r>
      <w:r>
        <w:rPr>
          <w:rFonts w:ascii="Times New Roman" w:hAnsi="Times New Roman"/>
          <w:sz w:val="20"/>
        </w:rPr>
        <w:t xml:space="preserve"> </w:t>
      </w:r>
      <w:r>
        <w:rPr>
          <w:rFonts w:ascii="Times New Roman;serif" w:hAnsi="Times New Roman;serif"/>
          <w:b w:val="false"/>
          <w:sz w:val="20"/>
        </w:rPr>
        <w:t>million relating to individual claims arising from the July 2020 data breach. This accrual is also included in the Legal settlement accrual within the unaudited condensed consolidated balance sheet for the period ended June 30, 2023.</w:t>
      </w:r>
    </w:p>
    <w:p>
      <w:pPr>
        <w:pStyle w:val="TextBody"/>
        <w:bidi w:val="0"/>
        <w:spacing w:before="360" w:after="0"/>
        <w:jc w:val="left"/>
        <w:rPr>
          <w:rFonts w:ascii="Times New Roman;serif" w:hAnsi="Times New Roman;serif"/>
          <w:b/>
          <w:sz w:val="20"/>
        </w:rPr>
      </w:pPr>
      <w:r>
        <w:rPr>
          <w:rFonts w:ascii="Times New Roman;serif" w:hAnsi="Times New Roman;serif"/>
          <w:b/>
          <w:sz w:val="20"/>
        </w:rPr>
        <w:t>Note 12 Leases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December 2018, the Company entered into a sublease agreement with PCJW Properties LLC (“PCJW”), controlled by Company’s founders (including the Company’s current CEO), for general office space next to the aforementioned leased property in Los Angeles, California. The lease term is five years</w:t>
      </w:r>
      <w:r>
        <w:rPr>
          <w:rFonts w:ascii="Times New Roman" w:hAnsi="Times New Roman"/>
          <w:sz w:val="20"/>
        </w:rPr>
        <w:t xml:space="preserve"> </w:t>
      </w:r>
      <w:r>
        <w:rPr>
          <w:rFonts w:ascii="Times New Roman;serif" w:hAnsi="Times New Roman;serif"/>
          <w:b w:val="false"/>
          <w:sz w:val="20"/>
        </w:rPr>
        <w:t>subject to early termination by either party. The current monthly lease paymen</w:t>
      </w:r>
      <w:r>
        <w:rPr>
          <w:rFonts w:ascii="Times New Roman;serif" w:hAnsi="Times New Roman;serif"/>
          <w:b w:val="false"/>
          <w:strike/>
          <w:sz w:val="20"/>
        </w:rPr>
        <w:t>t</w:t>
      </w:r>
      <w:r>
        <w:rPr>
          <w:rFonts w:ascii="Times New Roman" w:hAnsi="Times New Roman"/>
          <w:sz w:val="20"/>
        </w:rPr>
        <w:t xml:space="preserve"> </w:t>
      </w:r>
      <w:r>
        <w:rPr>
          <w:rFonts w:ascii="Times New Roman;serif" w:hAnsi="Times New Roman;serif"/>
          <w:b w:val="false"/>
          <w:sz w:val="20"/>
        </w:rPr>
        <w:t>is $0.006</w:t>
      </w:r>
      <w:r>
        <w:rPr>
          <w:rFonts w:ascii="Times New Roman" w:hAnsi="Times New Roman"/>
          <w:sz w:val="20"/>
        </w:rPr>
        <w:t xml:space="preserve"> </w:t>
      </w:r>
      <w:r>
        <w:rPr>
          <w:rFonts w:ascii="Times New Roman;serif" w:hAnsi="Times New Roman;serif"/>
          <w:b w:val="false"/>
          <w:sz w:val="20"/>
        </w:rPr>
        <w:t>million, subject to an annual escalation of 4%.</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In January 2019, the Company entered into a lease agreement with PCJW for office space located in Los Angeles, California. The lease term is seven years, beginning January 1, 2019 and ending December 31, 2025. The current monthly lease payment is $0.02</w:t>
      </w:r>
      <w:r>
        <w:rPr>
          <w:rFonts w:ascii="Times New Roman" w:hAnsi="Times New Roman"/>
          <w:sz w:val="20"/>
        </w:rPr>
        <w:t xml:space="preserve"> </w:t>
      </w:r>
      <w:r>
        <w:rPr>
          <w:rFonts w:ascii="Times New Roman;serif" w:hAnsi="Times New Roman;serif"/>
          <w:b w:val="false"/>
          <w:sz w:val="20"/>
        </w:rPr>
        <w:t>million, subject to an annual escalation of 5%.</w:t>
      </w:r>
    </w:p>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In May 2020, the Company entered into a sublease with Whalerock for general office space in West Hollywood, California. Under the terms of the sublease, the lease term is approximately 12</w:t>
      </w:r>
      <w:r>
        <w:rPr>
          <w:rFonts w:ascii="Times New Roman" w:hAnsi="Times New Roman"/>
          <w:sz w:val="20"/>
        </w:rPr>
        <w:t xml:space="preserve"> </w:t>
      </w:r>
      <w:r>
        <w:rPr>
          <w:rFonts w:ascii="Times New Roman;serif" w:hAnsi="Times New Roman;serif"/>
          <w:b w:val="false"/>
          <w:sz w:val="20"/>
        </w:rPr>
        <w:t>months and the monthly rent was approximately $0.1</w:t>
      </w:r>
      <w:r>
        <w:rPr>
          <w:rFonts w:ascii="Times New Roman" w:hAnsi="Times New Roman"/>
          <w:sz w:val="20"/>
        </w:rPr>
        <w:t xml:space="preserve"> </w:t>
      </w:r>
      <w:r>
        <w:rPr>
          <w:rFonts w:ascii="Times New Roman;serif" w:hAnsi="Times New Roman;serif"/>
          <w:b w:val="false"/>
          <w:sz w:val="20"/>
        </w:rPr>
        <w:t>million. The Company began utilizing the office space in June 2021. The lease was abandoned in August 2022.</w:t>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All leases were classified as operating and operating lease expenses are presented within Other operating expenses in the unaudited condensed consolidated statements of operations. The Company does not have any finance leases or sublease arrangements where the Company is the sublessor. The Company’s leasing activities are as follows (in thousands):</w:t>
      </w:r>
    </w:p>
    <w:p>
      <w:pPr>
        <w:pStyle w:val="TextBody"/>
        <w:bidi w:val="0"/>
        <w:spacing w:before="0" w:after="0"/>
        <w:jc w:val="left"/>
        <w:rPr/>
      </w:pPr>
      <w:r>
        <w:rPr/>
        <w:t> </w:t>
      </w:r>
    </w:p>
    <w:tbl>
      <w:tblPr>
        <w:tblW w:w="4902" w:type="dxa"/>
        <w:jc w:val="left"/>
        <w:tblInd w:w="0" w:type="dxa"/>
        <w:tblLayout w:type="fixed"/>
        <w:tblCellMar>
          <w:top w:w="28" w:type="dxa"/>
          <w:left w:w="28" w:type="dxa"/>
          <w:bottom w:w="28" w:type="dxa"/>
          <w:right w:w="28" w:type="dxa"/>
        </w:tblCellMar>
      </w:tblPr>
      <w:tblGrid>
        <w:gridCol w:w="1801"/>
        <w:gridCol w:w="146"/>
        <w:gridCol w:w="425"/>
        <w:gridCol w:w="850"/>
        <w:gridCol w:w="214"/>
        <w:gridCol w:w="343"/>
        <w:gridCol w:w="932"/>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4" w:type="dxa"/>
            <w:gridSpan w:val="5"/>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191" w:type="dxa"/>
            <w:tcBorders/>
            <w:vAlign w:val="center"/>
          </w:tcPr>
          <w:p>
            <w:pPr>
              <w:pStyle w:val="TableContents"/>
              <w:bidi w:val="0"/>
              <w:spacing w:before="0" w:after="0"/>
              <w:ind w:left="0" w:right="0" w:hanging="0"/>
              <w:jc w:val="center"/>
              <w:rPr/>
            </w:pPr>
            <w:r>
              <w:rPr/>
              <w:t> </w:t>
            </w:r>
          </w:p>
        </w:tc>
      </w:tr>
      <w:tr>
        <w:trPr/>
        <w:tc>
          <w:tcPr>
            <w:tcW w:w="18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214"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w:t>
            </w:r>
          </w:p>
        </w:tc>
        <w:tc>
          <w:tcPr>
            <w:tcW w:w="191" w:type="dxa"/>
            <w:tcBorders/>
            <w:vAlign w:val="center"/>
          </w:tcPr>
          <w:p>
            <w:pPr>
              <w:pStyle w:val="TableContents"/>
              <w:bidi w:val="0"/>
              <w:spacing w:before="0" w:after="0"/>
              <w:ind w:left="0" w:right="0" w:hanging="0"/>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lease cost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172</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1,014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082" w:type="dxa"/>
        <w:jc w:val="left"/>
        <w:tblInd w:w="0" w:type="dxa"/>
        <w:tblLayout w:type="fixed"/>
        <w:tblCellMar>
          <w:top w:w="28" w:type="dxa"/>
          <w:left w:w="28" w:type="dxa"/>
          <w:bottom w:w="28" w:type="dxa"/>
          <w:right w:w="28" w:type="dxa"/>
        </w:tblCellMar>
      </w:tblPr>
      <w:tblGrid>
        <w:gridCol w:w="4711"/>
        <w:gridCol w:w="146"/>
        <w:gridCol w:w="397"/>
        <w:gridCol w:w="878"/>
        <w:gridCol w:w="359"/>
        <w:gridCol w:w="344"/>
        <w:gridCol w:w="931"/>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9" w:type="dxa"/>
            <w:gridSpan w:val="5"/>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316" w:type="dxa"/>
            <w:tcBorders/>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3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information:</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359"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leases</w:t>
            </w:r>
          </w:p>
        </w:tc>
        <w:tc>
          <w:tcPr>
            <w:tcW w:w="1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359"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w:t>
            </w:r>
          </w:p>
        </w:tc>
        <w:tc>
          <w:tcPr>
            <w:tcW w:w="316"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 operating lease</w:t>
            </w:r>
          </w:p>
        </w:tc>
        <w:tc>
          <w:tcPr>
            <w:tcW w:w="1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359"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316"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 - operating lease</w:t>
            </w:r>
          </w:p>
        </w:tc>
        <w:tc>
          <w:tcPr>
            <w:tcW w:w="1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future minimum lease payments as</w:t>
      </w:r>
      <w:r>
        <w:rPr>
          <w:rFonts w:ascii="Times New Roman" w:hAnsi="Times New Roman"/>
          <w:sz w:val="20"/>
        </w:rPr>
        <w:t xml:space="preserve"> </w:t>
      </w:r>
      <w:r>
        <w:rPr>
          <w:rFonts w:ascii="Times New Roman;serif" w:hAnsi="Times New Roman;serif"/>
          <w:b w:val="false"/>
          <w:sz w:val="20"/>
        </w:rPr>
        <w:t>of June 30, 2023, were as follows (in thousands):</w:t>
      </w:r>
    </w:p>
    <w:p>
      <w:pPr>
        <w:pStyle w:val="TextBody"/>
        <w:bidi w:val="0"/>
        <w:spacing w:before="0" w:after="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Year</w:t>
            </w:r>
          </w:p>
        </w:tc>
        <w:tc>
          <w:tcPr>
            <w:tcW w:w="146" w:type="dxa"/>
            <w:tcBorders/>
            <w:vAlign w:val="center"/>
          </w:tcPr>
          <w:p>
            <w:pPr>
              <w:pStyle w:val="TableContents"/>
              <w:bidi w:val="0"/>
              <w:spacing w:before="0" w:after="0"/>
              <w:ind w:left="0" w:right="0" w:hanging="0"/>
              <w:jc w:val="left"/>
              <w:rPr/>
            </w:pPr>
            <w:r>
              <w:rPr/>
              <w:t> </w:t>
            </w:r>
          </w:p>
        </w:tc>
        <w:tc>
          <w:tcPr>
            <w:tcW w:w="24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Related-Party Commitment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w:t>
            </w:r>
          </w:p>
        </w:tc>
        <w:tc>
          <w:tcPr>
            <w:tcW w:w="14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2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2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211" w:type="dxa"/>
            <w:tcBorders/>
            <w:vAlign w:val="center"/>
          </w:tcPr>
          <w:p>
            <w:pPr>
              <w:pStyle w:val="TableContents"/>
              <w:bidi w:val="0"/>
              <w:spacing w:before="0" w:after="0"/>
              <w:ind w:left="0" w:right="0" w:hanging="0"/>
              <w:jc w:val="left"/>
              <w:rPr/>
            </w:pPr>
            <w:r>
              <w:rPr/>
              <w:t> </w:t>
            </w:r>
          </w:p>
        </w:tc>
      </w:tr>
      <w:tr>
        <w:trPr/>
        <w:tc>
          <w:tcPr>
            <w:tcW w:w="2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minimum lease payments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769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lease liabilities</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684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Note 13 Fair Value of Financial Instruments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are the major categories of assets and liabilities measured at fair value on a recurring basis as of June 30, 2023 and December 31, 2022, using quoted prices in active markets for identical assets (Level 1), significant other observable inputs (Level 2), and significant unobservable inputs (Level 3) (in thousands):</w:t>
      </w:r>
    </w:p>
    <w:p>
      <w:pPr>
        <w:pStyle w:val="TextBody"/>
        <w:bidi w:val="0"/>
        <w:spacing w:before="0" w:after="0"/>
        <w:jc w:val="left"/>
        <w:rPr/>
      </w:pPr>
      <w:r>
        <w:rPr/>
        <w:t> </w:t>
      </w:r>
    </w:p>
    <w:tbl>
      <w:tblPr>
        <w:tblW w:w="8025"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781"/>
        <w:gridCol w:w="146"/>
        <w:gridCol w:w="146"/>
        <w:gridCol w:w="245"/>
        <w:gridCol w:w="490"/>
        <w:gridCol w:w="146"/>
        <w:gridCol w:w="146"/>
        <w:gridCol w:w="211"/>
        <w:gridCol w:w="781"/>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June 30, 2023</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3,202</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125,129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3,202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125,129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128,331</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Warrant liabilities - public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Warrant liabilities - private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291" w:type="dxa"/>
            <w:tcBorders/>
            <w:vAlign w:val="center"/>
          </w:tcPr>
          <w:p>
            <w:pPr>
              <w:pStyle w:val="TableContents"/>
              <w:bidi w:val="0"/>
              <w:spacing w:before="0" w:after="0"/>
              <w:ind w:left="0" w:right="0" w:firstLine="100"/>
              <w:jc w:val="left"/>
              <w:rPr/>
            </w:pPr>
            <w:r>
              <w:rPr/>
              <w:t> </w:t>
            </w:r>
          </w:p>
        </w:tc>
      </w:tr>
      <w:tr>
        <w:trPr/>
        <w:tc>
          <w:tcPr>
            <w:tcW w:w="3211"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20"/>
              </w:rPr>
              <w:t>Earnout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497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7978" w:type="dxa"/>
        <w:jc w:val="left"/>
        <w:tblInd w:w="0" w:type="dxa"/>
        <w:tblLayout w:type="fixed"/>
        <w:tblCellMar>
          <w:top w:w="28" w:type="dxa"/>
          <w:left w:w="28" w:type="dxa"/>
          <w:bottom w:w="28" w:type="dxa"/>
          <w:right w:w="28" w:type="dxa"/>
        </w:tblCellMar>
      </w:tblPr>
      <w:tblGrid>
        <w:gridCol w:w="3211"/>
        <w:gridCol w:w="146"/>
        <w:gridCol w:w="245"/>
        <w:gridCol w:w="490"/>
        <w:gridCol w:w="146"/>
        <w:gridCol w:w="146"/>
        <w:gridCol w:w="211"/>
        <w:gridCol w:w="781"/>
        <w:gridCol w:w="146"/>
        <w:gridCol w:w="146"/>
        <w:gridCol w:w="245"/>
        <w:gridCol w:w="490"/>
        <w:gridCol w:w="146"/>
        <w:gridCol w:w="146"/>
        <w:gridCol w:w="211"/>
        <w:gridCol w:w="781"/>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December 31, 2022</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168,789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168,789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169,074</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Warrant liabilities - public warrants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2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Warrant liabilities - private warrants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91" w:type="dxa"/>
            <w:tcBorders/>
            <w:vAlign w:val="center"/>
          </w:tcPr>
          <w:p>
            <w:pPr>
              <w:pStyle w:val="TableContents"/>
              <w:bidi w:val="0"/>
              <w:spacing w:before="0" w:after="0"/>
              <w:ind w:left="0" w:right="0" w:firstLine="100"/>
              <w:jc w:val="left"/>
              <w:rPr/>
            </w:pPr>
            <w:r>
              <w:rPr/>
              <w:t> </w:t>
            </w:r>
          </w:p>
        </w:tc>
      </w:tr>
      <w:tr>
        <w:trPr/>
        <w:tc>
          <w:tcPr>
            <w:tcW w:w="3211"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20"/>
              </w:rPr>
              <w:t>Earnout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516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Company had no</w:t>
      </w:r>
      <w:r>
        <w:rPr>
          <w:rFonts w:ascii="Times New Roman" w:hAnsi="Times New Roman"/>
          <w:sz w:val="20"/>
        </w:rPr>
        <w:t xml:space="preserve"> </w:t>
      </w:r>
      <w:r>
        <w:rPr>
          <w:rFonts w:ascii="Times New Roman;serif" w:hAnsi="Times New Roman;serif"/>
          <w:b w:val="false"/>
          <w:sz w:val="20"/>
        </w:rPr>
        <w:t>assets and liabilities measured at fair value on a non-recurring basis as of June 30, 2023 and December 31, 2022.</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also has the following financial instruments not measured at fair value. The Company has evaluated cash (Level 1), restricted cash (Level 1), Member advances (Level 2), accounts payable (Level 2) and accrued expenses (Level 2), and believes the carrying value approximates the fair value due to the short-term nature of these balances. The fair value of the debt facility (Level 2) and convertible note payable (level 2) approximate their carrying values.</w:t>
      </w:r>
      <w:r>
        <w:rPr>
          <w:rFonts w:ascii="Times New Roman" w:hAnsi="Times New Roman"/>
          <w:sz w:val="20"/>
        </w:rPr>
        <w:t xml:space="preserve">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Short-Term Investments: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describes the valuation techniques used by the Company to measure the fair value of short-term investments held as of June 30, 2023 and December 31, 2022.</w:t>
      </w:r>
      <w:r>
        <w:rPr>
          <w:rFonts w:ascii="Times New Roman" w:hAnsi="Times New Roman"/>
          <w:sz w:val="20"/>
        </w:rPr>
        <w:t xml:space="preserve">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U.S. Government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of U.S. government securities is estimated by independent pricing services who use computerized valuation formulas to calculate current values. U.S. government securities are categorized in Level 2 of the fair value hierarchy.</w:t>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Corporate Bonds and Notes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Asset-Backed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r>
        <w:rPr>
          <w:rFonts w:ascii="Times New Roman" w:hAnsi="Times New Roman"/>
          <w:sz w:val="20"/>
        </w:rPr>
        <w:t xml:space="preserve"> </w:t>
      </w:r>
    </w:p>
    <w:p>
      <w:pPr>
        <w:pStyle w:val="TextBody"/>
        <w:bidi w:val="0"/>
        <w:spacing w:before="40" w:after="0"/>
        <w:jc w:val="left"/>
        <w:rPr/>
      </w:pPr>
      <w:r>
        <w:rPr/>
        <w:t>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Public Warrants:</w:t>
      </w:r>
    </w:p>
    <w:p>
      <w:pPr>
        <w:pStyle w:val="TextBody"/>
        <w:bidi w:val="0"/>
        <w:spacing w:before="120" w:after="0"/>
        <w:jc w:val="left"/>
        <w:rPr>
          <w:rFonts w:ascii="Times New Roman" w:hAnsi="Times New Roman"/>
          <w:sz w:val="20"/>
        </w:rPr>
      </w:pPr>
      <w:r>
        <w:rPr>
          <w:rFonts w:ascii="Times New Roman;serif" w:hAnsi="Times New Roman;serif"/>
          <w:b w:val="false"/>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(loss) related to the change in fair value of the public warrant liability for three and six months ended June 30, 2023 was $0.06</w:t>
      </w:r>
      <w:r>
        <w:rPr>
          <w:rFonts w:ascii="Times New Roman" w:hAnsi="Times New Roman"/>
          <w:sz w:val="20"/>
        </w:rPr>
        <w:t xml:space="preserve"> </w:t>
      </w:r>
      <w:r>
        <w:rPr>
          <w:rFonts w:ascii="Times New Roman;serif" w:hAnsi="Times New Roman;serif"/>
          <w:b w:val="false"/>
          <w:sz w:val="20"/>
        </w:rPr>
        <w:t>million and $-0.01</w:t>
      </w:r>
      <w:r>
        <w:rPr>
          <w:rFonts w:ascii="Times New Roman" w:hAnsi="Times New Roman"/>
          <w:sz w:val="20"/>
        </w:rPr>
        <w:t xml:space="preserve"> </w:t>
      </w:r>
      <w:r>
        <w:rPr>
          <w:rFonts w:ascii="Times New Roman;serif" w:hAnsi="Times New Roman;serif"/>
          <w:b w:val="false"/>
          <w:sz w:val="20"/>
        </w:rPr>
        <w:t>million, respectively, which is presented within changes in fair value of public warrant liabilities in the unaudited condensed consolidated statements of operations.</w:t>
      </w:r>
    </w:p>
    <w:p>
      <w:pPr>
        <w:pStyle w:val="TextBody"/>
        <w:bidi w:val="0"/>
        <w:spacing w:before="4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A roll-forward of the Level 1 public warrant liability is as follows (dollars in thousands):</w:t>
      </w:r>
    </w:p>
    <w:p>
      <w:pPr>
        <w:pStyle w:val="TextBody"/>
        <w:bidi w:val="0"/>
        <w:spacing w:before="40" w:after="0"/>
        <w:jc w:val="left"/>
        <w:rPr/>
      </w:pPr>
      <w:r>
        <w:rPr/>
        <w:t> </w:t>
      </w:r>
    </w:p>
    <w:tbl>
      <w:tblPr>
        <w:tblW w:w="479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Opening value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209</w:t>
            </w:r>
          </w:p>
        </w:tc>
        <w:tc>
          <w:tcPr>
            <w:tcW w:w="21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Ending value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Private Warrants:</w:t>
      </w:r>
    </w:p>
    <w:p>
      <w:pPr>
        <w:pStyle w:val="TextBody"/>
        <w:bidi w:val="0"/>
        <w:spacing w:before="120" w:after="0"/>
        <w:jc w:val="left"/>
        <w:rPr>
          <w:rFonts w:ascii="Times New Roman" w:hAnsi="Times New Roman"/>
          <w:sz w:val="20"/>
        </w:rPr>
      </w:pPr>
      <w:r>
        <w:rPr>
          <w:rFonts w:ascii="Times New Roman;serif" w:hAnsi="Times New Roman;serif"/>
          <w:b w:val="false"/>
          <w:sz w:val="20"/>
        </w:rPr>
        <w:t>As discussed further in Note 9, Warrant Liabilities, in January 2022, upon completion of the Business Combination, private warrants were automatically converted to warrants to purchase Class A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unaudited condensed consolidated statement of operations. The derivative liability was subsequently recorded at fair value at each reporting period, with changes in fair value reflected in earnings. The gain related to the change in fair value of the private warrant liability for the three and six months ended June 30, 2023 was $0.11</w:t>
      </w:r>
      <w:r>
        <w:rPr>
          <w:rFonts w:ascii="Times New Roman" w:hAnsi="Times New Roman"/>
          <w:sz w:val="20"/>
        </w:rPr>
        <w:t xml:space="preserve"> </w:t>
      </w:r>
      <w:r>
        <w:rPr>
          <w:rFonts w:ascii="Times New Roman;serif" w:hAnsi="Times New Roman;serif"/>
          <w:b w:val="false"/>
          <w:sz w:val="20"/>
        </w:rPr>
        <w:t>million and $0.03</w:t>
      </w:r>
      <w:r>
        <w:rPr>
          <w:rFonts w:ascii="Times New Roman" w:hAnsi="Times New Roman"/>
          <w:sz w:val="20"/>
        </w:rPr>
        <w:t xml:space="preserve"> </w:t>
      </w:r>
      <w:r>
        <w:rPr>
          <w:rFonts w:ascii="Times New Roman;serif" w:hAnsi="Times New Roman;serif"/>
          <w:b w:val="false"/>
          <w:sz w:val="20"/>
        </w:rPr>
        <w:t>million , respectively, which is presented within changes in fair value of private warrant liabilities in the unaudited condensed consolidated statements of operations.</w:t>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A roll-forward of the Level 3 private warrant liability is as follows (dollars in thousands):</w:t>
      </w:r>
    </w:p>
    <w:p>
      <w:pPr>
        <w:pStyle w:val="TextBody"/>
        <w:bidi w:val="0"/>
        <w:spacing w:before="0" w:after="0"/>
        <w:jc w:val="left"/>
        <w:rPr/>
      </w:pPr>
      <w:r>
        <w:rPr/>
        <w:t> </w:t>
      </w:r>
    </w:p>
    <w:tbl>
      <w:tblPr>
        <w:tblW w:w="477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Opening value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253</w:t>
            </w:r>
          </w:p>
        </w:tc>
        <w:tc>
          <w:tcPr>
            <w:tcW w:w="19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Ending value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Company used a Black-Scholes option pricing model to determine the fair value of the private warrant liability. The following table presents the assumptions used to value the private warrant liability for the six</w:t>
      </w:r>
      <w:r>
        <w:rPr>
          <w:rFonts w:ascii="Times New Roman" w:hAnsi="Times New Roman"/>
          <w:sz w:val="20"/>
        </w:rPr>
        <w:t xml:space="preserve"> </w:t>
      </w:r>
      <w:r>
        <w:rPr>
          <w:rFonts w:ascii="Times New Roman;serif" w:hAnsi="Times New Roman;serif"/>
          <w:b w:val="false"/>
          <w:sz w:val="20"/>
        </w:rPr>
        <w:t>months ended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779"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11"/>
        <w:gridCol w:w="67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price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368.00</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sz w:val="20"/>
        </w:rPr>
        <w:t>Earnout Shares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part of the reverse recapitalization, 49,563</w:t>
      </w:r>
      <w:r>
        <w:rPr>
          <w:rFonts w:ascii="Times New Roman" w:hAnsi="Times New Roman"/>
          <w:sz w:val="20"/>
        </w:rPr>
        <w:t xml:space="preserve"> </w:t>
      </w:r>
      <w:r>
        <w:rPr>
          <w:rFonts w:ascii="Times New Roman;serif" w:hAnsi="Times New Roman;serif"/>
          <w:b w:val="false"/>
          <w:sz w:val="20"/>
        </w:rPr>
        <w:t>shares of Class A Common Stock held by founders of VPCC are subject to forfeiture if the vesting condition is not met over the five year</w:t>
      </w:r>
      <w:r>
        <w:rPr>
          <w:rFonts w:ascii="Times New Roman" w:hAnsi="Times New Roman"/>
          <w:sz w:val="20"/>
        </w:rPr>
        <w:t xml:space="preserve"> </w:t>
      </w:r>
      <w:r>
        <w:rPr>
          <w:rFonts w:ascii="Times New Roman;serif" w:hAnsi="Times New Roman;serif"/>
          <w:b w:val="false"/>
          <w:sz w:val="20"/>
        </w:rPr>
        <w:t>term following the closing date of the Business Combination (“Founder Holder Earnout Shares”). These Founder Holder Earnout Shares were initially recorded as a liability at fair value and subsequently recorded at fair value at each reporting period, with changes in fair value reflected in earnings. The loss related to the change in fair value of the Founder Holder Earnout Shares liabilities for the three and six months ended June 30, 2023</w:t>
      </w:r>
      <w:r>
        <w:rPr>
          <w:rFonts w:ascii="Times New Roman" w:hAnsi="Times New Roman"/>
          <w:sz w:val="20"/>
        </w:rPr>
        <w:t xml:space="preserve"> </w:t>
      </w:r>
      <w:r>
        <w:rPr>
          <w:rFonts w:ascii="Times New Roman;serif" w:hAnsi="Times New Roman;serif"/>
          <w:b w:val="false"/>
          <w:sz w:val="20"/>
        </w:rPr>
        <w:t>was $0.01</w:t>
      </w:r>
      <w:r>
        <w:rPr>
          <w:rFonts w:ascii="Times New Roman" w:hAnsi="Times New Roman"/>
          <w:sz w:val="20"/>
        </w:rPr>
        <w:t xml:space="preserve"> </w:t>
      </w:r>
      <w:r>
        <w:rPr>
          <w:rFonts w:ascii="Times New Roman;serif" w:hAnsi="Times New Roman;serif"/>
          <w:b w:val="false"/>
          <w:sz w:val="20"/>
        </w:rPr>
        <w:t>million and $0.04</w:t>
      </w:r>
      <w:r>
        <w:rPr>
          <w:rFonts w:ascii="Times New Roman" w:hAnsi="Times New Roman"/>
          <w:sz w:val="20"/>
        </w:rPr>
        <w:t xml:space="preserve"> </w:t>
      </w:r>
      <w:r>
        <w:rPr>
          <w:rFonts w:ascii="Times New Roman;serif" w:hAnsi="Times New Roman;serif"/>
          <w:b w:val="false"/>
          <w:sz w:val="20"/>
        </w:rPr>
        <w:t>million, respectively, which is presented within changes in fair value of earnout liabilities in the unaudited condensed consolidated statements of operations.</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A roll-forward of the Level 3 Founder Holder Earnout Shares liability is as follows (dollars in thousands):</w:t>
      </w:r>
    </w:p>
    <w:p>
      <w:pPr>
        <w:pStyle w:val="TextBody"/>
        <w:bidi w:val="0"/>
        <w:spacing w:before="40" w:after="0"/>
        <w:jc w:val="left"/>
        <w:rPr/>
      </w:pPr>
      <w:r>
        <w:rPr/>
        <w:t> </w:t>
      </w:r>
    </w:p>
    <w:tbl>
      <w:tblPr>
        <w:tblW w:w="4754"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376"/>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Opening value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53</w:t>
            </w:r>
          </w:p>
        </w:tc>
        <w:tc>
          <w:tcPr>
            <w:tcW w:w="21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Ending value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used a Monte Carlo Simulation Method to determine the fair value of the Founder Holder Earnout Shares liability. The following table presents the assumptions used to value the Founder Holder Earnout Shares liability for the</w:t>
      </w:r>
      <w:r>
        <w:rPr>
          <w:rFonts w:ascii="Times New Roman;serif" w:hAnsi="Times New Roman;serif"/>
          <w:sz w:val="20"/>
        </w:rPr>
        <w:t xml:space="preserve"> </w:t>
      </w:r>
      <w:r>
        <w:rPr>
          <w:rFonts w:ascii="Times New Roman;serif" w:hAnsi="Times New Roman;serif"/>
          <w:b w:val="false"/>
          <w:sz w:val="20"/>
        </w:rPr>
        <w:t>period ended June 30, 2023:</w:t>
      </w:r>
    </w:p>
    <w:p>
      <w:pPr>
        <w:pStyle w:val="TextBody"/>
        <w:bidi w:val="0"/>
        <w:spacing w:before="0" w:after="0"/>
        <w:jc w:val="left"/>
        <w:rPr/>
      </w:pPr>
      <w:r>
        <w:rP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price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$400-$480</w:t>
            </w:r>
          </w:p>
        </w:tc>
        <w:tc>
          <w:tcPr>
            <w:tcW w:w="316" w:type="dxa"/>
            <w:tcBorders/>
            <w:vAlign w:val="center"/>
          </w:tcPr>
          <w:p>
            <w:pPr>
              <w:pStyle w:val="TableContents"/>
              <w:bidi w:val="0"/>
              <w:spacing w:before="0" w:after="0"/>
              <w:ind w:left="0" w:right="0" w:hanging="0"/>
              <w:jc w:val="righ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other assets or liabilities that were required to be measured at fair value on a recurring basis as of June 30, 2023 and December 31,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14 Stockholders’ Equity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no</w:t>
      </w:r>
      <w:r>
        <w:rPr>
          <w:rFonts w:ascii="Times New Roman" w:hAnsi="Times New Roman"/>
          <w:sz w:val="20"/>
        </w:rPr>
        <w:t xml:space="preserve"> </w:t>
      </w:r>
      <w:r>
        <w:rPr>
          <w:rFonts w:ascii="Times New Roman;serif" w:hAnsi="Times New Roman;serif"/>
          <w:b w:val="false"/>
          <w:sz w:val="20"/>
        </w:rPr>
        <w:t>shares of preferred stock were outstanding, and the Company has no present plans to issue any shares of preferred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Class A and Class V Common Stock:</w:t>
      </w:r>
    </w:p>
    <w:p>
      <w:pPr>
        <w:pStyle w:val="TextBody"/>
        <w:bidi w:val="0"/>
        <w:spacing w:before="4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Board of Directors has authorized two classes of common stock, Class A Common Stock and Class V Common Stock. The Company had authorized 500,000,000</w:t>
      </w:r>
      <w:r>
        <w:rPr>
          <w:rFonts w:ascii="Times New Roman" w:hAnsi="Times New Roman"/>
          <w:sz w:val="20"/>
        </w:rPr>
        <w:t xml:space="preserve"> </w:t>
      </w:r>
      <w:r>
        <w:rPr>
          <w:rFonts w:ascii="Times New Roman;serif" w:hAnsi="Times New Roman;serif"/>
          <w:b w:val="false"/>
          <w:sz w:val="20"/>
        </w:rPr>
        <w:t>and 100,000,000</w:t>
      </w:r>
      <w:r>
        <w:rPr>
          <w:rFonts w:ascii="Times New Roman" w:hAnsi="Times New Roman"/>
          <w:sz w:val="20"/>
        </w:rPr>
        <w:t xml:space="preserve"> </w:t>
      </w:r>
      <w:r>
        <w:rPr>
          <w:rFonts w:ascii="Times New Roman;serif" w:hAnsi="Times New Roman;serif"/>
          <w:b w:val="false"/>
          <w:sz w:val="20"/>
        </w:rPr>
        <w:t xml:space="preserve">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0"/>
        </w:rPr>
        <w:t>are convertible into shares of Class A Common Stock on a one-to-one basis at the option of the holders of Class V Common Stock at any time upon written notice to the Company.</w:t>
      </w:r>
      <w:r>
        <w:rPr>
          <w:rFonts w:ascii="Times New Roman" w:hAnsi="Times New Roman"/>
          <w:sz w:val="20"/>
        </w:rPr>
        <w:t xml:space="preserve"> </w:t>
      </w:r>
      <w:r>
        <w:rPr>
          <w:rFonts w:ascii="Times New Roman;serif" w:hAnsi="Times New Roman;serif"/>
          <w:b w:val="false"/>
          <w:sz w:val="20"/>
        </w:rPr>
        <w:t>As of June 30, 2023, the Company had 10,470,714</w:t>
      </w:r>
      <w:r>
        <w:rPr>
          <w:rFonts w:ascii="Times New Roman" w:hAnsi="Times New Roman"/>
          <w:sz w:val="20"/>
        </w:rPr>
        <w:t xml:space="preserve"> </w:t>
      </w:r>
      <w:r>
        <w:rPr>
          <w:rFonts w:ascii="Times New Roman;serif" w:hAnsi="Times New Roman;serif"/>
          <w:b w:val="false"/>
          <w:sz w:val="20"/>
        </w:rPr>
        <w:t>and 1,514,082</w:t>
      </w:r>
      <w:r>
        <w:rPr>
          <w:rFonts w:ascii="Times New Roman" w:hAnsi="Times New Roman"/>
          <w:sz w:val="20"/>
        </w:rPr>
        <w:t xml:space="preserve"> </w:t>
      </w:r>
      <w:r>
        <w:rPr>
          <w:rFonts w:ascii="Times New Roman;serif" w:hAnsi="Times New Roman;serif"/>
          <w:b w:val="false"/>
          <w:sz w:val="20"/>
        </w:rPr>
        <w:t>shares of Class A Common Stock and Class V Common Stock issued, respectively. As of June 30, 2023, the Company had 10,421,151</w:t>
      </w:r>
      <w:r>
        <w:rPr>
          <w:rFonts w:ascii="Times New Roman" w:hAnsi="Times New Roman"/>
          <w:sz w:val="20"/>
        </w:rPr>
        <w:t xml:space="preserve"> </w:t>
      </w:r>
      <w:r>
        <w:rPr>
          <w:rFonts w:ascii="Times New Roman;serif" w:hAnsi="Times New Roman;serif"/>
          <w:b w:val="false"/>
          <w:sz w:val="20"/>
        </w:rPr>
        <w:t>and 1,514,082</w:t>
      </w:r>
      <w:r>
        <w:rPr>
          <w:rFonts w:ascii="Times New Roman" w:hAnsi="Times New Roman"/>
          <w:sz w:val="20"/>
        </w:rPr>
        <w:t xml:space="preserve"> </w:t>
      </w:r>
      <w:r>
        <w:rPr>
          <w:rFonts w:ascii="Times New Roman;serif" w:hAnsi="Times New Roman;serif"/>
          <w:b w:val="false"/>
          <w:sz w:val="20"/>
        </w:rPr>
        <w:t>shares of Class A Common Stock and Class V Common Stock outstanding, respectively.</w:t>
      </w:r>
    </w:p>
    <w:p>
      <w:pPr>
        <w:pStyle w:val="TextBody"/>
        <w:bidi w:val="0"/>
        <w:spacing w:before="360" w:after="0"/>
        <w:jc w:val="left"/>
        <w:rPr>
          <w:rFonts w:ascii="Times New Roman;serif" w:hAnsi="Times New Roman;serif"/>
          <w:b/>
          <w:sz w:val="20"/>
        </w:rPr>
      </w:pPr>
      <w:r>
        <w:rPr>
          <w:rFonts w:ascii="Times New Roman;serif" w:hAnsi="Times New Roman;serif"/>
          <w:b/>
          <w:sz w:val="20"/>
        </w:rPr>
        <w:t>Note 15 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w:t>
      </w:r>
      <w:r>
        <w:rPr>
          <w:rFonts w:ascii="Times New Roman" w:hAnsi="Times New Roman"/>
          <w:sz w:val="20"/>
        </w:rPr>
        <w:t xml:space="preserve"> </w:t>
      </w:r>
      <w:r>
        <w:rPr>
          <w:rFonts w:ascii="Times New Roman;serif" w:hAnsi="Times New Roman;serif"/>
          <w:b w:val="false"/>
          <w:sz w:val="20"/>
        </w:rPr>
        <w:t>period.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January 4, 2022, the stockholders of the Company approved the 2021 Equity Incentive Plan (the “2021 Plan”). The 2021 Plan was previously approved, subject to stockholder approval, by the Company’s Board of Directors on January 4, 2022. The 2021 Plan became effective immediately upon the completion of the Business Combination.</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recognized approximately $6.6</w:t>
      </w:r>
      <w:r>
        <w:rPr>
          <w:rFonts w:ascii="Times New Roman" w:hAnsi="Times New Roman"/>
          <w:sz w:val="20"/>
        </w:rPr>
        <w:t xml:space="preserve"> </w:t>
      </w:r>
      <w:r>
        <w:rPr>
          <w:rFonts w:ascii="Times New Roman;serif" w:hAnsi="Times New Roman;serif"/>
          <w:b w:val="false"/>
          <w:sz w:val="20"/>
        </w:rPr>
        <w:t>million and $13.4</w:t>
      </w:r>
      <w:r>
        <w:rPr>
          <w:rFonts w:ascii="Times New Roman" w:hAnsi="Times New Roman"/>
          <w:sz w:val="20"/>
        </w:rPr>
        <w:t xml:space="preserve"> </w:t>
      </w:r>
      <w:r>
        <w:rPr>
          <w:rFonts w:ascii="Times New Roman;serif" w:hAnsi="Times New Roman;serif"/>
          <w:b w:val="false"/>
          <w:sz w:val="20"/>
        </w:rPr>
        <w:t>million of stock-based compensation expense arising from stock option and restricted stock unit grants which is recorded as a component of compensation and benefits in the unaudited condensed consolidated statements of operations for the three and six months ended June 30, 2023, respectively. The Company recognized $22.9</w:t>
      </w:r>
      <w:r>
        <w:rPr>
          <w:rFonts w:ascii="Times New Roman" w:hAnsi="Times New Roman"/>
          <w:sz w:val="20"/>
        </w:rPr>
        <w:t xml:space="preserve"> </w:t>
      </w:r>
      <w:r>
        <w:rPr>
          <w:rFonts w:ascii="Times New Roman;serif" w:hAnsi="Times New Roman;serif"/>
          <w:b w:val="false"/>
          <w:sz w:val="20"/>
        </w:rPr>
        <w:t>million and $26.0</w:t>
      </w:r>
      <w:r>
        <w:rPr>
          <w:rFonts w:ascii="Times New Roman" w:hAnsi="Times New Roman"/>
          <w:sz w:val="20"/>
        </w:rPr>
        <w:t xml:space="preserve"> </w:t>
      </w:r>
      <w:r>
        <w:rPr>
          <w:rFonts w:ascii="Times New Roman;serif" w:hAnsi="Times New Roman;serif"/>
          <w:b w:val="false"/>
          <w:sz w:val="20"/>
        </w:rPr>
        <w:t>million of stock-based compensation expense arising from stock option and restricted stock unit grants for the three and six months ended June 30,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Stock Option Repricing:</w:t>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April 2023, the Company’s Board of Directors approved a repricing of certain previously granted and still outstanding vested and unvested stock option awards held by eligible employees and executive officers, which was approved by stockholders on June 9, 2023. As a result, the exercise price for these awards was lowered to $5.18</w:t>
      </w:r>
      <w:r>
        <w:rPr>
          <w:rFonts w:ascii="Times New Roman" w:hAnsi="Times New Roman"/>
          <w:sz w:val="20"/>
        </w:rPr>
        <w:t xml:space="preserve"> </w:t>
      </w:r>
      <w:r>
        <w:rPr>
          <w:rFonts w:ascii="Times New Roman;serif" w:hAnsi="Times New Roman;serif"/>
          <w:b w:val="false"/>
          <w:sz w:val="20"/>
        </w:rPr>
        <w:t>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w:t>
      </w:r>
      <w:r>
        <w:rPr>
          <w:rFonts w:ascii="Times New Roman" w:hAnsi="Times New Roman"/>
          <w:sz w:val="20"/>
        </w:rPr>
        <w:t xml:space="preserve"> </w:t>
      </w:r>
      <w:r>
        <w:rPr>
          <w:rFonts w:ascii="Times New Roman;serif" w:hAnsi="Times New Roman;serif"/>
          <w:b w:val="false"/>
          <w:sz w:val="20"/>
        </w:rPr>
        <w:t>vested and unvested stock options outstanding as of June 9, 2023, with original exercise prices ranging from $22.09</w:t>
      </w:r>
      <w:r>
        <w:rPr>
          <w:rFonts w:ascii="Times New Roman" w:hAnsi="Times New Roman"/>
          <w:sz w:val="20"/>
        </w:rPr>
        <w:t xml:space="preserve"> </w:t>
      </w:r>
      <w:r>
        <w:rPr>
          <w:rFonts w:ascii="Times New Roman;serif" w:hAnsi="Times New Roman;serif"/>
          <w:b w:val="false"/>
          <w:sz w:val="20"/>
        </w:rPr>
        <w:t>to $23.18, were repriced.</w:t>
      </w:r>
    </w:p>
    <w:p>
      <w:pPr>
        <w:pStyle w:val="TextBody"/>
        <w:bidi w:val="0"/>
        <w:spacing w:before="0" w:after="0"/>
        <w:jc w:val="left"/>
        <w:rPr>
          <w:rFonts w:ascii="Times New Roman" w:hAnsi="Times New Roman"/>
          <w:sz w:val="20"/>
        </w:rPr>
      </w:pPr>
      <w:r>
        <w:rPr>
          <w:rFonts w:ascii="Times New Roman;serif" w:hAnsi="Times New Roman;serif"/>
          <w:b w:val="false"/>
          <w:sz w:val="20"/>
        </w:rPr>
        <w:br/>
        <w:t>The repricing on June 9, 2023 resulted in incremental stock-based compensation expense of $0.2</w:t>
      </w:r>
      <w:r>
        <w:rPr>
          <w:rFonts w:ascii="Times New Roman" w:hAnsi="Times New Roman"/>
          <w:sz w:val="20"/>
        </w:rPr>
        <w:t xml:space="preserve"> </w:t>
      </w:r>
      <w:r>
        <w:rPr>
          <w:rFonts w:ascii="Times New Roman;serif" w:hAnsi="Times New Roman;serif"/>
          <w:b w:val="false"/>
          <w:sz w:val="20"/>
        </w:rPr>
        <w:t>million, of which $0.14</w:t>
      </w:r>
      <w:r>
        <w:rPr>
          <w:rFonts w:ascii="Times New Roman" w:hAnsi="Times New Roman"/>
          <w:sz w:val="20"/>
        </w:rPr>
        <w:t xml:space="preserve"> </w:t>
      </w:r>
      <w:r>
        <w:rPr>
          <w:rFonts w:ascii="Times New Roman;serif" w:hAnsi="Times New Roman;serif"/>
          <w:b w:val="false"/>
          <w:sz w:val="20"/>
        </w:rPr>
        <w:t>million related to vested stock option awards was expensed on the repricing date. The remaining $0.06</w:t>
      </w:r>
      <w:r>
        <w:rPr>
          <w:rFonts w:ascii="Times New Roman" w:hAnsi="Times New Roman"/>
          <w:sz w:val="20"/>
        </w:rPr>
        <w:t xml:space="preserve"> </w:t>
      </w:r>
      <w:r>
        <w:rPr>
          <w:rFonts w:ascii="Times New Roman;serif" w:hAnsi="Times New Roman;serif"/>
          <w:b w:val="false"/>
          <w:sz w:val="20"/>
        </w:rPr>
        <w:t>million related to unvested stock option awards is being amortized on a straight-line basis over the weighted-average vesting period of those awards of approximately 1.3</w:t>
      </w:r>
      <w:r>
        <w:rPr>
          <w:rFonts w:ascii="Times New Roman" w:hAnsi="Times New Roman"/>
          <w:sz w:val="20"/>
        </w:rPr>
        <w:t xml:space="preserve"> </w:t>
      </w:r>
      <w:r>
        <w:rPr>
          <w:rFonts w:ascii="Times New Roman;serif" w:hAnsi="Times New Roman;serif"/>
          <w:b w:val="false"/>
          <w:sz w:val="20"/>
        </w:rPr>
        <w:t>years as of June 9, 2023.</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Stock Options:</w:t>
      </w:r>
    </w:p>
    <w:p>
      <w:pPr>
        <w:pStyle w:val="TextBody"/>
        <w:bidi w:val="0"/>
        <w:spacing w:before="120" w:after="0"/>
        <w:jc w:val="left"/>
        <w:rPr>
          <w:rFonts w:ascii="Times New Roman" w:hAnsi="Times New Roman"/>
          <w:sz w:val="20"/>
        </w:rPr>
      </w:pPr>
      <w:r>
        <w:rPr>
          <w:rFonts w:ascii="Times New Roman;serif" w:hAnsi="Times New Roman;serif"/>
          <w:b w:val="false"/>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Expected term</w:t>
      </w:r>
      <w:r>
        <w:rPr>
          <w:rFonts w:ascii="Times New Roman" w:hAnsi="Times New Roman"/>
          <w:sz w:val="20"/>
        </w:rPr>
        <w:t>—</w:t>
      </w:r>
      <w:r>
        <w:rPr>
          <w:rFonts w:ascii="Times New Roman;serif" w:hAnsi="Times New Roman;serif"/>
          <w:b w:val="false"/>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spacing w:before="240" w:after="0"/>
        <w:jc w:val="left"/>
        <w:rPr>
          <w:rFonts w:ascii="Times New Roman" w:hAnsi="Times New Roman"/>
          <w:sz w:val="20"/>
        </w:rPr>
      </w:pPr>
      <w:r>
        <w:rPr>
          <w:rFonts w:ascii="Times New Roman;serif" w:hAnsi="Times New Roman;serif"/>
          <w:b w:val="false"/>
          <w:i/>
          <w:sz w:val="20"/>
        </w:rPr>
        <w:t>Risk free interest rate</w:t>
      </w:r>
      <w:r>
        <w:rPr>
          <w:rFonts w:ascii="Times New Roman" w:hAnsi="Times New Roman"/>
          <w:sz w:val="20"/>
        </w:rPr>
        <w:t>—</w:t>
      </w:r>
      <w:r>
        <w:rPr>
          <w:rFonts w:ascii="Times New Roman;serif" w:hAnsi="Times New Roman;serif"/>
          <w:b w:val="false"/>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spacing w:before="240" w:after="0"/>
        <w:jc w:val="left"/>
        <w:rPr>
          <w:rFonts w:ascii="Times New Roman" w:hAnsi="Times New Roman"/>
          <w:sz w:val="20"/>
        </w:rPr>
      </w:pPr>
      <w:r>
        <w:rPr>
          <w:rFonts w:ascii="Times New Roman;serif" w:hAnsi="Times New Roman;serif"/>
          <w:b w:val="false"/>
          <w:i/>
          <w:sz w:val="20"/>
        </w:rPr>
        <w:t>Expected dividend yield</w:t>
      </w:r>
      <w:r>
        <w:rPr>
          <w:rFonts w:ascii="Times New Roman" w:hAnsi="Times New Roman"/>
          <w:sz w:val="20"/>
        </w:rPr>
        <w:t>—</w:t>
      </w:r>
      <w:r>
        <w:rPr>
          <w:rFonts w:ascii="Times New Roman;serif" w:hAnsi="Times New Roman;serif"/>
          <w:b w:val="false"/>
          <w:sz w:val="20"/>
        </w:rPr>
        <w:t>The Company bases the expected dividend yield assumption on the fact that it has never paid cash dividends and has no present intention to pay cash dividends.</w:t>
      </w:r>
    </w:p>
    <w:p>
      <w:pPr>
        <w:pStyle w:val="TextBody"/>
        <w:bidi w:val="0"/>
        <w:spacing w:before="240" w:after="0"/>
        <w:jc w:val="left"/>
        <w:rPr>
          <w:rFonts w:ascii="Times New Roman" w:hAnsi="Times New Roman"/>
          <w:sz w:val="20"/>
        </w:rPr>
      </w:pPr>
      <w:r>
        <w:rPr>
          <w:rFonts w:ascii="Times New Roman;serif" w:hAnsi="Times New Roman;serif"/>
          <w:b w:val="false"/>
          <w:i/>
          <w:sz w:val="20"/>
        </w:rPr>
        <w:t>Expected volatility</w:t>
      </w:r>
      <w:r>
        <w:rPr>
          <w:rFonts w:ascii="Times New Roman" w:hAnsi="Times New Roman"/>
          <w:sz w:val="20"/>
        </w:rPr>
        <w:t>—</w:t>
      </w:r>
      <w:r>
        <w:rPr>
          <w:rFonts w:ascii="Times New Roman;serif" w:hAnsi="Times New Roman;serif"/>
          <w:b w:val="false"/>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identifie3d a group of peer companies and considered their historical stock prices. In identifying peer companies, the Company considered the industry, stage of life cycle, size, and financial leverage of such other entities.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Activity with respect to stock options is summarized as follows:</w:t>
      </w:r>
    </w:p>
    <w:p>
      <w:pPr>
        <w:pStyle w:val="TextBody"/>
        <w:bidi w:val="0"/>
        <w:spacing w:before="0" w:after="0"/>
        <w:jc w:val="left"/>
        <w:rPr/>
      </w:pPr>
      <w:r>
        <w:rPr/>
        <w:t> </w:t>
      </w:r>
    </w:p>
    <w:tbl>
      <w:tblPr>
        <w:tblW w:w="10097" w:type="dxa"/>
        <w:jc w:val="left"/>
        <w:tblInd w:w="0" w:type="dxa"/>
        <w:tblLayout w:type="fixed"/>
        <w:tblCellMar>
          <w:top w:w="28" w:type="dxa"/>
          <w:left w:w="28" w:type="dxa"/>
          <w:bottom w:w="28" w:type="dxa"/>
          <w:right w:w="28" w:type="dxa"/>
        </w:tblCellMar>
      </w:tblPr>
      <w:tblGrid>
        <w:gridCol w:w="3301"/>
        <w:gridCol w:w="146"/>
        <w:gridCol w:w="146"/>
        <w:gridCol w:w="841"/>
        <w:gridCol w:w="166"/>
        <w:gridCol w:w="146"/>
        <w:gridCol w:w="457"/>
        <w:gridCol w:w="1239"/>
        <w:gridCol w:w="146"/>
        <w:gridCol w:w="146"/>
        <w:gridCol w:w="349"/>
        <w:gridCol w:w="866"/>
        <w:gridCol w:w="146"/>
        <w:gridCol w:w="146"/>
        <w:gridCol w:w="454"/>
        <w:gridCol w:w="911"/>
        <w:gridCol w:w="4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Remaining</w:t>
              <w:br/>
              <w:t>Contractual</w:t>
              <w:br/>
              <w:t>Term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Aggregate</w:t>
              <w:br/>
              <w:t>Intrinsic Value</w:t>
              <w:br/>
              <w:t>(in thousands)</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Options outstanding,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904,220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w:t>
            </w:r>
          </w:p>
        </w:tc>
        <w:tc>
          <w:tcPr>
            <w:tcW w:w="491" w:type="dxa"/>
            <w:tcBorders/>
            <w:vAlign w:val="center"/>
          </w:tcPr>
          <w:p>
            <w:pPr>
              <w:pStyle w:val="TableContents"/>
              <w:bidi w:val="0"/>
              <w:spacing w:before="0" w:after="0"/>
              <w:ind w:left="0" w:right="0" w:firstLine="300"/>
              <w:jc w:val="left"/>
              <w:rPr/>
            </w:pPr>
            <w:r>
              <w:rPr/>
              <w:t> </w:t>
            </w:r>
          </w:p>
        </w:tc>
      </w:tr>
      <w:tr>
        <w:trPr/>
        <w:tc>
          <w:tcPr>
            <w:tcW w:w="330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134,931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330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330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330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Options outstanding,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790,050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4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options,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457,781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Vested and exercisable,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332,269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4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At June 30, 2023, total estimated unrecognized stock-based compensation cost related to unvested stock options prior to that date was approximately $9.1</w:t>
      </w:r>
      <w:r>
        <w:rPr>
          <w:rFonts w:ascii="Times New Roman" w:hAnsi="Times New Roman"/>
          <w:sz w:val="20"/>
        </w:rPr>
        <w:t xml:space="preserve"> </w:t>
      </w:r>
      <w:r>
        <w:rPr>
          <w:rFonts w:ascii="Times New Roman;serif" w:hAnsi="Times New Roman;serif"/>
          <w:b w:val="false"/>
          <w:sz w:val="20"/>
        </w:rPr>
        <w:t>million, which is expected to be recognized over a weighted-average remaining period of 3.4</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June 30, 2023 and June 30, 2022, 0</w:t>
      </w:r>
      <w:r>
        <w:rPr>
          <w:rFonts w:ascii="Times New Roman" w:hAnsi="Times New Roman"/>
          <w:sz w:val="20"/>
        </w:rPr>
        <w:t xml:space="preserve"> </w:t>
      </w:r>
      <w:r>
        <w:rPr>
          <w:rFonts w:ascii="Times New Roman;serif" w:hAnsi="Times New Roman;serif"/>
          <w:b w:val="false"/>
          <w:sz w:val="20"/>
        </w:rPr>
        <w:t>and 11,110</w:t>
      </w:r>
      <w:r>
        <w:rPr>
          <w:rFonts w:ascii="Times New Roman" w:hAnsi="Times New Roman"/>
          <w:sz w:val="20"/>
        </w:rPr>
        <w:t xml:space="preserve"> </w:t>
      </w:r>
      <w:r>
        <w:rPr>
          <w:rFonts w:ascii="Times New Roman;serif" w:hAnsi="Times New Roman;serif"/>
          <w:b w:val="false"/>
          <w:sz w:val="20"/>
        </w:rPr>
        <w:t>shares of Common Stock were subject to repurchase at a weighted-average prices of $22.09</w:t>
      </w:r>
      <w:r>
        <w:rPr>
          <w:rFonts w:ascii="Times New Roman" w:hAnsi="Times New Roman"/>
          <w:sz w:val="20"/>
        </w:rPr>
        <w:t xml:space="preserve"> </w:t>
      </w:r>
      <w:r>
        <w:rPr>
          <w:rFonts w:ascii="Times New Roman;serif" w:hAnsi="Times New Roman;serif"/>
          <w:b w:val="false"/>
          <w:sz w:val="20"/>
        </w:rPr>
        <w:t>per share, respectively. The shares issued pursuant to unvested options have been included in shares issued and outstanding on the unaudited condensed consolidated balance sheets as such shares are considered legally outstanding.</w:t>
      </w:r>
    </w:p>
    <w:p>
      <w:pPr>
        <w:pStyle w:val="TextBody"/>
        <w:bidi w:val="0"/>
        <w:spacing w:before="240" w:after="0"/>
        <w:jc w:val="left"/>
        <w:rPr>
          <w:rFonts w:ascii="Times New Roman" w:hAnsi="Times New Roman"/>
          <w:sz w:val="20"/>
        </w:rPr>
      </w:pPr>
      <w:r>
        <w:rPr>
          <w:rFonts w:ascii="Times New Roman;serif" w:hAnsi="Times New Roman;serif"/>
          <w:b w:val="false"/>
          <w:sz w:val="20"/>
        </w:rPr>
        <w:t>On March 3, 2021, the Company granted the Chief Executive Officer stock options to purchase up to 358,001</w:t>
      </w:r>
      <w:r>
        <w:rPr>
          <w:rFonts w:ascii="Times New Roman" w:hAnsi="Times New Roman"/>
          <w:sz w:val="20"/>
        </w:rPr>
        <w:t xml:space="preserve"> </w:t>
      </w:r>
      <w:r>
        <w:rPr>
          <w:rFonts w:ascii="Times New Roman;serif" w:hAnsi="Times New Roman;serif"/>
          <w:b w:val="false"/>
          <w:sz w:val="20"/>
        </w:rPr>
        <w:t>shares of Common Stock in nine</w:t>
      </w:r>
      <w:r>
        <w:rPr>
          <w:rFonts w:ascii="Times New Roman" w:hAnsi="Times New Roman"/>
          <w:sz w:val="20"/>
        </w:rPr>
        <w:t xml:space="preserve"> </w:t>
      </w:r>
      <w:r>
        <w:rPr>
          <w:rFonts w:ascii="Times New Roman;serif" w:hAnsi="Times New Roman;serif"/>
          <w:b w:val="false"/>
          <w:sz w:val="20"/>
        </w:rPr>
        <w:t>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w:t>
      </w:r>
      <w:r>
        <w:rPr>
          <w:rFonts w:ascii="Times New Roman" w:hAnsi="Times New Roman"/>
          <w:sz w:val="20"/>
        </w:rPr>
        <w:t xml:space="preserve"> </w:t>
      </w:r>
      <w:r>
        <w:rPr>
          <w:rFonts w:ascii="Times New Roman;serif" w:hAnsi="Times New Roman;serif"/>
          <w:b w:val="false"/>
          <w:sz w:val="20"/>
        </w:rPr>
        <w:t>million. The options have a strike price of $23.18</w:t>
      </w:r>
      <w:r>
        <w:rPr>
          <w:rFonts w:ascii="Times New Roman" w:hAnsi="Times New Roman"/>
          <w:sz w:val="20"/>
        </w:rPr>
        <w:t xml:space="preserve"> </w:t>
      </w:r>
      <w:r>
        <w:rPr>
          <w:rFonts w:ascii="Times New Roman;serif" w:hAnsi="Times New Roman;serif"/>
          <w:b w:val="false"/>
          <w:sz w:val="20"/>
        </w:rPr>
        <w:t>per share. The Company determined the fair value of the options on the grant date to be $10.5</w:t>
      </w:r>
      <w:r>
        <w:rPr>
          <w:rFonts w:ascii="Times New Roman" w:hAnsi="Times New Roman"/>
          <w:sz w:val="20"/>
        </w:rPr>
        <w:t xml:space="preserve"> </w:t>
      </w:r>
      <w:r>
        <w:rPr>
          <w:rFonts w:ascii="Times New Roman;serif" w:hAnsi="Times New Roman;serif"/>
          <w:b w:val="false"/>
          <w:sz w:val="20"/>
        </w:rPr>
        <w:t>million using a Monte Carlo simulation with key inputs and assumptions such as stock price, term, dividend yield, risk-free interest rate, and volatility. The derived service periods determined by the valuation for each of the nine tranches range from approximately three years</w:t>
      </w:r>
      <w:r>
        <w:rPr>
          <w:rFonts w:ascii="Times New Roman" w:hAnsi="Times New Roman"/>
          <w:sz w:val="20"/>
        </w:rPr>
        <w:t xml:space="preserve"> </w:t>
      </w:r>
      <w:r>
        <w:rPr>
          <w:rFonts w:ascii="Times New Roman;serif" w:hAnsi="Times New Roman;serif"/>
          <w:b w:val="false"/>
          <w:sz w:val="20"/>
        </w:rPr>
        <w:t>to approximately seven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presents the key inputs and assumptions used to value the options granted to the Chief Executive Officer on the grant date:</w:t>
      </w:r>
    </w:p>
    <w:p>
      <w:pPr>
        <w:pStyle w:val="TextBody"/>
        <w:bidi w:val="0"/>
        <w:spacing w:before="0" w:after="0"/>
        <w:jc w:val="left"/>
        <w:rPr/>
      </w:pPr>
      <w:r>
        <w:rPr/>
        <w:t> </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10.0</w:t>
            </w:r>
            <w:r>
              <w:rPr>
                <w:rFonts w:ascii="Times New Roman" w:hAnsi="Times New Roman"/>
                <w:sz w:val="20"/>
              </w:rPr>
              <w:t> </w:t>
            </w:r>
            <w:r>
              <w:rPr>
                <w:rFonts w:ascii="Times New Roman;serif" w:hAnsi="Times New Roman;serif"/>
                <w:b w:val="false"/>
                <w:sz w:val="20"/>
              </w:rPr>
              <w:t>years</w:t>
            </w:r>
          </w:p>
        </w:tc>
        <w:tc>
          <w:tcPr>
            <w:tcW w:w="316" w:type="dxa"/>
            <w:tcBorders/>
            <w:vAlign w:val="center"/>
          </w:tcPr>
          <w:p>
            <w:pPr>
              <w:pStyle w:val="TableContents"/>
              <w:bidi w:val="0"/>
              <w:spacing w:before="0" w:after="0"/>
              <w:ind w:left="0" w:right="0" w:hanging="0"/>
              <w:jc w:val="righ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Restricted Stock Units: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Activity with respect to RSUs is summarized as follows:</w:t>
      </w:r>
    </w:p>
    <w:p>
      <w:pPr>
        <w:pStyle w:val="TextBody"/>
        <w:bidi w:val="0"/>
        <w:spacing w:before="0" w:after="0"/>
        <w:jc w:val="center"/>
        <w:rPr/>
      </w:pPr>
      <w:r>
        <w:rPr/>
        <w:t> </w:t>
      </w:r>
    </w:p>
    <w:tbl>
      <w:tblPr>
        <w:tblW w:w="6933" w:type="dxa"/>
        <w:jc w:val="left"/>
        <w:tblInd w:w="0" w:type="dxa"/>
        <w:tblLayout w:type="fixed"/>
        <w:tblCellMar>
          <w:top w:w="28" w:type="dxa"/>
          <w:left w:w="28" w:type="dxa"/>
          <w:bottom w:w="28" w:type="dxa"/>
          <w:right w:w="28" w:type="dxa"/>
        </w:tblCellMar>
      </w:tblPr>
      <w:tblGrid>
        <w:gridCol w:w="3211"/>
        <w:gridCol w:w="146"/>
        <w:gridCol w:w="146"/>
        <w:gridCol w:w="931"/>
        <w:gridCol w:w="166"/>
        <w:gridCol w:w="146"/>
        <w:gridCol w:w="403"/>
        <w:gridCol w:w="1293"/>
        <w:gridCol w:w="4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Weighted-Average</w:t>
              <w:br/>
              <w:t>Grant-Date</w:t>
              <w:br/>
              <w:t>Fair Value</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Nonvested shares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508,506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122.27</w:t>
            </w:r>
          </w:p>
        </w:tc>
        <w:tc>
          <w:tcPr>
            <w:tcW w:w="491" w:type="dxa"/>
            <w:tcBorders/>
            <w:vAlign w:val="center"/>
          </w:tcPr>
          <w:p>
            <w:pPr>
              <w:pStyle w:val="TableContents"/>
              <w:bidi w:val="0"/>
              <w:spacing w:before="0" w:after="0"/>
              <w:ind w:left="0" w:right="0" w:firstLine="300"/>
              <w:jc w:val="left"/>
              <w:rPr/>
            </w:pPr>
            <w:r>
              <w:rPr/>
              <w:t> </w:t>
            </w:r>
          </w:p>
        </w:tc>
      </w:tr>
      <w:tr>
        <w:trPr/>
        <w:tc>
          <w:tcPr>
            <w:tcW w:w="321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1,635,646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491" w:type="dxa"/>
            <w:tcBorders/>
            <w:vAlign w:val="center"/>
          </w:tcPr>
          <w:p>
            <w:pPr>
              <w:pStyle w:val="TableContents"/>
              <w:bidi w:val="0"/>
              <w:spacing w:before="0" w:after="0"/>
              <w:ind w:left="0" w:right="0" w:firstLine="300"/>
              <w:jc w:val="left"/>
              <w:rPr/>
            </w:pPr>
            <w:r>
              <w:rPr/>
              <w:t> </w:t>
            </w:r>
          </w:p>
        </w:tc>
      </w:tr>
      <w:tr>
        <w:trPr/>
        <w:tc>
          <w:tcPr>
            <w:tcW w:w="321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(134,442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84.97</w:t>
            </w:r>
          </w:p>
        </w:tc>
        <w:tc>
          <w:tcPr>
            <w:tcW w:w="491" w:type="dxa"/>
            <w:tcBorders/>
            <w:vAlign w:val="center"/>
          </w:tcPr>
          <w:p>
            <w:pPr>
              <w:pStyle w:val="TableContents"/>
              <w:bidi w:val="0"/>
              <w:spacing w:before="0" w:after="0"/>
              <w:ind w:left="0" w:right="0" w:firstLine="300"/>
              <w:jc w:val="left"/>
              <w:rPr/>
            </w:pPr>
            <w:r>
              <w:rPr/>
              <w:t> </w:t>
            </w:r>
          </w:p>
        </w:tc>
      </w:tr>
      <w:tr>
        <w:trPr/>
        <w:tc>
          <w:tcPr>
            <w:tcW w:w="3211" w:type="dxa"/>
            <w:tcBorders/>
            <w:vAlign w:val="center"/>
          </w:tcPr>
          <w:p>
            <w:pPr>
              <w:pStyle w:val="TableContents"/>
              <w:bidi w:val="0"/>
              <w:spacing w:before="0" w:after="0"/>
              <w:ind w:left="300" w:right="0" w:hanging="0"/>
              <w:jc w:val="left"/>
              <w:rPr/>
            </w:pPr>
            <w:r>
              <w:rPr/>
              <w:t> </w:t>
            </w: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34.22</w:t>
            </w:r>
          </w:p>
        </w:tc>
        <w:tc>
          <w:tcPr>
            <w:tcW w:w="491"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 </w:t>
            </w:r>
            <w:r>
              <w:rPr>
                <w:rFonts w:ascii="Times New Roman;serif" w:hAnsi="Times New Roman;serif"/>
                <w:b/>
                <w:sz w:val="20"/>
              </w:rPr>
              <w:t>Nonvested shares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1,770,245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28.74</w:t>
            </w:r>
          </w:p>
        </w:tc>
        <w:tc>
          <w:tcPr>
            <w:tcW w:w="49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0"/>
        </w:rPr>
        <w:t>At June 30, 2023, total estimated unrecognized stock-based compensation cost related to nonvested RSUs was approximately $50.3</w:t>
      </w:r>
      <w:r>
        <w:rPr>
          <w:rFonts w:ascii="Times New Roman" w:hAnsi="Times New Roman"/>
          <w:sz w:val="20"/>
        </w:rPr>
        <w:t xml:space="preserve"> </w:t>
      </w:r>
      <w:r>
        <w:rPr>
          <w:rFonts w:ascii="Times New Roman;serif" w:hAnsi="Times New Roman;serif"/>
          <w:b w:val="false"/>
          <w:sz w:val="20"/>
        </w:rPr>
        <w:t>million, which is expected to be recognized over a weighted-average period of 2.4</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quarter ended March 31, 2023, the Company granted 629,454</w:t>
      </w:r>
      <w:r>
        <w:rPr>
          <w:rFonts w:ascii="Times New Roman" w:hAnsi="Times New Roman"/>
          <w:sz w:val="20"/>
        </w:rPr>
        <w:t xml:space="preserve"> </w:t>
      </w:r>
      <w:r>
        <w:rPr>
          <w:rFonts w:ascii="Times New Roman;serif" w:hAnsi="Times New Roman;serif"/>
          <w:b w:val="false"/>
          <w:sz w:val="20"/>
        </w:rPr>
        <w:t>RSUs to certain employees in six</w:t>
      </w:r>
      <w:r>
        <w:rPr>
          <w:rFonts w:ascii="Times New Roman" w:hAnsi="Times New Roman"/>
          <w:sz w:val="20"/>
        </w:rPr>
        <w:t xml:space="preserve"> </w:t>
      </w:r>
      <w:r>
        <w:rPr>
          <w:rFonts w:ascii="Times New Roman;serif" w:hAnsi="Times New Roman;serif"/>
          <w:b w:val="false"/>
          <w:sz w:val="20"/>
        </w:rPr>
        <w:t>tranches.</w:t>
      </w:r>
      <w:r>
        <w:rPr>
          <w:rFonts w:ascii="Times New Roman" w:hAnsi="Times New Roman"/>
          <w:sz w:val="20"/>
        </w:rPr>
        <w:t xml:space="preserve"> </w:t>
      </w:r>
      <w:r>
        <w:rPr>
          <w:rFonts w:ascii="Times New Roman;serif" w:hAnsi="Times New Roman;serif"/>
          <w:b w:val="false"/>
          <w:sz w:val="20"/>
        </w:rPr>
        <w:t>Each of the six tranches contain service and market conditions. The market conditions relate to the achievement of certain specified price targets. Vesting commences on the grant date and the Company determined the fair value of the RSUs on the grant date to be approximately $3.0</w:t>
      </w:r>
      <w:r>
        <w:rPr>
          <w:rFonts w:ascii="Times New Roman" w:hAnsi="Times New Roman"/>
          <w:sz w:val="20"/>
        </w:rPr>
        <w:t xml:space="preserve"> </w:t>
      </w:r>
      <w:r>
        <w:rPr>
          <w:rFonts w:ascii="Times New Roman;serif" w:hAnsi="Times New Roman;serif"/>
          <w:b w:val="false"/>
          <w:sz w:val="20"/>
        </w:rPr>
        <w:t>million using a Monte Carlo simulation with key inputs and assumptions such as stock price, term, risk-free interest rate, and volatility. The derived service periods determined by the valuation for each of the six tranches range from approximately two years</w:t>
      </w:r>
      <w:r>
        <w:rPr>
          <w:rFonts w:ascii="Times New Roman" w:hAnsi="Times New Roman"/>
          <w:sz w:val="20"/>
        </w:rPr>
        <w:t xml:space="preserve"> </w:t>
      </w:r>
      <w:r>
        <w:rPr>
          <w:rFonts w:ascii="Times New Roman;serif" w:hAnsi="Times New Roman;serif"/>
          <w:b w:val="false"/>
          <w:sz w:val="20"/>
        </w:rPr>
        <w:t>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presents the key inputs and assumptions used to value the RSUs that contain service and market conditions on the grant date:</w:t>
      </w:r>
    </w:p>
    <w:p>
      <w:pPr>
        <w:pStyle w:val="TextBody"/>
        <w:bidi w:val="0"/>
        <w:spacing w:before="0" w:after="0"/>
        <w:jc w:val="left"/>
        <w:rPr/>
      </w:pPr>
      <w:r>
        <w:rPr/>
        <w:t> </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5.0</w:t>
            </w:r>
            <w:r>
              <w:rPr>
                <w:rFonts w:ascii="Times New Roman" w:hAnsi="Times New Roman"/>
                <w:sz w:val="20"/>
              </w:rPr>
              <w:t> </w:t>
            </w:r>
            <w:r>
              <w:rPr>
                <w:rFonts w:ascii="Times New Roman;serif" w:hAnsi="Times New Roman;serif"/>
                <w:b w:val="false"/>
                <w:sz w:val="20"/>
              </w:rPr>
              <w:t>years</w:t>
            </w:r>
          </w:p>
        </w:tc>
        <w:tc>
          <w:tcPr>
            <w:tcW w:w="316" w:type="dxa"/>
            <w:tcBorders/>
            <w:vAlign w:val="center"/>
          </w:tcPr>
          <w:p>
            <w:pPr>
              <w:pStyle w:val="TableContents"/>
              <w:bidi w:val="0"/>
              <w:spacing w:before="0" w:after="0"/>
              <w:ind w:left="0" w:right="0" w:hanging="0"/>
              <w:jc w:val="righ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Note 16 Related-Party Transactions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Leasing Arrangements:</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and six months ended June 30, 2023, the Company paid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under lease agreements with PCJW, which is controlled by Company's founders (including the Company's current CEO), for general office space in Los Angeles, California, and during the three and six months ended June 30, 2022, the Company paid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is a schedule of future minimum rental payments as of June 30, 2023 under Company’s sub-lease for the properties located in Los Angeles, California signed with PCJW (in thousands):</w:t>
      </w:r>
    </w:p>
    <w:p>
      <w:pPr>
        <w:pStyle w:val="TextBody"/>
        <w:bidi w:val="0"/>
        <w:spacing w:before="0" w:after="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Year</w:t>
            </w:r>
          </w:p>
        </w:tc>
        <w:tc>
          <w:tcPr>
            <w:tcW w:w="146" w:type="dxa"/>
            <w:tcBorders/>
            <w:vAlign w:val="center"/>
          </w:tcPr>
          <w:p>
            <w:pPr>
              <w:pStyle w:val="TableContents"/>
              <w:bidi w:val="0"/>
              <w:spacing w:before="0" w:after="0"/>
              <w:ind w:left="0" w:right="0" w:hanging="0"/>
              <w:jc w:val="left"/>
              <w:rPr/>
            </w:pPr>
            <w:r>
              <w:rPr/>
              <w:t> </w:t>
            </w:r>
          </w:p>
        </w:tc>
        <w:tc>
          <w:tcPr>
            <w:tcW w:w="24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Related-Party Commitment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2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2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211" w:type="dxa"/>
            <w:tcBorders/>
            <w:vAlign w:val="center"/>
          </w:tcPr>
          <w:p>
            <w:pPr>
              <w:pStyle w:val="TableContents"/>
              <w:bidi w:val="0"/>
              <w:spacing w:before="0" w:after="0"/>
              <w:ind w:left="0" w:right="0" w:hanging="0"/>
              <w:jc w:val="left"/>
              <w:rPr/>
            </w:pPr>
            <w:r>
              <w:rPr/>
              <w:t> </w:t>
            </w:r>
          </w:p>
        </w:tc>
      </w:tr>
      <w:tr>
        <w:trPr/>
        <w:tc>
          <w:tcPr>
            <w:tcW w:w="2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minimum lease payments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769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lease liabilities</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684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related-party components of the lease right-of-use assets, lease liabilities, short-term, and lease liabilities, long-term are presented as part of the right-of-use asset and lease liability on the unaudited condensed consolidated balance sheets.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VPCC Financing Agreement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Senior Partner at Victory Park Capital Advisors, LLC joined the board of directors of the Company upon closing of the Business Combination. For more information about the VPC Financing Agreement, refer to Note 10, Debt Facility.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Note 17 401(k) Savings Plan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$0.6</w:t>
      </w:r>
      <w:r>
        <w:rPr>
          <w:rFonts w:ascii="Times New Roman" w:hAnsi="Times New Roman"/>
          <w:sz w:val="20"/>
        </w:rPr>
        <w:t xml:space="preserve"> </w:t>
      </w:r>
      <w:r>
        <w:rPr>
          <w:rFonts w:ascii="Times New Roman;serif" w:hAnsi="Times New Roman;serif"/>
          <w:b w:val="false"/>
          <w:sz w:val="20"/>
        </w:rPr>
        <w:t>million and $1.1</w:t>
      </w:r>
      <w:r>
        <w:rPr>
          <w:rFonts w:ascii="Times New Roman" w:hAnsi="Times New Roman"/>
          <w:sz w:val="20"/>
        </w:rPr>
        <w:t xml:space="preserve"> </w:t>
      </w:r>
      <w:r>
        <w:rPr>
          <w:rFonts w:ascii="Times New Roman;serif" w:hAnsi="Times New Roman;serif"/>
          <w:b w:val="false"/>
          <w:sz w:val="20"/>
        </w:rPr>
        <w:t>million for the three and six months ended June 30, 2023, respectively, and $0.5</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for the three and six months ended June 30, 2022 respectively.</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Note 18 Subsequent Events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Subsequent events are events or transactions that occur after the unaudited condensed consolidated balance sheet date, but before the unaudited condensed consolidated financial statements are available to be issued. The Company recognizes in the unaudited condensed consolidated financial statements the effects of all subsequent events that provide additional evidence about conditions that existed at the date of the unaudited condensed consolidated balance sheet, including the estimates inherent in the process of preparing the unaudited condensed consolidated financial statements. The Company’s unaudited condensed consolidated financial statements do not recognize subsequent events that provide evidence about conditions that did not exist at the date of the unaudited condensed consolidated balance sheet but arose after the unaudited condensed consolidated balance sheet date and before the unaudited condensed consolidated financial statements were available to be issued.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11" w:name="item2_mda"/>
      <w:bookmarkEnd w:id="11"/>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The following discussion and analysis of the Company’s financial condition and results of operations should be read in conjunction with our unaudited condensed consolidated financial statements and the notes related thereto which are included elsewhere in this report.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our Annual Report on Form 10-K.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4"/>
        </w:rPr>
      </w:pPr>
      <w:r>
        <w:rPr>
          <w:rFonts w:ascii="Times New Roman;serif" w:hAnsi="Times New Roman;serif"/>
          <w:b/>
          <w:sz w:val="24"/>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story of David vs. Goliath, the small underdog is able to outsmart and defeat his larger adversary. This is the spirit behind the name “Dave.” We have built an integrated and fully digital financial services platform that provides millions of Americans with seamless access to a variety of intuitive financial products at a fraction of the cost and with much greater transparency and higher speed to value than that of the legacy financial services incumbents, such as traditional banks, credit unions and independent finance companies. Our mission is to build products that level the financial playing field. Our near-term strategy is focused on delivering a superior banking experience for anyone living paycheck to paycheck.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our observation and analysis of Member data, legacy financial institutions charge high fees for consumer banking and other financial services products, which disproportionately burdens tens of millions of Americans who can least afford them. We witness this dynamic playing out with our Members who we believe are on average paying between $300-$400 per year in overdraft fees, maintenance and other fees to their existing bank for basic checking services.</w:t>
      </w:r>
    </w:p>
    <w:p>
      <w:pPr>
        <w:pStyle w:val="TextBody"/>
        <w:bidi w:val="0"/>
        <w:spacing w:before="120" w:after="0"/>
        <w:jc w:val="left"/>
        <w:rPr>
          <w:rFonts w:ascii="Times New Roman" w:hAnsi="Times New Roman"/>
          <w:sz w:val="20"/>
        </w:rPr>
      </w:pPr>
      <w:r>
        <w:rPr>
          <w:rFonts w:ascii="Times New Roman;serif" w:hAnsi="Times New Roman;serif"/>
          <w:b w:val="false"/>
          <w:sz w:val="20"/>
        </w:rPr>
        <w:t>Further, we see a significant opportunity to address the broader short-term credit market. According to a report by The Financial Health Network (“FHN”), legacy financial institutions charge approximately $30 billion in fees annually. The FHN estimates that financially “coping” and “vulnerable” populations pay over $150 billion a year in fees and interest for access to short-term credit. Our prospective Member opportunity is also significant. We estimate that our total addressable market consists of between 160 million to 180 million Americans who are in need of financial stability and are either not served or underserved by legacy financial institutions.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our Side Hustle product, where we present Members with supplemental work opportunities, and through our Surveys product, where Members can earn supplemental income by taking surveys. Our budgeting tool helps Members manage their upcoming bills to avoid overspending.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br/>
      </w:r>
      <w:r>
        <w:rPr>
          <w:rFonts w:ascii="Times New Roman;serif" w:hAnsi="Times New Roman;serif"/>
          <w:b w:val="false"/>
          <w:sz w:val="20"/>
        </w:rPr>
        <w:t>We have only begun to address the many inequities in financial services, but our progress to date demonstrates the demand for Dave to rewire the financial system for the everyday person. As of the date of this report, over nine million Members have opened accounts on the Dave app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Comparability of Financial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results of operations and financial position may not be comparable to historical results as a result of the consummation of the Business Combination.</w:t>
      </w:r>
    </w:p>
    <w:p>
      <w:pPr>
        <w:pStyle w:val="TextBody"/>
        <w:bidi w:val="0"/>
        <w:spacing w:before="360" w:after="0"/>
        <w:jc w:val="left"/>
        <w:rPr>
          <w:rFonts w:ascii="Times New Roman;serif" w:hAnsi="Times New Roman;serif"/>
          <w:b/>
          <w:sz w:val="20"/>
        </w:rPr>
      </w:pPr>
      <w:r>
        <w:rPr>
          <w:rFonts w:ascii="Times New Roman;serif" w:hAnsi="Times New Roman;serif"/>
          <w:b/>
          <w:sz w:val="20"/>
        </w:rPr>
        <w:t>Key Factors Affecting Operating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operating results and cash flows are dependent upon a number of opportunities, challenges and other factors, including Member growth and activity, product expansion, competition, industry trends and general economic conditions.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Member Growth and Activity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Product Expansion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Competition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pStyle w:val="TextBody"/>
        <w:bidi w:val="0"/>
        <w:spacing w:before="360" w:after="0"/>
        <w:jc w:val="left"/>
        <w:rPr>
          <w:rFonts w:ascii="Times New Roman;serif" w:hAnsi="Times New Roman;serif"/>
          <w:b/>
          <w:sz w:val="20"/>
        </w:rPr>
      </w:pPr>
      <w:r>
        <w:rPr>
          <w:rFonts w:ascii="Times New Roman;serif" w:hAnsi="Times New Roman;serif"/>
          <w:b/>
          <w:sz w:val="20"/>
        </w:rPr>
        <w:t>Key Components of Statements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Currently, we conduct business through one operating segment which constitutes a single reportable segment. For more information about our basis of presentation, refer to Note 2 in the accompanying unaudited condensed consolidated financial statements of Dave included in this report.</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Service Based Revenue,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and reveue share from our surveys partner.</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Transaction Based Revenue, Net</w:t>
      </w:r>
    </w:p>
    <w:p>
      <w:pPr>
        <w:pStyle w:val="TextBody"/>
        <w:bidi w:val="0"/>
        <w:spacing w:before="120" w:after="0"/>
        <w:jc w:val="left"/>
        <w:rPr>
          <w:rFonts w:ascii="Times New Roman" w:hAnsi="Times New Roman"/>
          <w:sz w:val="20"/>
        </w:rPr>
      </w:pPr>
      <w:r>
        <w:rPr>
          <w:rFonts w:ascii="Times New Roman;serif" w:hAnsi="Times New Roman;serif"/>
          <w:b w:val="false"/>
          <w:sz w:val="20"/>
        </w:rPr>
        <w:t>Transaction based revenue, net primarily consists of interchange and ATM revenues from our Checking Product, net of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 fees and are recognized at the point in time the transactions occur, as the performance obligations are satisfied and the variable consideration is not constrained.</w:t>
      </w:r>
      <w:r>
        <w:rPr>
          <w:rFonts w:ascii="Times New Roman" w:hAnsi="Times New Roman"/>
          <w:sz w:val="20"/>
        </w:rPr>
        <w:t xml:space="preserve">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Operating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classify our operating expenses into the following five categories: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Provision for Credit Losses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provision for credit losses primarily consists of an allowance for expected credit losses at a level estimated to be adequate to absorb credit losses inherent in the outstanding advances receivable,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unaudited condensed consolidated statement of operations. We consider advances aged more than 120 days or which become uncollectible based on information available to us as impaired. All impaired advances are deemed uncollectible and subsequently written off and are a direct reduction to the allowance for credit losses. Subsequent recoveries, if any, of Member advances written-off are recorded as a reduction to Member advances, resulting in a reduction to the allowance for credit losses and a corresponding reduction to the provision for credit losses in the unaudited condensed consolidated statements of operations when collected.</w:t>
      </w:r>
    </w:p>
    <w:p>
      <w:pPr>
        <w:pStyle w:val="TextBody"/>
        <w:bidi w:val="0"/>
        <w:spacing w:before="360" w:after="0"/>
        <w:jc w:val="left"/>
        <w:rPr/>
      </w:pPr>
      <w:r>
        <w:rPr/>
        <w:t> </w:t>
      </w:r>
    </w:p>
    <w:p>
      <w:pPr>
        <w:pStyle w:val="TextBody"/>
        <w:bidi w:val="0"/>
        <w:spacing w:before="36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Processing and Servicing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Advertising and Marketing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Compensation and Benefits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Other Operating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operating expenses consist primarily of technology and infrastructure (third-party Software as a Service or “SaaS”), commitments to charity, transaction based costs (program expenses, association fees, processor fees, losses from Member-disputed transactions, bank card fees and fraud-related costs),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utilities, office-related expenses, general and recurring legal fees, public relations costs, and insurance vary based upon our investment in infrastructure, business development, risk management and internal controls and are generally not correlated with our operating revenues or other transaction metrics.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Other (Income)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expenses consist of interest income, interest expense, other strategic financing and transactional expenses, earnout liabilities fair value adjustments, derivative asset fair value adjustments, and changes in fair value of warrant liabilities.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Provision for Income Taxes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Provision for income taxes consists of the federal and state corporate income taxes accrued based on income resulting from the sale of our services.</w:t>
      </w:r>
    </w:p>
    <w:p>
      <w:pPr>
        <w:pStyle w:val="TextBody"/>
        <w:bidi w:val="0"/>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Comparison of the Three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revenues</w:t>
      </w:r>
    </w:p>
    <w:p>
      <w:pPr>
        <w:pStyle w:val="TextBody"/>
        <w:bidi w:val="0"/>
        <w:spacing w:before="0" w:after="0"/>
        <w:jc w:val="left"/>
        <w:rPr/>
      </w:pPr>
      <w:r>
        <w:rPr/>
        <w:t> </w:t>
      </w:r>
    </w:p>
    <w:tbl>
      <w:tblPr>
        <w:tblW w:w="8881" w:type="dxa"/>
        <w:jc w:val="left"/>
        <w:tblInd w:w="0" w:type="dxa"/>
        <w:tblLayout w:type="fixed"/>
        <w:tblCellMar>
          <w:top w:w="28" w:type="dxa"/>
          <w:left w:w="28" w:type="dxa"/>
          <w:bottom w:w="28" w:type="dxa"/>
          <w:right w:w="28" w:type="dxa"/>
        </w:tblCellMar>
      </w:tblPr>
      <w:tblGrid>
        <w:gridCol w:w="3271"/>
        <w:gridCol w:w="146"/>
        <w:gridCol w:w="259"/>
        <w:gridCol w:w="829"/>
        <w:gridCol w:w="179"/>
        <w:gridCol w:w="179"/>
        <w:gridCol w:w="259"/>
        <w:gridCol w:w="829"/>
        <w:gridCol w:w="146"/>
        <w:gridCol w:w="146"/>
        <w:gridCol w:w="239"/>
        <w:gridCol w:w="766"/>
        <w:gridCol w:w="166"/>
        <w:gridCol w:w="146"/>
        <w:gridCol w:w="257"/>
        <w:gridCol w:w="748"/>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9"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based revenue, net</w:t>
            </w:r>
          </w:p>
        </w:tc>
        <w:tc>
          <w:tcPr>
            <w:tcW w:w="146"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Processing fees, net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35,985</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Tips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13,139</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Subscriptions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5,412</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based revenue, net</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6,250</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61,235</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45,805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15,430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pPr>
      <w:r>
        <w:rPr/>
        <w:t> </w:t>
      </w:r>
    </w:p>
    <w:p>
      <w:pPr>
        <w:pStyle w:val="TextBody"/>
        <w:bidi w:val="0"/>
        <w:spacing w:before="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40" w:after="0"/>
        <w:jc w:val="left"/>
        <w:rPr>
          <w:rFonts w:ascii="Times New Roman" w:hAnsi="Times New Roman"/>
          <w:sz w:val="20"/>
        </w:rPr>
      </w:pPr>
      <w:r>
        <w:rPr>
          <w:rFonts w:ascii="Times New Roman;serif" w:hAnsi="Times New Roman;serif"/>
          <w:b w:val="false"/>
          <w:i/>
          <w:sz w:val="20"/>
        </w:rPr>
        <w:t>Service based revenue, net—</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Processing fees,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Processing fees, net of processor costs associated with advance disbursements, for the three months ended June 30, 2023 were $36.0 million, an increase of $12.1 million, or 51%, from $23.9 million for the three months ended June 30, 2022. The increase was primarily attributable to increases in monthly transacting members and increases in total advance volume from approximately $606 million to approximately $867 million period over period along with individual average advance amounts that increased from $128 to $156 for the three months ended June 30, 2022 and June 30, 2023, respectively. Processing fees tend to increase as advance volume increases, but may not always trend ratably as processing fees vary depending on the total amount of the advance. The percentage of Members that chose to pay a processing fee to expedite an advance decreased slightly for the three months ended June 30, 2023 as compared to the three months ended June 30, 2022. The average processing fees Members paid to expedite these advances increased modestly for the three months ended June 30, 2023 as compared to the three months ended June 30, 2022.</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Tips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Tips for the three months ended June 30, 2023 were $13.1 million, a decrease of $1.4 million, or 10%, from $14.5 million for the three months ended June 30, 2022. The decrease was primarily attributable to lower tip engagement from our Members, offset by an increase in the average tip amounts from Members. Tip revenue tends to increase as advance volume increases, but may not always trend ratably as tips often vary depending on the total amount of the advance.</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Subscriptions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Subscriptions for the three months ended June 30, 2023 were $5.4 million, an increase of $1.1 million, or 25%, from $4.3 million for the three months ended June 30, 2022. The increase was primarily attributable to higher Member engagement on our platform.</w:t>
      </w:r>
    </w:p>
    <w:p>
      <w:pPr>
        <w:pStyle w:val="TextBody"/>
        <w:bidi w:val="0"/>
        <w:spacing w:before="360" w:after="0"/>
        <w:jc w:val="left"/>
        <w:rPr>
          <w:rFonts w:ascii="Times New Roman" w:hAnsi="Times New Roman"/>
          <w:sz w:val="20"/>
        </w:rPr>
      </w:pPr>
      <w:r>
        <w:rPr>
          <w:rFonts w:ascii="Times New Roman;serif" w:hAnsi="Times New Roman;serif"/>
          <w:b w:val="false"/>
          <w:i/>
          <w:sz w:val="20"/>
        </w:rPr>
        <w:t>Transaction based revenue, net</w:t>
      </w:r>
      <w:r>
        <w:rPr>
          <w:rFonts w:ascii="Times New Roman" w:hAnsi="Times New Roman"/>
          <w:sz w:val="20"/>
        </w:rPr>
        <w:t>—</w:t>
      </w:r>
      <w:r>
        <w:rPr>
          <w:rFonts w:ascii="Times New Roman;serif" w:hAnsi="Times New Roman;serif"/>
          <w:b w:val="false"/>
          <w:sz w:val="20"/>
        </w:rPr>
        <w:t>Transaction based revenue, net for the three months ended June 30, 2023 was $6.3 million, an increase of $3.4 million, or 122% from $2.8 million, for the three months ended June 30, 2022. The increase was primarily attributable to the growth in Members engaging with our Checking Product and corresponding growth in the number of transactions initiated by Members.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Operating expenses</w:t>
      </w:r>
    </w:p>
    <w:p>
      <w:pPr>
        <w:pStyle w:val="TextBody"/>
        <w:bidi w:val="0"/>
        <w:spacing w:before="0" w:after="0"/>
        <w:jc w:val="left"/>
        <w:rPr/>
      </w:pPr>
      <w:r>
        <w:rPr/>
        <w:t> </w:t>
      </w:r>
    </w:p>
    <w:tbl>
      <w:tblPr>
        <w:tblW w:w="8881" w:type="dxa"/>
        <w:jc w:val="left"/>
        <w:tblInd w:w="0" w:type="dxa"/>
        <w:tblLayout w:type="fixed"/>
        <w:tblCellMar>
          <w:top w:w="28" w:type="dxa"/>
          <w:left w:w="28" w:type="dxa"/>
          <w:bottom w:w="28" w:type="dxa"/>
          <w:right w:w="28" w:type="dxa"/>
        </w:tblCellMar>
      </w:tblPr>
      <w:tblGrid>
        <w:gridCol w:w="3271"/>
        <w:gridCol w:w="146"/>
        <w:gridCol w:w="259"/>
        <w:gridCol w:w="829"/>
        <w:gridCol w:w="179"/>
        <w:gridCol w:w="179"/>
        <w:gridCol w:w="259"/>
        <w:gridCol w:w="829"/>
        <w:gridCol w:w="146"/>
        <w:gridCol w:w="146"/>
        <w:gridCol w:w="224"/>
        <w:gridCol w:w="781"/>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9"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15,925</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Processing and servicing costs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7,232</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Advertising and marketing</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14,985</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benefits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23,932</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20,078</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82,152</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98,820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(16,668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Provision for credit losses</w:t>
      </w:r>
      <w:r>
        <w:rPr>
          <w:rFonts w:ascii="Times New Roman" w:hAnsi="Times New Roman"/>
          <w:sz w:val="20"/>
        </w:rPr>
        <w:t>—</w:t>
      </w:r>
      <w:r>
        <w:rPr>
          <w:rFonts w:ascii="Times New Roman;serif" w:hAnsi="Times New Roman;serif"/>
          <w:b w:val="false"/>
          <w:sz w:val="20"/>
        </w:rPr>
        <w:t>The provision for credit losses totaled $15.9 million for the three months ended June 30, 2023, compared to $13.9 million for the three months ended June 30, 2022. The increase of $2.1 million, or 15%, was primarily attributable to an increase in provision expense of $2.5 million related to Member advances aged over 120 days and those that have become uncollectible based on information available to us, offset by a slight decrease in provision expense of $0.4 million related to Member advances aged 120 days and under.</w:t>
      </w:r>
    </w:p>
    <w:p>
      <w:pPr>
        <w:pStyle w:val="TextBody"/>
        <w:bidi w:val="0"/>
        <w:spacing w:before="240" w:after="0"/>
        <w:jc w:val="left"/>
        <w:rPr>
          <w:rFonts w:ascii="Times New Roman" w:hAnsi="Times New Roman"/>
          <w:sz w:val="20"/>
        </w:rPr>
      </w:pPr>
      <w:r>
        <w:rPr>
          <w:rFonts w:ascii="Times New Roman;serif" w:hAnsi="Times New Roman;serif"/>
          <w:b w:val="false"/>
          <w:sz w:val="20"/>
        </w:rPr>
        <w:t>The increase in provision expense of $2.5 million related to Member advances aged over 120 days and those which have become uncollectible based on information available to us, period over period, was primarily driven by the increase in total advance volume from $545.1</w:t>
      </w:r>
      <w:r>
        <w:rPr>
          <w:rFonts w:ascii="Times New Roman" w:hAnsi="Times New Roman"/>
          <w:sz w:val="20"/>
        </w:rPr>
        <w:t xml:space="preserve"> </w:t>
      </w:r>
      <w:r>
        <w:rPr>
          <w:rFonts w:ascii="Times New Roman;serif" w:hAnsi="Times New Roman;serif"/>
          <w:b w:val="false"/>
          <w:sz w:val="20"/>
        </w:rPr>
        <w:t>million during the first quarter of 2022 to $798.5 million during the first quarter of 2023, the period which includes those advances aged over 120 days as of June 30, 2023. All impaired advances deemed uncollectible are subsequently written-off and are a direct reduction to the allowance for credit losses.</w:t>
      </w:r>
    </w:p>
    <w:p>
      <w:pPr>
        <w:pStyle w:val="TextBody"/>
        <w:bidi w:val="0"/>
        <w:spacing w:before="240" w:after="0"/>
        <w:jc w:val="left"/>
        <w:rPr>
          <w:rFonts w:ascii="Times New Roman" w:hAnsi="Times New Roman"/>
          <w:sz w:val="20"/>
        </w:rPr>
      </w:pPr>
      <w:r>
        <w:rPr>
          <w:rFonts w:ascii="Times New Roman;serif" w:hAnsi="Times New Roman;serif"/>
          <w:b w:val="false"/>
          <w:sz w:val="20"/>
        </w:rPr>
        <w:t>The slight decrease in provision expense related to Member advances aged 120 days and under was primarily attributed to a lower relative increase in advances outstanding as of June 30, 2023 from the prior quarter when compared to June 30, 2022 and the quarter prior. This dynamic resulted in a slightly lower provision expense for the three months ended June 30, 2023 as compared to the three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months ended June 30, 2022 although overall disbursement volume increased period over period. We anticipate fluctuations in Member advances outstanding each period as they are directly correlated with the timing and volume of the disbursements and collections of Member advances during the period.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three months ended June 30, 2023, overall loss and collections experience of Member advances improved compared to the three months ended June 30, 2022. The historical loss rates utilized in the calculation of the allowance for credit losses also slightly improved period over period. Any changes to our historical loss and collections experience directly affects the historical loss rates utilized in the calculation of the allowance for credit losses. The changes in the allowance for credit losses, period over period, has a direct impact on the provision for credit losses expense.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information on the aging of Member advances and a rollforward of the allowance for credit losses, refer to the tables in Note 5 Member Cash Advances, Net in the accompanying unaudited condensed consolidated financial statements included in this report.</w:t>
      </w:r>
    </w:p>
    <w:p>
      <w:pPr>
        <w:pStyle w:val="TextBody"/>
        <w:bidi w:val="0"/>
        <w:spacing w:before="240" w:after="0"/>
        <w:jc w:val="left"/>
        <w:rPr>
          <w:rFonts w:ascii="Times New Roman" w:hAnsi="Times New Roman"/>
          <w:sz w:val="20"/>
        </w:rPr>
      </w:pPr>
      <w:r>
        <w:rPr>
          <w:rFonts w:ascii="Times New Roman;serif" w:hAnsi="Times New Roman;serif"/>
          <w:b w:val="false"/>
          <w:i/>
          <w:sz w:val="20"/>
        </w:rPr>
        <w:t>Processing and service costs</w:t>
      </w:r>
      <w:r>
        <w:rPr>
          <w:rFonts w:ascii="Times New Roman" w:hAnsi="Times New Roman"/>
          <w:sz w:val="20"/>
        </w:rPr>
        <w:t>—</w:t>
      </w:r>
      <w:r>
        <w:rPr>
          <w:rFonts w:ascii="Times New Roman;serif" w:hAnsi="Times New Roman;serif"/>
          <w:b w:val="false"/>
          <w:sz w:val="20"/>
        </w:rPr>
        <w:t>Processing and servicing costs totaled $7.2 million for the three months ended June 30, 2023, compared to $7.6 million for the three months ended June 30, 2022. The decrease of $0.4 million, or 5%, was primarily attributable to certain payment flow optimizations and cost savings related to price reductions from our processors.</w:t>
      </w:r>
    </w:p>
    <w:p>
      <w:pPr>
        <w:pStyle w:val="TextBody"/>
        <w:bidi w:val="0"/>
        <w:spacing w:before="240" w:after="0"/>
        <w:jc w:val="left"/>
        <w:rPr>
          <w:rFonts w:ascii="Times New Roman" w:hAnsi="Times New Roman"/>
          <w:sz w:val="20"/>
        </w:rPr>
      </w:pPr>
      <w:r>
        <w:rPr>
          <w:rFonts w:ascii="Times New Roman;serif" w:hAnsi="Times New Roman;serif"/>
          <w:b w:val="false"/>
          <w:i/>
          <w:sz w:val="20"/>
        </w:rPr>
        <w:t>Advertising and marketing</w:t>
      </w:r>
      <w:r>
        <w:rPr>
          <w:rFonts w:ascii="Times New Roman" w:hAnsi="Times New Roman"/>
          <w:sz w:val="20"/>
        </w:rPr>
        <w:t>—</w:t>
      </w:r>
      <w:r>
        <w:rPr>
          <w:rFonts w:ascii="Times New Roman;serif" w:hAnsi="Times New Roman;serif"/>
          <w:b w:val="false"/>
          <w:sz w:val="20"/>
        </w:rPr>
        <w:t>Advertising and marketing expenses totaled $15.0 million for the three months ended June 30, 2023, compared to $20.8 million for the three months ended June 30, 2022. The decrease of $5.8 million, or 28%, was primarily attributable to an optimization of advertising efforts and decreased advertising, marketing, production and promotional spend across various social media platforms and television.</w:t>
      </w:r>
    </w:p>
    <w:p>
      <w:pPr>
        <w:pStyle w:val="TextBody"/>
        <w:bidi w:val="0"/>
        <w:spacing w:before="240" w:after="0"/>
        <w:jc w:val="left"/>
        <w:rPr>
          <w:rFonts w:ascii="Times New Roman" w:hAnsi="Times New Roman"/>
          <w:sz w:val="20"/>
        </w:rPr>
      </w:pPr>
      <w:r>
        <w:rPr>
          <w:rFonts w:ascii="Times New Roman;serif" w:hAnsi="Times New Roman;serif"/>
          <w:b w:val="false"/>
          <w:i/>
          <w:sz w:val="20"/>
        </w:rPr>
        <w:t>Compensation and benefits</w:t>
      </w:r>
      <w:r>
        <w:rPr>
          <w:rFonts w:ascii="Times New Roman" w:hAnsi="Times New Roman"/>
          <w:sz w:val="20"/>
        </w:rPr>
        <w:t>—</w:t>
      </w:r>
      <w:r>
        <w:rPr>
          <w:rFonts w:ascii="Times New Roman;serif" w:hAnsi="Times New Roman;serif"/>
          <w:b w:val="false"/>
          <w:sz w:val="20"/>
        </w:rPr>
        <w:t>Compensation and benefits expenses totaled $23.9 million for the three months ended June 30, 2023, compared to $39.1 million for the three months ended June 30, 2022. The decrease of $15.2 million, or 39%, was primarily attributable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increase in payroll and related costs of $1.6 million, primarily due to hiring and increased headcount throughout the business, bonuses, benefits and severance payments; offset by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decrease in stock-based compensation of $16.2 million, primarily due to restricted stock units granted during the second fiscal quarter of 2022;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decrease in contractor and consulting fees of $0.6 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Other operating expenses</w:t>
      </w:r>
      <w:r>
        <w:rPr>
          <w:rFonts w:ascii="Times New Roman" w:hAnsi="Times New Roman"/>
          <w:sz w:val="20"/>
        </w:rPr>
        <w:t>—</w:t>
      </w:r>
      <w:r>
        <w:rPr>
          <w:rFonts w:ascii="Times New Roman;serif" w:hAnsi="Times New Roman;serif"/>
          <w:b w:val="false"/>
          <w:sz w:val="20"/>
        </w:rPr>
        <w:t>Other operating expenses totaled $20.1 million for the three months ended June 30, 2023, compared to $17.4 million for the three months ended June 30, 2022. The increase of $2.6 million, or 15%, was primarily attributable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legal fees of $4.6 million primarily due to ongoing settlement, litigation, compliance, employment and general corporate related matters; offset by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decrease in insurance related costs of $0.9 million, primarily related to lower director and officer, general liability and cyber insurance premiums;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decrease in depreciation and amortization of $0.5 million, primarily due to diminished amortization related to the change in useful life of a certain intangible asset, partially offset by the increased amortization of internally developed software due to increased internally developed capitalized costs and depreciation related to leasehold improvements and equipment purchases;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decrease in rent expense of $0.4 million, due to a reduction in leased office space.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Other (income) expense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673"/>
        <w:gridCol w:w="146"/>
        <w:gridCol w:w="249"/>
        <w:gridCol w:w="747"/>
        <w:gridCol w:w="196"/>
        <w:gridCol w:w="172"/>
        <w:gridCol w:w="249"/>
        <w:gridCol w:w="872"/>
        <w:gridCol w:w="166"/>
        <w:gridCol w:w="146"/>
        <w:gridCol w:w="236"/>
        <w:gridCol w:w="756"/>
        <w:gridCol w:w="166"/>
        <w:gridCol w:w="146"/>
        <w:gridCol w:w="224"/>
        <w:gridCol w:w="740"/>
        <w:gridCol w:w="321"/>
      </w:tblGrid>
      <w:tr>
        <w:trPr/>
        <w:tc>
          <w:tcPr>
            <w:tcW w:w="4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67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5"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4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7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 w:type="dxa"/>
            <w:tcBorders/>
            <w:vAlign w:val="center"/>
          </w:tcPr>
          <w:p>
            <w:pPr>
              <w:pStyle w:val="TableContents"/>
              <w:bidi w:val="0"/>
              <w:spacing w:before="0" w:after="0"/>
              <w:ind w:left="0" w:right="0" w:hanging="0"/>
              <w:jc w:val="center"/>
              <w:rPr/>
            </w:pPr>
            <w:r>
              <w:rPr/>
              <w:t> </w:t>
            </w:r>
          </w:p>
        </w:tc>
        <w:tc>
          <w:tcPr>
            <w:tcW w:w="11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3,027</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liability</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7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1,694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(25,922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27,616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7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6"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2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4" w:type="dxa"/>
            <w:gridSpan w:val="2"/>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r>
        <w:rPr>
          <w:rFonts w:ascii="Times New Roman;serif" w:hAnsi="Times New Roman;serif"/>
          <w:b w:val="false"/>
          <w:sz w:val="20"/>
        </w:rPr>
        <w:t>Interest income totaled $1.5 million for the three months ended June 30, 2023, compared to $0.6 million for three months ended June 30, 2022. The increase of $0.8 million, or 130%, was primarily attributable to a full quarter of interest earned from yields on short-term investments and marketable securities purchased during the quarter ended June 30, 2022 for the quarter ended June 30, 2023 compared to a partial quarter for the quarter ended June 30, 2022.</w:t>
      </w:r>
    </w:p>
    <w:p>
      <w:pPr>
        <w:pStyle w:val="TextBody"/>
        <w:bidi w:val="0"/>
        <w:spacing w:before="24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Interest expense totaled $3.0 million for the three months ended June 30, 2023, compared to $2.3 million for the three months ended June 30, 2022. The increase of $0.7 million, or 32%, was primarily attributable to higher interest rates and interest on increased borrowings from the delayed draw senior secured loan facility (the “Debt Facility”) which Dave OD Funding I, LLC (“Dave OD”) entered into during January 2021.</w:t>
      </w:r>
    </w:p>
    <w:p>
      <w:pPr>
        <w:pStyle w:val="TextBody"/>
        <w:bidi w:val="0"/>
        <w:spacing w:before="240" w:after="0"/>
        <w:jc w:val="left"/>
        <w:rPr>
          <w:rFonts w:ascii="Times New Roman" w:hAnsi="Times New Roman"/>
          <w:sz w:val="20"/>
        </w:rPr>
      </w:pPr>
      <w:r>
        <w:rPr>
          <w:rFonts w:ascii="Times New Roman;serif" w:hAnsi="Times New Roman;serif"/>
          <w:b w:val="false"/>
          <w:i/>
          <w:sz w:val="20"/>
        </w:rPr>
        <w:t>Other strategic financing and transactional expenses</w:t>
      </w:r>
      <w:r>
        <w:rPr>
          <w:rFonts w:ascii="Times New Roman" w:hAnsi="Times New Roman"/>
          <w:sz w:val="20"/>
        </w:rPr>
        <w:t>—</w:t>
      </w:r>
      <w:r>
        <w:rPr>
          <w:rFonts w:ascii="Times New Roman;serif" w:hAnsi="Times New Roman;serif"/>
          <w:b w:val="false"/>
          <w:sz w:val="20"/>
        </w:rPr>
        <w:t>Other strategic financing and transactional expenses totaled $0 for the three months ended June 30, 2023, compared to $1.9 million for the three months ended June 30, 2022.</w:t>
      </w:r>
      <w:r>
        <w:rPr>
          <w:rFonts w:ascii="Times New Roman" w:hAnsi="Times New Roman"/>
          <w:sz w:val="20"/>
        </w:rPr>
        <w:t xml:space="preserve"> </w:t>
      </w:r>
      <w:r>
        <w:rPr>
          <w:rFonts w:ascii="Times New Roman;serif" w:hAnsi="Times New Roman;serif"/>
          <w:b w:val="false"/>
          <w:sz w:val="20"/>
        </w:rPr>
        <w:t>The decrease of $1.9 million was related to certain one-time strategic opportunities in addition to certain one-time post-closing expenses associated with the Business Combination that occurred during the three months ended June 30, 2022.</w:t>
      </w:r>
    </w:p>
    <w:p>
      <w:pPr>
        <w:pStyle w:val="TextBody"/>
        <w:bidi w:val="0"/>
        <w:spacing w:before="240" w:after="0"/>
        <w:jc w:val="left"/>
        <w:rPr>
          <w:rFonts w:ascii="Times New Roman" w:hAnsi="Times New Roman"/>
          <w:sz w:val="20"/>
        </w:rPr>
      </w:pPr>
      <w:r>
        <w:rPr>
          <w:rFonts w:ascii="Times New Roman;serif" w:hAnsi="Times New Roman;serif"/>
          <w:b w:val="false"/>
          <w:i/>
          <w:sz w:val="20"/>
        </w:rPr>
        <w:t>Changes in fair value of earnout liability</w:t>
      </w:r>
      <w:r>
        <w:rPr>
          <w:rFonts w:ascii="Times New Roman" w:hAnsi="Times New Roman"/>
          <w:sz w:val="20"/>
        </w:rPr>
        <w:t>—</w:t>
      </w:r>
      <w:r>
        <w:rPr>
          <w:rFonts w:ascii="Times New Roman;serif" w:hAnsi="Times New Roman;serif"/>
          <w:b w:val="false"/>
          <w:sz w:val="20"/>
        </w:rPr>
        <w:t>Changes in fair value of earnout liabilities totaled a benefit of $0.01 million for the three months ended June 30, 2023 compared to $7.6 million for the three months ended June 30, 2022. The decrease of $7.6 million, or 100%, was primarily attributable to fair value adjustments associated with certain earnout shares liability due to decreases in our underlying Class A Common Stock price over the last 12 months.</w:t>
      </w:r>
    </w:p>
    <w:p>
      <w:pPr>
        <w:pStyle w:val="TextBody"/>
        <w:bidi w:val="0"/>
        <w:spacing w:before="240" w:after="0"/>
        <w:jc w:val="left"/>
        <w:rPr>
          <w:rFonts w:ascii="Times New Roman" w:hAnsi="Times New Roman"/>
          <w:sz w:val="20"/>
        </w:rPr>
      </w:pPr>
      <w:r>
        <w:rPr>
          <w:rFonts w:ascii="Times New Roman;serif" w:hAnsi="Times New Roman;serif"/>
          <w:b w:val="false"/>
          <w:i/>
          <w:sz w:val="20"/>
        </w:rPr>
        <w:t>Gain on extinguishment of liability</w:t>
      </w:r>
      <w:r>
        <w:rPr>
          <w:rFonts w:ascii="Times New Roman" w:hAnsi="Times New Roman"/>
          <w:sz w:val="20"/>
        </w:rPr>
        <w:t>—</w:t>
      </w:r>
      <w:r>
        <w:rPr>
          <w:rFonts w:ascii="Times New Roman;serif" w:hAnsi="Times New Roman;serif"/>
          <w:b w:val="false"/>
          <w:sz w:val="20"/>
        </w:rPr>
        <w:t>Gain on extinguishment of liability totaled $0 for the three months ended June 30, 2022, compared to $4.3 million for the three months ended June 30, 2022. The decrease of approximately $4.3 million, or 100%, was primarily attributable to the extinguishment of a $7.5 million liability in exchange for shares of Class A Common Stock during 2022.</w:t>
      </w:r>
    </w:p>
    <w:p>
      <w:pPr>
        <w:pStyle w:val="TextBody"/>
        <w:bidi w:val="0"/>
        <w:spacing w:before="240" w:after="0"/>
        <w:jc w:val="left"/>
        <w:rPr>
          <w:rFonts w:ascii="Times New Roman" w:hAnsi="Times New Roman"/>
          <w:sz w:val="20"/>
        </w:rPr>
      </w:pPr>
      <w:r>
        <w:rPr>
          <w:rFonts w:ascii="Times New Roman;serif" w:hAnsi="Times New Roman;serif"/>
          <w:b w:val="false"/>
          <w:i/>
          <w:sz w:val="20"/>
        </w:rPr>
        <w:t>Changes in fair value of warrant liability</w:t>
      </w:r>
      <w:r>
        <w:rPr>
          <w:rFonts w:ascii="Times New Roman" w:hAnsi="Times New Roman"/>
          <w:sz w:val="20"/>
        </w:rPr>
        <w:t>—</w:t>
      </w:r>
      <w:r>
        <w:rPr>
          <w:rFonts w:ascii="Times New Roman;serif" w:hAnsi="Times New Roman;serif"/>
          <w:b w:val="false"/>
          <w:sz w:val="20"/>
        </w:rPr>
        <w:t>Changes in fair value of warrant liability totaled an expense of $0.2 million for the three months ended June 30, 2023, compared to a benefit of $17.5 million for the three months ended June 30, 2022. The decrease of $17.7 million, or 101%, was primarily attributable to fair value adjustments associated with certain public and private warrant liabilities due to decreases in our underlying Class A Common Stock price over the last 12 months.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Provision for income taxes</w:t>
      </w:r>
    </w:p>
    <w:p>
      <w:pPr>
        <w:pStyle w:val="TextBody"/>
        <w:bidi w:val="0"/>
        <w:spacing w:before="0" w:after="0"/>
        <w:jc w:val="left"/>
        <w:rPr/>
      </w:pPr>
      <w:r>
        <w:rPr/>
        <w:t> </w:t>
      </w:r>
    </w:p>
    <w:tbl>
      <w:tblPr>
        <w:tblW w:w="8881" w:type="dxa"/>
        <w:jc w:val="left"/>
        <w:tblInd w:w="0" w:type="dxa"/>
        <w:tblLayout w:type="fixed"/>
        <w:tblCellMar>
          <w:top w:w="28" w:type="dxa"/>
          <w:left w:w="28" w:type="dxa"/>
          <w:bottom w:w="28" w:type="dxa"/>
          <w:right w:w="28" w:type="dxa"/>
        </w:tblCellMar>
      </w:tblPr>
      <w:tblGrid>
        <w:gridCol w:w="3271"/>
        <w:gridCol w:w="146"/>
        <w:gridCol w:w="431"/>
        <w:gridCol w:w="431"/>
        <w:gridCol w:w="298"/>
        <w:gridCol w:w="298"/>
        <w:gridCol w:w="431"/>
        <w:gridCol w:w="645"/>
        <w:gridCol w:w="146"/>
        <w:gridCol w:w="146"/>
        <w:gridCol w:w="361"/>
        <w:gridCol w:w="644"/>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5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8" w:type="dxa"/>
            <w:tcBorders/>
            <w:vAlign w:val="center"/>
          </w:tcPr>
          <w:p>
            <w:pPr>
              <w:pStyle w:val="TableContents"/>
              <w:bidi w:val="0"/>
              <w:spacing w:before="0" w:after="0"/>
              <w:ind w:left="0" w:right="0" w:hanging="0"/>
              <w:jc w:val="center"/>
              <w:rPr/>
            </w:pPr>
            <w:r>
              <w:rPr/>
              <w:t> </w:t>
            </w:r>
          </w:p>
        </w:tc>
        <w:tc>
          <w:tcPr>
            <w:tcW w:w="10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4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4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Provision for income taxes for the three months ended June 30, 2023 decreased by approximately $0.02 million, or 68%, compared to the three months ended June 30, 2022. This decrease was primarily due to a decrease in state taxes, including gross margin state taxes, resulting from a favorable ruling by the Texas Supreme Court regarding the determination of state sourced service income.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Comparison of the Six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revenues</w:t>
      </w:r>
    </w:p>
    <w:p>
      <w:pPr>
        <w:pStyle w:val="TextBody"/>
        <w:bidi w:val="0"/>
        <w:spacing w:before="120" w:after="0"/>
        <w:jc w:val="left"/>
        <w:rPr/>
      </w:pPr>
      <w:r>
        <w:rPr/>
        <w:t> </w:t>
      </w:r>
    </w:p>
    <w:tbl>
      <w:tblPr>
        <w:tblW w:w="8640" w:type="dxa"/>
        <w:jc w:val="left"/>
        <w:tblInd w:w="0" w:type="dxa"/>
        <w:tblLayout w:type="fixed"/>
        <w:tblCellMar>
          <w:top w:w="28" w:type="dxa"/>
          <w:left w:w="28" w:type="dxa"/>
          <w:bottom w:w="28" w:type="dxa"/>
          <w:right w:w="28" w:type="dxa"/>
        </w:tblCellMar>
      </w:tblPr>
      <w:tblGrid>
        <w:gridCol w:w="3271"/>
        <w:gridCol w:w="146"/>
        <w:gridCol w:w="223"/>
        <w:gridCol w:w="825"/>
        <w:gridCol w:w="154"/>
        <w:gridCol w:w="154"/>
        <w:gridCol w:w="223"/>
        <w:gridCol w:w="714"/>
        <w:gridCol w:w="146"/>
        <w:gridCol w:w="146"/>
        <w:gridCol w:w="239"/>
        <w:gridCol w:w="766"/>
        <w:gridCol w:w="166"/>
        <w:gridCol w:w="146"/>
        <w:gridCol w:w="257"/>
        <w:gridCol w:w="748"/>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3"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2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9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based revenue, net</w:t>
            </w:r>
          </w:p>
        </w:tc>
        <w:tc>
          <w:tcPr>
            <w:tcW w:w="146" w:type="dxa"/>
            <w:tcBorders/>
            <w:vAlign w:val="center"/>
          </w:tcPr>
          <w:p>
            <w:pPr>
              <w:pStyle w:val="TableContents"/>
              <w:bidi w:val="0"/>
              <w:spacing w:before="0" w:after="0"/>
              <w:ind w:left="0" w:right="0" w:hanging="0"/>
              <w:jc w:val="left"/>
              <w:rPr/>
            </w:pPr>
            <w:r>
              <w:rPr/>
              <w:t> </w:t>
            </w:r>
          </w:p>
        </w:tc>
        <w:tc>
          <w:tcPr>
            <w:tcW w:w="1048" w:type="dxa"/>
            <w:gridSpan w:val="2"/>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Processing fees, net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68,987</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Tips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26,899</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Subscriptions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11,031</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based revenue, net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12,602</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120,163</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88,356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31,807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Service based revenue, net—</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Processing fees,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Processing fees, net of processor costs associated with advance disbursements, for the six months ended June 30, 2023 were $69.0 million, an increase of $24.2 million, or 54%, from $44.8 million for the six months ended June 30, 2022. The increase was primarily attributable to increases in monthly transacting members and increases in total advance volume from approximately $1,250 million to approximately $1,665 million period over period along with average individual advance amounts that increased from $130 to $155 for six months ended June 30, 2022 and 2023, respectively. Processing fees tend to increase as advance volume increases, but may not always trend ratably as processing fees vary depending on the total amount of the advance. The percentage of Members that chose to pay a processing fee to expedite an advance decreased slightly for the six months ended June 30, 2023 as compared to the six months ended June 30, 2022. The average processing fees Members paid to expedite these advances increased modestly for the six months ended June 30, 2023 as compared to the six months ended June 30, 2022.</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Tips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Tips for the six months ended June 30, 2023 were $26.9 million, a decrease of $1.6 million, or 6%, from $28.5 million for the six months ended June 30, 2022. The decrease was primarily attributable to lower tip engagement from Members, offset by an increase in the average tip amounts from Members. Tip amounts tend to increase as advance volume increases, but may not always trend ratably as tips often vary depending on the total amount of the advance.</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Subscriptions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Subscriptions for the six months ended June 30, 2023 were $11.0 million, an increase of $2.5 million, or 30%, from $8.5 million for the six months ended June 30, 2022. The increase was primarily attributable to higher Member engagement on our platform.</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Transaction based revenue,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Transaction based revenue, net for the six months ended June 30, 2023 was $12.6 million, an increase of $6.5 million, or 107% from $6.1 million, for the six months ended June 30, 2022. The increase was primarily attributable to the growth in Members engaging with our Checking Product and corresponding growth in the number of transactions initiated by Members.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Operating expenses</w:t>
      </w:r>
    </w:p>
    <w:p>
      <w:pPr>
        <w:pStyle w:val="TextBody"/>
        <w:bidi w:val="0"/>
        <w:spacing w:before="360" w:after="0"/>
        <w:jc w:val="left"/>
        <w:rPr/>
      </w:pPr>
      <w:r>
        <w:rPr/>
        <w:t> </w:t>
      </w:r>
    </w:p>
    <w:tbl>
      <w:tblPr>
        <w:tblW w:w="8639" w:type="dxa"/>
        <w:jc w:val="left"/>
        <w:tblInd w:w="0" w:type="dxa"/>
        <w:tblLayout w:type="fixed"/>
        <w:tblCellMar>
          <w:top w:w="28" w:type="dxa"/>
          <w:left w:w="28" w:type="dxa"/>
          <w:bottom w:w="28" w:type="dxa"/>
          <w:right w:w="28" w:type="dxa"/>
        </w:tblCellMar>
      </w:tblPr>
      <w:tblGrid>
        <w:gridCol w:w="3271"/>
        <w:gridCol w:w="146"/>
        <w:gridCol w:w="212"/>
        <w:gridCol w:w="787"/>
        <w:gridCol w:w="147"/>
        <w:gridCol w:w="147"/>
        <w:gridCol w:w="212"/>
        <w:gridCol w:w="787"/>
        <w:gridCol w:w="146"/>
        <w:gridCol w:w="146"/>
        <w:gridCol w:w="224"/>
        <w:gridCol w:w="781"/>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2"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2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center"/>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27,878</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Processing and servicing costs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14,350</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Advertising and marketing</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24,456</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benefits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48,299</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38,579</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153,562</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164,044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(10,482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Provision for credit losses</w:t>
      </w:r>
      <w:r>
        <w:rPr>
          <w:rFonts w:ascii="Times New Roman" w:hAnsi="Times New Roman"/>
          <w:sz w:val="20"/>
        </w:rPr>
        <w:t>—</w:t>
      </w:r>
      <w:r>
        <w:rPr>
          <w:rFonts w:ascii="Times New Roman;serif" w:hAnsi="Times New Roman;serif"/>
          <w:b w:val="false"/>
          <w:sz w:val="20"/>
        </w:rPr>
        <w:t>The provision for credit losses totaled $27.9 million for the six months ended June 30, 2023, compared to $27.6 million for the six months ended June 30, 2022. The increase of $0.2 million, or 1%, was primarily attributable to an increase in provision expense of $12.1 million related to Member advances aged over 120 days and those that have become uncollectible based on information available to us, offset by a decrease in provision expense of $11.9 million related to Member advances aged 120 days and under.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increase in provision expense of $12.1 million related to Member advances aged over 120 days and those which have become uncollectible based on information available to us, period over period, was primarily driven by an increase in total advance volume from $1,151 million during the six months ended June 30, 2022 to $1,665 million during the six months ended June 30, 2023. All impaired advances deemed uncollectible are subsequently written-off and are a direct reduction to the allowance for credit losses.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decrease in provision expense related to Member advances aged 120 days and under was primarily attributed to strong collections performance during the six months ended June 30, 2023. The strong collections performance was due in large part to the positive seasonal effects of tax refunds on our Members during the first four months of 2023. This resulted in a decrease in Member advances outstanding as of June 30, 2023 when compared to the December 31, 2022 and a resulting decrease in provision expense for the period. We noted the opposite dynamic during the six months ended June 30, 2022 as Member advances outstanding as of June 30, 2022 exceeded Member advances outstanding as of December 31, 2022, primarily due to the 2022 summer advertising campaign. This resulted in an increase in the provision expense for the six months ended June 30, 2022. We anticipate fluctuations in Member advances outstanding each period as they are directly correlated with the timing and volume of the disbursements and collections of Member advances during the period.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2023, loss and collections experience of Member advances improved compared to the six months ended June 30, 2022. The historical loss rates utilized in the calculation of the allowance for credit losses also slightly improved period over period. Any changes to our historical loss and collections experience directly affects the historical loss rates utilized in the calculation of the allowance for credit losses. The changes in the allowance for credit losses, period over period, has a direct impact on the provision for credit losses expense.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information on the aging of Member advances and a rollforward of the allowance for credit losses, refer to the tables in Note 5 Member Cash Advances, Net in the accompanying unaudited condensed consolidated financial statements included in this report.</w:t>
      </w:r>
    </w:p>
    <w:p>
      <w:pPr>
        <w:pStyle w:val="TextBody"/>
        <w:bidi w:val="0"/>
        <w:spacing w:before="240" w:after="0"/>
        <w:jc w:val="left"/>
        <w:rPr>
          <w:rFonts w:ascii="Times New Roman" w:hAnsi="Times New Roman"/>
          <w:sz w:val="20"/>
        </w:rPr>
      </w:pPr>
      <w:r>
        <w:rPr>
          <w:rFonts w:ascii="Times New Roman;serif" w:hAnsi="Times New Roman;serif"/>
          <w:b w:val="false"/>
          <w:i/>
          <w:sz w:val="20"/>
        </w:rPr>
        <w:t>Processing and service costs</w:t>
      </w:r>
      <w:r>
        <w:rPr>
          <w:rFonts w:ascii="Times New Roman" w:hAnsi="Times New Roman"/>
          <w:sz w:val="20"/>
        </w:rPr>
        <w:t>—</w:t>
      </w:r>
      <w:r>
        <w:rPr>
          <w:rFonts w:ascii="Times New Roman;serif" w:hAnsi="Times New Roman;serif"/>
          <w:b w:val="false"/>
          <w:sz w:val="20"/>
        </w:rPr>
        <w:t>Processing and servicing costs totaled $14.4 million for the six months ended June 30, 2023, compared to $14.1 million for the six months ended June 30, 2022. The increase of $0.2 million, or 2%, was primarily attributable to the increase in advance volume from $1,151 million during the six months ended June 30, 2022 to $1,665 million during the six months ended June 30, 2023, offset by certain payment flow optimizations and cost savings related to price reductions from our processors.</w:t>
      </w:r>
    </w:p>
    <w:p>
      <w:pPr>
        <w:pStyle w:val="TextBody"/>
        <w:bidi w:val="0"/>
        <w:spacing w:before="240" w:after="0"/>
        <w:jc w:val="left"/>
        <w:rPr>
          <w:rFonts w:ascii="Times New Roman" w:hAnsi="Times New Roman"/>
          <w:sz w:val="20"/>
        </w:rPr>
      </w:pPr>
      <w:r>
        <w:rPr>
          <w:rFonts w:ascii="Times New Roman;serif" w:hAnsi="Times New Roman;serif"/>
          <w:b w:val="false"/>
          <w:i/>
          <w:sz w:val="20"/>
        </w:rPr>
        <w:t>Advertising and marketing</w:t>
      </w:r>
      <w:r>
        <w:rPr>
          <w:rFonts w:ascii="Times New Roman" w:hAnsi="Times New Roman"/>
          <w:sz w:val="20"/>
        </w:rPr>
        <w:t>—</w:t>
      </w:r>
      <w:r>
        <w:rPr>
          <w:rFonts w:ascii="Times New Roman;serif" w:hAnsi="Times New Roman;serif"/>
          <w:b w:val="false"/>
          <w:sz w:val="20"/>
        </w:rPr>
        <w:t>Advertising and marketing expenses totaled $24.5 million for the six months ended June 30, 2023, compared to $33.0 million for the six months ended June 30, 2022. The decrease of $8.5 million, or 26%, was primarily attributable to an optimization of advertising efforts and decreased advertising, marketing, production and promotional spend across various social media platforms and television.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Compensation and benefits</w:t>
      </w:r>
      <w:r>
        <w:rPr>
          <w:rFonts w:ascii="Times New Roman" w:hAnsi="Times New Roman"/>
          <w:sz w:val="20"/>
        </w:rPr>
        <w:t>—</w:t>
      </w:r>
      <w:r>
        <w:rPr>
          <w:rFonts w:ascii="Times New Roman;serif" w:hAnsi="Times New Roman;serif"/>
          <w:b w:val="false"/>
          <w:sz w:val="20"/>
        </w:rPr>
        <w:t>Compensation and benefits expenses totaled $48.3 million for the six months ended June 30, 2023, compared to $57.0 million for the six months ended June 30, 2022. The decrease of $8.7 million, or 15%, was primarily attributable to the following: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increase in payroll and related costs of $5.2 million, primarily due to hiring and increased headcount throughout the business, bonuses, benefits and severance payments; offset by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decrease in stock-based compensation of $12.6 million, primarily due to restricted stock units granted during the six months ended June 30, 2023;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decrease in contractor and consulting fees of $1.3 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Other operating expenses</w:t>
      </w:r>
      <w:r>
        <w:rPr>
          <w:rFonts w:ascii="Times New Roman" w:hAnsi="Times New Roman"/>
          <w:sz w:val="20"/>
        </w:rPr>
        <w:t>—</w:t>
      </w:r>
      <w:r>
        <w:rPr>
          <w:rFonts w:ascii="Times New Roman;serif" w:hAnsi="Times New Roman;serif"/>
          <w:b w:val="false"/>
          <w:sz w:val="20"/>
        </w:rPr>
        <w:t>Other operating expenses totaled $38.6 million for the six months ended June 30, 2023, compared to $32.2 million for the six months ended June 30, 2022. The increase of $6.3 million, or 20%, was primarily attributable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legal fees of $5.1 million primarily due to ongoing settlement, litigation, compliance, employment and general corporate related matters;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expenses related to our Checking Product of $2.7 million, primarily attributable to processing fees, card fees and fraud related costs associated with the growth in Members and the number of transactions processed; 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charitable contribution expenses of $1.3 million, primarily due to amounts pledged to charitable meal donations related to Members’ tips; offset by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decrease in insurance related costs of $1.7 million, primarily related to lower director and officer, general liability and cyber insurance premiums;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decrease in rent expense of $0.8 million, due to a reduction in leased office space.</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Other (income) expense</w:t>
      </w:r>
    </w:p>
    <w:p>
      <w:pPr>
        <w:pStyle w:val="TextBody"/>
        <w:bidi w:val="0"/>
        <w:spacing w:before="360" w:after="0"/>
        <w:jc w:val="left"/>
        <w:rPr/>
      </w:pPr>
      <w:r>
        <w:rPr/>
        <w:t> </w:t>
      </w:r>
    </w:p>
    <w:tbl>
      <w:tblPr>
        <w:tblW w:w="10205" w:type="dxa"/>
        <w:jc w:val="left"/>
        <w:tblInd w:w="0" w:type="dxa"/>
        <w:tblLayout w:type="fixed"/>
        <w:tblCellMar>
          <w:top w:w="28" w:type="dxa"/>
          <w:left w:w="28" w:type="dxa"/>
          <w:bottom w:w="28" w:type="dxa"/>
          <w:right w:w="28" w:type="dxa"/>
        </w:tblCellMar>
      </w:tblPr>
      <w:tblGrid>
        <w:gridCol w:w="4899"/>
        <w:gridCol w:w="146"/>
        <w:gridCol w:w="227"/>
        <w:gridCol w:w="681"/>
        <w:gridCol w:w="179"/>
        <w:gridCol w:w="157"/>
        <w:gridCol w:w="227"/>
        <w:gridCol w:w="795"/>
        <w:gridCol w:w="166"/>
        <w:gridCol w:w="146"/>
        <w:gridCol w:w="235"/>
        <w:gridCol w:w="755"/>
        <w:gridCol w:w="166"/>
        <w:gridCol w:w="146"/>
        <w:gridCol w:w="223"/>
        <w:gridCol w:w="735"/>
        <w:gridCol w:w="322"/>
      </w:tblGrid>
      <w:tr>
        <w:trPr/>
        <w:tc>
          <w:tcPr>
            <w:tcW w:w="4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8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2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(2,677</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5,925</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liability</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3,229</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(15,822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19,051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36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r>
        <w:rPr>
          <w:rFonts w:ascii="Times New Roman;serif" w:hAnsi="Times New Roman;serif"/>
          <w:b w:val="false"/>
          <w:sz w:val="20"/>
        </w:rPr>
        <w:t>Interest income totaled $2.7 million for the six months ended June 30, 2023, compared to $0.7 million for six months ended June 30, 2022. The increase of $2.0 million, or 306%, was primarily attributable to a full six months of interest earned from yields on short-term investments during the six months ended June 30, 2023 compared to fewer interest-earning months during the six months ended June 30, 2022 as our short-term investments were purchased during quarter ended June 30, 2022.</w:t>
      </w:r>
    </w:p>
    <w:p>
      <w:pPr>
        <w:pStyle w:val="TextBody"/>
        <w:bidi w:val="0"/>
        <w:spacing w:before="24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Interest expense totaled $5.9 million for the six months ended June 30, 2023, compared to $3.8 million for the six months ended June 30, 2022. The increase of $2.1 million, or 54%, was primarily attributable to higher interest rates and interest on increased borrowings under the Debt Facility, as well as interest related to the Note with FTX Ventures</w:t>
      </w:r>
    </w:p>
    <w:p>
      <w:pPr>
        <w:pStyle w:val="TextBody"/>
        <w:bidi w:val="0"/>
        <w:spacing w:before="240" w:after="0"/>
        <w:jc w:val="left"/>
        <w:rPr>
          <w:rFonts w:ascii="Times New Roman" w:hAnsi="Times New Roman"/>
          <w:sz w:val="20"/>
        </w:rPr>
      </w:pPr>
      <w:r>
        <w:rPr>
          <w:rFonts w:ascii="Times New Roman;serif" w:hAnsi="Times New Roman;serif"/>
          <w:b w:val="false"/>
          <w:i/>
          <w:sz w:val="20"/>
        </w:rPr>
        <w:t>Other strategic financing and transactional expenses</w:t>
      </w:r>
      <w:r>
        <w:rPr>
          <w:rFonts w:ascii="Times New Roman" w:hAnsi="Times New Roman"/>
          <w:sz w:val="20"/>
        </w:rPr>
        <w:t>—</w:t>
      </w:r>
      <w:r>
        <w:rPr>
          <w:rFonts w:ascii="Times New Roman;serif" w:hAnsi="Times New Roman;serif"/>
          <w:b w:val="false"/>
          <w:sz w:val="20"/>
        </w:rPr>
        <w:t>Other strategic financing and transactional expenses totaled $0 for the six months ended June 30, 2023, compared to $2.8 million for the six months ended June 30, 2022.</w:t>
      </w:r>
      <w:r>
        <w:rPr>
          <w:rFonts w:ascii="Times New Roman" w:hAnsi="Times New Roman"/>
          <w:sz w:val="20"/>
        </w:rPr>
        <w:t xml:space="preserve"> </w:t>
      </w:r>
      <w:r>
        <w:rPr>
          <w:rFonts w:ascii="Times New Roman;serif" w:hAnsi="Times New Roman;serif"/>
          <w:b w:val="false"/>
          <w:sz w:val="20"/>
        </w:rPr>
        <w:t>The decrease of $2.8 million was related to certain one-time strategic opportunities in addition to certain one-time post-closing expenses associated with the Business Combination that occurred during the six months ended June 30, 2022.</w:t>
      </w:r>
    </w:p>
    <w:p>
      <w:pPr>
        <w:pStyle w:val="TextBody"/>
        <w:bidi w:val="0"/>
        <w:spacing w:before="240" w:after="0"/>
        <w:jc w:val="left"/>
        <w:rPr>
          <w:rFonts w:ascii="Times New Roman" w:hAnsi="Times New Roman"/>
          <w:sz w:val="20"/>
        </w:rPr>
      </w:pPr>
      <w:r>
        <w:rPr>
          <w:rFonts w:ascii="Times New Roman;serif" w:hAnsi="Times New Roman;serif"/>
          <w:b w:val="false"/>
          <w:i/>
          <w:sz w:val="20"/>
        </w:rPr>
        <w:t>Changes in fair value of earnout liability</w:t>
      </w:r>
      <w:r>
        <w:rPr>
          <w:rFonts w:ascii="Times New Roman" w:hAnsi="Times New Roman"/>
          <w:sz w:val="20"/>
        </w:rPr>
        <w:t>—</w:t>
      </w:r>
      <w:r>
        <w:rPr>
          <w:rFonts w:ascii="Times New Roman;serif" w:hAnsi="Times New Roman;serif"/>
          <w:b w:val="false"/>
          <w:sz w:val="20"/>
        </w:rPr>
        <w:t>Changes in fair value of earnout liabilities totaled a benefit of $0.04 million for the six months ended June 30, 2023 compared to $9.6 million for the six months ended June 30, 2022. The decrease of $9.6 million, or 100%, was primarily attributable to fair value adjustments associated with certain earnout shares liability due to decreases in our underlying Class A Common Stock price over the last 12 months.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i/>
          <w:sz w:val="20"/>
        </w:rPr>
        <w:t>Gain on extinguishment of liability</w:t>
      </w:r>
      <w:r>
        <w:rPr>
          <w:rFonts w:ascii="Times New Roman" w:hAnsi="Times New Roman"/>
          <w:sz w:val="20"/>
        </w:rPr>
        <w:t>—</w:t>
      </w:r>
      <w:r>
        <w:rPr>
          <w:rFonts w:ascii="Times New Roman;serif" w:hAnsi="Times New Roman;serif"/>
          <w:b w:val="false"/>
          <w:sz w:val="20"/>
        </w:rPr>
        <w:t>Gain on extinguishment of liability totaled $0 for the six months ended June 30, 2023, compared to $4.3 million for the six months ended June 30, 2022. The decrease of $4.3 million, or 100%, was primarily attributable to the extinguishment of a $7.5 million liability in exchange for shares of our Class A Common Stock during 2022.</w:t>
      </w:r>
    </w:p>
    <w:p>
      <w:pPr>
        <w:pStyle w:val="TextBody"/>
        <w:bidi w:val="0"/>
        <w:spacing w:before="240" w:after="0"/>
        <w:jc w:val="left"/>
        <w:rPr>
          <w:rFonts w:ascii="Times New Roman" w:hAnsi="Times New Roman"/>
          <w:sz w:val="20"/>
        </w:rPr>
      </w:pPr>
      <w:r>
        <w:rPr>
          <w:rFonts w:ascii="Times New Roman;serif" w:hAnsi="Times New Roman;serif"/>
          <w:b w:val="false"/>
          <w:i/>
          <w:sz w:val="20"/>
        </w:rPr>
        <w:t>Changes in fair value of derivative asset on loans to stockholders</w:t>
      </w:r>
      <w:r>
        <w:rPr>
          <w:rFonts w:ascii="Times New Roman" w:hAnsi="Times New Roman"/>
          <w:sz w:val="20"/>
        </w:rPr>
        <w:t>—</w:t>
      </w:r>
      <w:r>
        <w:rPr>
          <w:rFonts w:ascii="Times New Roman;serif" w:hAnsi="Times New Roman;serif"/>
          <w:b w:val="false"/>
          <w:sz w:val="20"/>
        </w:rPr>
        <w:t>Changes in fair value of a derivative asset on loans to stockholders totaled $0 for the six months ended June 30, 2023, compared to an expense of approximately $5.6 million for the six months ended June 30, 2022. The decrease of approximately $5.6 million, or 100%, was primarily attributable to fair value adjustments associated with options issued in connection with loans to stockholders resulting from a decrease in the underlying fair value of our Class A Common Stock as of the settlement date of the derivative asset in early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Changes in fair value of warrant liability</w:t>
      </w:r>
      <w:r>
        <w:rPr>
          <w:rFonts w:ascii="Times New Roman" w:hAnsi="Times New Roman"/>
          <w:sz w:val="20"/>
        </w:rPr>
        <w:t>—</w:t>
      </w:r>
      <w:r>
        <w:rPr>
          <w:rFonts w:ascii="Times New Roman;serif" w:hAnsi="Times New Roman;serif"/>
          <w:b w:val="false"/>
          <w:sz w:val="20"/>
        </w:rPr>
        <w:t>Changes in fair value of warrant liability totaled an expense of $0.02 million for the six months ended June 30, 2023, compared to a benefit of $13.5 million for the six months ended June 30, 2022. The decrease of $13.5 million, or 100%, was primarily attributable to fair value adjustments associated with certain public and private warrant liabilities due to decreases in our underlying Class A Common Stock price over the last 12 months.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Provision for income taxes</w:t>
      </w:r>
    </w:p>
    <w:p>
      <w:pPr>
        <w:pStyle w:val="TextBody"/>
        <w:bidi w:val="0"/>
        <w:spacing w:before="0" w:after="0"/>
        <w:jc w:val="left"/>
        <w:rPr/>
      </w:pPr>
      <w:r>
        <w:rPr/>
        <w:t> </w:t>
      </w:r>
    </w:p>
    <w:tbl>
      <w:tblPr>
        <w:tblW w:w="8641" w:type="dxa"/>
        <w:jc w:val="left"/>
        <w:tblInd w:w="0" w:type="dxa"/>
        <w:tblLayout w:type="fixed"/>
        <w:tblCellMar>
          <w:top w:w="28" w:type="dxa"/>
          <w:left w:w="28" w:type="dxa"/>
          <w:bottom w:w="28" w:type="dxa"/>
          <w:right w:w="28" w:type="dxa"/>
        </w:tblCellMar>
      </w:tblPr>
      <w:tblGrid>
        <w:gridCol w:w="3271"/>
        <w:gridCol w:w="146"/>
        <w:gridCol w:w="359"/>
        <w:gridCol w:w="539"/>
        <w:gridCol w:w="249"/>
        <w:gridCol w:w="249"/>
        <w:gridCol w:w="359"/>
        <w:gridCol w:w="539"/>
        <w:gridCol w:w="146"/>
        <w:gridCol w:w="146"/>
        <w:gridCol w:w="361"/>
        <w:gridCol w:w="644"/>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vAlign w:val="center"/>
          </w:tcPr>
          <w:p>
            <w:pPr>
              <w:pStyle w:val="TableContents"/>
              <w:bidi w:val="0"/>
              <w:spacing w:before="0" w:after="0"/>
              <w:ind w:left="0" w:right="0" w:hanging="0"/>
              <w:jc w:val="left"/>
              <w:rPr/>
            </w:pPr>
            <w:r>
              <w:rPr/>
              <w:t> </w:t>
            </w:r>
          </w:p>
        </w:tc>
        <w:tc>
          <w:tcPr>
            <w:tcW w:w="22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center"/>
              <w:rPr/>
            </w:pPr>
            <w:r>
              <w:rPr/>
              <w:t> </w:t>
            </w:r>
          </w:p>
        </w:tc>
        <w:tc>
          <w:tcPr>
            <w:tcW w:w="8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3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3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3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3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Provision for income taxes for the six months ended June 30, 2023 decreased by approximately $0.03 million, or 64%, compared to the six months ended June 30, 2022. This decrease was primarily due to a decrease in state taxes, including gross margin state taxes, resulting from a favorable ruling by the Texas Supreme Court regarding the determination of state sourced service income.</w:t>
      </w:r>
    </w:p>
    <w:p>
      <w:pPr>
        <w:pStyle w:val="TextBody"/>
        <w:bidi w:val="0"/>
        <w:spacing w:before="360" w:after="0"/>
        <w:jc w:val="left"/>
        <w:rPr>
          <w:rFonts w:ascii="Times New Roman;serif" w:hAnsi="Times New Roman;serif"/>
          <w:b/>
          <w:sz w:val="20"/>
        </w:rPr>
      </w:pPr>
      <w:r>
        <w:rPr>
          <w:rFonts w:ascii="Times New Roman;serif" w:hAnsi="Times New Roman;serif"/>
          <w:b/>
          <w:sz w:val="20"/>
        </w:rPr>
        <w:t>Non-GAAP Financial Measures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Adjusted EBITDA</w:t>
      </w:r>
    </w:p>
    <w:p>
      <w:pPr>
        <w:pStyle w:val="TextBody"/>
        <w:bidi w:val="0"/>
        <w:spacing w:before="120" w:after="0"/>
        <w:jc w:val="left"/>
        <w:rPr/>
      </w:pPr>
      <w:r>
        <w:rPr/>
        <w:t>“</w:t>
      </w:r>
      <w:r>
        <w:rPr>
          <w:rFonts w:ascii="Times New Roman;serif" w:hAnsi="Times New Roman;serif"/>
          <w:b w:val="false"/>
          <w:sz w:val="20"/>
        </w:rPr>
        <w:t>Adjusted EBITDA” is defined as net loss adjusted for interest expense, net, provision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loss to Adjusted EBITDA below should be reviewed, and no single financial measure should be relied upon to evaluate our business.</w:t>
      </w:r>
    </w:p>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reconciles net loss to Adjusted EBITDA for the three months ended June 30, 2023 and 2022, respectively: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276" w:type="dxa"/>
        <w:jc w:val="left"/>
        <w:tblInd w:w="0" w:type="dxa"/>
        <w:tblLayout w:type="fixed"/>
        <w:tblCellMar>
          <w:top w:w="28" w:type="dxa"/>
          <w:left w:w="28" w:type="dxa"/>
          <w:bottom w:w="28" w:type="dxa"/>
          <w:right w:w="28" w:type="dxa"/>
        </w:tblCellMar>
      </w:tblPr>
      <w:tblGrid>
        <w:gridCol w:w="5386"/>
        <w:gridCol w:w="146"/>
        <w:gridCol w:w="242"/>
        <w:gridCol w:w="846"/>
        <w:gridCol w:w="190"/>
        <w:gridCol w:w="167"/>
        <w:gridCol w:w="242"/>
        <w:gridCol w:w="846"/>
        <w:gridCol w:w="2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3"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211" w:type="dxa"/>
            <w:tcBorders/>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vAlign w:val="center"/>
          </w:tcPr>
          <w:p>
            <w:pPr>
              <w:pStyle w:val="TableContents"/>
              <w:bidi w:val="0"/>
              <w:spacing w:before="0" w:after="0"/>
              <w:ind w:left="0" w:right="0" w:hanging="0"/>
              <w:jc w:val="left"/>
              <w:rPr/>
            </w:pPr>
            <w:r>
              <w:rPr/>
              <w:t> </w:t>
            </w:r>
          </w:p>
        </w:tc>
        <w:tc>
          <w:tcPr>
            <w:tcW w:w="253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(22,618</w:t>
            </w:r>
          </w:p>
        </w:tc>
        <w:tc>
          <w:tcPr>
            <w:tcW w:w="1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6,632</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22,858</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liability</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(13,081</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7"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(28,497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reconciles net loss to Adjusted EBITDA for the six months ended June 30, 2023 and 2022, respectively:</w:t>
      </w:r>
    </w:p>
    <w:p>
      <w:pPr>
        <w:pStyle w:val="TextBody"/>
        <w:bidi w:val="0"/>
        <w:spacing w:before="0" w:after="0"/>
        <w:jc w:val="left"/>
        <w:rPr/>
      </w:pPr>
      <w:r>
        <w:rPr/>
        <w:t> </w:t>
      </w:r>
    </w:p>
    <w:tbl>
      <w:tblPr>
        <w:tblW w:w="8036" w:type="dxa"/>
        <w:jc w:val="left"/>
        <w:tblInd w:w="0" w:type="dxa"/>
        <w:tblLayout w:type="fixed"/>
        <w:tblCellMar>
          <w:top w:w="28" w:type="dxa"/>
          <w:left w:w="28" w:type="dxa"/>
          <w:bottom w:w="28" w:type="dxa"/>
          <w:right w:w="28" w:type="dxa"/>
        </w:tblCellMar>
      </w:tblPr>
      <w:tblGrid>
        <w:gridCol w:w="5386"/>
        <w:gridCol w:w="146"/>
        <w:gridCol w:w="219"/>
        <w:gridCol w:w="766"/>
        <w:gridCol w:w="172"/>
        <w:gridCol w:w="151"/>
        <w:gridCol w:w="219"/>
        <w:gridCol w:w="766"/>
        <w:gridCol w:w="2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3"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211" w:type="dxa"/>
            <w:tcBorders/>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vAlign w:val="center"/>
          </w:tcPr>
          <w:p>
            <w:pPr>
              <w:pStyle w:val="TableContents"/>
              <w:bidi w:val="0"/>
              <w:spacing w:before="0" w:after="0"/>
              <w:ind w:left="0" w:right="0" w:hanging="0"/>
              <w:jc w:val="left"/>
              <w:rPr/>
            </w:pPr>
            <w:r>
              <w:rPr/>
              <w:t> </w:t>
            </w:r>
          </w:p>
        </w:tc>
        <w:tc>
          <w:tcPr>
            <w:tcW w:w="22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9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(36,643</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(59,910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3,248</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3,183</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2,386</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2,765</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13,406</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26,048</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liability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2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(17,607</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(46,875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160" w:after="0"/>
        <w:jc w:val="center"/>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we have financed our operations primarily from the issuance of preferred stock, issuances of convertible notes, funds from borrowings under the Debt Facility, and funds received as a result of the Business Combination. As of June 30, 2023 and December 31, 2022, our cash and cash equivalents, marketable securities and short-term investments balance was approximately $177.7 million and $192.0 million, respectively.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an early-stage company, the expenses we have incurred since inception are consistent with our strategy and approach to capital allocation. We expect to incur net losses in accordance with our operating plan as we continue to expand and improve upon our financial platform.</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that our cash on hand should be sufficient to meet our working capital and capital expenditure requirements for a period of at least 12 months from the date of this report and sufficient to fund our operations.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Material Cash Requirements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remaining terms of four months to 30 months, subject to renewal options of varying terms, and as of June 30, 2023, we had a total lease liability of $0.7 million. See Note 12, Leases in the notes to our unaudited condensed consolidated financial statements for additional information regarding our lease liabilities as of June 30, 2023.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the near term, we expect to continue to generate ExtraCash originations relying primarily on our balance sheet cash and Debt Facility, as needed. Interest payments on term loan borrowings under the Debt Facility are required to be made on a monthly basis. As of June 30, 2023, $75.0 million of term loans under the Debt Facility were outstanding. See Note 11, Debt Facility in the notes to our unaudited condensed consolidated financial statements in this report. Additionally, we also have certain contractual payment obligations for interest owed under the $100.0 million Note we issued and sold pursuant to the convertible note purchase agreement (the “Purchase Agreement”) entered into with FTX Ventures. Interest payments relating to the Note are required to be made or added to the outstanding principal on a semi-annual basis. As of June 30, 2023, $3.9 million of interest was added to the outstanding principal. For more information on the Purchase Agreement with FTX Ventures, see Note 8, Convertible Note Payable.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may use cash to acquire businesses and technologies. The nature of these transactions, however, makes it difficult to predict the amount and timing of such cash requirements.</w:t>
      </w:r>
    </w:p>
    <w:p>
      <w:pPr>
        <w:pStyle w:val="TextBody"/>
        <w:bidi w:val="0"/>
        <w:spacing w:before="360" w:after="0"/>
        <w:jc w:val="left"/>
        <w:rPr>
          <w:rFonts w:ascii="Times New Roman;serif" w:hAnsi="Times New Roman;serif"/>
          <w:b/>
          <w:sz w:val="20"/>
        </w:rPr>
      </w:pPr>
      <w:r>
        <w:rPr>
          <w:rFonts w:ascii="Times New Roman;serif" w:hAnsi="Times New Roman;serif"/>
          <w:b/>
          <w:sz w:val="20"/>
        </w:rPr>
        <w:t>Cash Flows Summary</w:t>
      </w:r>
    </w:p>
    <w:p>
      <w:pPr>
        <w:pStyle w:val="TextBody"/>
        <w:bidi w:val="0"/>
        <w:spacing w:before="0" w:after="0"/>
        <w:jc w:val="left"/>
        <w:rPr/>
      </w:pPr>
      <w:r>
        <w:rPr/>
        <w:t> </w:t>
      </w:r>
    </w:p>
    <w:tbl>
      <w:tblPr>
        <w:tblW w:w="9330" w:type="dxa"/>
        <w:jc w:val="left"/>
        <w:tblInd w:w="0" w:type="dxa"/>
        <w:tblLayout w:type="fixed"/>
        <w:tblCellMar>
          <w:top w:w="28" w:type="dxa"/>
          <w:left w:w="28" w:type="dxa"/>
          <w:bottom w:w="28" w:type="dxa"/>
          <w:right w:w="28" w:type="dxa"/>
        </w:tblCellMar>
      </w:tblPr>
      <w:tblGrid>
        <w:gridCol w:w="6106"/>
        <w:gridCol w:w="146"/>
        <w:gridCol w:w="303"/>
        <w:gridCol w:w="972"/>
        <w:gridCol w:w="169"/>
        <w:gridCol w:w="148"/>
        <w:gridCol w:w="255"/>
        <w:gridCol w:w="1020"/>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vAlign w:val="center"/>
          </w:tcPr>
          <w:p>
            <w:pPr>
              <w:pStyle w:val="TableContents"/>
              <w:bidi w:val="0"/>
              <w:spacing w:before="0" w:after="0"/>
              <w:ind w:left="0" w:right="0" w:hanging="0"/>
              <w:jc w:val="left"/>
              <w:rPr/>
            </w:pPr>
            <w:r>
              <w:rPr/>
              <w:t> </w:t>
            </w:r>
          </w:p>
        </w:tc>
        <w:tc>
          <w:tcPr>
            <w:tcW w:w="28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cash provided by (used in):</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23,716</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301,674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increase (decrease) in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26,457</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(5,546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61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160" w:after="0"/>
        <w:jc w:val="left"/>
        <w:rPr/>
      </w:pPr>
      <w:r>
        <w:rPr/>
        <w:t>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Cash Flows From Operating Activities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2023, net cash provided by operating activities increased compared to the six months ended June 30, 2022 due to increases in operating revenues, offset primarily by increases in compensation and other operating expenses to support the growth of the business. Net cash provided by operating activities for the six months ended June 30, 2023 included a net loss of $36.6 million, and excluding non-cash impacts, included an increase in prepaid expenses and other current assets of $2.4 million, a decrease in accounts payable of $5.2 million and a decrease in a legal settlement accrual of $1.8 million. These changes were offset primarily by an increase in accrued expenses of $3.0 million.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cash used in operating activities for the six months ended June 30, 2022 included a net loss of $59.9 million, adjusted for non-cash items of $3.0 million for depreciation and amortization, $27.6 million for provision for credit losses, $5.6 million for changes in fair value of derivative asset on loans to stockholders, and $26.0 million for stock-based compensation expense, offset by changes in the fair value of warrant liabilities of $13.5 million, changes in the fair value of earnout liabilities of $9.6 million, and $4.3 million related to a gain on extinguishment of a liability. Excluding non-cash impacts, changes in cash flows from operations included an increase in receivables related to revenue from to Member advances of $3.5 million, an increase in prepaid expenses and other current assets of $7.0 million, and a decrease in accrued expenses of $1.9 million. These changes were offset primarily by an increase in accounts payable of $9.9 million and a decrease in prepaid income taxes of $0.7 million.</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Cash Flows From Investing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net cash provided by investing activities was $23.7 million. This included the sale and maturity of short-term investments of $98.7 million and sale of marketable securities of $31.4 million, offset by net disbursements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val="false"/>
          <w:sz w:val="20"/>
        </w:rPr>
        <w:t>collections of Member advances of $13.0 million, payments related to internally developed software costs of $4.1 million, purchases of short-term investments of $54.4 million, and purchases of marketable securities of $34.3 million.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2022, net cash used in investing activities was $280.6 million. This included purchases of marketable securities of approximately $302.4 million, purchases of short-term investments of $196.8 million, net disbursements and the increase in receivables related of Member advances of approximately $51.2 million, and payments for internally developed software costs of $4.4 million, offset by the sale of marketable securities of $274.5 million.</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Cash Flows From Financing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net cash used in financing activities was $11 thousand, which primarily consisted of payments for fractional shares that resulted from a reverse stock split.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2022, net cash provided by financing activities was $301.7 million, which consisted of $195.0 million in proceeds from the PIPE Financing, $100.0 million in proceeds from borrowings related to the Purchase Agreement with FTX Ventures, $29.7 million in proceeds from the Business Combination, net of redemptions, and $1.6 million in proceeds from stock option exercises, partially offset by $23.0 million for the payment of costs related to the Business Combination and $1.6 million related to the repurchase of Class A Common Stock.</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Our unaudited condensed consolidated financial statements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 Fair value of warrant liabilities;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(ii) Fair value of earnout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(iii) Allowance for credit losses;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(iv) Income taxes.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Please refer to Note 2 in our accompanying unaudited condensed consolidated financial statements for the three and six months ended June 30, 2023 and 2022 included in this report on Form 10-Q.</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While our significant accounting estimates are described in the notes to our unaudited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Valuation techniques used to measure fair value must maximize the use of observable inputs and minimize the use of unobservable inputs.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Warrant Liabilities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recorded warrant liabilities for both public and private warrants associated with the Business Combination. The warrant liabilities are carried on our unaudited condensed consolidated balance sheets as a long-term liability estimated at fair value. Changes in the estimated fair value of the warrant liabilities were driven by changes in the underlying value of our Class A Common Stock and were reported as a loss (gain) in the accompanying unaudited condensed consolidated statements of operations. We utilize the Black-Scholes model to compute the fair value and to mark to market the fair value of the private placement warrant liability at the time of the Business Combination and at each unaudited condensed consolidated balance sheet date. The public warrants were valued using the Black-Scholes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Earnout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recorded earnout liabilities associated with the Business Combination. The earnout liabilities are carried on our unaudited condensed consolidated balance sheets as a long-term liability estimated at fair value. Changes in the estimated fair value of the earnout liabilities are reported as a loss (gain) in the accompanying unaudited condensed consolidated statements of operations. We utilized a Monte Carlo Simulation Method to compute the fair value and to mark to market the fair value of the earnout liabilities at each unaudited condensed consolidated balance sheet date. The Monte Carlo Simulation Method considers a range of assumptions such as stock price, volatility, and risk-free interest rate. The Monte Carlo Simulation Method includes subjective input assumptions that can materially affect the fair value estimates.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Allowance for Credit Losses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Member advances from contracts with Members as of the balance sheet dates are recorded at their original advance amounts reduced by an allowance for expected credit losses. We pool our Member advances,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Member advances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it determined that our historical loss rates remained most indicative of our lifetime expected losses. We immediately recognize an allowance for expected credit losses upon the origination of the advance. Adjustments to the allowance each period for changes in the estimate of lifetime expected credit losses are recognized in operating expenses—provision for credit losses in the unaudited condensed consolidated statements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When we determine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the assumptions used in analyzing a specific Member advance may result in an additional allowance for expected credit losses being recognized in the period in which the change occurs.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Income Taxes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follow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$1.0 million and $0.5 million of uncertain tax positions as of June 30, 2023 and 2022, respectively, related to state income taxes and federal and state research tax credits.</w:t>
      </w:r>
    </w:p>
    <w:p>
      <w:pPr>
        <w:pStyle w:val="TextBody"/>
        <w:bidi w:val="0"/>
        <w:spacing w:before="0" w:after="0"/>
        <w:jc w:val="left"/>
        <w:rPr>
          <w:rFonts w:ascii="Times New Roman" w:hAnsi="Times New Roman"/>
          <w:sz w:val="20"/>
        </w:rPr>
      </w:pPr>
      <w:r>
        <w:rPr>
          <w:rFonts w:ascii="Times New Roman;serif" w:hAnsi="Times New Roman;serif"/>
          <w:b w:val="false"/>
          <w:sz w:val="20"/>
        </w:rPr>
        <w:t>Our policy is to recognize interest and penalties accrued on any unrecognized tax benefits as a component of income tax expense within the statement of operations.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are subject to income tax in jurisdictions in which we operate, including the United States. For U.S. income tax purposes, we are taxed as a Subchapter C corporation.</w:t>
      </w:r>
    </w:p>
    <w:p>
      <w:pPr>
        <w:pStyle w:val="TextBody"/>
        <w:bidi w:val="0"/>
        <w:spacing w:before="0" w:after="0"/>
        <w:jc w:val="left"/>
        <w:rPr>
          <w:rFonts w:ascii="Times New Roman" w:hAnsi="Times New Roman"/>
          <w:sz w:val="20"/>
        </w:rPr>
      </w:pPr>
      <w:r>
        <w:rPr>
          <w:rFonts w:ascii="Times New Roman;serif" w:hAnsi="Times New Roman;serif"/>
          <w:b w:val="false"/>
          <w:sz w:val="20"/>
        </w:rPr>
        <w:t>We recognize deferred taxes for temporary differences between the basis of assets and liabilities for financial statement and income tax purposes. We recorded a valuation allowance against our deferred tax assets, net of certain deferred tax liabilities, at June 30, 2023</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0"/>
        </w:rPr>
        <w:t>and December 31, 2022. Based upon management’s assessment of all available evidence, we have concluded that it is more-likely-than-not that the deferred tax assets, net of certain deferred tax liabilities, will not be realized.</w:t>
      </w:r>
      <w:r>
        <w:rPr>
          <w:rFonts w:ascii="Times New Roman" w:hAnsi="Times New Roman"/>
          <w:sz w:val="20"/>
        </w:rPr>
        <w:t xml:space="preserve"> </w:t>
      </w:r>
    </w:p>
    <w:p>
      <w:pPr>
        <w:pStyle w:val="TextBody"/>
        <w:bidi w:val="0"/>
        <w:spacing w:before="360" w:after="0"/>
        <w:jc w:val="left"/>
        <w:rPr/>
      </w:pPr>
      <w:r>
        <w:rPr/>
        <w:t> </w:t>
      </w:r>
    </w:p>
    <w:p>
      <w:pPr>
        <w:pStyle w:val="TextBody"/>
        <w:bidi w:val="0"/>
        <w:spacing w:before="36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Emerging Growth Company Status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unaudited condensed consolidated financial statements included in this report for the recent accounting pronouncements adopted and the recent accounting pronouncements not yet adopted for the three and six month periods ended June 30, 2023 and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unaudited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pStyle w:val="TextBody"/>
        <w:bidi w:val="0"/>
        <w:spacing w:before="360" w:after="0"/>
        <w:jc w:val="left"/>
        <w:rPr>
          <w:rFonts w:ascii="Times New Roman;serif" w:hAnsi="Times New Roman;serif"/>
          <w:b/>
          <w:sz w:val="20"/>
        </w:rPr>
      </w:pPr>
      <w:r>
        <w:rPr>
          <w:rFonts w:ascii="Times New Roman;serif" w:hAnsi="Times New Roman;serif"/>
          <w:b/>
          <w:sz w:val="20"/>
        </w:rPr>
        <w:t>Recently Issued Accounting Standards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Refer to Note 2, “Significant Accounting Policies,” of our unaudited condensed consolidated financial statements included in this report for a discussion of the impact of recent accounting pronouncements.</w:t>
      </w:r>
    </w:p>
    <w:p>
      <w:pPr>
        <w:pStyle w:val="TextBody"/>
        <w:bidi w:val="0"/>
        <w:spacing w:before="360" w:after="0"/>
        <w:jc w:val="left"/>
        <w:rPr>
          <w:rFonts w:ascii="Times New Roman" w:hAnsi="Times New Roman"/>
          <w:sz w:val="20"/>
        </w:rPr>
      </w:pPr>
      <w:bookmarkStart w:id="12" w:name="item3_quantitativeandqualitative"/>
      <w:bookmarkEnd w:id="12"/>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required for smaller reporting companies.</w:t>
      </w:r>
      <w:r>
        <w:rPr>
          <w:rFonts w:ascii="Times New Roman" w:hAnsi="Times New Roman"/>
          <w:sz w:val="20"/>
        </w:rPr>
        <w:t xml:space="preserve"> </w:t>
      </w:r>
    </w:p>
    <w:p>
      <w:pPr>
        <w:pStyle w:val="TextBody"/>
        <w:bidi w:val="0"/>
        <w:spacing w:before="360" w:after="0"/>
        <w:jc w:val="left"/>
        <w:rPr/>
      </w:pPr>
      <w:r>
        <w:rPr/>
        <w:t> </w:t>
      </w:r>
    </w:p>
    <w:p>
      <w:pPr>
        <w:pStyle w:val="TextBody"/>
        <w:bidi w:val="0"/>
        <w:spacing w:before="360" w:after="0"/>
        <w:jc w:val="left"/>
        <w:rPr>
          <w:rFonts w:ascii="Times New Roman;serif" w:hAnsi="Times New Roman;serif"/>
          <w:b/>
          <w:sz w:val="20"/>
        </w:rPr>
      </w:pPr>
      <w:bookmarkStart w:id="13" w:name="item4_controlsandprocedures"/>
      <w:bookmarkEnd w:id="13"/>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required by Rules 13a-15 and 15d-15 under the Exchange Act, our Chief Executive Officer and Chief Financial Officer carried out an evaluation of the effectiveness of the design and operation of our disclosure controls and procedures as of June 30, 2023. Based on this evaluation, our Chief Executive Officer and Chief Financial Officer have concluded that our disclosure controls and procedures were not effective, due to the material weaknesses in our internal control over financial reporting described below. As a result, we performed additional analysis as deemed necessary to ensure that our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Previously Identified Material Weaknesses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discussed in Part II, Item 9A in our Annual Report, we identified weaknesses in our internal control over financial reporting for the years ended December 31, 2022 and 2021 because:</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We did not design and maintain certain formal accounting policies, procedures, and internal controls to achieve complete, accurate and timely financial accounting, reporting and disclosures, including internal controls over the period-end financial reporting process addressing financial statement and footnote presentation and disclosures, account reconciliations, and journal entries. Additionally, the lack of a sufficient number of accounting and finance professionals resulted in an inability to consistently establish appropriate authorities and responsibilities in pursuit of Dave’s financial reporting objectives, as demonstrated by, amongst other things, insufficient segregation of duties within the finance and accounting functions. </w:t>
      </w:r>
    </w:p>
    <w:p>
      <w:pPr>
        <w:pStyle w:val="TextBody"/>
        <w:bidi w:val="0"/>
        <w:spacing w:before="240" w:after="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We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Remediation Plan and Status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Dave is implementing a plan to remediate the material weaknesses described above. Those remediation measures are ongoing and include (i) hiring additional accounting and IT personnel to bolster its financial reporting, technical and transactional accounting and IT capabilities; (ii) designing and implementing controls to formalize roles and review responsibilities and designing and implementing formal controls over segregation of duties; (iii) designing and implementing formal processes, accounting policies, procedures, and controls supporting Dave’s financial close process, including creating standard balance sheet reconciliation templates and journal entry controls; (iv) designing and implementing IT general controls, including controls over change management, the review and update of user access rights and privileges and computer operations controls; and (v) redesigning its internal controls around the allowance for credit losses to detect and prevent future errors.</w:t>
      </w:r>
    </w:p>
    <w:p>
      <w:pPr>
        <w:pStyle w:val="TextBody"/>
        <w:bidi w:val="0"/>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bookmarkStart w:id="14" w:name="partii_other_information"/>
      <w:bookmarkEnd w:id="14"/>
      <w:r>
        <w:rPr>
          <w:rFonts w:ascii="Times New Roman;serif" w:hAnsi="Times New Roman;serif"/>
          <w:b/>
          <w:sz w:val="20"/>
        </w:rPr>
        <w:t>PART II —OTHER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5" w:name="item1_legalproceedings"/>
      <w:bookmarkEnd w:id="15"/>
      <w:r>
        <w:rPr>
          <w:rFonts w:ascii="Times New Roman;serif" w:hAnsi="Times New Roman;serif"/>
          <w:b/>
          <w:sz w:val="20"/>
        </w:rPr>
        <w:t>Item 1. Legal Proceedings.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 a description of our material pending legal proceedings, please see Note 11, “Commitments and Contingencies,” to the unaudited condensed consolidated financial statements included elsewhere in this report.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From time to time, we may become involved in legal proceedings arising in the ordinary course of business. We are not currently a party to any such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pStyle w:val="TextBody"/>
        <w:bidi w:val="0"/>
        <w:spacing w:before="360" w:after="0"/>
        <w:jc w:val="left"/>
        <w:rPr>
          <w:rFonts w:ascii="Times New Roman" w:hAnsi="Times New Roman"/>
          <w:sz w:val="20"/>
        </w:rPr>
      </w:pPr>
      <w:bookmarkStart w:id="16" w:name="item1a_riskfactors"/>
      <w:bookmarkEnd w:id="16"/>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the date of this Form 10-Q, there have been no material changes to the risk factors disclosed in in our Annual Report for the year ended December 31, 2022 filed with the SEC on March 13, 2023.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spacing w:before="120" w:after="0"/>
        <w:jc w:val="left"/>
        <w:rPr/>
      </w:pPr>
      <w:r>
        <w:rPr/>
        <w:t> </w:t>
      </w:r>
    </w:p>
    <w:p>
      <w:pPr>
        <w:pStyle w:val="TextBody"/>
        <w:bidi w:val="0"/>
        <w:spacing w:before="240" w:after="0"/>
        <w:jc w:val="left"/>
        <w:rPr/>
      </w:pPr>
      <w:r>
        <w:rPr/>
        <w:t> </w:t>
      </w:r>
    </w:p>
    <w:p>
      <w:pPr>
        <w:pStyle w:val="TextBody"/>
        <w:bidi w:val="0"/>
        <w:spacing w:before="120" w:after="0"/>
        <w:jc w:val="left"/>
        <w:rPr>
          <w:rFonts w:ascii="Times New Roman;serif" w:hAnsi="Times New Roman;serif"/>
          <w:b/>
          <w:sz w:val="20"/>
        </w:rPr>
      </w:pPr>
      <w:bookmarkStart w:id="17" w:name="item2_unregisteredsalesofequity"/>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None</w:t>
      </w:r>
    </w:p>
    <w:p>
      <w:pPr>
        <w:pStyle w:val="TextBody"/>
        <w:bidi w:val="0"/>
        <w:spacing w:before="120" w:after="0"/>
        <w:jc w:val="left"/>
        <w:rPr>
          <w:rFonts w:ascii="Times New Roman" w:hAnsi="Times New Roman"/>
          <w:sz w:val="20"/>
        </w:rPr>
      </w:pPr>
      <w:bookmarkStart w:id="18" w:name="item3_defaultsuponseniorsecurities"/>
      <w:bookmarkEnd w:id="18"/>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serif" w:hAnsi="Times New Roman;serif"/>
          <w:b/>
          <w:sz w:val="20"/>
        </w:rPr>
      </w:pPr>
      <w:r>
        <w:rPr>
          <w:rFonts w:ascii="Times New Roman;serif" w:hAnsi="Times New Roman;serif"/>
          <w:b/>
          <w:sz w:val="20"/>
        </w:rPr>
        <w:t>None</w:t>
      </w:r>
    </w:p>
    <w:p>
      <w:pPr>
        <w:pStyle w:val="TextBody"/>
        <w:bidi w:val="0"/>
        <w:spacing w:before="120" w:after="0"/>
        <w:jc w:val="left"/>
        <w:rPr>
          <w:rFonts w:ascii="Times New Roman" w:hAnsi="Times New Roman"/>
          <w:sz w:val="20"/>
        </w:rPr>
      </w:pPr>
      <w:bookmarkStart w:id="19" w:name="item4_minesafetydisclosures"/>
      <w:bookmarkEnd w:id="19"/>
      <w:r>
        <w:rPr>
          <w:rFonts w:ascii="Times New Roman;serif" w:hAnsi="Times New Roman;serif"/>
          <w:b/>
          <w:sz w:val="20"/>
        </w:rPr>
        <w:t>Item 4. Mine</w:t>
      </w:r>
      <w:r>
        <w:rPr>
          <w:rFonts w:ascii="Times New Roman" w:hAnsi="Times New Roman"/>
          <w:sz w:val="20"/>
        </w:rPr>
        <w:t xml:space="preserve"> </w:t>
      </w:r>
      <w:r>
        <w:rPr>
          <w:rFonts w:ascii="Times New Roman;serif" w:hAnsi="Times New Roman;serif"/>
          <w:b/>
          <w:sz w:val="20"/>
        </w:rPr>
        <w:t>Safety Disclosures.</w:t>
      </w:r>
    </w:p>
    <w:p>
      <w:pPr>
        <w:pStyle w:val="TextBody"/>
        <w:bidi w:val="0"/>
        <w:spacing w:before="120" w:after="0"/>
        <w:jc w:val="left"/>
        <w:rPr>
          <w:rFonts w:ascii="Times New Roman;serif" w:hAnsi="Times New Roman;serif"/>
          <w:b/>
          <w:sz w:val="20"/>
        </w:rPr>
      </w:pPr>
      <w:r>
        <w:rPr>
          <w:rFonts w:ascii="Times New Roman;serif" w:hAnsi="Times New Roman;serif"/>
          <w:b/>
          <w:sz w:val="20"/>
        </w:rPr>
        <w:t>None</w:t>
      </w:r>
    </w:p>
    <w:p>
      <w:pPr>
        <w:pStyle w:val="TextBody"/>
        <w:bidi w:val="0"/>
        <w:spacing w:before="120" w:after="0"/>
        <w:jc w:val="left"/>
        <w:rPr>
          <w:rFonts w:ascii="Times New Roman" w:hAnsi="Times New Roman"/>
          <w:sz w:val="20"/>
        </w:rPr>
      </w:pPr>
      <w:bookmarkStart w:id="20" w:name="item5_other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None</w:t>
      </w:r>
    </w:p>
    <w:p>
      <w:pPr>
        <w:pStyle w:val="TextBody"/>
        <w:bidi w:val="0"/>
        <w:spacing w:before="240" w:after="0"/>
        <w:jc w:val="left"/>
        <w:rPr>
          <w:rFonts w:ascii="Times New Roman" w:hAnsi="Times New Roman"/>
          <w:sz w:val="20"/>
        </w:rPr>
      </w:pPr>
      <w:bookmarkStart w:id="21" w:name="item6_exhibits"/>
      <w:bookmarkEnd w:id="21"/>
      <w:r>
        <w:rPr>
          <w:rFonts w:ascii="Times New Roman;serif" w:hAnsi="Times New Roman;serif"/>
          <w:b/>
          <w:sz w:val="20"/>
        </w:rPr>
        <w:t>Item 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9421"/>
      </w:tblGrid>
      <w:tr>
        <w:trPr/>
        <w:tc>
          <w:tcPr>
            <w:tcW w:w="784"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78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Exhibit</w:t>
              <w:br/>
            </w:r>
            <w:r>
              <w:rPr>
                <w:rFonts w:ascii="Times New Roman;serif" w:hAnsi="Times New Roman;serif"/>
                <w:b/>
                <w:sz w:val="20"/>
                <w:u w:val="single"/>
              </w:rPr>
              <w:t>No.</w:t>
            </w:r>
          </w:p>
        </w:tc>
        <w:tc>
          <w:tcPr>
            <w:tcW w:w="9421" w:type="dxa"/>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Description</w:t>
            </w:r>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center"/>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2.1</w:t>
            </w:r>
          </w:p>
        </w:tc>
        <w:tc>
          <w:tcPr>
            <w:tcW w:w="9421"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Agreement and Plan of Merger, dated as of June 7, 2021, by and among VPC Impact Acquisition Holdings III, Inc., Bear Merger Company I Inc., Bear Merger Company II LLC, and Dave Inc. (incorporated by reference to Exhibit 2.1 to the Company’s Current Report on Form 8-K filed with the Commission on June 7, 2021)</w:t>
              </w:r>
            </w:hyperlink>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left"/>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9421"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Second Amended and Restated Certificate of Incorporation of Dave Inc. (incorporated by reference to Exhibit 3.1 to the Company’s Current Report on Form 8-K filed with the Commission on January 11, 2022)</w:t>
              </w:r>
            </w:hyperlink>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left"/>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9421"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Amended and Restated Bylaws of Dave Inc. (incorporated by reference to Exhibit 3.2 to the Company’s Current Report on Form 8-K filed with the Commission on January 11, 2022)</w:t>
              </w:r>
            </w:hyperlink>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left"/>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9421" w:type="dxa"/>
            <w:tcBorders/>
            <w:vAlign w:val="center"/>
          </w:tcPr>
          <w:p>
            <w:pPr>
              <w:pStyle w:val="TableContents"/>
              <w:bidi w:val="0"/>
              <w:spacing w:before="0" w:after="0"/>
              <w:ind w:left="0" w:right="0" w:hanging="0"/>
              <w:jc w:val="left"/>
              <w:rPr/>
            </w:pPr>
            <w:hyperlink w:anchor="dave-ex31_1.htm">
              <w:r>
                <w:rPr>
                  <w:rStyle w:val="InternetLink"/>
                  <w:rFonts w:ascii="Times New Roman;serif" w:hAnsi="Times New Roman;serif"/>
                  <w:b w:val="false"/>
                  <w:sz w:val="20"/>
                  <w:u w:val="single"/>
                </w:rPr>
                <w:t>Certification of the Chief Executive Officer pursuant to Rule 13a-14(a) under the Securities Exchange Act of 1934, as adopted pursuant to §302 of the Sarbanes-Oxley Act of 2002</w:t>
              </w:r>
            </w:hyperlink>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left"/>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9421" w:type="dxa"/>
            <w:tcBorders/>
            <w:vAlign w:val="center"/>
          </w:tcPr>
          <w:p>
            <w:pPr>
              <w:pStyle w:val="TableContents"/>
              <w:bidi w:val="0"/>
              <w:spacing w:before="0" w:after="0"/>
              <w:ind w:left="0" w:right="0" w:hanging="0"/>
              <w:jc w:val="left"/>
              <w:rPr/>
            </w:pPr>
            <w:hyperlink w:anchor="dave-ex31_2.htm">
              <w:r>
                <w:rPr>
                  <w:rStyle w:val="InternetLink"/>
                  <w:rFonts w:ascii="Times New Roman;serif" w:hAnsi="Times New Roman;serif"/>
                  <w:b w:val="false"/>
                  <w:sz w:val="20"/>
                  <w:u w:val="single"/>
                </w:rPr>
                <w:t>Certification of the Chief Financial Officer pursuant to Rule 13a-14(a) under the Securities Exchange Act of 1934, as adopted pursuant to §302 of the Sarbanes-Oxley Act of 2002</w:t>
              </w:r>
            </w:hyperlink>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left"/>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9421" w:type="dxa"/>
            <w:tcBorders/>
            <w:vAlign w:val="center"/>
          </w:tcPr>
          <w:p>
            <w:pPr>
              <w:pStyle w:val="TableContents"/>
              <w:bidi w:val="0"/>
              <w:spacing w:before="0" w:after="0"/>
              <w:ind w:left="0" w:right="0" w:hanging="0"/>
              <w:jc w:val="left"/>
              <w:rPr/>
            </w:pPr>
            <w:hyperlink w:anchor="dave-ex32_1.htm">
              <w:r>
                <w:rPr>
                  <w:rStyle w:val="InternetLink"/>
                  <w:rFonts w:ascii="Times New Roman;serif" w:hAnsi="Times New Roman;serif"/>
                  <w:b w:val="false"/>
                  <w:sz w:val="20"/>
                  <w:u w:val="single"/>
                </w:rPr>
                <w:t>Certification of the Chief Executive Officer and Chief Financial Officer pursuant to 18 U.S.C. §1350, as adopted pursuant to §906 of the Sarbanes-Oxley Act of 2002</w:t>
              </w:r>
            </w:hyperlink>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left"/>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84" w:type="dxa"/>
            <w:tcBorders/>
            <w:vAlign w:val="center"/>
          </w:tcPr>
          <w:p>
            <w:pPr>
              <w:pStyle w:val="TableContents"/>
              <w:bidi w:val="0"/>
              <w:spacing w:before="0" w:after="0"/>
              <w:ind w:left="0" w:right="0" w:hanging="0"/>
              <w:jc w:val="left"/>
              <w:rPr/>
            </w:pPr>
            <w:r>
              <w:rPr/>
              <w:t> </w:t>
            </w:r>
          </w:p>
        </w:tc>
        <w:tc>
          <w:tcPr>
            <w:tcW w:w="9421" w:type="dxa"/>
            <w:tcBorders/>
            <w:vAlign w:val="center"/>
          </w:tcPr>
          <w:p>
            <w:pPr>
              <w:pStyle w:val="TableContents"/>
              <w:bidi w:val="0"/>
              <w:spacing w:before="0" w:after="0"/>
              <w:ind w:left="0" w:right="0" w:hanging="0"/>
              <w:jc w:val="left"/>
              <w:rPr/>
            </w:pPr>
            <w:r>
              <w:rPr/>
              <w:t> </w:t>
            </w:r>
          </w:p>
        </w:tc>
      </w:tr>
      <w:tr>
        <w:trPr/>
        <w:tc>
          <w:tcPr>
            <w:tcW w:w="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tbl>
      <w:tblPr>
        <w:tblW w:w="7472" w:type="dxa"/>
        <w:jc w:val="left"/>
        <w:tblInd w:w="0" w:type="dxa"/>
        <w:tblLayout w:type="fixed"/>
        <w:tblCellMar>
          <w:top w:w="28" w:type="dxa"/>
          <w:left w:w="28" w:type="dxa"/>
          <w:bottom w:w="28" w:type="dxa"/>
          <w:right w:w="28" w:type="dxa"/>
        </w:tblCellMar>
      </w:tblPr>
      <w:tblGrid>
        <w:gridCol w:w="871"/>
        <w:gridCol w:w="6601"/>
      </w:tblGrid>
      <w:tr>
        <w:trPr/>
        <w:tc>
          <w:tcPr>
            <w:tcW w:w="87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6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71"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6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71"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6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71"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6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71"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Furnished not filed.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22" w:name="signatures"/>
      <w:bookmarkEnd w:id="22"/>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8,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97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Dave Inc.</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6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Jason Wilk</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Jason Wilk</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bidi w:val="0"/>
        <w:spacing w:before="240" w:after="0"/>
        <w:jc w:val="center"/>
        <w:rPr/>
      </w:pPr>
      <w:r>
        <w:rPr/>
        <w:t> </w:t>
      </w:r>
    </w:p>
    <w:tbl>
      <w:tblPr>
        <w:tblW w:w="5009" w:type="dxa"/>
        <w:jc w:val="left"/>
        <w:tblInd w:w="0" w:type="dxa"/>
        <w:tblLayout w:type="fixed"/>
        <w:tblCellMar>
          <w:top w:w="28" w:type="dxa"/>
          <w:left w:w="28" w:type="dxa"/>
          <w:bottom w:w="28" w:type="dxa"/>
          <w:right w:w="28" w:type="dxa"/>
        </w:tblCellMar>
      </w:tblPr>
      <w:tblGrid>
        <w:gridCol w:w="1951"/>
        <w:gridCol w:w="146"/>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8,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91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DAVE INC.</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Kyle Beilman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Kyle Beilman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bidi w:val="0"/>
        <w:spacing w:before="0" w:after="0"/>
        <w:jc w:val="righ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270" w:after="0"/>
        <w:jc w:val="left"/>
        <w:rPr/>
      </w:pPr>
      <w:bookmarkStart w:id="23" w:name="dave-ex31_1.htm"/>
      <w:bookmarkStart w:id="24" w:name="ksdaveex31_1"/>
      <w:bookmarkEnd w:id="23"/>
      <w:bookmarkEnd w:id="24"/>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Jason Wilk,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June 30, 2023 of Dave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
        </w:rPr>
      </w:pPr>
      <w:r>
        <w:rPr>
          <w:rFonts w:ascii="Times New Roman" w:hAnsi="Times New Roman"/>
          <w:b w:val="false"/>
          <w:sz w:val="2"/>
        </w:rPr>
        <w:t>1)</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serif" w:hAnsi="Times New Roman;serif"/>
          <w:b w:val="false"/>
          <w:sz w:val="20"/>
        </w:rPr>
        <w:t>Date: August 8, 2023</w:t>
      </w:r>
      <w:r>
        <w:rPr>
          <w:rFonts w:ascii="Times New Roman" w:hAnsi="Times New Roman"/>
          <w:sz w:val="20"/>
        </w:rPr>
        <w:t xml:space="preserve">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Jason Wilk</w:t>
            </w:r>
          </w:p>
        </w:tc>
      </w:tr>
      <w:tr>
        <w:trPr/>
        <w:tc>
          <w:tcPr>
            <w:tcW w:w="24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r>
        <w:trPr/>
        <w:tc>
          <w:tcPr>
            <w:tcW w:w="24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bl>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5" w:name="dave-ex31_2.htm"/>
      <w:bookmarkStart w:id="26" w:name="ksdaveex31_2"/>
      <w:bookmarkEnd w:id="25"/>
      <w:bookmarkEnd w:id="26"/>
      <w:r>
        <w:rPr>
          <w:rFonts w:ascii="Times New Roman;serif" w:hAnsi="Times New Roman;serif"/>
          <w:b/>
          <w:sz w:val="20"/>
        </w:rPr>
        <w:t>Exhibit 31.2</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Kyle Beilman,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June 30, 2023 of Dave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serif" w:hAnsi="Times New Roman;serif"/>
          <w:b w:val="false"/>
          <w:sz w:val="20"/>
        </w:rPr>
        <w:t>Date: August 8, 2023</w:t>
      </w:r>
      <w:r>
        <w:rPr>
          <w:rFonts w:ascii="Times New Roman" w:hAnsi="Times New Roman"/>
          <w:sz w:val="20"/>
        </w:rPr>
        <w:t xml:space="preserve">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pPr>
            <w:r>
              <w:rPr/>
              <w:t> </w:t>
            </w:r>
          </w:p>
        </w:tc>
      </w:tr>
      <w:tr>
        <w:trPr/>
        <w:tc>
          <w:tcPr>
            <w:tcW w:w="235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Kyle Beilman</w:t>
            </w:r>
          </w:p>
        </w:tc>
      </w:tr>
      <w:tr>
        <w:trPr/>
        <w:tc>
          <w:tcPr>
            <w:tcW w:w="23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r>
        <w:trPr/>
        <w:tc>
          <w:tcPr>
            <w:tcW w:w="23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officer)</w:t>
            </w:r>
          </w:p>
        </w:tc>
      </w:tr>
    </w:tbl>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7" w:name="dave-ex32_1.htm"/>
      <w:bookmarkStart w:id="28" w:name="ksdaveex32_1"/>
      <w:bookmarkEnd w:id="27"/>
      <w:bookmarkEnd w:id="28"/>
      <w:r>
        <w:rPr>
          <w:rFonts w:ascii="Times New Roman;serif" w:hAnsi="Times New Roman;serif"/>
          <w:b/>
          <w:sz w:val="20"/>
        </w:rPr>
        <w:t>EXHIBIT 32.1</w:t>
      </w:r>
      <w:r>
        <w:rPr>
          <w:rFonts w:ascii="Times New Roman" w:hAnsi="Times New Roman"/>
          <w:sz w:val="20"/>
        </w:rPr>
        <w:t xml:space="preserve"> </w:t>
      </w:r>
      <w:r>
        <w:br w:type="page"/>
      </w:r>
    </w:p>
    <w:p>
      <w:pPr>
        <w:pStyle w:val="TextBody"/>
        <w:bidi w:val="0"/>
        <w:spacing w:before="0" w:after="0"/>
        <w:jc w:val="center"/>
        <w:rPr>
          <w:rFonts w:ascii="Times New Roman" w:hAnsi="Times New Roman"/>
          <w:sz w:val="20"/>
        </w:rPr>
      </w:pPr>
      <w:r>
        <w:rPr>
          <w:rFonts w:ascii="Times New Roman;serif" w:hAnsi="Times New Roman;serif"/>
          <w:b/>
          <w:sz w:val="20"/>
        </w:rPr>
        <w:t>CERTIFICATIONS PURSUANT TO</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undersigned, Jason Wilk, Chief Executive Officer, and Kyle Beilman, Chief Financial Officer of Dave Inc. (the “Company”), hereby certify as of the date hereof, solely for the purposes of 18 U.S.C. §1350,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(i)</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Quarterly Report on Form 10-Q for the period ended June 30, 2023 of the Company (the “Report”) fully complies with the requirements of Section 13(a) or 15(d), as applicable, of the Securities Exchange Act of 1934; and </w:t>
      </w:r>
    </w:p>
    <w:p>
      <w:pPr>
        <w:pStyle w:val="TextBody"/>
        <w:bidi w:val="0"/>
        <w:spacing w:before="120" w:after="0"/>
        <w:jc w:val="left"/>
        <w:rPr>
          <w:rFonts w:ascii="Times New Roman" w:hAnsi="Times New Roman"/>
          <w:b w:val="false"/>
          <w:sz w:val="20"/>
        </w:rPr>
      </w:pPr>
      <w:r>
        <w:rPr>
          <w:rFonts w:ascii="Times New Roman" w:hAnsi="Times New Roman"/>
          <w:b w:val="false"/>
          <w:sz w:val="20"/>
        </w:rPr>
        <w:t>(ii)</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at the dates and for the periods indicated.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sz w:val="20"/>
        </w:rPr>
        <w:t>Date: August 8, 2023</w:t>
      </w:r>
      <w:r>
        <w:rPr>
          <w:rFonts w:ascii="Times New Roman" w:hAnsi="Times New Roman"/>
          <w:sz w:val="20"/>
        </w:rPr>
        <w:t xml:space="preserve">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Jason Wilk</w:t>
            </w:r>
          </w:p>
        </w:tc>
      </w:tr>
      <w:tr>
        <w:trPr/>
        <w:tc>
          <w:tcPr>
            <w:tcW w:w="20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Kyle Beilman</w:t>
            </w:r>
          </w:p>
        </w:tc>
      </w:tr>
      <w:tr>
        <w:trPr/>
        <w:tc>
          <w:tcPr>
            <w:tcW w:w="20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foregoing certification is being furnished solely pursuant to 18 U.S.C. Section 1350 and is not being filed as part of the Report or as a separate disclosure document.</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408/000119312521183575/d165916dex21.htm" TargetMode="External"/><Relationship Id="rId3" Type="http://schemas.openxmlformats.org/officeDocument/2006/relationships/hyperlink" Target="https://www.sec.gov/Archives/edgar/data/1841408/000119312522006854/d253532dex31.htm" TargetMode="External"/><Relationship Id="rId4" Type="http://schemas.openxmlformats.org/officeDocument/2006/relationships/hyperlink" Target="https://www.sec.gov/Archives/edgar/data/1841408/000119312522006854/d253532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29955</Words>
  <Characters>161530</Characters>
  <CharactersWithSpaces>192813</CharactersWithSpaces>
  <Paragraphs>7864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