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269240</wp:posOffset>
            </wp:positionV>
            <wp:extent cx="1045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90170</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640" w:right="1720" w:hanging="3632"/>
        <w:spacing w:after="0" w:line="298" w:lineRule="auto"/>
        <w:tabs>
          <w:tab w:leader="none" w:pos="37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2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5800" w:type="dxa"/>
            <w:vAlign w:val="bottom"/>
            <w:gridSpan w:val="3"/>
          </w:tcPr>
          <w:p>
            <w:pPr>
              <w:ind w:left="33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00" w:type="dxa"/>
            <w:vAlign w:val="bottom"/>
            <w:tcBorders>
              <w:bottom w:val="single" w:sz="8" w:color="auto"/>
            </w:tcBorders>
            <w:gridSpan w:val="2"/>
          </w:tcPr>
          <w:p>
            <w:pPr>
              <w:spacing w:after="0"/>
              <w:rPr>
                <w:sz w:val="17"/>
                <w:szCs w:val="17"/>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 _______</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6640" w:type="dxa"/>
            <w:vAlign w:val="bottom"/>
            <w:gridSpan w:val="5"/>
          </w:tcPr>
          <w:p>
            <w:pPr>
              <w:jc w:val="center"/>
              <w:ind w:right="3445"/>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001-40161</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1"/>
        </w:trPr>
        <w:tc>
          <w:tcPr>
            <w:tcW w:w="3980" w:type="dxa"/>
            <w:vAlign w:val="bottom"/>
          </w:tcPr>
          <w:p>
            <w:pPr>
              <w:spacing w:after="0"/>
              <w:rPr>
                <w:sz w:val="24"/>
                <w:szCs w:val="24"/>
                <w:color w:val="auto"/>
              </w:rPr>
            </w:pPr>
          </w:p>
        </w:tc>
        <w:tc>
          <w:tcPr>
            <w:tcW w:w="2400" w:type="dxa"/>
            <w:vAlign w:val="bottom"/>
            <w:gridSpan w:val="3"/>
          </w:tcPr>
          <w:p>
            <w:pPr>
              <w:ind w:left="440"/>
              <w:spacing w:after="0"/>
              <w:rPr>
                <w:sz w:val="20"/>
                <w:szCs w:val="20"/>
                <w:color w:val="auto"/>
              </w:rPr>
            </w:pPr>
            <w:r>
              <w:rPr>
                <w:rFonts w:ascii="Times New Roman" w:cs="Times New Roman" w:eastAsia="Times New Roman" w:hAnsi="Times New Roman"/>
                <w:sz w:val="43"/>
                <w:szCs w:val="43"/>
                <w:b w:val="1"/>
                <w:bCs w:val="1"/>
                <w:color w:val="auto"/>
                <w:w w:val="87"/>
              </w:rPr>
              <w:t>DAVE INC.</w:t>
            </w:r>
          </w:p>
        </w:tc>
        <w:tc>
          <w:tcPr>
            <w:tcW w:w="2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620" w:type="dxa"/>
            <w:vAlign w:val="bottom"/>
            <w:gridSpan w:val="6"/>
          </w:tcPr>
          <w:p>
            <w:pPr>
              <w:jc w:val="center"/>
              <w:ind w:left="3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0" w:type="dxa"/>
            <w:vAlign w:val="bottom"/>
          </w:tcPr>
          <w:p>
            <w:pPr>
              <w:spacing w:after="0"/>
              <w:rPr>
                <w:sz w:val="1"/>
                <w:szCs w:val="1"/>
                <w:color w:val="auto"/>
              </w:rPr>
            </w:pPr>
          </w:p>
        </w:tc>
      </w:tr>
      <w:tr>
        <w:trPr>
          <w:trHeight w:val="94"/>
        </w:trPr>
        <w:tc>
          <w:tcPr>
            <w:tcW w:w="3980" w:type="dxa"/>
            <w:vAlign w:val="bottom"/>
            <w:vMerge w:val="restart"/>
          </w:tcPr>
          <w:p>
            <w:pPr>
              <w:jc w:val="center"/>
              <w:ind w:left="146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20" w:type="dxa"/>
            <w:vAlign w:val="bottom"/>
            <w:vMerge w:val="restart"/>
          </w:tcPr>
          <w:p>
            <w:pPr>
              <w:jc w:val="right"/>
              <w:ind w:right="1745"/>
              <w:spacing w:after="0"/>
              <w:rPr>
                <w:sz w:val="20"/>
                <w:szCs w:val="20"/>
                <w:color w:val="auto"/>
              </w:rPr>
            </w:pPr>
            <w:r>
              <w:rPr>
                <w:rFonts w:ascii="Times New Roman" w:cs="Times New Roman" w:eastAsia="Times New Roman" w:hAnsi="Times New Roman"/>
                <w:sz w:val="18"/>
                <w:szCs w:val="18"/>
                <w:b w:val="1"/>
                <w:bCs w:val="1"/>
                <w:color w:val="auto"/>
              </w:rPr>
              <w:t>86-1481509</w:t>
            </w:r>
          </w:p>
        </w:tc>
        <w:tc>
          <w:tcPr>
            <w:tcW w:w="0" w:type="dxa"/>
            <w:vAlign w:val="bottom"/>
          </w:tcPr>
          <w:p>
            <w:pPr>
              <w:spacing w:after="0"/>
              <w:rPr>
                <w:sz w:val="1"/>
                <w:szCs w:val="1"/>
                <w:color w:val="auto"/>
              </w:rPr>
            </w:pPr>
          </w:p>
        </w:tc>
      </w:tr>
      <w:tr>
        <w:trPr>
          <w:trHeight w:val="372"/>
        </w:trPr>
        <w:tc>
          <w:tcPr>
            <w:tcW w:w="39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80" w:type="dxa"/>
            <w:vAlign w:val="bottom"/>
          </w:tcPr>
          <w:p>
            <w:pPr>
              <w:jc w:val="center"/>
              <w:ind w:left="1443"/>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tcPr>
          <w:p>
            <w:pPr>
              <w:jc w:val="center"/>
              <w:ind w:right="405"/>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3980" w:type="dxa"/>
            <w:vAlign w:val="bottom"/>
          </w:tcPr>
          <w:p>
            <w:pPr>
              <w:ind w:left="18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20" w:type="dxa"/>
            <w:vAlign w:val="bottom"/>
          </w:tcPr>
          <w:p>
            <w:pPr>
              <w:ind w:left="122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50"/>
        </w:trPr>
        <w:tc>
          <w:tcPr>
            <w:tcW w:w="3980" w:type="dxa"/>
            <w:vAlign w:val="bottom"/>
          </w:tcPr>
          <w:p>
            <w:pPr>
              <w:jc w:val="center"/>
              <w:ind w:left="1403"/>
              <w:spacing w:after="0"/>
              <w:rPr>
                <w:sz w:val="20"/>
                <w:szCs w:val="20"/>
                <w:color w:val="auto"/>
              </w:rPr>
            </w:pPr>
            <w:r>
              <w:rPr>
                <w:rFonts w:ascii="Times New Roman" w:cs="Times New Roman" w:eastAsia="Times New Roman" w:hAnsi="Times New Roman"/>
                <w:sz w:val="18"/>
                <w:szCs w:val="18"/>
                <w:b w:val="1"/>
                <w:bCs w:val="1"/>
                <w:color w:val="auto"/>
                <w:w w:val="99"/>
              </w:rPr>
              <w:t>1265 South Cochran Ave</w:t>
            </w: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80" w:type="dxa"/>
            <w:vAlign w:val="bottom"/>
          </w:tcPr>
          <w:p>
            <w:pPr>
              <w:jc w:val="center"/>
              <w:ind w:left="1463"/>
              <w:spacing w:after="0"/>
              <w:rPr>
                <w:sz w:val="20"/>
                <w:szCs w:val="20"/>
                <w:color w:val="auto"/>
              </w:rPr>
            </w:pPr>
            <w:r>
              <w:rPr>
                <w:rFonts w:ascii="Times New Roman" w:cs="Times New Roman" w:eastAsia="Times New Roman" w:hAnsi="Times New Roman"/>
                <w:sz w:val="18"/>
                <w:szCs w:val="18"/>
                <w:b w:val="1"/>
                <w:bCs w:val="1"/>
                <w:color w:val="auto"/>
              </w:rPr>
              <w:t>Los Angeles, CA</w:t>
            </w: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20" w:type="dxa"/>
            <w:vAlign w:val="bottom"/>
          </w:tcPr>
          <w:p>
            <w:pPr>
              <w:jc w:val="right"/>
              <w:ind w:right="1945"/>
              <w:spacing w:after="0"/>
              <w:rPr>
                <w:sz w:val="20"/>
                <w:szCs w:val="20"/>
                <w:color w:val="auto"/>
              </w:rPr>
            </w:pPr>
            <w:r>
              <w:rPr>
                <w:rFonts w:ascii="Times New Roman" w:cs="Times New Roman" w:eastAsia="Times New Roman" w:hAnsi="Times New Roman"/>
                <w:sz w:val="18"/>
                <w:szCs w:val="18"/>
                <w:b w:val="1"/>
                <w:bCs w:val="1"/>
                <w:color w:val="auto"/>
              </w:rPr>
              <w:t>90019</w:t>
            </w:r>
          </w:p>
        </w:tc>
        <w:tc>
          <w:tcPr>
            <w:tcW w:w="0" w:type="dxa"/>
            <w:vAlign w:val="bottom"/>
          </w:tcPr>
          <w:p>
            <w:pPr>
              <w:spacing w:after="0"/>
              <w:rPr>
                <w:sz w:val="1"/>
                <w:szCs w:val="1"/>
                <w:color w:val="auto"/>
              </w:rPr>
            </w:pPr>
          </w:p>
        </w:tc>
      </w:tr>
      <w:tr>
        <w:trPr>
          <w:trHeight w:val="153"/>
        </w:trPr>
        <w:tc>
          <w:tcPr>
            <w:tcW w:w="3980" w:type="dxa"/>
            <w:vAlign w:val="bottom"/>
          </w:tcPr>
          <w:p>
            <w:pPr>
              <w:jc w:val="center"/>
              <w:ind w:left="146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20" w:type="dxa"/>
            <w:vAlign w:val="bottom"/>
          </w:tcPr>
          <w:p>
            <w:pPr>
              <w:jc w:val="center"/>
              <w:ind w:right="40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38"/>
        </w:trPr>
        <w:tc>
          <w:tcPr>
            <w:tcW w:w="10620" w:type="dxa"/>
            <w:vAlign w:val="bottom"/>
            <w:gridSpan w:val="6"/>
          </w:tcPr>
          <w:p>
            <w:pPr>
              <w:jc w:val="center"/>
              <w:ind w:left="383"/>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(844) 857-3283</w:t>
            </w:r>
          </w:p>
        </w:tc>
        <w:tc>
          <w:tcPr>
            <w:tcW w:w="0" w:type="dxa"/>
            <w:vAlign w:val="bottom"/>
          </w:tcPr>
          <w:p>
            <w:pPr>
              <w:spacing w:after="0"/>
              <w:rPr>
                <w:sz w:val="1"/>
                <w:szCs w:val="1"/>
                <w:color w:val="auto"/>
              </w:rPr>
            </w:pPr>
          </w:p>
        </w:tc>
      </w:tr>
      <w:tr>
        <w:trPr>
          <w:trHeight w:val="247"/>
        </w:trPr>
        <w:tc>
          <w:tcPr>
            <w:tcW w:w="10620" w:type="dxa"/>
            <w:vAlign w:val="bottom"/>
            <w:gridSpan w:val="6"/>
          </w:tcPr>
          <w:p>
            <w:pPr>
              <w:jc w:val="center"/>
              <w:ind w:left="38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02"/>
        </w:trPr>
        <w:tc>
          <w:tcPr>
            <w:tcW w:w="39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17"/>
                <w:szCs w:val="17"/>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20" w:type="dxa"/>
            <w:vAlign w:val="bottom"/>
          </w:tcPr>
          <w:p>
            <w:pPr>
              <w:jc w:val="center"/>
              <w:ind w:left="11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36"/>
        </w:trPr>
        <w:tc>
          <w:tcPr>
            <w:tcW w:w="39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w:t>
            </w:r>
          </w:p>
        </w:tc>
        <w:tc>
          <w:tcPr>
            <w:tcW w:w="760" w:type="dxa"/>
            <w:vAlign w:val="bottom"/>
          </w:tcPr>
          <w:p>
            <w:pPr>
              <w:spacing w:after="0"/>
              <w:rPr>
                <w:sz w:val="24"/>
                <w:szCs w:val="24"/>
                <w:color w:val="auto"/>
              </w:rPr>
            </w:pPr>
          </w:p>
        </w:tc>
        <w:tc>
          <w:tcPr>
            <w:tcW w:w="1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DAVE</w:t>
            </w:r>
          </w:p>
        </w:tc>
        <w:tc>
          <w:tcPr>
            <w:tcW w:w="4020" w:type="dxa"/>
            <w:vAlign w:val="bottom"/>
          </w:tcPr>
          <w:p>
            <w:pPr>
              <w:jc w:val="center"/>
              <w:ind w:left="1145"/>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8"/>
        </w:trPr>
        <w:tc>
          <w:tcPr>
            <w:tcW w:w="39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Redeemable warrants, each whole warrant exercisable for one</w:t>
            </w:r>
          </w:p>
        </w:tc>
        <w:tc>
          <w:tcPr>
            <w:tcW w:w="760" w:type="dxa"/>
            <w:vAlign w:val="bottom"/>
          </w:tcPr>
          <w:p>
            <w:pPr>
              <w:spacing w:after="0"/>
              <w:rPr>
                <w:sz w:val="12"/>
                <w:szCs w:val="12"/>
                <w:color w:val="auto"/>
              </w:rPr>
            </w:pPr>
          </w:p>
        </w:tc>
        <w:tc>
          <w:tcPr>
            <w:tcW w:w="1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DAVEW</w:t>
            </w:r>
          </w:p>
        </w:tc>
        <w:tc>
          <w:tcPr>
            <w:tcW w:w="4020" w:type="dxa"/>
            <w:vAlign w:val="bottom"/>
          </w:tcPr>
          <w:p>
            <w:pPr>
              <w:jc w:val="center"/>
              <w:ind w:left="1145"/>
              <w:spacing w:after="0" w:line="149"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9"/>
        </w:trPr>
        <w:tc>
          <w:tcPr>
            <w:tcW w:w="398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share of Class A common stock, each at an exercise price of</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$368 per share</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w:t>
      </w:r>
    </w:p>
    <w:p>
      <w:pPr>
        <w:ind w:left="320" w:hanging="312"/>
        <w:spacing w:after="0" w:line="184" w:lineRule="exact"/>
        <w:tabs>
          <w:tab w:leader="none" w:pos="3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ind w:right="120"/>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2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15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2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546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54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5460" w:type="dxa"/>
            <w:vAlign w:val="bottom"/>
          </w:tcPr>
          <w:p>
            <w:pPr>
              <w:ind w:left="34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tabs>
          <w:tab w:leader="none" w:pos="6840" w:val="left"/>
          <w:tab w:leader="none" w:pos="75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95"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As of November 1, 2024 there were 11,242,888 shares of Class A common stock, $0.0001 par value, and 1,514,082 shares of Class V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Page</w:t>
            </w:r>
          </w:p>
        </w:tc>
        <w:tc>
          <w:tcPr>
            <w:tcW w:w="1240" w:type="dxa"/>
            <w:vAlign w:val="bottom"/>
          </w:tcPr>
          <w:p>
            <w:pPr>
              <w:spacing w:after="0"/>
              <w:rPr>
                <w:sz w:val="20"/>
                <w:szCs w:val="20"/>
                <w:color w:val="auto"/>
              </w:rPr>
            </w:pPr>
          </w:p>
        </w:tc>
      </w:tr>
      <w:tr>
        <w:trPr>
          <w:trHeight w:val="176"/>
        </w:trPr>
        <w:tc>
          <w:tcPr>
            <w:tcW w:w="10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06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8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1</w:t>
            </w:r>
          </w:p>
        </w:tc>
        <w:tc>
          <w:tcPr>
            <w:tcW w:w="12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Continued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tcBorders>
              <w:left w:val="single" w:sz="8" w:color="0000EE"/>
            </w:tcBorders>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08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3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57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9"/>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30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spacing w:after="0"/>
              <w:rPr>
                <w:sz w:val="18"/>
                <w:szCs w:val="18"/>
                <w:color w:val="auto"/>
              </w:rPr>
            </w:pPr>
          </w:p>
        </w:tc>
      </w:tr>
      <w:tr>
        <w:trPr>
          <w:trHeight w:val="210"/>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40" w:type="dxa"/>
            <w:vAlign w:val="bottom"/>
          </w:tcPr>
          <w:p>
            <w:pPr>
              <w:spacing w:after="0"/>
              <w:rPr>
                <w:sz w:val="18"/>
                <w:szCs w:val="18"/>
                <w:color w:val="auto"/>
              </w:rPr>
            </w:pPr>
          </w:p>
        </w:tc>
      </w:tr>
      <w:tr>
        <w:trPr>
          <w:trHeight w:val="140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2023 filed with the Securities and Exchange Commission (the “SEC”) on March 5, 2024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spacing w:after="0" w:line="30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compete in its highly competitive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keep pace with the rapid technological developments in its industry and the larger financial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manage risks associated with providing ExtraCash;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retain its current members, acquire new members and sell additional functionality and services to its members;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protect intellectual property and trade secrets;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Dave to maintain the integrity of its confidential information and information systems or comply with applicable privacy and data security requirements and regulations;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by Dave on a single bank partner, and the ability of Dave to maintain or secure current and future key banking relationships and other third-party service providers;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service failures that could lead Dave members (“Members”) to use competitors’ services;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including with respect to the Federal Trade Commission (“FTC”);</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Dave Class A Common Stock on The Nasdaq Stock Market;</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Dave may be adversely affected by other economic factors, including rising interest rates, and business, and/or competitive factors; and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Form 10-Q, including those described under Part II Item 1A, “Risk Factors.”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Except as required by law, we do not intend to update any of these forward-looking statements after the date of this report or to conform these statements to actual results or revised expectations.</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You should read this report with the understanding that our actual future results, levels of activity, performance and events and circumstances may be materially different from what we expect.</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8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report, the “Company,” “Dave,” “we,” “us,” “our” and similar terms refer to Dave Inc. (f/k/a VPC Impact Acquisition Holdings III, Inc.) and its consolidated subsidiaries, unless otherwise noted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 w:name="page5"/>
    <w:bookmarkEnd w:id="4"/>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13"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As of September 30,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As of</w:t>
            </w:r>
          </w:p>
        </w:tc>
      </w:tr>
      <w:tr>
        <w:trPr>
          <w:trHeight w:val="226"/>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center"/>
              <w:ind w:right="155"/>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Pr>
          <w:p>
            <w:pPr>
              <w:spacing w:after="0"/>
              <w:rPr>
                <w:sz w:val="19"/>
                <w:szCs w:val="19"/>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8"/>
        </w:trPr>
        <w:tc>
          <w:tcPr>
            <w:tcW w:w="7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7"/>
                <w:szCs w:val="17"/>
                <w:color w:val="auto"/>
                <w:w w:val="99"/>
              </w:rPr>
              <w:t>(unaudited)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r>
      <w:tr>
        <w:trPr>
          <w:trHeight w:val="230"/>
        </w:trPr>
        <w:tc>
          <w:tcPr>
            <w:tcW w:w="7120" w:type="dxa"/>
            <w:vAlign w:val="bottom"/>
            <w:shd w:val="clear" w:color="auto" w:fill="B7DEE8"/>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B7DEE8"/>
          </w:tcPr>
          <w:p>
            <w:pPr>
              <w:spacing w:after="0"/>
              <w:rPr>
                <w:sz w:val="19"/>
                <w:szCs w:val="19"/>
                <w:color w:val="auto"/>
              </w:rPr>
            </w:pPr>
          </w:p>
        </w:tc>
        <w:tc>
          <w:tcPr>
            <w:tcW w:w="1380" w:type="dxa"/>
            <w:vAlign w:val="bottom"/>
            <w:shd w:val="clear" w:color="auto" w:fill="B7DEE8"/>
          </w:tcPr>
          <w:p>
            <w:pPr>
              <w:spacing w:after="0"/>
              <w:rPr>
                <w:sz w:val="19"/>
                <w:szCs w:val="19"/>
                <w:color w:val="auto"/>
              </w:rPr>
            </w:pPr>
          </w:p>
        </w:tc>
        <w:tc>
          <w:tcPr>
            <w:tcW w:w="220" w:type="dxa"/>
            <w:vAlign w:val="bottom"/>
            <w:shd w:val="clear" w:color="auto" w:fill="B7DEE8"/>
          </w:tcPr>
          <w:p>
            <w:pPr>
              <w:spacing w:after="0"/>
              <w:rPr>
                <w:sz w:val="19"/>
                <w:szCs w:val="19"/>
                <w:color w:val="auto"/>
              </w:rPr>
            </w:pPr>
          </w:p>
        </w:tc>
        <w:tc>
          <w:tcPr>
            <w:tcW w:w="200" w:type="dxa"/>
            <w:vAlign w:val="bottom"/>
            <w:shd w:val="clear" w:color="auto" w:fill="B7DEE8"/>
          </w:tcPr>
          <w:p>
            <w:pPr>
              <w:spacing w:after="0"/>
              <w:rPr>
                <w:sz w:val="19"/>
                <w:szCs w:val="19"/>
                <w:color w:val="auto"/>
              </w:rPr>
            </w:pPr>
          </w:p>
        </w:tc>
        <w:tc>
          <w:tcPr>
            <w:tcW w:w="820" w:type="dxa"/>
            <w:vAlign w:val="bottom"/>
            <w:shd w:val="clear" w:color="auto" w:fill="B7DEE8"/>
          </w:tcPr>
          <w:p>
            <w:pPr>
              <w:spacing w:after="0"/>
              <w:rPr>
                <w:sz w:val="19"/>
                <w:szCs w:val="19"/>
                <w:color w:val="auto"/>
              </w:rPr>
            </w:pPr>
          </w:p>
        </w:tc>
        <w:tc>
          <w:tcPr>
            <w:tcW w:w="100" w:type="dxa"/>
            <w:vAlign w:val="bottom"/>
            <w:shd w:val="clear" w:color="auto" w:fill="B7DEE8"/>
          </w:tcPr>
          <w:p>
            <w:pPr>
              <w:spacing w:after="0"/>
              <w:rPr>
                <w:sz w:val="19"/>
                <w:szCs w:val="19"/>
                <w:color w:val="auto"/>
              </w:rPr>
            </w:pP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B7DEE8"/>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35,059</w:t>
            </w:r>
          </w:p>
        </w:tc>
        <w:tc>
          <w:tcPr>
            <w:tcW w:w="420" w:type="dxa"/>
            <w:vAlign w:val="bottom"/>
            <w:gridSpan w:val="2"/>
            <w:shd w:val="clear" w:color="auto" w:fill="B7DEE8"/>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41,759</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Marketable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tcPr>
          <w:p>
            <w:pPr>
              <w:spacing w:after="0"/>
              <w:rPr>
                <w:sz w:val="19"/>
                <w:szCs w:val="19"/>
                <w:color w:val="auto"/>
              </w:rPr>
            </w:pPr>
          </w:p>
        </w:tc>
      </w:tr>
      <w:tr>
        <w:trPr>
          <w:trHeight w:val="19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ExtraCash receivables, net of allowance for credit losses of $21,133 and $20,310 as of September</w:t>
            </w:r>
          </w:p>
        </w:tc>
        <w:tc>
          <w:tcPr>
            <w:tcW w:w="260" w:type="dxa"/>
            <w:vAlign w:val="bottom"/>
            <w:shd w:val="clear" w:color="auto" w:fill="B7DEE8"/>
          </w:tcPr>
          <w:p>
            <w:pPr>
              <w:spacing w:after="0"/>
              <w:rPr>
                <w:sz w:val="17"/>
                <w:szCs w:val="17"/>
                <w:color w:val="auto"/>
              </w:rPr>
            </w:pPr>
          </w:p>
        </w:tc>
        <w:tc>
          <w:tcPr>
            <w:tcW w:w="1380" w:type="dxa"/>
            <w:vAlign w:val="bottom"/>
            <w:shd w:val="clear" w:color="auto" w:fill="B7DEE8"/>
          </w:tcPr>
          <w:p>
            <w:pPr>
              <w:spacing w:after="0"/>
              <w:rPr>
                <w:sz w:val="17"/>
                <w:szCs w:val="17"/>
                <w:color w:val="auto"/>
              </w:rPr>
            </w:pPr>
          </w:p>
        </w:tc>
        <w:tc>
          <w:tcPr>
            <w:tcW w:w="2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3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30, 2024 and December 31, 2023, respectively</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165,533</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112,846</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Investments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113,226</w:t>
            </w:r>
          </w:p>
        </w:tc>
        <w:tc>
          <w:tcPr>
            <w:tcW w:w="100" w:type="dxa"/>
            <w:vAlign w:val="bottom"/>
          </w:tcPr>
          <w:p>
            <w:pPr>
              <w:spacing w:after="0"/>
              <w:rPr>
                <w:sz w:val="19"/>
                <w:szCs w:val="19"/>
                <w:color w:val="auto"/>
              </w:rPr>
            </w:pPr>
          </w:p>
        </w:tc>
      </w:tr>
      <w:tr>
        <w:trPr>
          <w:trHeight w:val="233"/>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Prepaid income taxes</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shd w:val="clear" w:color="auto" w:fill="B7DEE8"/>
          </w:tcPr>
          <w:p>
            <w:pPr>
              <w:spacing w:after="0"/>
              <w:rPr>
                <w:sz w:val="20"/>
                <w:szCs w:val="20"/>
                <w:color w:val="auto"/>
              </w:rPr>
            </w:pPr>
          </w:p>
        </w:tc>
      </w:tr>
      <w:tr>
        <w:trPr>
          <w:trHeight w:val="228"/>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7,955</w:t>
            </w:r>
          </w:p>
        </w:tc>
        <w:tc>
          <w:tcPr>
            <w:tcW w:w="100" w:type="dxa"/>
            <w:vAlign w:val="bottom"/>
          </w:tcPr>
          <w:p>
            <w:pPr>
              <w:spacing w:after="0"/>
              <w:rPr>
                <w:sz w:val="19"/>
                <w:szCs w:val="19"/>
                <w:color w:val="auto"/>
              </w:rPr>
            </w:pPr>
          </w:p>
        </w:tc>
      </w:tr>
      <w:tr>
        <w:trPr>
          <w:trHeight w:val="224"/>
        </w:trPr>
        <w:tc>
          <w:tcPr>
            <w:tcW w:w="7120" w:type="dxa"/>
            <w:vAlign w:val="bottom"/>
            <w:shd w:val="clear" w:color="auto" w:fill="B7DEE8"/>
          </w:tcPr>
          <w:p>
            <w:pPr>
              <w:ind w:left="28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60" w:type="dxa"/>
            <w:vAlign w:val="bottom"/>
            <w:shd w:val="clear" w:color="auto" w:fill="B7DEE8"/>
          </w:tcPr>
          <w:p>
            <w:pPr>
              <w:spacing w:after="0"/>
              <w:rPr>
                <w:sz w:val="19"/>
                <w:szCs w:val="19"/>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b w:val="1"/>
                <w:bCs w:val="1"/>
                <w:color w:val="auto"/>
              </w:rPr>
              <w:t>254,670</w:t>
            </w:r>
          </w:p>
        </w:tc>
        <w:tc>
          <w:tcPr>
            <w:tcW w:w="220" w:type="dxa"/>
            <w:vAlign w:val="bottom"/>
            <w:shd w:val="clear" w:color="auto" w:fill="B7DEE8"/>
          </w:tcPr>
          <w:p>
            <w:pPr>
              <w:spacing w:after="0"/>
              <w:rPr>
                <w:sz w:val="19"/>
                <w:szCs w:val="19"/>
                <w:color w:val="auto"/>
              </w:rPr>
            </w:pPr>
          </w:p>
        </w:tc>
        <w:tc>
          <w:tcPr>
            <w:tcW w:w="200" w:type="dxa"/>
            <w:vAlign w:val="bottom"/>
            <w:shd w:val="clear" w:color="auto" w:fill="B7DEE8"/>
          </w:tcPr>
          <w:p>
            <w:pPr>
              <w:spacing w:after="0"/>
              <w:rPr>
                <w:sz w:val="19"/>
                <w:szCs w:val="19"/>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b w:val="1"/>
                <w:bCs w:val="1"/>
                <w:color w:val="auto"/>
              </w:rPr>
              <w:t>276,886</w:t>
            </w:r>
          </w:p>
        </w:tc>
        <w:tc>
          <w:tcPr>
            <w:tcW w:w="100" w:type="dxa"/>
            <w:vAlign w:val="bottom"/>
            <w:shd w:val="clear" w:color="auto" w:fill="B7DEE8"/>
          </w:tcPr>
          <w:p>
            <w:pPr>
              <w:spacing w:after="0"/>
              <w:rPr>
                <w:sz w:val="19"/>
                <w:szCs w:val="19"/>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00" w:type="dxa"/>
            <w:vAlign w:val="bottom"/>
          </w:tcPr>
          <w:p>
            <w:pPr>
              <w:spacing w:after="0"/>
              <w:rPr>
                <w:sz w:val="19"/>
                <w:szCs w:val="19"/>
                <w:color w:val="auto"/>
              </w:rPr>
            </w:pPr>
          </w:p>
        </w:tc>
      </w:tr>
      <w:tr>
        <w:trPr>
          <w:trHeight w:val="19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Lease right-of-use assets (related-party of $580 and $773 as of September 30, 2024 and December</w:t>
            </w:r>
          </w:p>
        </w:tc>
        <w:tc>
          <w:tcPr>
            <w:tcW w:w="260" w:type="dxa"/>
            <w:vAlign w:val="bottom"/>
            <w:shd w:val="clear" w:color="auto" w:fill="B7DEE8"/>
          </w:tcPr>
          <w:p>
            <w:pPr>
              <w:spacing w:after="0"/>
              <w:rPr>
                <w:sz w:val="17"/>
                <w:szCs w:val="17"/>
                <w:color w:val="auto"/>
              </w:rPr>
            </w:pPr>
          </w:p>
        </w:tc>
        <w:tc>
          <w:tcPr>
            <w:tcW w:w="1380" w:type="dxa"/>
            <w:vAlign w:val="bottom"/>
            <w:shd w:val="clear" w:color="auto" w:fill="B7DEE8"/>
          </w:tcPr>
          <w:p>
            <w:pPr>
              <w:spacing w:after="0"/>
              <w:rPr>
                <w:sz w:val="17"/>
                <w:szCs w:val="17"/>
                <w:color w:val="auto"/>
              </w:rPr>
            </w:pPr>
          </w:p>
        </w:tc>
        <w:tc>
          <w:tcPr>
            <w:tcW w:w="2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3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31, 2023, respectively)</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13,206</w:t>
            </w:r>
          </w:p>
        </w:tc>
        <w:tc>
          <w:tcPr>
            <w:tcW w:w="100" w:type="dxa"/>
            <w:vAlign w:val="bottom"/>
          </w:tcPr>
          <w:p>
            <w:pPr>
              <w:spacing w:after="0"/>
              <w:rPr>
                <w:sz w:val="19"/>
                <w:szCs w:val="19"/>
                <w:color w:val="auto"/>
              </w:rPr>
            </w:pPr>
          </w:p>
        </w:tc>
      </w:tr>
      <w:tr>
        <w:trPr>
          <w:trHeight w:val="233"/>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Debt facility commitment fee, long-term</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w:t>
            </w:r>
          </w:p>
        </w:tc>
        <w:tc>
          <w:tcPr>
            <w:tcW w:w="100" w:type="dxa"/>
            <w:vAlign w:val="bottom"/>
          </w:tcPr>
          <w:p>
            <w:pPr>
              <w:spacing w:after="0"/>
              <w:rPr>
                <w:sz w:val="19"/>
                <w:szCs w:val="19"/>
                <w:color w:val="auto"/>
              </w:rPr>
            </w:pPr>
          </w:p>
        </w:tc>
      </w:tr>
      <w:tr>
        <w:trPr>
          <w:trHeight w:val="232"/>
        </w:trPr>
        <w:tc>
          <w:tcPr>
            <w:tcW w:w="712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Borders>
              <w:bottom w:val="single" w:sz="8" w:color="auto"/>
            </w:tcBorders>
            <w:shd w:val="clear" w:color="auto" w:fill="B7DEE8"/>
          </w:tcPr>
          <w:p>
            <w:pPr>
              <w:spacing w:after="0"/>
              <w:rPr>
                <w:sz w:val="20"/>
                <w:szCs w:val="20"/>
                <w:color w:val="auto"/>
              </w:rPr>
            </w:pPr>
          </w:p>
        </w:tc>
        <w:tc>
          <w:tcPr>
            <w:tcW w:w="13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220" w:type="dxa"/>
            <w:vAlign w:val="bottom"/>
            <w:tcBorders>
              <w:bottom w:val="single" w:sz="8" w:color="B7DEE8"/>
            </w:tcBorders>
            <w:shd w:val="clear" w:color="auto" w:fill="B7DEE8"/>
          </w:tcPr>
          <w:p>
            <w:pPr>
              <w:spacing w:after="0"/>
              <w:rPr>
                <w:sz w:val="20"/>
                <w:szCs w:val="20"/>
                <w:color w:val="auto"/>
              </w:rPr>
            </w:pPr>
          </w:p>
        </w:tc>
        <w:tc>
          <w:tcPr>
            <w:tcW w:w="200" w:type="dxa"/>
            <w:vAlign w:val="bottom"/>
            <w:tcBorders>
              <w:bottom w:val="single" w:sz="8" w:color="auto"/>
            </w:tcBorders>
            <w:shd w:val="clear" w:color="auto" w:fill="B7DEE8"/>
          </w:tcPr>
          <w:p>
            <w:pPr>
              <w:spacing w:after="0"/>
              <w:rPr>
                <w:sz w:val="20"/>
                <w:szCs w:val="20"/>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100" w:type="dxa"/>
            <w:vAlign w:val="bottom"/>
            <w:tcBorders>
              <w:bottom w:val="single" w:sz="8" w:color="B7DEE8"/>
            </w:tcBorders>
            <w:shd w:val="clear" w:color="auto" w:fill="B7DEE8"/>
          </w:tcPr>
          <w:p>
            <w:pPr>
              <w:spacing w:after="0"/>
              <w:rPr>
                <w:sz w:val="20"/>
                <w:szCs w:val="20"/>
                <w:color w:val="auto"/>
              </w:rPr>
            </w:pPr>
          </w:p>
        </w:tc>
      </w:tr>
      <w:tr>
        <w:trPr>
          <w:trHeight w:val="224"/>
        </w:trPr>
        <w:tc>
          <w:tcPr>
            <w:tcW w:w="7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272,242</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294,023</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B7DEE8"/>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shd w:val="clear" w:color="auto" w:fill="B7DEE8"/>
          </w:tcPr>
          <w:p>
            <w:pPr>
              <w:spacing w:after="0"/>
              <w:rPr>
                <w:sz w:val="18"/>
                <w:szCs w:val="18"/>
                <w:color w:val="auto"/>
              </w:rPr>
            </w:pPr>
          </w:p>
        </w:tc>
        <w:tc>
          <w:tcPr>
            <w:tcW w:w="138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20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28"/>
        </w:trPr>
        <w:tc>
          <w:tcPr>
            <w:tcW w:w="7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1"/>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B7DEE8"/>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8,840</w:t>
            </w:r>
          </w:p>
        </w:tc>
        <w:tc>
          <w:tcPr>
            <w:tcW w:w="420" w:type="dxa"/>
            <w:vAlign w:val="bottom"/>
            <w:gridSpan w:val="2"/>
            <w:shd w:val="clear" w:color="auto" w:fill="B7DEE8"/>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5,485</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12,626</w:t>
            </w:r>
          </w:p>
        </w:tc>
        <w:tc>
          <w:tcPr>
            <w:tcW w:w="100" w:type="dxa"/>
            <w:vAlign w:val="bottom"/>
          </w:tcPr>
          <w:p>
            <w:pPr>
              <w:spacing w:after="0"/>
              <w:rPr>
                <w:sz w:val="19"/>
                <w:szCs w:val="19"/>
                <w:color w:val="auto"/>
              </w:rPr>
            </w:pPr>
          </w:p>
        </w:tc>
      </w:tr>
      <w:tr>
        <w:trPr>
          <w:trHeight w:val="19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Lease liabilities, short-term (related-party of $337 and $298 as of September 30, 2024 and</w:t>
            </w:r>
          </w:p>
        </w:tc>
        <w:tc>
          <w:tcPr>
            <w:tcW w:w="260" w:type="dxa"/>
            <w:vAlign w:val="bottom"/>
            <w:shd w:val="clear" w:color="auto" w:fill="B7DEE8"/>
          </w:tcPr>
          <w:p>
            <w:pPr>
              <w:spacing w:after="0"/>
              <w:rPr>
                <w:sz w:val="17"/>
                <w:szCs w:val="17"/>
                <w:color w:val="auto"/>
              </w:rPr>
            </w:pPr>
          </w:p>
        </w:tc>
        <w:tc>
          <w:tcPr>
            <w:tcW w:w="1380" w:type="dxa"/>
            <w:vAlign w:val="bottom"/>
            <w:shd w:val="clear" w:color="auto" w:fill="B7DEE8"/>
          </w:tcPr>
          <w:p>
            <w:pPr>
              <w:spacing w:after="0"/>
              <w:rPr>
                <w:sz w:val="17"/>
                <w:szCs w:val="17"/>
                <w:color w:val="auto"/>
              </w:rPr>
            </w:pPr>
          </w:p>
        </w:tc>
        <w:tc>
          <w:tcPr>
            <w:tcW w:w="2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3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Legal settlement accrual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3,330</w:t>
            </w:r>
          </w:p>
        </w:tc>
        <w:tc>
          <w:tcPr>
            <w:tcW w:w="100" w:type="dxa"/>
            <w:vAlign w:val="bottom"/>
          </w:tcPr>
          <w:p>
            <w:pPr>
              <w:spacing w:after="0"/>
              <w:rPr>
                <w:sz w:val="19"/>
                <w:szCs w:val="19"/>
                <w:color w:val="auto"/>
              </w:rPr>
            </w:pPr>
          </w:p>
        </w:tc>
      </w:tr>
      <w:tr>
        <w:trPr>
          <w:trHeight w:val="232"/>
        </w:trPr>
        <w:tc>
          <w:tcPr>
            <w:tcW w:w="712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shd w:val="clear" w:color="auto" w:fill="B7DEE8"/>
          </w:tcPr>
          <w:p>
            <w:pPr>
              <w:spacing w:after="0"/>
              <w:rPr>
                <w:sz w:val="20"/>
                <w:szCs w:val="20"/>
                <w:color w:val="auto"/>
              </w:rPr>
            </w:pPr>
          </w:p>
        </w:tc>
        <w:tc>
          <w:tcPr>
            <w:tcW w:w="13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3,956</w:t>
            </w:r>
          </w:p>
        </w:tc>
        <w:tc>
          <w:tcPr>
            <w:tcW w:w="220" w:type="dxa"/>
            <w:vAlign w:val="bottom"/>
            <w:tcBorders>
              <w:bottom w:val="single" w:sz="8" w:color="B7DEE8"/>
            </w:tcBorders>
            <w:shd w:val="clear" w:color="auto" w:fill="B7DEE8"/>
          </w:tcPr>
          <w:p>
            <w:pPr>
              <w:spacing w:after="0"/>
              <w:rPr>
                <w:sz w:val="20"/>
                <w:szCs w:val="20"/>
                <w:color w:val="auto"/>
              </w:rPr>
            </w:pPr>
          </w:p>
        </w:tc>
        <w:tc>
          <w:tcPr>
            <w:tcW w:w="200" w:type="dxa"/>
            <w:vAlign w:val="bottom"/>
            <w:tcBorders>
              <w:bottom w:val="single" w:sz="8" w:color="auto"/>
            </w:tcBorders>
            <w:shd w:val="clear" w:color="auto" w:fill="B7DEE8"/>
          </w:tcPr>
          <w:p>
            <w:pPr>
              <w:spacing w:after="0"/>
              <w:rPr>
                <w:sz w:val="20"/>
                <w:szCs w:val="20"/>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3,865</w:t>
            </w:r>
          </w:p>
        </w:tc>
        <w:tc>
          <w:tcPr>
            <w:tcW w:w="100" w:type="dxa"/>
            <w:vAlign w:val="bottom"/>
            <w:tcBorders>
              <w:bottom w:val="single" w:sz="8" w:color="B7DEE8"/>
            </w:tcBorders>
            <w:shd w:val="clear" w:color="auto" w:fill="B7DEE8"/>
          </w:tcPr>
          <w:p>
            <w:pPr>
              <w:spacing w:after="0"/>
              <w:rPr>
                <w:sz w:val="20"/>
                <w:szCs w:val="20"/>
                <w:color w:val="auto"/>
              </w:rPr>
            </w:pPr>
          </w:p>
        </w:tc>
      </w:tr>
      <w:tr>
        <w:trPr>
          <w:trHeight w:val="222"/>
        </w:trPr>
        <w:tc>
          <w:tcPr>
            <w:tcW w:w="7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37,416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25,604</w:t>
            </w:r>
          </w:p>
        </w:tc>
        <w:tc>
          <w:tcPr>
            <w:tcW w:w="100" w:type="dxa"/>
            <w:vAlign w:val="bottom"/>
          </w:tcPr>
          <w:p>
            <w:pPr>
              <w:spacing w:after="0"/>
              <w:rPr>
                <w:sz w:val="19"/>
                <w:szCs w:val="19"/>
                <w:color w:val="auto"/>
              </w:rPr>
            </w:pPr>
          </w:p>
        </w:tc>
      </w:tr>
      <w:tr>
        <w:trPr>
          <w:trHeight w:val="196"/>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Lease liabilities, long-term (related-party of $295 and $543 as of September 30, 2024 and</w:t>
            </w:r>
          </w:p>
        </w:tc>
        <w:tc>
          <w:tcPr>
            <w:tcW w:w="260" w:type="dxa"/>
            <w:vAlign w:val="bottom"/>
            <w:shd w:val="clear" w:color="auto" w:fill="B7DEE8"/>
          </w:tcPr>
          <w:p>
            <w:pPr>
              <w:spacing w:after="0"/>
              <w:rPr>
                <w:sz w:val="17"/>
                <w:szCs w:val="17"/>
                <w:color w:val="auto"/>
              </w:rPr>
            </w:pPr>
          </w:p>
        </w:tc>
        <w:tc>
          <w:tcPr>
            <w:tcW w:w="1380" w:type="dxa"/>
            <w:vAlign w:val="bottom"/>
            <w:shd w:val="clear" w:color="auto" w:fill="B7DEE8"/>
          </w:tcPr>
          <w:p>
            <w:pPr>
              <w:spacing w:after="0"/>
              <w:rPr>
                <w:sz w:val="17"/>
                <w:szCs w:val="17"/>
                <w:color w:val="auto"/>
              </w:rPr>
            </w:pPr>
          </w:p>
        </w:tc>
        <w:tc>
          <w:tcPr>
            <w:tcW w:w="220" w:type="dxa"/>
            <w:vAlign w:val="bottom"/>
            <w:shd w:val="clear" w:color="auto" w:fill="B7DEE8"/>
          </w:tcPr>
          <w:p>
            <w:pPr>
              <w:spacing w:after="0"/>
              <w:rPr>
                <w:sz w:val="17"/>
                <w:szCs w:val="17"/>
                <w:color w:val="auto"/>
              </w:rPr>
            </w:pPr>
          </w:p>
        </w:tc>
        <w:tc>
          <w:tcPr>
            <w:tcW w:w="200" w:type="dxa"/>
            <w:vAlign w:val="bottom"/>
            <w:shd w:val="clear" w:color="auto" w:fill="B7DEE8"/>
          </w:tcPr>
          <w:p>
            <w:pPr>
              <w:spacing w:after="0"/>
              <w:rPr>
                <w:sz w:val="17"/>
                <w:szCs w:val="17"/>
                <w:color w:val="auto"/>
              </w:rPr>
            </w:pPr>
          </w:p>
        </w:tc>
        <w:tc>
          <w:tcPr>
            <w:tcW w:w="820" w:type="dxa"/>
            <w:vAlign w:val="bottom"/>
            <w:shd w:val="clear" w:color="auto" w:fill="B7DEE8"/>
          </w:tcPr>
          <w:p>
            <w:pPr>
              <w:spacing w:after="0"/>
              <w:rPr>
                <w:sz w:val="17"/>
                <w:szCs w:val="17"/>
                <w:color w:val="auto"/>
              </w:rPr>
            </w:pPr>
          </w:p>
        </w:tc>
        <w:tc>
          <w:tcPr>
            <w:tcW w:w="100" w:type="dxa"/>
            <w:vAlign w:val="bottom"/>
            <w:shd w:val="clear" w:color="auto" w:fill="B7DEE8"/>
          </w:tcPr>
          <w:p>
            <w:pPr>
              <w:spacing w:after="0"/>
              <w:rPr>
                <w:sz w:val="17"/>
                <w:szCs w:val="17"/>
                <w:color w:val="auto"/>
              </w:rPr>
            </w:pPr>
          </w:p>
        </w:tc>
      </w:tr>
      <w:tr>
        <w:trPr>
          <w:trHeight w:val="238"/>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Debt facility, long-term</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tcPr>
          <w:p>
            <w:pPr>
              <w:spacing w:after="0"/>
              <w:rPr>
                <w:sz w:val="19"/>
                <w:szCs w:val="19"/>
                <w:color w:val="auto"/>
              </w:rPr>
            </w:pPr>
          </w:p>
        </w:tc>
      </w:tr>
      <w:tr>
        <w:trPr>
          <w:trHeight w:val="233"/>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Convertible debt, long-term</w:t>
            </w:r>
          </w:p>
        </w:tc>
        <w:tc>
          <w:tcPr>
            <w:tcW w:w="260" w:type="dxa"/>
            <w:vAlign w:val="bottom"/>
            <w:shd w:val="clear" w:color="auto" w:fill="B7DEE8"/>
          </w:tcPr>
          <w:p>
            <w:pPr>
              <w:spacing w:after="0"/>
              <w:rPr>
                <w:sz w:val="20"/>
                <w:szCs w:val="20"/>
                <w:color w:val="auto"/>
              </w:rPr>
            </w:pPr>
          </w:p>
        </w:tc>
        <w:tc>
          <w:tcPr>
            <w:tcW w:w="13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105,451</w:t>
            </w:r>
          </w:p>
        </w:tc>
        <w:tc>
          <w:tcPr>
            <w:tcW w:w="100" w:type="dxa"/>
            <w:vAlign w:val="bottom"/>
            <w:shd w:val="clear" w:color="auto" w:fill="B7DEE8"/>
          </w:tcPr>
          <w:p>
            <w:pPr>
              <w:spacing w:after="0"/>
              <w:rPr>
                <w:sz w:val="20"/>
                <w:szCs w:val="20"/>
                <w:color w:val="auto"/>
              </w:rPr>
            </w:pPr>
          </w:p>
        </w:tc>
      </w:tr>
      <w:tr>
        <w:trPr>
          <w:trHeight w:val="226"/>
        </w:trPr>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Warrant and earnout liabilities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r>
      <w:tr>
        <w:trPr>
          <w:trHeight w:val="232"/>
        </w:trPr>
        <w:tc>
          <w:tcPr>
            <w:tcW w:w="712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shd w:val="clear" w:color="auto" w:fill="B7DEE8"/>
          </w:tcPr>
          <w:p>
            <w:pPr>
              <w:spacing w:after="0"/>
              <w:rPr>
                <w:sz w:val="20"/>
                <w:szCs w:val="20"/>
                <w:color w:val="auto"/>
              </w:rPr>
            </w:pPr>
          </w:p>
        </w:tc>
        <w:tc>
          <w:tcPr>
            <w:tcW w:w="13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2,958</w:t>
            </w:r>
          </w:p>
        </w:tc>
        <w:tc>
          <w:tcPr>
            <w:tcW w:w="220" w:type="dxa"/>
            <w:vAlign w:val="bottom"/>
            <w:tcBorders>
              <w:bottom w:val="single" w:sz="8" w:color="B7DEE8"/>
            </w:tcBorders>
            <w:shd w:val="clear" w:color="auto" w:fill="B7DEE8"/>
          </w:tcPr>
          <w:p>
            <w:pPr>
              <w:spacing w:after="0"/>
              <w:rPr>
                <w:sz w:val="20"/>
                <w:szCs w:val="20"/>
                <w:color w:val="auto"/>
              </w:rPr>
            </w:pPr>
          </w:p>
        </w:tc>
        <w:tc>
          <w:tcPr>
            <w:tcW w:w="200" w:type="dxa"/>
            <w:vAlign w:val="bottom"/>
            <w:tcBorders>
              <w:bottom w:val="single" w:sz="8" w:color="auto"/>
            </w:tcBorders>
            <w:shd w:val="clear" w:color="auto" w:fill="B7DEE8"/>
          </w:tcPr>
          <w:p>
            <w:pPr>
              <w:spacing w:after="0"/>
              <w:rPr>
                <w:sz w:val="20"/>
                <w:szCs w:val="20"/>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Borders>
              <w:bottom w:val="single" w:sz="8" w:color="B7DEE8"/>
            </w:tcBorders>
            <w:shd w:val="clear" w:color="auto" w:fill="B7DEE8"/>
          </w:tcPr>
          <w:p>
            <w:pPr>
              <w:spacing w:after="0"/>
              <w:rPr>
                <w:sz w:val="20"/>
                <w:szCs w:val="20"/>
                <w:color w:val="auto"/>
              </w:rPr>
            </w:pPr>
          </w:p>
        </w:tc>
      </w:tr>
      <w:tr>
        <w:trPr>
          <w:trHeight w:val="224"/>
        </w:trPr>
        <w:tc>
          <w:tcPr>
            <w:tcW w:w="7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116,427</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206,960</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260" w:type="dxa"/>
            <w:vAlign w:val="bottom"/>
            <w:shd w:val="clear" w:color="auto" w:fill="B7DEE8"/>
          </w:tcPr>
          <w:p>
            <w:pPr>
              <w:spacing w:after="0"/>
              <w:rPr>
                <w:sz w:val="18"/>
                <w:szCs w:val="18"/>
                <w:color w:val="auto"/>
              </w:rPr>
            </w:pPr>
          </w:p>
        </w:tc>
        <w:tc>
          <w:tcPr>
            <w:tcW w:w="1380" w:type="dxa"/>
            <w:vAlign w:val="bottom"/>
            <w:shd w:val="clear" w:color="auto" w:fill="B7DEE8"/>
          </w:tcPr>
          <w:p>
            <w:pPr>
              <w:spacing w:after="0"/>
              <w:rPr>
                <w:sz w:val="18"/>
                <w:szCs w:val="18"/>
                <w:color w:val="auto"/>
              </w:rPr>
            </w:pPr>
          </w:p>
        </w:tc>
        <w:tc>
          <w:tcPr>
            <w:tcW w:w="220" w:type="dxa"/>
            <w:vAlign w:val="bottom"/>
            <w:shd w:val="clear" w:color="auto" w:fill="B7DEE8"/>
          </w:tcPr>
          <w:p>
            <w:pPr>
              <w:spacing w:after="0"/>
              <w:rPr>
                <w:sz w:val="18"/>
                <w:szCs w:val="18"/>
                <w:color w:val="auto"/>
              </w:rPr>
            </w:pPr>
          </w:p>
        </w:tc>
        <w:tc>
          <w:tcPr>
            <w:tcW w:w="20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-2665095</wp:posOffset>
            </wp:positionV>
            <wp:extent cx="603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-2665095</wp:posOffset>
            </wp:positionV>
            <wp:extent cx="603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-1336675</wp:posOffset>
            </wp:positionV>
            <wp:extent cx="603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-1336675</wp:posOffset>
            </wp:positionV>
            <wp:extent cx="60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-325120</wp:posOffset>
            </wp:positionV>
            <wp:extent cx="603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-325120</wp:posOffset>
            </wp:positionV>
            <wp:extent cx="603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Stockholders’ equity:</w:t>
      </w:r>
    </w:p>
    <w:p>
      <w:pPr>
        <w:spacing w:after="0" w:line="26" w:lineRule="exact"/>
        <w:rPr>
          <w:sz w:val="20"/>
          <w:szCs w:val="20"/>
          <w:color w:val="auto"/>
        </w:rPr>
      </w:pPr>
    </w:p>
    <w:p>
      <w:pPr>
        <w:ind w:left="680" w:right="820"/>
        <w:spacing w:after="0" w:line="265" w:lineRule="auto"/>
        <w:rPr>
          <w:sz w:val="20"/>
          <w:szCs w:val="20"/>
          <w:color w:val="auto"/>
        </w:rPr>
      </w:pPr>
      <w:r>
        <w:rPr>
          <w:rFonts w:ascii="Times New Roman" w:cs="Times New Roman" w:eastAsia="Times New Roman" w:hAnsi="Times New Roman"/>
          <w:sz w:val="17"/>
          <w:szCs w:val="17"/>
          <w:color w:val="auto"/>
        </w:rPr>
        <w:t>Preferred stock, par value per share $0.0001, 10,000,000 shares authorized; 0 shares issued and outstanding at September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-267970</wp:posOffset>
            </wp:positionV>
            <wp:extent cx="641223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274320"/>
                    </a:xfrm>
                    <a:prstGeom prst="rect">
                      <a:avLst/>
                    </a:prstGeom>
                    <a:noFill/>
                  </pic:spPr>
                </pic:pic>
              </a:graphicData>
            </a:graphic>
          </wp:anchor>
        </w:drawing>
      </w:r>
    </w:p>
    <w:p>
      <w:pPr>
        <w:ind w:left="680" w:right="620"/>
        <w:spacing w:after="0" w:line="262" w:lineRule="auto"/>
        <w:rPr>
          <w:sz w:val="20"/>
          <w:szCs w:val="20"/>
          <w:color w:val="auto"/>
        </w:rPr>
      </w:pPr>
      <w:r>
        <w:rPr>
          <w:rFonts w:ascii="Times New Roman" w:cs="Times New Roman" w:eastAsia="Times New Roman" w:hAnsi="Times New Roman"/>
          <w:sz w:val="17"/>
          <w:szCs w:val="17"/>
          <w:color w:val="auto"/>
        </w:rPr>
        <w:t>Class A common stock, par value per share $0.0001, 500,000,000 shares authorized; 11,242,338 and 10,683,736 shares issued at September 30, 2024 and December 31, 2023, respectively; 11,192,775 and 10,634,173 shares outstanding at September 30, 2024 and December 31, 2023.</w:t>
      </w:r>
    </w:p>
    <w:p>
      <w:pPr>
        <w:spacing w:after="0" w:line="197" w:lineRule="exact"/>
        <w:rPr>
          <w:sz w:val="20"/>
          <w:szCs w:val="20"/>
          <w:color w:val="auto"/>
        </w:rPr>
      </w:pPr>
    </w:p>
    <w:p>
      <w:pPr>
        <w:ind w:left="680" w:right="1280"/>
        <w:spacing w:after="0" w:line="259" w:lineRule="auto"/>
        <w:rPr>
          <w:sz w:val="20"/>
          <w:szCs w:val="20"/>
          <w:color w:val="auto"/>
        </w:rPr>
      </w:pPr>
      <w:r>
        <w:rPr>
          <w:rFonts w:ascii="Times New Roman" w:cs="Times New Roman" w:eastAsia="Times New Roman" w:hAnsi="Times New Roman"/>
          <w:sz w:val="17"/>
          <w:szCs w:val="17"/>
          <w:color w:val="auto"/>
        </w:rPr>
        <w:t>Class V common stock, par value per share $0.0001, 100,000,000 shares authorized; 1,514,082 shares issued and outstanding at September 30, 2024 and December 31,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-396240</wp:posOffset>
            </wp:positionV>
            <wp:extent cx="641223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40259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Accumulated other comprehensive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-118110</wp:posOffset>
            </wp:positionV>
            <wp:extent cx="641223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26"/>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945"/>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634"/>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9"/>
        </w:trPr>
        <w:tc>
          <w:tcPr>
            <w:tcW w:w="9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7"/>
              </w:rPr>
              <w:t>324,821</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296,733</w:t>
            </w:r>
          </w:p>
        </w:tc>
      </w:tr>
    </w:tbl>
    <w:p>
      <w:pPr>
        <w:spacing w:after="0" w:line="7" w:lineRule="exact"/>
        <w:rPr>
          <w:sz w:val="20"/>
          <w:szCs w:val="20"/>
          <w:color w:val="auto"/>
        </w:rPr>
      </w:pPr>
    </w:p>
    <w:p>
      <w:pPr>
        <w:ind w:left="1580" w:hanging="1220"/>
        <w:spacing w:after="0"/>
        <w:tabs>
          <w:tab w:leader="none" w:pos="1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649</w:t>
      </w:r>
    </w:p>
    <w:p>
      <w:pPr>
        <w:spacing w:after="0" w:line="3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(169,253 )</w:t>
      </w:r>
      <w:r>
        <w:rPr>
          <w:rFonts w:ascii="Times New Roman" w:cs="Times New Roman" w:eastAsia="Times New Roman" w:hAnsi="Times New Roman"/>
          <w:sz w:val="16"/>
          <w:szCs w:val="16"/>
          <w:color w:val="auto"/>
        </w:rPr>
        <w:t>(210,320 )</w:t>
      </w:r>
    </w:p>
    <w:p>
      <w:pPr>
        <w:spacing w:after="0" w:line="40" w:lineRule="exact"/>
        <w:rPr>
          <w:sz w:val="20"/>
          <w:szCs w:val="20"/>
          <w:color w:val="auto"/>
        </w:rPr>
      </w:pPr>
    </w:p>
    <w:p>
      <w:pPr>
        <w:sectPr>
          <w:pgSz w:w="11900" w:h="16838" w:orient="portrait"/>
          <w:cols w:equalWidth="0" w:num="2">
            <w:col w:w="8000" w:space="720"/>
            <w:col w:w="1960"/>
          </w:cols>
          <w:pgMar w:left="320" w:top="981" w:right="899" w:bottom="1440" w:gutter="0" w:footer="0" w:header="0"/>
          <w:type w:val="continuous"/>
        </w:sectPr>
      </w:pPr>
    </w:p>
    <w:tbl>
      <w:tblPr>
        <w:tblLayout w:type="fixed"/>
        <w:tblInd w:w="580" w:type="dxa"/>
        <w:tblCellMar>
          <w:top w:w="0" w:type="dxa"/>
          <w:left w:w="0" w:type="dxa"/>
          <w:bottom w:w="0" w:type="dxa"/>
          <w:right w:w="0" w:type="dxa"/>
        </w:tblCellMar>
      </w:tblPr>
      <w:tr>
        <w:trPr>
          <w:trHeight w:val="265"/>
        </w:trPr>
        <w:tc>
          <w:tcPr>
            <w:tcW w:w="7120" w:type="dxa"/>
            <w:vAlign w:val="bottom"/>
            <w:tcBorders>
              <w:bottom w:val="single" w:sz="8" w:color="B7DEE8"/>
            </w:tcBorders>
            <w:shd w:val="clear" w:color="auto" w:fill="B7DEE8"/>
          </w:tcPr>
          <w:p>
            <w:pPr>
              <w:ind w:left="28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600" w:type="dxa"/>
            <w:vAlign w:val="bottom"/>
            <w:tcBorders>
              <w:top w:val="single" w:sz="8" w:color="auto"/>
              <w:bottom w:val="single" w:sz="8" w:color="auto"/>
            </w:tcBorders>
            <w:shd w:val="clear" w:color="auto" w:fill="B7DEE8"/>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b w:val="1"/>
                <w:bCs w:val="1"/>
                <w:color w:val="auto"/>
              </w:rPr>
              <w:t>155,815</w:t>
            </w:r>
          </w:p>
        </w:tc>
        <w:tc>
          <w:tcPr>
            <w:tcW w:w="220" w:type="dxa"/>
            <w:vAlign w:val="bottom"/>
            <w:tcBorders>
              <w:bottom w:val="single" w:sz="8" w:color="B7DEE8"/>
            </w:tcBorders>
            <w:shd w:val="clear" w:color="auto" w:fill="B7DEE8"/>
          </w:tcPr>
          <w:p>
            <w:pPr>
              <w:spacing w:after="0"/>
              <w:rPr>
                <w:sz w:val="23"/>
                <w:szCs w:val="23"/>
                <w:color w:val="auto"/>
              </w:rPr>
            </w:pPr>
          </w:p>
        </w:tc>
        <w:tc>
          <w:tcPr>
            <w:tcW w:w="280" w:type="dxa"/>
            <w:vAlign w:val="bottom"/>
            <w:tcBorders>
              <w:top w:val="single" w:sz="8" w:color="auto"/>
              <w:bottom w:val="single" w:sz="8" w:color="auto"/>
            </w:tcBorders>
            <w:shd w:val="clear" w:color="auto" w:fill="B7DEE8"/>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4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7"/>
                <w:szCs w:val="17"/>
                <w:b w:val="1"/>
                <w:bCs w:val="1"/>
                <w:color w:val="auto"/>
              </w:rPr>
              <w:t>87,063</w:t>
            </w:r>
          </w:p>
        </w:tc>
        <w:tc>
          <w:tcPr>
            <w:tcW w:w="100" w:type="dxa"/>
            <w:vAlign w:val="bottom"/>
            <w:tcBorders>
              <w:bottom w:val="single" w:sz="8" w:color="B7DEE8"/>
            </w:tcBorders>
            <w:shd w:val="clear" w:color="auto" w:fill="B7DEE8"/>
          </w:tcPr>
          <w:p>
            <w:pPr>
              <w:spacing w:after="0"/>
              <w:rPr>
                <w:sz w:val="23"/>
                <w:szCs w:val="23"/>
                <w:color w:val="auto"/>
              </w:rPr>
            </w:pPr>
          </w:p>
        </w:tc>
      </w:tr>
      <w:tr>
        <w:trPr>
          <w:trHeight w:val="210"/>
        </w:trPr>
        <w:tc>
          <w:tcPr>
            <w:tcW w:w="7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6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272,242</w:t>
            </w:r>
          </w:p>
        </w:tc>
        <w:tc>
          <w:tcPr>
            <w:tcW w:w="50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294,023</w:t>
            </w:r>
          </w:p>
        </w:tc>
        <w:tc>
          <w:tcPr>
            <w:tcW w:w="10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-196215</wp:posOffset>
            </wp:positionV>
            <wp:extent cx="60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-179705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-196215</wp:posOffset>
            </wp:positionV>
            <wp:extent cx="60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jc w:val="center"/>
        <w:ind w:right="-55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66"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type w:val="continuous"/>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September 30,</w:t>
            </w:r>
          </w:p>
        </w:tc>
        <w:tc>
          <w:tcPr>
            <w:tcW w:w="200" w:type="dxa"/>
            <w:vAlign w:val="bottom"/>
          </w:tcPr>
          <w:p>
            <w:pPr>
              <w:spacing w:after="0"/>
              <w:rPr>
                <w:sz w:val="18"/>
                <w:szCs w:val="18"/>
                <w:color w:val="auto"/>
              </w:rPr>
            </w:pPr>
          </w:p>
        </w:tc>
        <w:tc>
          <w:tcPr>
            <w:tcW w:w="21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30"/>
        </w:trPr>
        <w:tc>
          <w:tcPr>
            <w:tcW w:w="6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6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0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B6DEE8"/>
          </w:tcPr>
          <w:p>
            <w:pPr>
              <w:spacing w:after="0"/>
              <w:rPr>
                <w:sz w:val="21"/>
                <w:szCs w:val="21"/>
                <w:color w:val="auto"/>
              </w:rPr>
            </w:pPr>
          </w:p>
        </w:tc>
        <w:tc>
          <w:tcPr>
            <w:tcW w:w="142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760" w:type="dxa"/>
            <w:vAlign w:val="bottom"/>
            <w:shd w:val="clear" w:color="auto" w:fill="B6DEE8"/>
          </w:tcPr>
          <w:p>
            <w:pPr>
              <w:spacing w:after="0"/>
              <w:rPr>
                <w:sz w:val="21"/>
                <w:szCs w:val="21"/>
                <w:color w:val="auto"/>
              </w:rPr>
            </w:pPr>
          </w:p>
        </w:tc>
        <w:tc>
          <w:tcPr>
            <w:tcW w:w="126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9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200" w:type="dxa"/>
            <w:vAlign w:val="bottom"/>
            <w:shd w:val="clear" w:color="auto" w:fill="B6DEE8"/>
          </w:tcPr>
          <w:p>
            <w:pPr>
              <w:spacing w:after="0"/>
              <w:rPr>
                <w:sz w:val="21"/>
                <w:szCs w:val="21"/>
                <w:color w:val="auto"/>
              </w:rPr>
            </w:pPr>
          </w:p>
        </w:tc>
        <w:tc>
          <w:tcPr>
            <w:tcW w:w="760" w:type="dxa"/>
            <w:vAlign w:val="bottom"/>
            <w:shd w:val="clear" w:color="auto" w:fill="B6DEE8"/>
          </w:tcPr>
          <w:p>
            <w:pPr>
              <w:spacing w:after="0"/>
              <w:rPr>
                <w:sz w:val="21"/>
                <w:szCs w:val="21"/>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ExtraCash receivables, net of allowance for credit losses</w:t>
            </w: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127,360</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8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current</w:t>
            </w:r>
          </w:p>
        </w:tc>
        <w:tc>
          <w:tcPr>
            <w:tcW w:w="28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shd w:val="clear" w:color="auto" w:fill="B6DEE8"/>
          </w:tcPr>
          <w:p>
            <w:pPr>
              <w:spacing w:after="0"/>
              <w:rPr>
                <w:sz w:val="21"/>
                <w:szCs w:val="21"/>
                <w:color w:val="auto"/>
              </w:rPr>
            </w:pPr>
          </w:p>
        </w:tc>
        <w:tc>
          <w:tcPr>
            <w:tcW w:w="760" w:type="dxa"/>
            <w:vAlign w:val="bottom"/>
            <w:shd w:val="clear" w:color="auto" w:fill="B6DEE8"/>
          </w:tcPr>
          <w:p>
            <w:pPr>
              <w:spacing w:after="0"/>
              <w:rPr>
                <w:sz w:val="21"/>
                <w:szCs w:val="21"/>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facility commitment fee, long-term</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80" w:type="dxa"/>
            <w:vAlign w:val="bottom"/>
            <w:shd w:val="clear" w:color="auto" w:fill="B6DEE8"/>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B6DEE8"/>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177,083</w:t>
            </w:r>
          </w:p>
        </w:tc>
        <w:tc>
          <w:tcPr>
            <w:tcW w:w="960" w:type="dxa"/>
            <w:vAlign w:val="bottom"/>
            <w:gridSpan w:val="2"/>
            <w:shd w:val="clear" w:color="auto" w:fill="B6DEE8"/>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155,217</w:t>
            </w:r>
          </w:p>
        </w:tc>
        <w:tc>
          <w:tcPr>
            <w:tcW w:w="100" w:type="dxa"/>
            <w:vAlign w:val="bottom"/>
            <w:shd w:val="clear" w:color="auto" w:fill="B6DEE8"/>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6080" w:type="dxa"/>
            <w:vAlign w:val="bottom"/>
            <w:tcBorders>
              <w:top w:val="single" w:sz="8" w:color="B6DEE8"/>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Borders>
              <w:top w:val="single" w:sz="8" w:color="B6DEE8"/>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B6DEE8"/>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080" w:type="dxa"/>
            <w:vAlign w:val="bottom"/>
            <w:shd w:val="clear" w:color="auto" w:fill="B6DEE8"/>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B6DEE8"/>
          </w:tcPr>
          <w:p>
            <w:pPr>
              <w:spacing w:after="0"/>
              <w:rPr>
                <w:sz w:val="21"/>
                <w:szCs w:val="21"/>
                <w:color w:val="auto"/>
              </w:rPr>
            </w:pPr>
          </w:p>
        </w:tc>
        <w:tc>
          <w:tcPr>
            <w:tcW w:w="14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shd w:val="clear" w:color="auto" w:fill="B6DEE8"/>
          </w:tcPr>
          <w:p>
            <w:pPr>
              <w:spacing w:after="0"/>
              <w:rPr>
                <w:sz w:val="21"/>
                <w:szCs w:val="21"/>
                <w:color w:val="auto"/>
              </w:rPr>
            </w:pPr>
          </w:p>
        </w:tc>
        <w:tc>
          <w:tcPr>
            <w:tcW w:w="760" w:type="dxa"/>
            <w:vAlign w:val="bottom"/>
            <w:shd w:val="clear" w:color="auto" w:fill="B6DEE8"/>
          </w:tcPr>
          <w:p>
            <w:pPr>
              <w:spacing w:after="0"/>
              <w:rPr>
                <w:sz w:val="21"/>
                <w:szCs w:val="21"/>
                <w:color w:val="auto"/>
              </w:rPr>
            </w:pP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Long-term debt facility</w:t>
            </w: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0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80" w:type="dxa"/>
            <w:vAlign w:val="bottom"/>
            <w:tcBorders>
              <w:bottom w:val="single" w:sz="8" w:color="B6DEE8"/>
            </w:tcBorders>
            <w:shd w:val="clear" w:color="auto" w:fill="B6DEE8"/>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B6DEE8"/>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75,617</w:t>
            </w:r>
          </w:p>
        </w:tc>
        <w:tc>
          <w:tcPr>
            <w:tcW w:w="200" w:type="dxa"/>
            <w:vAlign w:val="bottom"/>
            <w:tcBorders>
              <w:bottom w:val="single" w:sz="8" w:color="B6DEE8"/>
            </w:tcBorders>
            <w:shd w:val="clear" w:color="auto" w:fill="B6DEE8"/>
          </w:tcPr>
          <w:p>
            <w:pPr>
              <w:spacing w:after="0"/>
              <w:rPr>
                <w:sz w:val="24"/>
                <w:szCs w:val="24"/>
                <w:color w:val="auto"/>
              </w:rPr>
            </w:pPr>
          </w:p>
        </w:tc>
        <w:tc>
          <w:tcPr>
            <w:tcW w:w="760" w:type="dxa"/>
            <w:vAlign w:val="bottom"/>
            <w:tcBorders>
              <w:bottom w:val="single" w:sz="8" w:color="auto"/>
            </w:tcBorders>
            <w:shd w:val="clear" w:color="auto" w:fill="B6DEE8"/>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75,661</w:t>
            </w:r>
          </w:p>
        </w:tc>
        <w:tc>
          <w:tcPr>
            <w:tcW w:w="100" w:type="dxa"/>
            <w:vAlign w:val="bottom"/>
            <w:tcBorders>
              <w:bottom w:val="single" w:sz="8" w:color="B6DEE8"/>
            </w:tcBorders>
            <w:shd w:val="clear" w:color="auto" w:fill="B6DE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-676275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-659130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-676275</wp:posOffset>
            </wp:positionV>
            <wp:extent cx="603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6" w:name="page7"/>
    <w:bookmarkEnd w:id="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2720" w:type="dxa"/>
            <w:vAlign w:val="bottom"/>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21"/>
                <w:szCs w:val="21"/>
                <w:color w:val="auto"/>
              </w:rPr>
            </w:pPr>
          </w:p>
        </w:tc>
        <w:tc>
          <w:tcPr>
            <w:tcW w:w="250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00" w:type="dxa"/>
            <w:vAlign w:val="bottom"/>
          </w:tcPr>
          <w:p>
            <w:pPr>
              <w:spacing w:after="0"/>
              <w:rPr>
                <w:sz w:val="18"/>
                <w:szCs w:val="18"/>
                <w:color w:val="auto"/>
              </w:rPr>
            </w:pPr>
          </w:p>
        </w:tc>
        <w:tc>
          <w:tcPr>
            <w:tcW w:w="150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shd w:val="clear" w:color="auto" w:fill="B7DEE8"/>
          </w:tcPr>
          <w:p>
            <w:pPr>
              <w:spacing w:after="0"/>
              <w:rPr>
                <w:sz w:val="21"/>
                <w:szCs w:val="21"/>
                <w:color w:val="auto"/>
              </w:rPr>
            </w:pPr>
          </w:p>
        </w:tc>
        <w:tc>
          <w:tcPr>
            <w:tcW w:w="10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8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300" w:type="dxa"/>
            <w:vAlign w:val="bottom"/>
            <w:shd w:val="clear" w:color="auto" w:fill="B7DEE8"/>
          </w:tcPr>
          <w:p>
            <w:pPr>
              <w:spacing w:after="0"/>
              <w:rPr>
                <w:sz w:val="21"/>
                <w:szCs w:val="21"/>
                <w:color w:val="auto"/>
              </w:rPr>
            </w:pPr>
          </w:p>
        </w:tc>
        <w:tc>
          <w:tcPr>
            <w:tcW w:w="10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94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based revenue, net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59,179</w:t>
            </w:r>
          </w:p>
        </w:tc>
        <w:tc>
          <w:tcPr>
            <w:tcW w:w="100" w:type="dxa"/>
            <w:vAlign w:val="bottom"/>
          </w:tcPr>
          <w:p>
            <w:pPr>
              <w:spacing w:after="0"/>
              <w:rPr>
                <w:sz w:val="20"/>
                <w:szCs w:val="20"/>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tcBorders>
              <w:bottom w:val="single" w:sz="8" w:color="B7DEE8"/>
            </w:tcBorders>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360" w:type="dxa"/>
            <w:vAlign w:val="bottom"/>
            <w:tcBorders>
              <w:bottom w:val="single" w:sz="8" w:color="auto"/>
            </w:tcBorders>
            <w:shd w:val="clear" w:color="auto" w:fill="B7DEE8"/>
          </w:tcPr>
          <w:p>
            <w:pPr>
              <w:spacing w:after="0"/>
              <w:rPr>
                <w:sz w:val="21"/>
                <w:szCs w:val="21"/>
                <w:color w:val="auto"/>
              </w:rPr>
            </w:pPr>
          </w:p>
        </w:tc>
        <w:tc>
          <w:tcPr>
            <w:tcW w:w="10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Borders>
              <w:bottom w:val="single" w:sz="8" w:color="B7DEE8"/>
            </w:tcBorders>
            <w:shd w:val="clear" w:color="auto" w:fill="B7DEE8"/>
          </w:tcPr>
          <w:p>
            <w:pPr>
              <w:spacing w:after="0"/>
              <w:rPr>
                <w:sz w:val="21"/>
                <w:szCs w:val="21"/>
                <w:color w:val="auto"/>
              </w:rPr>
            </w:pPr>
          </w:p>
        </w:tc>
        <w:tc>
          <w:tcPr>
            <w:tcW w:w="160" w:type="dxa"/>
            <w:vAlign w:val="bottom"/>
            <w:tcBorders>
              <w:bottom w:val="single" w:sz="8" w:color="auto"/>
            </w:tcBorders>
            <w:shd w:val="clear" w:color="auto" w:fill="B7DEE8"/>
          </w:tcPr>
          <w:p>
            <w:pPr>
              <w:spacing w:after="0"/>
              <w:rPr>
                <w:sz w:val="21"/>
                <w:szCs w:val="21"/>
                <w:color w:val="auto"/>
              </w:rPr>
            </w:pPr>
          </w:p>
        </w:tc>
        <w:tc>
          <w:tcPr>
            <w:tcW w:w="140" w:type="dxa"/>
            <w:vAlign w:val="bottom"/>
            <w:tcBorders>
              <w:bottom w:val="single" w:sz="8" w:color="auto"/>
            </w:tcBorders>
            <w:shd w:val="clear" w:color="auto" w:fill="B7DEE8"/>
          </w:tcPr>
          <w:p>
            <w:pPr>
              <w:spacing w:after="0"/>
              <w:rPr>
                <w:sz w:val="21"/>
                <w:szCs w:val="21"/>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100" w:type="dxa"/>
            <w:vAlign w:val="bottom"/>
            <w:tcBorders>
              <w:bottom w:val="single" w:sz="8" w:color="B7DEE8"/>
            </w:tcBorders>
            <w:shd w:val="clear" w:color="auto" w:fill="B7DEE8"/>
          </w:tcPr>
          <w:p>
            <w:pPr>
              <w:spacing w:after="0"/>
              <w:rPr>
                <w:sz w:val="21"/>
                <w:szCs w:val="21"/>
                <w:color w:val="auto"/>
              </w:rPr>
            </w:pPr>
          </w:p>
        </w:tc>
        <w:tc>
          <w:tcPr>
            <w:tcW w:w="300" w:type="dxa"/>
            <w:vAlign w:val="bottom"/>
            <w:tcBorders>
              <w:bottom w:val="single" w:sz="8" w:color="auto"/>
            </w:tcBorders>
            <w:shd w:val="clear" w:color="auto" w:fill="B7DEE8"/>
          </w:tcPr>
          <w:p>
            <w:pPr>
              <w:spacing w:after="0"/>
              <w:rPr>
                <w:sz w:val="21"/>
                <w:szCs w:val="21"/>
                <w:color w:val="auto"/>
              </w:rPr>
            </w:pPr>
          </w:p>
        </w:tc>
        <w:tc>
          <w:tcPr>
            <w:tcW w:w="10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100" w:type="dxa"/>
            <w:vAlign w:val="bottom"/>
            <w:tcBorders>
              <w:bottom w:val="single" w:sz="8" w:color="B7DEE8"/>
            </w:tcBorders>
            <w:shd w:val="clear" w:color="auto" w:fill="B7DEE8"/>
          </w:tcPr>
          <w:p>
            <w:pPr>
              <w:spacing w:after="0"/>
              <w:rPr>
                <w:sz w:val="21"/>
                <w:szCs w:val="21"/>
                <w:color w:val="auto"/>
              </w:rPr>
            </w:pPr>
          </w:p>
        </w:tc>
        <w:tc>
          <w:tcPr>
            <w:tcW w:w="100" w:type="dxa"/>
            <w:vAlign w:val="bottom"/>
            <w:tcBorders>
              <w:bottom w:val="single" w:sz="8" w:color="auto"/>
            </w:tcBorders>
            <w:shd w:val="clear" w:color="auto" w:fill="B7DEE8"/>
          </w:tcPr>
          <w:p>
            <w:pPr>
              <w:spacing w:after="0"/>
              <w:rPr>
                <w:sz w:val="21"/>
                <w:szCs w:val="21"/>
                <w:color w:val="auto"/>
              </w:rPr>
            </w:pPr>
          </w:p>
        </w:tc>
        <w:tc>
          <w:tcPr>
            <w:tcW w:w="260" w:type="dxa"/>
            <w:vAlign w:val="bottom"/>
            <w:tcBorders>
              <w:bottom w:val="single" w:sz="8" w:color="auto"/>
            </w:tcBorders>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100" w:type="dxa"/>
            <w:vAlign w:val="bottom"/>
            <w:tcBorders>
              <w:bottom w:val="single" w:sz="8" w:color="B7DEE8"/>
            </w:tcBorders>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92,489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65,811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60" w:type="dxa"/>
            <w:vAlign w:val="bottom"/>
            <w:shd w:val="clear" w:color="auto" w:fill="B7DEE8"/>
          </w:tcPr>
          <w:p>
            <w:pPr>
              <w:spacing w:after="0"/>
              <w:rPr>
                <w:sz w:val="20"/>
                <w:szCs w:val="20"/>
                <w:color w:val="auto"/>
              </w:rPr>
            </w:pPr>
          </w:p>
        </w:tc>
        <w:tc>
          <w:tcPr>
            <w:tcW w:w="10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6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86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300" w:type="dxa"/>
            <w:vAlign w:val="bottom"/>
            <w:shd w:val="clear" w:color="auto" w:fill="B7DEE8"/>
          </w:tcPr>
          <w:p>
            <w:pPr>
              <w:spacing w:after="0"/>
              <w:rPr>
                <w:sz w:val="20"/>
                <w:szCs w:val="20"/>
                <w:color w:val="auto"/>
              </w:rPr>
            </w:pPr>
          </w:p>
        </w:tc>
        <w:tc>
          <w:tcPr>
            <w:tcW w:w="10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94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36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B7DEE8"/>
          </w:tcPr>
          <w:p>
            <w:pPr>
              <w:spacing w:after="0"/>
              <w:rPr>
                <w:sz w:val="21"/>
                <w:szCs w:val="21"/>
                <w:color w:val="auto"/>
              </w:rPr>
            </w:pPr>
          </w:p>
        </w:tc>
        <w:tc>
          <w:tcPr>
            <w:tcW w:w="30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1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00" w:type="dxa"/>
            <w:vAlign w:val="bottom"/>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6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shd w:val="clear" w:color="auto" w:fill="B7DEE8"/>
          </w:tcPr>
          <w:p>
            <w:pPr>
              <w:spacing w:after="0"/>
              <w:rPr>
                <w:sz w:val="21"/>
                <w:szCs w:val="21"/>
                <w:color w:val="auto"/>
              </w:rPr>
            </w:pPr>
          </w:p>
        </w:tc>
        <w:tc>
          <w:tcPr>
            <w:tcW w:w="30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1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71,380</w:t>
            </w:r>
          </w:p>
        </w:tc>
        <w:tc>
          <w:tcPr>
            <w:tcW w:w="100" w:type="dxa"/>
            <w:vAlign w:val="bottom"/>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60" w:type="dxa"/>
            <w:vAlign w:val="bottom"/>
            <w:tcBorders>
              <w:bottom w:val="single" w:sz="8" w:color="auto"/>
            </w:tcBorders>
            <w:shd w:val="clear" w:color="auto" w:fill="B7DEE8"/>
          </w:tcPr>
          <w:p>
            <w:pPr>
              <w:spacing w:after="0"/>
              <w:rPr>
                <w:sz w:val="20"/>
                <w:szCs w:val="20"/>
                <w:color w:val="auto"/>
              </w:rPr>
            </w:pPr>
          </w:p>
        </w:tc>
        <w:tc>
          <w:tcPr>
            <w:tcW w:w="10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89,939</w:t>
            </w:r>
          </w:p>
        </w:tc>
        <w:tc>
          <w:tcPr>
            <w:tcW w:w="100" w:type="dxa"/>
            <w:vAlign w:val="bottom"/>
            <w:tcBorders>
              <w:bottom w:val="single" w:sz="8" w:color="B7DEE8"/>
            </w:tcBorders>
            <w:shd w:val="clear" w:color="auto" w:fill="B7DEE8"/>
          </w:tcPr>
          <w:p>
            <w:pPr>
              <w:spacing w:after="0"/>
              <w:rPr>
                <w:sz w:val="20"/>
                <w:szCs w:val="20"/>
                <w:color w:val="auto"/>
              </w:rPr>
            </w:pPr>
          </w:p>
        </w:tc>
        <w:tc>
          <w:tcPr>
            <w:tcW w:w="160" w:type="dxa"/>
            <w:vAlign w:val="bottom"/>
            <w:tcBorders>
              <w:bottom w:val="single" w:sz="8" w:color="auto"/>
            </w:tcBorders>
            <w:shd w:val="clear" w:color="auto" w:fill="B7DEE8"/>
          </w:tcPr>
          <w:p>
            <w:pPr>
              <w:spacing w:after="0"/>
              <w:rPr>
                <w:sz w:val="20"/>
                <w:szCs w:val="20"/>
                <w:color w:val="auto"/>
              </w:rPr>
            </w:pPr>
          </w:p>
        </w:tc>
        <w:tc>
          <w:tcPr>
            <w:tcW w:w="140" w:type="dxa"/>
            <w:vAlign w:val="bottom"/>
            <w:tcBorders>
              <w:bottom w:val="single" w:sz="8" w:color="auto"/>
            </w:tcBorders>
            <w:shd w:val="clear" w:color="auto" w:fill="B7DEE8"/>
          </w:tcPr>
          <w:p>
            <w:pPr>
              <w:spacing w:after="0"/>
              <w:rPr>
                <w:sz w:val="20"/>
                <w:szCs w:val="20"/>
                <w:color w:val="auto"/>
              </w:rPr>
            </w:pPr>
          </w:p>
        </w:tc>
        <w:tc>
          <w:tcPr>
            <w:tcW w:w="8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76,385</w:t>
            </w:r>
          </w:p>
        </w:tc>
        <w:tc>
          <w:tcPr>
            <w:tcW w:w="100" w:type="dxa"/>
            <w:vAlign w:val="bottom"/>
            <w:tcBorders>
              <w:bottom w:val="single" w:sz="8" w:color="B7DEE8"/>
            </w:tcBorders>
            <w:shd w:val="clear" w:color="auto" w:fill="B7DEE8"/>
          </w:tcPr>
          <w:p>
            <w:pPr>
              <w:spacing w:after="0"/>
              <w:rPr>
                <w:sz w:val="20"/>
                <w:szCs w:val="20"/>
                <w:color w:val="auto"/>
              </w:rPr>
            </w:pPr>
          </w:p>
        </w:tc>
        <w:tc>
          <w:tcPr>
            <w:tcW w:w="300" w:type="dxa"/>
            <w:vAlign w:val="bottom"/>
            <w:tcBorders>
              <w:bottom w:val="single" w:sz="8" w:color="auto"/>
            </w:tcBorders>
            <w:shd w:val="clear" w:color="auto" w:fill="B7DEE8"/>
          </w:tcPr>
          <w:p>
            <w:pPr>
              <w:spacing w:after="0"/>
              <w:rPr>
                <w:sz w:val="20"/>
                <w:szCs w:val="20"/>
                <w:color w:val="auto"/>
              </w:rPr>
            </w:pPr>
          </w:p>
        </w:tc>
        <w:tc>
          <w:tcPr>
            <w:tcW w:w="10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232,618</w:t>
            </w:r>
          </w:p>
        </w:tc>
        <w:tc>
          <w:tcPr>
            <w:tcW w:w="100" w:type="dxa"/>
            <w:vAlign w:val="bottom"/>
            <w:tcBorders>
              <w:bottom w:val="single" w:sz="8" w:color="B7DEE8"/>
            </w:tcBorders>
            <w:shd w:val="clear" w:color="auto" w:fill="B7DEE8"/>
          </w:tcPr>
          <w:p>
            <w:pPr>
              <w:spacing w:after="0"/>
              <w:rPr>
                <w:sz w:val="20"/>
                <w:szCs w:val="20"/>
                <w:color w:val="auto"/>
              </w:rPr>
            </w:pPr>
          </w:p>
        </w:tc>
        <w:tc>
          <w:tcPr>
            <w:tcW w:w="100" w:type="dxa"/>
            <w:vAlign w:val="bottom"/>
            <w:tcBorders>
              <w:bottom w:val="single" w:sz="8" w:color="auto"/>
            </w:tcBorders>
            <w:shd w:val="clear" w:color="auto" w:fill="B7DEE8"/>
          </w:tcPr>
          <w:p>
            <w:pPr>
              <w:spacing w:after="0"/>
              <w:rPr>
                <w:sz w:val="20"/>
                <w:szCs w:val="20"/>
                <w:color w:val="auto"/>
              </w:rPr>
            </w:pPr>
          </w:p>
        </w:tc>
        <w:tc>
          <w:tcPr>
            <w:tcW w:w="260" w:type="dxa"/>
            <w:vAlign w:val="bottom"/>
            <w:tcBorders>
              <w:bottom w:val="single" w:sz="8" w:color="auto"/>
            </w:tcBorders>
            <w:shd w:val="clear" w:color="auto" w:fill="B7DEE8"/>
          </w:tcPr>
          <w:p>
            <w:pPr>
              <w:spacing w:after="0"/>
              <w:rPr>
                <w:sz w:val="20"/>
                <w:szCs w:val="20"/>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229,947</w:t>
            </w:r>
          </w:p>
        </w:tc>
        <w:tc>
          <w:tcPr>
            <w:tcW w:w="100" w:type="dxa"/>
            <w:vAlign w:val="bottom"/>
            <w:tcBorders>
              <w:bottom w:val="single" w:sz="8" w:color="B7DEE8"/>
            </w:tcBorders>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5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B7DEE8"/>
          </w:tcPr>
          <w:p>
            <w:pPr>
              <w:spacing w:after="0"/>
              <w:rPr>
                <w:sz w:val="21"/>
                <w:szCs w:val="21"/>
                <w:color w:val="auto"/>
              </w:rPr>
            </w:pPr>
          </w:p>
        </w:tc>
        <w:tc>
          <w:tcPr>
            <w:tcW w:w="110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8"/>
                <w:szCs w:val="18"/>
                <w:color w:val="auto"/>
              </w:rPr>
              <w:t>(439 )</w:t>
            </w: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9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(1,332 )</w:t>
            </w:r>
          </w:p>
        </w:tc>
        <w:tc>
          <w:tcPr>
            <w:tcW w:w="300" w:type="dxa"/>
            <w:vAlign w:val="bottom"/>
            <w:shd w:val="clear" w:color="auto" w:fill="B7DEE8"/>
          </w:tcPr>
          <w:p>
            <w:pPr>
              <w:spacing w:after="0"/>
              <w:rPr>
                <w:sz w:val="21"/>
                <w:szCs w:val="21"/>
                <w:color w:val="auto"/>
              </w:rPr>
            </w:pPr>
          </w:p>
        </w:tc>
        <w:tc>
          <w:tcPr>
            <w:tcW w:w="110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(2,471 )</w:t>
            </w: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10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(4,009 )</w:t>
            </w:r>
          </w:p>
        </w:tc>
        <w:tc>
          <w:tcPr>
            <w:tcW w:w="0" w:type="dxa"/>
            <w:vAlign w:val="bottom"/>
          </w:tcPr>
          <w:p>
            <w:pPr>
              <w:spacing w:after="0"/>
              <w:rPr>
                <w:sz w:val="1"/>
                <w:szCs w:val="1"/>
                <w:color w:val="auto"/>
              </w:rPr>
            </w:pPr>
          </w:p>
        </w:tc>
      </w:tr>
      <w:tr>
        <w:trPr>
          <w:trHeight w:val="239"/>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6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300" w:type="dxa"/>
            <w:vAlign w:val="bottom"/>
            <w:shd w:val="clear" w:color="auto" w:fill="B7DEE8"/>
          </w:tcPr>
          <w:p>
            <w:pPr>
              <w:spacing w:after="0"/>
              <w:rPr>
                <w:sz w:val="21"/>
                <w:szCs w:val="21"/>
                <w:color w:val="auto"/>
              </w:rPr>
            </w:pPr>
          </w:p>
        </w:tc>
        <w:tc>
          <w:tcPr>
            <w:tcW w:w="110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(33,442 )</w:t>
            </w: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5"/>
        </w:trPr>
        <w:tc>
          <w:tcPr>
            <w:tcW w:w="45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Changes in fair value of public and private warrant</w:t>
            </w:r>
          </w:p>
        </w:tc>
        <w:tc>
          <w:tcPr>
            <w:tcW w:w="360" w:type="dxa"/>
            <w:vAlign w:val="bottom"/>
            <w:shd w:val="clear" w:color="auto" w:fill="B7DEE8"/>
          </w:tcPr>
          <w:p>
            <w:pPr>
              <w:spacing w:after="0"/>
              <w:rPr>
                <w:sz w:val="18"/>
                <w:szCs w:val="18"/>
                <w:color w:val="auto"/>
              </w:rPr>
            </w:pPr>
          </w:p>
        </w:tc>
        <w:tc>
          <w:tcPr>
            <w:tcW w:w="10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B7DEE8"/>
          </w:tcPr>
          <w:p>
            <w:pPr>
              <w:spacing w:after="0"/>
              <w:rPr>
                <w:sz w:val="18"/>
                <w:szCs w:val="18"/>
                <w:color w:val="auto"/>
              </w:rPr>
            </w:pPr>
          </w:p>
        </w:tc>
        <w:tc>
          <w:tcPr>
            <w:tcW w:w="160" w:type="dxa"/>
            <w:vAlign w:val="bottom"/>
            <w:shd w:val="clear" w:color="auto" w:fill="B7DEE8"/>
          </w:tcPr>
          <w:p>
            <w:pPr>
              <w:spacing w:after="0"/>
              <w:rPr>
                <w:sz w:val="18"/>
                <w:szCs w:val="18"/>
                <w:color w:val="auto"/>
              </w:rPr>
            </w:pPr>
          </w:p>
        </w:tc>
        <w:tc>
          <w:tcPr>
            <w:tcW w:w="140" w:type="dxa"/>
            <w:vAlign w:val="bottom"/>
            <w:shd w:val="clear" w:color="auto" w:fill="B7DEE8"/>
          </w:tcPr>
          <w:p>
            <w:pPr>
              <w:spacing w:after="0"/>
              <w:rPr>
                <w:sz w:val="18"/>
                <w:szCs w:val="18"/>
                <w:color w:val="auto"/>
              </w:rPr>
            </w:pPr>
          </w:p>
        </w:tc>
        <w:tc>
          <w:tcPr>
            <w:tcW w:w="960" w:type="dxa"/>
            <w:vAlign w:val="bottom"/>
            <w:gridSpan w:val="2"/>
            <w:vMerge w:val="restart"/>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(257 )</w:t>
            </w:r>
          </w:p>
        </w:tc>
        <w:tc>
          <w:tcPr>
            <w:tcW w:w="300" w:type="dxa"/>
            <w:vAlign w:val="bottom"/>
            <w:shd w:val="clear" w:color="auto" w:fill="B7DEE8"/>
          </w:tcPr>
          <w:p>
            <w:pPr>
              <w:spacing w:after="0"/>
              <w:rPr>
                <w:sz w:val="18"/>
                <w:szCs w:val="18"/>
                <w:color w:val="auto"/>
              </w:rPr>
            </w:pPr>
          </w:p>
        </w:tc>
        <w:tc>
          <w:tcPr>
            <w:tcW w:w="10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c>
          <w:tcPr>
            <w:tcW w:w="260" w:type="dxa"/>
            <w:vAlign w:val="bottom"/>
            <w:shd w:val="clear" w:color="auto" w:fill="B7DEE8"/>
          </w:tcPr>
          <w:p>
            <w:pPr>
              <w:spacing w:after="0"/>
              <w:rPr>
                <w:sz w:val="18"/>
                <w:szCs w:val="18"/>
                <w:color w:val="auto"/>
              </w:rPr>
            </w:pPr>
          </w:p>
        </w:tc>
        <w:tc>
          <w:tcPr>
            <w:tcW w:w="1040" w:type="dxa"/>
            <w:vAlign w:val="bottom"/>
            <w:gridSpan w:val="2"/>
            <w:vMerge w:val="restart"/>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34"/>
        </w:trPr>
        <w:tc>
          <w:tcPr>
            <w:tcW w:w="45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shd w:val="clear" w:color="auto" w:fill="B7DEE8"/>
          </w:tcPr>
          <w:p>
            <w:pPr>
              <w:spacing w:after="0"/>
              <w:rPr>
                <w:sz w:val="20"/>
                <w:szCs w:val="20"/>
                <w:color w:val="auto"/>
              </w:rPr>
            </w:pPr>
          </w:p>
        </w:tc>
        <w:tc>
          <w:tcPr>
            <w:tcW w:w="1000" w:type="dxa"/>
            <w:vAlign w:val="bottom"/>
            <w:vMerge w:val="continue"/>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6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960" w:type="dxa"/>
            <w:vAlign w:val="bottom"/>
            <w:gridSpan w:val="2"/>
            <w:vMerge w:val="continue"/>
            <w:shd w:val="clear" w:color="auto" w:fill="B7DEE8"/>
          </w:tcPr>
          <w:p>
            <w:pPr>
              <w:spacing w:after="0"/>
              <w:rPr>
                <w:sz w:val="20"/>
                <w:szCs w:val="20"/>
                <w:color w:val="auto"/>
              </w:rPr>
            </w:pPr>
          </w:p>
        </w:tc>
        <w:tc>
          <w:tcPr>
            <w:tcW w:w="300" w:type="dxa"/>
            <w:vAlign w:val="bottom"/>
            <w:shd w:val="clear" w:color="auto" w:fill="B7DEE8"/>
          </w:tcPr>
          <w:p>
            <w:pPr>
              <w:spacing w:after="0"/>
              <w:rPr>
                <w:sz w:val="20"/>
                <w:szCs w:val="20"/>
                <w:color w:val="auto"/>
              </w:rPr>
            </w:pPr>
          </w:p>
        </w:tc>
        <w:tc>
          <w:tcPr>
            <w:tcW w:w="1000" w:type="dxa"/>
            <w:vAlign w:val="bottom"/>
            <w:vMerge w:val="continue"/>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1040" w:type="dxa"/>
            <w:vAlign w:val="bottom"/>
            <w:gridSpan w:val="2"/>
            <w:vMerge w:val="continue"/>
            <w:shd w:val="clear" w:color="auto" w:fill="B7DE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B7DE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(29,243 )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income (loss) before provision for income taxes</w:t>
            </w:r>
          </w:p>
        </w:tc>
        <w:tc>
          <w:tcPr>
            <w:tcW w:w="360" w:type="dxa"/>
            <w:vAlign w:val="bottom"/>
            <w:shd w:val="clear" w:color="auto" w:fill="B7DEE8"/>
          </w:tcPr>
          <w:p>
            <w:pPr>
              <w:spacing w:after="0"/>
              <w:rPr>
                <w:sz w:val="20"/>
                <w:szCs w:val="20"/>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00" w:type="dxa"/>
            <w:vAlign w:val="bottom"/>
            <w:shd w:val="clear" w:color="auto" w:fill="B7DEE8"/>
          </w:tcPr>
          <w:p>
            <w:pPr>
              <w:spacing w:after="0"/>
              <w:rPr>
                <w:sz w:val="20"/>
                <w:szCs w:val="20"/>
                <w:color w:val="auto"/>
              </w:rPr>
            </w:pPr>
          </w:p>
        </w:tc>
        <w:tc>
          <w:tcPr>
            <w:tcW w:w="160" w:type="dxa"/>
            <w:vAlign w:val="bottom"/>
            <w:shd w:val="clear" w:color="auto" w:fill="B7DEE8"/>
          </w:tcPr>
          <w:p>
            <w:pPr>
              <w:spacing w:after="0"/>
              <w:rPr>
                <w:sz w:val="20"/>
                <w:szCs w:val="20"/>
                <w:color w:val="auto"/>
              </w:rPr>
            </w:pPr>
          </w:p>
        </w:tc>
        <w:tc>
          <w:tcPr>
            <w:tcW w:w="140" w:type="dxa"/>
            <w:vAlign w:val="bottom"/>
            <w:shd w:val="clear" w:color="auto" w:fill="B7DEE8"/>
          </w:tcPr>
          <w:p>
            <w:pPr>
              <w:spacing w:after="0"/>
              <w:rPr>
                <w:sz w:val="20"/>
                <w:szCs w:val="20"/>
                <w:color w:val="auto"/>
              </w:rPr>
            </w:pPr>
          </w:p>
        </w:tc>
        <w:tc>
          <w:tcPr>
            <w:tcW w:w="9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(12,044 )</w:t>
            </w:r>
          </w:p>
        </w:tc>
        <w:tc>
          <w:tcPr>
            <w:tcW w:w="300" w:type="dxa"/>
            <w:vAlign w:val="bottom"/>
            <w:shd w:val="clear" w:color="auto" w:fill="B7DEE8"/>
          </w:tcPr>
          <w:p>
            <w:pPr>
              <w:spacing w:after="0"/>
              <w:rPr>
                <w:sz w:val="20"/>
                <w:szCs w:val="20"/>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42,861</w:t>
            </w:r>
          </w:p>
        </w:tc>
        <w:tc>
          <w:tcPr>
            <w:tcW w:w="100" w:type="dxa"/>
            <w:vAlign w:val="bottom"/>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260" w:type="dxa"/>
            <w:vAlign w:val="bottom"/>
            <w:shd w:val="clear" w:color="auto" w:fill="B7DEE8"/>
          </w:tcPr>
          <w:p>
            <w:pPr>
              <w:spacing w:after="0"/>
              <w:rPr>
                <w:sz w:val="20"/>
                <w:szCs w:val="20"/>
                <w:color w:val="auto"/>
              </w:rPr>
            </w:pPr>
          </w:p>
        </w:tc>
        <w:tc>
          <w:tcPr>
            <w:tcW w:w="10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(48,672 )</w:t>
            </w:r>
          </w:p>
        </w:tc>
        <w:tc>
          <w:tcPr>
            <w:tcW w:w="0" w:type="dxa"/>
            <w:vAlign w:val="bottom"/>
          </w:tcPr>
          <w:p>
            <w:pPr>
              <w:spacing w:after="0"/>
              <w:rPr>
                <w:sz w:val="1"/>
                <w:szCs w:val="1"/>
                <w:color w:val="auto"/>
              </w:rPr>
            </w:pPr>
          </w:p>
        </w:tc>
      </w:tr>
      <w:tr>
        <w:trPr>
          <w:trHeight w:val="243"/>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5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shd w:val="clear" w:color="auto" w:fill="B7DEE8"/>
          </w:tcPr>
          <w:p>
            <w:pPr>
              <w:spacing w:after="0"/>
              <w:rPr>
                <w:sz w:val="24"/>
                <w:szCs w:val="24"/>
                <w:color w:val="auto"/>
              </w:rPr>
            </w:pPr>
          </w:p>
        </w:tc>
        <w:tc>
          <w:tcPr>
            <w:tcW w:w="160" w:type="dxa"/>
            <w:vAlign w:val="bottom"/>
            <w:shd w:val="clear" w:color="auto" w:fill="B7DEE8"/>
          </w:tcPr>
          <w:p>
            <w:pPr>
              <w:spacing w:after="0"/>
              <w:rPr>
                <w:sz w:val="24"/>
                <w:szCs w:val="24"/>
                <w:color w:val="auto"/>
              </w:rPr>
            </w:pPr>
          </w:p>
        </w:tc>
        <w:tc>
          <w:tcPr>
            <w:tcW w:w="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(12,053 )</w:t>
            </w:r>
          </w:p>
        </w:tc>
        <w:tc>
          <w:tcPr>
            <w:tcW w:w="300" w:type="dxa"/>
            <w:vAlign w:val="bottom"/>
            <w:shd w:val="clear" w:color="auto" w:fill="B7DEE8"/>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41,067</w:t>
            </w:r>
          </w:p>
        </w:tc>
        <w:tc>
          <w:tcPr>
            <w:tcW w:w="100" w:type="dxa"/>
            <w:vAlign w:val="bottom"/>
            <w:shd w:val="clear" w:color="auto" w:fill="B7DEE8"/>
          </w:tcPr>
          <w:p>
            <w:pPr>
              <w:spacing w:after="0"/>
              <w:rPr>
                <w:sz w:val="24"/>
                <w:szCs w:val="24"/>
                <w:color w:val="auto"/>
              </w:rPr>
            </w:pPr>
          </w:p>
        </w:tc>
        <w:tc>
          <w:tcPr>
            <w:tcW w:w="100" w:type="dxa"/>
            <w:vAlign w:val="bottom"/>
            <w:shd w:val="clear" w:color="auto" w:fill="B7DEE8"/>
          </w:tcPr>
          <w:p>
            <w:pPr>
              <w:spacing w:after="0"/>
              <w:rPr>
                <w:sz w:val="24"/>
                <w:szCs w:val="24"/>
                <w:color w:val="auto"/>
              </w:rPr>
            </w:pPr>
          </w:p>
        </w:tc>
        <w:tc>
          <w:tcPr>
            <w:tcW w:w="26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(48,696 )</w:t>
            </w:r>
          </w:p>
        </w:tc>
        <w:tc>
          <w:tcPr>
            <w:tcW w:w="0" w:type="dxa"/>
            <w:vAlign w:val="bottom"/>
          </w:tcPr>
          <w:p>
            <w:pPr>
              <w:spacing w:after="0"/>
              <w:rPr>
                <w:sz w:val="1"/>
                <w:szCs w:val="1"/>
                <w:color w:val="auto"/>
              </w:rPr>
            </w:pPr>
          </w:p>
        </w:tc>
      </w:tr>
      <w:tr>
        <w:trPr>
          <w:trHeight w:val="223"/>
        </w:trPr>
        <w:tc>
          <w:tcPr>
            <w:tcW w:w="4580" w:type="dxa"/>
            <w:vAlign w:val="bottom"/>
            <w:tcBorders>
              <w:top w:val="single" w:sz="8" w:color="B7DEE8"/>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B7DEE8"/>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B7DEE8"/>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B7DEE8"/>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B7DEE8"/>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360" w:type="dxa"/>
            <w:vAlign w:val="bottom"/>
            <w:shd w:val="clear" w:color="auto" w:fill="B7DEE8"/>
          </w:tcPr>
          <w:p>
            <w:pPr>
              <w:spacing w:after="0"/>
              <w:rPr>
                <w:sz w:val="21"/>
                <w:szCs w:val="21"/>
                <w:color w:val="auto"/>
              </w:rPr>
            </w:pPr>
          </w:p>
        </w:tc>
        <w:tc>
          <w:tcPr>
            <w:tcW w:w="10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86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300" w:type="dxa"/>
            <w:vAlign w:val="bottom"/>
            <w:shd w:val="clear" w:color="auto" w:fill="B7DEE8"/>
          </w:tcPr>
          <w:p>
            <w:pPr>
              <w:spacing w:after="0"/>
              <w:rPr>
                <w:sz w:val="21"/>
                <w:szCs w:val="21"/>
                <w:color w:val="auto"/>
              </w:rPr>
            </w:pPr>
          </w:p>
        </w:tc>
        <w:tc>
          <w:tcPr>
            <w:tcW w:w="10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94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47"/>
        </w:trPr>
        <w:tc>
          <w:tcPr>
            <w:tcW w:w="45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c>
          <w:tcPr>
            <w:tcW w:w="300" w:type="dxa"/>
            <w:vAlign w:val="bottom"/>
            <w:shd w:val="clear" w:color="auto" w:fill="B7DEE8"/>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(4.10 )</w:t>
            </w:r>
          </w:p>
        </w:tc>
        <w:tc>
          <w:tcPr>
            <w:tcW w:w="0" w:type="dxa"/>
            <w:vAlign w:val="bottom"/>
          </w:tcPr>
          <w:p>
            <w:pPr>
              <w:spacing w:after="0"/>
              <w:rPr>
                <w:sz w:val="1"/>
                <w:szCs w:val="1"/>
                <w:color w:val="auto"/>
              </w:rPr>
            </w:pPr>
          </w:p>
        </w:tc>
      </w:tr>
      <w:tr>
        <w:trPr>
          <w:trHeight w:val="207"/>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used to compute net income</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5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12,639,294</w:t>
            </w:r>
          </w:p>
        </w:tc>
        <w:tc>
          <w:tcPr>
            <w:tcW w:w="100" w:type="dxa"/>
            <w:vAlign w:val="bottom"/>
            <w:shd w:val="clear" w:color="auto" w:fill="B7DEE8"/>
          </w:tcPr>
          <w:p>
            <w:pPr>
              <w:spacing w:after="0"/>
              <w:rPr>
                <w:sz w:val="21"/>
                <w:szCs w:val="21"/>
                <w:color w:val="auto"/>
              </w:rPr>
            </w:pPr>
          </w:p>
        </w:tc>
        <w:tc>
          <w:tcPr>
            <w:tcW w:w="160" w:type="dxa"/>
            <w:vAlign w:val="bottom"/>
            <w:shd w:val="clear" w:color="auto" w:fill="B7DEE8"/>
          </w:tcPr>
          <w:p>
            <w:pPr>
              <w:spacing w:after="0"/>
              <w:rPr>
                <w:sz w:val="21"/>
                <w:szCs w:val="21"/>
                <w:color w:val="auto"/>
              </w:rPr>
            </w:pPr>
          </w:p>
        </w:tc>
        <w:tc>
          <w:tcPr>
            <w:tcW w:w="140" w:type="dxa"/>
            <w:vAlign w:val="bottom"/>
            <w:shd w:val="clear" w:color="auto" w:fill="B7DEE8"/>
          </w:tcPr>
          <w:p>
            <w:pPr>
              <w:spacing w:after="0"/>
              <w:rPr>
                <w:sz w:val="21"/>
                <w:szCs w:val="21"/>
                <w:color w:val="auto"/>
              </w:rPr>
            </w:pPr>
          </w:p>
        </w:tc>
        <w:tc>
          <w:tcPr>
            <w:tcW w:w="8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11,960,078</w:t>
            </w:r>
          </w:p>
        </w:tc>
        <w:tc>
          <w:tcPr>
            <w:tcW w:w="100" w:type="dxa"/>
            <w:vAlign w:val="bottom"/>
            <w:shd w:val="clear" w:color="auto" w:fill="B7DEE8"/>
          </w:tcPr>
          <w:p>
            <w:pPr>
              <w:spacing w:after="0"/>
              <w:rPr>
                <w:sz w:val="21"/>
                <w:szCs w:val="21"/>
                <w:color w:val="auto"/>
              </w:rPr>
            </w:pPr>
          </w:p>
        </w:tc>
        <w:tc>
          <w:tcPr>
            <w:tcW w:w="300" w:type="dxa"/>
            <w:vAlign w:val="bottom"/>
            <w:shd w:val="clear" w:color="auto" w:fill="B7DEE8"/>
          </w:tcPr>
          <w:p>
            <w:pPr>
              <w:spacing w:after="0"/>
              <w:rPr>
                <w:sz w:val="21"/>
                <w:szCs w:val="21"/>
                <w:color w:val="auto"/>
              </w:rPr>
            </w:pPr>
          </w:p>
        </w:tc>
        <w:tc>
          <w:tcPr>
            <w:tcW w:w="10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12,426,122</w:t>
            </w:r>
          </w:p>
        </w:tc>
        <w:tc>
          <w:tcPr>
            <w:tcW w:w="10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260" w:type="dxa"/>
            <w:vAlign w:val="bottom"/>
            <w:shd w:val="clear" w:color="auto" w:fill="B7DEE8"/>
          </w:tcPr>
          <w:p>
            <w:pPr>
              <w:spacing w:after="0"/>
              <w:rPr>
                <w:sz w:val="21"/>
                <w:szCs w:val="21"/>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7"/>
                <w:szCs w:val="17"/>
                <w:color w:val="auto"/>
              </w:rPr>
              <w:t>11,887,199</w:t>
            </w:r>
          </w:p>
        </w:tc>
        <w:tc>
          <w:tcPr>
            <w:tcW w:w="100" w:type="dxa"/>
            <w:vAlign w:val="bottom"/>
            <w:shd w:val="clear" w:color="auto" w:fill="B7DEE8"/>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13,932,652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11,960,078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13,587,377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11,887,199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-4203065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-4203065</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-4203065</wp:posOffset>
            </wp:positionV>
            <wp:extent cx="603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-4203065</wp:posOffset>
            </wp:positionV>
            <wp:extent cx="603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-2942590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-2942590</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-2942590</wp:posOffset>
            </wp:positionV>
            <wp:extent cx="603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-2942590</wp:posOffset>
            </wp:positionV>
            <wp:extent cx="603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-1879600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-1879600</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-1879600</wp:posOffset>
            </wp:positionV>
            <wp:extent cx="603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-1879600</wp:posOffset>
            </wp:positionV>
            <wp:extent cx="603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-1236980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-1219835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-1236980</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-1219835</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-1236980</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-1219835</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-1236980</wp:posOffset>
            </wp:positionV>
            <wp:extent cx="603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-1219835</wp:posOffset>
            </wp:positionV>
            <wp:extent cx="60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Dave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(loss)</w:t>
      </w:r>
    </w:p>
    <w:p>
      <w:pPr>
        <w:spacing w:after="0" w:line="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1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6"/>
          <w:szCs w:val="16"/>
          <w:i w:val="1"/>
          <w:i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c>
          <w:tcPr>
            <w:tcW w:w="280" w:type="dxa"/>
            <w:vAlign w:val="bottom"/>
          </w:tcPr>
          <w:p>
            <w:pPr>
              <w:spacing w:after="0"/>
              <w:rPr>
                <w:sz w:val="18"/>
                <w:szCs w:val="18"/>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46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46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740" w:type="dxa"/>
            <w:vAlign w:val="bottom"/>
            <w:gridSpan w:val="2"/>
            <w:shd w:val="clear" w:color="auto" w:fill="B6DEE8"/>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(12,053 )</w:t>
            </w:r>
          </w:p>
        </w:tc>
        <w:tc>
          <w:tcPr>
            <w:tcW w:w="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00" w:type="dxa"/>
            <w:vAlign w:val="bottom"/>
            <w:shd w:val="clear" w:color="auto" w:fill="B6DEE8"/>
          </w:tcPr>
          <w:p>
            <w:pPr>
              <w:spacing w:after="0"/>
              <w:rPr>
                <w:sz w:val="20"/>
                <w:szCs w:val="20"/>
                <w:color w:val="auto"/>
              </w:rPr>
            </w:pPr>
          </w:p>
        </w:tc>
        <w:tc>
          <w:tcPr>
            <w:tcW w:w="440" w:type="dxa"/>
            <w:vAlign w:val="bottom"/>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(48,696 )</w:t>
            </w:r>
          </w:p>
        </w:tc>
      </w:tr>
      <w:tr>
        <w:trPr>
          <w:trHeight w:val="23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64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00" w:type="dxa"/>
            <w:vAlign w:val="bottom"/>
            <w:shd w:val="clear" w:color="auto" w:fill="B6DEE8"/>
          </w:tcPr>
          <w:p>
            <w:pPr>
              <w:spacing w:after="0"/>
              <w:rPr>
                <w:sz w:val="21"/>
                <w:szCs w:val="21"/>
                <w:color w:val="auto"/>
              </w:rPr>
            </w:pPr>
          </w:p>
        </w:tc>
        <w:tc>
          <w:tcPr>
            <w:tcW w:w="1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B6DEE8"/>
          </w:tcPr>
          <w:p>
            <w:pPr>
              <w:spacing w:after="0"/>
              <w:rPr>
                <w:sz w:val="21"/>
                <w:szCs w:val="21"/>
                <w:color w:val="auto"/>
              </w:rPr>
            </w:pPr>
          </w:p>
        </w:tc>
        <w:tc>
          <w:tcPr>
            <w:tcW w:w="64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13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(403 )</w:t>
            </w:r>
          </w:p>
        </w:tc>
        <w:tc>
          <w:tcPr>
            <w:tcW w:w="440" w:type="dxa"/>
            <w:vAlign w:val="bottom"/>
            <w:shd w:val="clear" w:color="auto" w:fill="B6DEE8"/>
          </w:tcPr>
          <w:p>
            <w:pPr>
              <w:spacing w:after="0"/>
              <w:rPr>
                <w:sz w:val="21"/>
                <w:szCs w:val="21"/>
                <w:color w:val="auto"/>
              </w:rPr>
            </w:pPr>
          </w:p>
        </w:tc>
        <w:tc>
          <w:tcPr>
            <w:tcW w:w="6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B6DEE8"/>
          </w:tcPr>
          <w:p>
            <w:pPr>
              <w:spacing w:after="0"/>
              <w:rPr>
                <w:sz w:val="21"/>
                <w:szCs w:val="21"/>
                <w:color w:val="auto"/>
              </w:rPr>
            </w:pPr>
          </w:p>
        </w:tc>
      </w:tr>
      <w:tr>
        <w:trPr>
          <w:trHeight w:val="20"/>
        </w:trPr>
        <w:tc>
          <w:tcPr>
            <w:tcW w:w="4640" w:type="dxa"/>
            <w:vAlign w:val="bottom"/>
            <w:shd w:val="clear" w:color="auto" w:fill="B6DE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2"/>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(11,691 )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40,664</w:t>
            </w:r>
          </w:p>
        </w:tc>
        <w:tc>
          <w:tcPr>
            <w:tcW w:w="10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(47,529 )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-159385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-159385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-159385</wp:posOffset>
            </wp:positionV>
            <wp:extent cx="603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8"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4" w:lineRule="exact"/>
        <w:rPr>
          <w:sz w:val="20"/>
          <w:szCs w:val="20"/>
          <w:color w:val="auto"/>
        </w:rPr>
      </w:pPr>
    </w:p>
    <w:tbl>
      <w:tblPr>
        <w:tblLayout w:type="fixed"/>
        <w:tblInd w:w="3200" w:type="dxa"/>
        <w:tblCellMar>
          <w:top w:w="0" w:type="dxa"/>
          <w:left w:w="0" w:type="dxa"/>
          <w:bottom w:w="0" w:type="dxa"/>
          <w:right w:w="0" w:type="dxa"/>
        </w:tblCellMar>
      </w:tblPr>
      <w:tr>
        <w:trPr>
          <w:trHeight w:val="190"/>
        </w:trPr>
        <w:tc>
          <w:tcPr>
            <w:tcW w:w="560" w:type="dxa"/>
            <w:vAlign w:val="bottom"/>
          </w:tcPr>
          <w:p>
            <w:pPr>
              <w:spacing w:after="0"/>
              <w:rPr>
                <w:sz w:val="16"/>
                <w:szCs w:val="16"/>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tcPr>
          <w:p>
            <w:pPr>
              <w:spacing w:after="0"/>
              <w:rPr>
                <w:sz w:val="16"/>
                <w:szCs w:val="16"/>
                <w:color w:val="auto"/>
              </w:rPr>
            </w:pPr>
          </w:p>
        </w:tc>
        <w:tc>
          <w:tcPr>
            <w:tcW w:w="10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380" w:type="dxa"/>
            <w:vAlign w:val="bottom"/>
            <w:vMerge w:val="restart"/>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060" w:type="dxa"/>
            <w:vAlign w:val="bottom"/>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020" w:type="dxa"/>
            <w:vAlign w:val="bottom"/>
            <w:vMerge w:val="restart"/>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13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vMerge w:val="restart"/>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56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1380" w:type="dxa"/>
            <w:vAlign w:val="bottom"/>
            <w:vMerge w:val="restart"/>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0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0" w:type="dxa"/>
            <w:vAlign w:val="bottom"/>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ted deficit</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5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0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5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8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00"/>
          </w:cols>
          <w:pgMar w:left="900" w:top="981" w:right="899" w:bottom="144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2024</w:t>
      </w:r>
    </w:p>
    <w:p>
      <w:pPr>
        <w:spacing w:after="0" w:line="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8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10,634,173</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3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296,733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649</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(210,320</w:t>
            </w:r>
          </w:p>
        </w:tc>
        <w:tc>
          <w:tcPr>
            <w:tcW w:w="8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87,063</w:t>
            </w:r>
          </w:p>
        </w:tc>
        <w:tc>
          <w:tcPr>
            <w:tcW w:w="0" w:type="dxa"/>
            <w:vAlign w:val="bottom"/>
          </w:tcPr>
          <w:p>
            <w:pPr>
              <w:spacing w:after="0"/>
              <w:rPr>
                <w:sz w:val="1"/>
                <w:szCs w:val="1"/>
                <w:color w:val="auto"/>
              </w:rPr>
            </w:pPr>
          </w:p>
        </w:tc>
      </w:tr>
      <w:tr>
        <w:trPr>
          <w:trHeight w:val="232"/>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558,602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color w:val="auto"/>
              </w:rPr>
              <w:t>893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-267335</wp:posOffset>
            </wp:positionV>
            <wp:extent cx="641223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11125"/>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2180" w:space="480"/>
            <w:col w:w="7440"/>
          </w:cols>
          <w:pgMar w:left="900" w:top="981" w:right="8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60" w:type="dxa"/>
            <w:vAlign w:val="bottom"/>
            <w:shd w:val="clear" w:color="auto" w:fill="B7DEE8"/>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3"/>
                <w:szCs w:val="13"/>
                <w:color w:val="auto"/>
              </w:rPr>
            </w:pPr>
          </w:p>
        </w:tc>
        <w:tc>
          <w:tcPr>
            <w:tcW w:w="160" w:type="dxa"/>
            <w:vAlign w:val="bottom"/>
            <w:shd w:val="clear" w:color="auto" w:fill="B7DEE8"/>
          </w:tcPr>
          <w:p>
            <w:pPr>
              <w:spacing w:after="0"/>
              <w:rPr>
                <w:sz w:val="13"/>
                <w:szCs w:val="13"/>
                <w:color w:val="auto"/>
              </w:rPr>
            </w:pP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3"/>
                <w:szCs w:val="13"/>
                <w:color w:val="auto"/>
              </w:rPr>
            </w:pPr>
          </w:p>
        </w:tc>
        <w:tc>
          <w:tcPr>
            <w:tcW w:w="320" w:type="dxa"/>
            <w:vAlign w:val="bottom"/>
            <w:shd w:val="clear" w:color="auto" w:fill="B7DEE8"/>
          </w:tcPr>
          <w:p>
            <w:pPr>
              <w:spacing w:after="0"/>
              <w:rPr>
                <w:sz w:val="13"/>
                <w:szCs w:val="13"/>
                <w:color w:val="auto"/>
              </w:rPr>
            </w:pPr>
          </w:p>
        </w:tc>
        <w:tc>
          <w:tcPr>
            <w:tcW w:w="3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27,195</w:t>
            </w:r>
          </w:p>
        </w:tc>
        <w:tc>
          <w:tcPr>
            <w:tcW w:w="100" w:type="dxa"/>
            <w:vAlign w:val="bottom"/>
            <w:shd w:val="clear" w:color="auto" w:fill="B7DEE8"/>
          </w:tcPr>
          <w:p>
            <w:pPr>
              <w:spacing w:after="0"/>
              <w:rPr>
                <w:sz w:val="13"/>
                <w:szCs w:val="13"/>
                <w:color w:val="auto"/>
              </w:rPr>
            </w:pPr>
          </w:p>
        </w:tc>
        <w:tc>
          <w:tcPr>
            <w:tcW w:w="18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3"/>
                <w:szCs w:val="13"/>
                <w:color w:val="auto"/>
              </w:rPr>
            </w:pPr>
          </w:p>
        </w:tc>
        <w:tc>
          <w:tcPr>
            <w:tcW w:w="7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7DEE8"/>
          </w:tcPr>
          <w:p>
            <w:pPr>
              <w:spacing w:after="0"/>
              <w:rPr>
                <w:sz w:val="13"/>
                <w:szCs w:val="13"/>
                <w:color w:val="auto"/>
              </w:rPr>
            </w:pPr>
          </w:p>
        </w:tc>
        <w:tc>
          <w:tcPr>
            <w:tcW w:w="180" w:type="dxa"/>
            <w:vAlign w:val="bottom"/>
            <w:shd w:val="clear" w:color="auto" w:fill="B7DEE8"/>
          </w:tcPr>
          <w:p>
            <w:pPr>
              <w:spacing w:after="0"/>
              <w:rPr>
                <w:sz w:val="13"/>
                <w:szCs w:val="13"/>
                <w:color w:val="auto"/>
              </w:rPr>
            </w:pPr>
          </w:p>
        </w:tc>
        <w:tc>
          <w:tcPr>
            <w:tcW w:w="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27,195</w:t>
            </w:r>
          </w:p>
        </w:tc>
        <w:tc>
          <w:tcPr>
            <w:tcW w:w="10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(403 )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(403 )</w:t>
            </w:r>
          </w:p>
        </w:tc>
        <w:tc>
          <w:tcPr>
            <w:tcW w:w="0" w:type="dxa"/>
            <w:vAlign w:val="bottom"/>
          </w:tcPr>
          <w:p>
            <w:pPr>
              <w:spacing w:after="0"/>
              <w:rPr>
                <w:sz w:val="1"/>
                <w:szCs w:val="1"/>
                <w:color w:val="auto"/>
              </w:rPr>
            </w:pPr>
          </w:p>
        </w:tc>
      </w:tr>
      <w:tr>
        <w:trPr>
          <w:trHeight w:val="107"/>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w:t>
            </w: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6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6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5"/>
                <w:szCs w:val="15"/>
                <w:color w:val="auto"/>
              </w:rPr>
            </w:pPr>
          </w:p>
        </w:tc>
        <w:tc>
          <w:tcPr>
            <w:tcW w:w="160" w:type="dxa"/>
            <w:vAlign w:val="bottom"/>
            <w:tcBorders>
              <w:bottom w:val="single" w:sz="8" w:color="auto"/>
            </w:tcBorders>
            <w:shd w:val="clear" w:color="auto" w:fill="B7DEE8"/>
          </w:tcPr>
          <w:p>
            <w:pPr>
              <w:spacing w:after="0"/>
              <w:rPr>
                <w:sz w:val="15"/>
                <w:szCs w:val="15"/>
                <w:color w:val="auto"/>
              </w:rPr>
            </w:pPr>
          </w:p>
        </w:tc>
        <w:tc>
          <w:tcPr>
            <w:tcW w:w="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5"/>
                <w:szCs w:val="15"/>
                <w:color w:val="auto"/>
              </w:rPr>
            </w:pPr>
          </w:p>
        </w:tc>
        <w:tc>
          <w:tcPr>
            <w:tcW w:w="320" w:type="dxa"/>
            <w:vAlign w:val="bottom"/>
            <w:tcBorders>
              <w:bottom w:val="single" w:sz="8" w:color="auto"/>
            </w:tcBorders>
            <w:shd w:val="clear" w:color="auto" w:fill="B7DEE8"/>
          </w:tcPr>
          <w:p>
            <w:pPr>
              <w:spacing w:after="0"/>
              <w:rPr>
                <w:sz w:val="15"/>
                <w:szCs w:val="15"/>
                <w:color w:val="auto"/>
              </w:rPr>
            </w:pPr>
          </w:p>
        </w:tc>
        <w:tc>
          <w:tcPr>
            <w:tcW w:w="3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5"/>
                <w:szCs w:val="15"/>
                <w:color w:val="auto"/>
              </w:rPr>
            </w:pPr>
          </w:p>
        </w:tc>
        <w:tc>
          <w:tcPr>
            <w:tcW w:w="7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180" w:type="dxa"/>
            <w:vAlign w:val="bottom"/>
            <w:tcBorders>
              <w:bottom w:val="single" w:sz="8" w:color="auto"/>
            </w:tcBorders>
            <w:shd w:val="clear" w:color="auto" w:fill="B7DEE8"/>
          </w:tcPr>
          <w:p>
            <w:pPr>
              <w:spacing w:after="0"/>
              <w:rPr>
                <w:sz w:val="15"/>
                <w:szCs w:val="15"/>
                <w:color w:val="auto"/>
              </w:rPr>
            </w:pPr>
          </w:p>
        </w:tc>
        <w:tc>
          <w:tcPr>
            <w:tcW w:w="100" w:type="dxa"/>
            <w:vAlign w:val="bottom"/>
            <w:tcBorders>
              <w:bottom w:val="single" w:sz="8" w:color="auto"/>
            </w:tcBorders>
            <w:shd w:val="clear" w:color="auto" w:fill="B7DEE8"/>
          </w:tcPr>
          <w:p>
            <w:pPr>
              <w:spacing w:after="0"/>
              <w:rPr>
                <w:sz w:val="15"/>
                <w:szCs w:val="15"/>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7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41,067</w:t>
            </w:r>
          </w:p>
        </w:tc>
        <w:tc>
          <w:tcPr>
            <w:tcW w:w="80" w:type="dxa"/>
            <w:vAlign w:val="bottom"/>
            <w:tcBorders>
              <w:bottom w:val="single" w:sz="8" w:color="B7DEE8"/>
            </w:tcBorders>
            <w:shd w:val="clear" w:color="auto" w:fill="B7DEE8"/>
          </w:tcPr>
          <w:p>
            <w:pPr>
              <w:spacing w:after="0"/>
              <w:rPr>
                <w:sz w:val="15"/>
                <w:szCs w:val="15"/>
                <w:color w:val="auto"/>
              </w:rPr>
            </w:pPr>
          </w:p>
        </w:tc>
        <w:tc>
          <w:tcPr>
            <w:tcW w:w="180" w:type="dxa"/>
            <w:vAlign w:val="bottom"/>
            <w:tcBorders>
              <w:bottom w:val="single" w:sz="8" w:color="auto"/>
            </w:tcBorders>
            <w:shd w:val="clear" w:color="auto" w:fill="B7DEE8"/>
          </w:tcPr>
          <w:p>
            <w:pPr>
              <w:spacing w:after="0"/>
              <w:rPr>
                <w:sz w:val="15"/>
                <w:szCs w:val="15"/>
                <w:color w:val="auto"/>
              </w:rPr>
            </w:pPr>
          </w:p>
        </w:tc>
        <w:tc>
          <w:tcPr>
            <w:tcW w:w="7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41,067</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11,192,775</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324,821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100" w:type="dxa"/>
            <w:vAlign w:val="bottom"/>
          </w:tcPr>
          <w:p>
            <w:pPr>
              <w:spacing w:after="0"/>
              <w:rPr>
                <w:sz w:val="14"/>
                <w:szCs w:val="14"/>
                <w:color w:val="auto"/>
              </w:rPr>
            </w:pPr>
          </w:p>
        </w:tc>
        <w:tc>
          <w:tcPr>
            <w:tcW w:w="9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(169,253 )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155,815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00" w:type="dxa"/>
            <w:vAlign w:val="bottom"/>
          </w:tcPr>
          <w:p>
            <w:pPr>
              <w:spacing w:after="0"/>
              <w:rPr>
                <w:sz w:val="5"/>
                <w:szCs w:val="5"/>
                <w:color w:val="auto"/>
              </w:rPr>
            </w:pPr>
          </w:p>
        </w:tc>
        <w:tc>
          <w:tcPr>
            <w:tcW w:w="10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120" w:type="dxa"/>
            <w:vAlign w:val="bottom"/>
            <w:gridSpan w:val="3"/>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vMerge w:val="restart"/>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140" w:type="dxa"/>
            <w:vAlign w:val="bottom"/>
            <w:gridSpan w:val="3"/>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0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ted deficit</w:t>
            </w: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-890905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-890905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-890905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-890905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-890905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-890905</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-890905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-890905</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January 1, 2023</w:t>
      </w:r>
    </w:p>
    <w:p>
      <w:pPr>
        <w:spacing w:after="0" w:line="29"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Payment for fractional shares after reverse stock split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8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10,284,657</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270,037</w:t>
            </w:r>
          </w:p>
        </w:tc>
        <w:tc>
          <w:tcPr>
            <w:tcW w:w="4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(161,803</w:t>
            </w:r>
          </w:p>
        </w:tc>
        <w:tc>
          <w:tcPr>
            <w:tcW w:w="80" w:type="dxa"/>
            <w:vAlign w:val="bottom"/>
            <w:vMerge w:val="continue"/>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106,560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253,068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(13 )</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-473075</wp:posOffset>
            </wp:positionV>
            <wp:extent cx="6412230" cy="1111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2230" cy="111125"/>
                    </a:xfrm>
                    <a:prstGeom prst="rect">
                      <a:avLst/>
                    </a:prstGeom>
                    <a:noFill/>
                  </pic:spPr>
                </pic:pic>
              </a:graphicData>
            </a:graphic>
          </wp:anchor>
        </w:drawing>
        <w:drawing>
          <wp:anchor simplePos="0" relativeHeight="251657728" behindDoc="1" locked="0" layoutInCell="0" allowOverlap="1">
            <wp:simplePos x="0" y="0"/>
            <wp:positionH relativeFrom="column">
              <wp:posOffset>-1691640</wp:posOffset>
            </wp:positionH>
            <wp:positionV relativeFrom="paragraph">
              <wp:posOffset>-156210</wp:posOffset>
            </wp:positionV>
            <wp:extent cx="641223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20574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2440" w:space="220"/>
            <w:col w:w="7440"/>
          </w:cols>
          <w:pgMar w:left="900" w:top="981" w:right="89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660" w:type="dxa"/>
            <w:vAlign w:val="bottom"/>
            <w:shd w:val="clear" w:color="auto" w:fill="B7DEE8"/>
          </w:tcPr>
          <w:p>
            <w:pPr>
              <w:spacing w:after="0" w:line="139" w:lineRule="exact"/>
              <w:rPr>
                <w:sz w:val="20"/>
                <w:szCs w:val="20"/>
                <w:color w:val="auto"/>
              </w:rPr>
            </w:pPr>
            <w:r>
              <w:rPr>
                <w:rFonts w:ascii="Times New Roman" w:cs="Times New Roman" w:eastAsia="Times New Roman" w:hAnsi="Times New Roman"/>
                <w:sz w:val="14"/>
                <w:szCs w:val="14"/>
                <w:color w:val="auto"/>
              </w:rPr>
              <w:t>Unrealized gain on available-for-sale</w:t>
            </w:r>
          </w:p>
        </w:tc>
        <w:tc>
          <w:tcPr>
            <w:tcW w:w="8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2"/>
                <w:szCs w:val="12"/>
                <w:color w:val="auto"/>
              </w:rPr>
            </w:pPr>
          </w:p>
        </w:tc>
        <w:tc>
          <w:tcPr>
            <w:tcW w:w="160" w:type="dxa"/>
            <w:vAlign w:val="bottom"/>
            <w:shd w:val="clear" w:color="auto" w:fill="B7DEE8"/>
          </w:tcPr>
          <w:p>
            <w:pPr>
              <w:spacing w:after="0"/>
              <w:rPr>
                <w:sz w:val="12"/>
                <w:szCs w:val="12"/>
                <w:color w:val="auto"/>
              </w:rPr>
            </w:pPr>
          </w:p>
        </w:tc>
        <w:tc>
          <w:tcPr>
            <w:tcW w:w="42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2"/>
                <w:szCs w:val="12"/>
                <w:color w:val="auto"/>
              </w:rPr>
            </w:pPr>
          </w:p>
        </w:tc>
        <w:tc>
          <w:tcPr>
            <w:tcW w:w="320" w:type="dxa"/>
            <w:vAlign w:val="bottom"/>
            <w:shd w:val="clear" w:color="auto" w:fill="B7DEE8"/>
          </w:tcPr>
          <w:p>
            <w:pPr>
              <w:spacing w:after="0"/>
              <w:rPr>
                <w:sz w:val="12"/>
                <w:szCs w:val="12"/>
                <w:color w:val="auto"/>
              </w:rPr>
            </w:pPr>
          </w:p>
        </w:tc>
        <w:tc>
          <w:tcPr>
            <w:tcW w:w="30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2"/>
                <w:szCs w:val="12"/>
                <w:color w:val="auto"/>
              </w:rPr>
            </w:pPr>
          </w:p>
        </w:tc>
        <w:tc>
          <w:tcPr>
            <w:tcW w:w="180" w:type="dxa"/>
            <w:vAlign w:val="bottom"/>
            <w:shd w:val="clear" w:color="auto" w:fill="B7DEE8"/>
          </w:tcPr>
          <w:p>
            <w:pPr>
              <w:spacing w:after="0"/>
              <w:rPr>
                <w:sz w:val="12"/>
                <w:szCs w:val="12"/>
                <w:color w:val="auto"/>
              </w:rPr>
            </w:pPr>
          </w:p>
        </w:tc>
        <w:tc>
          <w:tcPr>
            <w:tcW w:w="100" w:type="dxa"/>
            <w:vAlign w:val="bottom"/>
            <w:shd w:val="clear" w:color="auto" w:fill="B7DEE8"/>
          </w:tcPr>
          <w:p>
            <w:pPr>
              <w:spacing w:after="0"/>
              <w:rPr>
                <w:sz w:val="12"/>
                <w:szCs w:val="12"/>
                <w:color w:val="auto"/>
              </w:rPr>
            </w:pPr>
          </w:p>
        </w:tc>
        <w:tc>
          <w:tcPr>
            <w:tcW w:w="94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1,167</w:t>
            </w:r>
          </w:p>
        </w:tc>
        <w:tc>
          <w:tcPr>
            <w:tcW w:w="800" w:type="dxa"/>
            <w:vAlign w:val="bottom"/>
            <w:gridSpan w:val="2"/>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7DEE8"/>
          </w:tcPr>
          <w:p>
            <w:pPr>
              <w:spacing w:after="0"/>
              <w:rPr>
                <w:sz w:val="12"/>
                <w:szCs w:val="12"/>
                <w:color w:val="auto"/>
              </w:rPr>
            </w:pPr>
          </w:p>
        </w:tc>
        <w:tc>
          <w:tcPr>
            <w:tcW w:w="180" w:type="dxa"/>
            <w:vAlign w:val="bottom"/>
            <w:shd w:val="clear" w:color="auto" w:fill="B7DEE8"/>
          </w:tcPr>
          <w:p>
            <w:pPr>
              <w:spacing w:after="0"/>
              <w:rPr>
                <w:sz w:val="12"/>
                <w:szCs w:val="12"/>
                <w:color w:val="auto"/>
              </w:rPr>
            </w:pPr>
          </w:p>
        </w:tc>
        <w:tc>
          <w:tcPr>
            <w:tcW w:w="760" w:type="dxa"/>
            <w:vAlign w:val="bottom"/>
            <w:vMerge w:val="restart"/>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1,167</w:t>
            </w:r>
          </w:p>
        </w:tc>
        <w:tc>
          <w:tcPr>
            <w:tcW w:w="100" w:type="dxa"/>
            <w:vAlign w:val="bottom"/>
            <w:shd w:val="clear" w:color="auto" w:fill="B7DEE8"/>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60" w:type="dxa"/>
            <w:vAlign w:val="bottom"/>
            <w:vMerge w:val="restart"/>
            <w:shd w:val="clear" w:color="auto" w:fill="B7DEE8"/>
          </w:tcPr>
          <w:p>
            <w:pPr>
              <w:spacing w:after="0"/>
              <w:rPr>
                <w:sz w:val="20"/>
                <w:szCs w:val="20"/>
                <w:color w:val="auto"/>
              </w:rPr>
            </w:pPr>
            <w:r>
              <w:rPr>
                <w:rFonts w:ascii="Times New Roman" w:cs="Times New Roman" w:eastAsia="Times New Roman" w:hAnsi="Times New Roman"/>
                <w:sz w:val="14"/>
                <w:szCs w:val="14"/>
                <w:color w:val="auto"/>
              </w:rPr>
              <w:t>securities</w:t>
            </w:r>
          </w:p>
        </w:tc>
        <w:tc>
          <w:tcPr>
            <w:tcW w:w="840" w:type="dxa"/>
            <w:vAlign w:val="bottom"/>
            <w:vMerge w:val="continue"/>
            <w:shd w:val="clear" w:color="auto" w:fill="B7DEE8"/>
          </w:tcPr>
          <w:p>
            <w:pPr>
              <w:spacing w:after="0"/>
              <w:rPr>
                <w:sz w:val="9"/>
                <w:szCs w:val="9"/>
                <w:color w:val="auto"/>
              </w:rPr>
            </w:pPr>
          </w:p>
        </w:tc>
        <w:tc>
          <w:tcPr>
            <w:tcW w:w="120" w:type="dxa"/>
            <w:vAlign w:val="bottom"/>
            <w:shd w:val="clear" w:color="auto" w:fill="B7DEE8"/>
          </w:tcPr>
          <w:p>
            <w:pPr>
              <w:spacing w:after="0"/>
              <w:rPr>
                <w:sz w:val="9"/>
                <w:szCs w:val="9"/>
                <w:color w:val="auto"/>
              </w:rPr>
            </w:pPr>
          </w:p>
        </w:tc>
        <w:tc>
          <w:tcPr>
            <w:tcW w:w="160" w:type="dxa"/>
            <w:vAlign w:val="bottom"/>
            <w:shd w:val="clear" w:color="auto" w:fill="B7DEE8"/>
          </w:tcPr>
          <w:p>
            <w:pPr>
              <w:spacing w:after="0"/>
              <w:rPr>
                <w:sz w:val="9"/>
                <w:szCs w:val="9"/>
                <w:color w:val="auto"/>
              </w:rPr>
            </w:pPr>
          </w:p>
        </w:tc>
        <w:tc>
          <w:tcPr>
            <w:tcW w:w="420" w:type="dxa"/>
            <w:vAlign w:val="bottom"/>
            <w:vMerge w:val="continue"/>
            <w:shd w:val="clear" w:color="auto" w:fill="B7DEE8"/>
          </w:tcPr>
          <w:p>
            <w:pPr>
              <w:spacing w:after="0"/>
              <w:rPr>
                <w:sz w:val="9"/>
                <w:szCs w:val="9"/>
                <w:color w:val="auto"/>
              </w:rPr>
            </w:pPr>
          </w:p>
        </w:tc>
        <w:tc>
          <w:tcPr>
            <w:tcW w:w="1040" w:type="dxa"/>
            <w:vAlign w:val="bottom"/>
            <w:gridSpan w:val="2"/>
            <w:vMerge w:val="continue"/>
            <w:shd w:val="clear" w:color="auto" w:fill="B7DEE8"/>
          </w:tcPr>
          <w:p>
            <w:pPr>
              <w:spacing w:after="0"/>
              <w:rPr>
                <w:sz w:val="9"/>
                <w:szCs w:val="9"/>
                <w:color w:val="auto"/>
              </w:rPr>
            </w:pPr>
          </w:p>
        </w:tc>
        <w:tc>
          <w:tcPr>
            <w:tcW w:w="120" w:type="dxa"/>
            <w:vAlign w:val="bottom"/>
            <w:shd w:val="clear" w:color="auto" w:fill="B7DEE8"/>
          </w:tcPr>
          <w:p>
            <w:pPr>
              <w:spacing w:after="0"/>
              <w:rPr>
                <w:sz w:val="9"/>
                <w:szCs w:val="9"/>
                <w:color w:val="auto"/>
              </w:rPr>
            </w:pPr>
          </w:p>
        </w:tc>
        <w:tc>
          <w:tcPr>
            <w:tcW w:w="320" w:type="dxa"/>
            <w:vAlign w:val="bottom"/>
            <w:shd w:val="clear" w:color="auto" w:fill="B7DEE8"/>
          </w:tcPr>
          <w:p>
            <w:pPr>
              <w:spacing w:after="0"/>
              <w:rPr>
                <w:sz w:val="9"/>
                <w:szCs w:val="9"/>
                <w:color w:val="auto"/>
              </w:rPr>
            </w:pPr>
          </w:p>
        </w:tc>
        <w:tc>
          <w:tcPr>
            <w:tcW w:w="300" w:type="dxa"/>
            <w:vAlign w:val="bottom"/>
            <w:vMerge w:val="continue"/>
            <w:shd w:val="clear" w:color="auto" w:fill="B7DEE8"/>
          </w:tcPr>
          <w:p>
            <w:pPr>
              <w:spacing w:after="0"/>
              <w:rPr>
                <w:sz w:val="9"/>
                <w:szCs w:val="9"/>
                <w:color w:val="auto"/>
              </w:rPr>
            </w:pPr>
          </w:p>
        </w:tc>
        <w:tc>
          <w:tcPr>
            <w:tcW w:w="880" w:type="dxa"/>
            <w:vAlign w:val="bottom"/>
            <w:gridSpan w:val="2"/>
            <w:vMerge w:val="continue"/>
            <w:shd w:val="clear" w:color="auto" w:fill="B7DEE8"/>
          </w:tcPr>
          <w:p>
            <w:pPr>
              <w:spacing w:after="0"/>
              <w:rPr>
                <w:sz w:val="9"/>
                <w:szCs w:val="9"/>
                <w:color w:val="auto"/>
              </w:rPr>
            </w:pPr>
          </w:p>
        </w:tc>
        <w:tc>
          <w:tcPr>
            <w:tcW w:w="100" w:type="dxa"/>
            <w:vAlign w:val="bottom"/>
            <w:shd w:val="clear" w:color="auto" w:fill="B7DEE8"/>
          </w:tcPr>
          <w:p>
            <w:pPr>
              <w:spacing w:after="0"/>
              <w:rPr>
                <w:sz w:val="9"/>
                <w:szCs w:val="9"/>
                <w:color w:val="auto"/>
              </w:rPr>
            </w:pPr>
          </w:p>
        </w:tc>
        <w:tc>
          <w:tcPr>
            <w:tcW w:w="180" w:type="dxa"/>
            <w:vAlign w:val="bottom"/>
            <w:shd w:val="clear" w:color="auto" w:fill="B7DEE8"/>
          </w:tcPr>
          <w:p>
            <w:pPr>
              <w:spacing w:after="0"/>
              <w:rPr>
                <w:sz w:val="9"/>
                <w:szCs w:val="9"/>
                <w:color w:val="auto"/>
              </w:rPr>
            </w:pPr>
          </w:p>
        </w:tc>
        <w:tc>
          <w:tcPr>
            <w:tcW w:w="100" w:type="dxa"/>
            <w:vAlign w:val="bottom"/>
            <w:shd w:val="clear" w:color="auto" w:fill="B7DEE8"/>
          </w:tcPr>
          <w:p>
            <w:pPr>
              <w:spacing w:after="0"/>
              <w:rPr>
                <w:sz w:val="9"/>
                <w:szCs w:val="9"/>
                <w:color w:val="auto"/>
              </w:rPr>
            </w:pPr>
          </w:p>
        </w:tc>
        <w:tc>
          <w:tcPr>
            <w:tcW w:w="940" w:type="dxa"/>
            <w:vAlign w:val="bottom"/>
            <w:vMerge w:val="continue"/>
            <w:shd w:val="clear" w:color="auto" w:fill="B7DEE8"/>
          </w:tcPr>
          <w:p>
            <w:pPr>
              <w:spacing w:after="0"/>
              <w:rPr>
                <w:sz w:val="9"/>
                <w:szCs w:val="9"/>
                <w:color w:val="auto"/>
              </w:rPr>
            </w:pPr>
          </w:p>
        </w:tc>
        <w:tc>
          <w:tcPr>
            <w:tcW w:w="800" w:type="dxa"/>
            <w:vAlign w:val="bottom"/>
            <w:gridSpan w:val="2"/>
            <w:vMerge w:val="continue"/>
            <w:shd w:val="clear" w:color="auto" w:fill="B7DEE8"/>
          </w:tcPr>
          <w:p>
            <w:pPr>
              <w:spacing w:after="0"/>
              <w:rPr>
                <w:sz w:val="9"/>
                <w:szCs w:val="9"/>
                <w:color w:val="auto"/>
              </w:rPr>
            </w:pPr>
          </w:p>
        </w:tc>
        <w:tc>
          <w:tcPr>
            <w:tcW w:w="80" w:type="dxa"/>
            <w:vAlign w:val="bottom"/>
            <w:shd w:val="clear" w:color="auto" w:fill="B7DEE8"/>
          </w:tcPr>
          <w:p>
            <w:pPr>
              <w:spacing w:after="0"/>
              <w:rPr>
                <w:sz w:val="9"/>
                <w:szCs w:val="9"/>
                <w:color w:val="auto"/>
              </w:rPr>
            </w:pPr>
          </w:p>
        </w:tc>
        <w:tc>
          <w:tcPr>
            <w:tcW w:w="180" w:type="dxa"/>
            <w:vAlign w:val="bottom"/>
            <w:shd w:val="clear" w:color="auto" w:fill="B7DEE8"/>
          </w:tcPr>
          <w:p>
            <w:pPr>
              <w:spacing w:after="0"/>
              <w:rPr>
                <w:sz w:val="9"/>
                <w:szCs w:val="9"/>
                <w:color w:val="auto"/>
              </w:rPr>
            </w:pPr>
          </w:p>
        </w:tc>
        <w:tc>
          <w:tcPr>
            <w:tcW w:w="760" w:type="dxa"/>
            <w:vAlign w:val="bottom"/>
            <w:vMerge w:val="continue"/>
            <w:shd w:val="clear" w:color="auto" w:fill="B7DEE8"/>
          </w:tcPr>
          <w:p>
            <w:pPr>
              <w:spacing w:after="0"/>
              <w:rPr>
                <w:sz w:val="9"/>
                <w:szCs w:val="9"/>
                <w:color w:val="auto"/>
              </w:rPr>
            </w:pPr>
          </w:p>
        </w:tc>
        <w:tc>
          <w:tcPr>
            <w:tcW w:w="100" w:type="dxa"/>
            <w:vAlign w:val="bottom"/>
            <w:shd w:val="clear" w:color="auto" w:fill="B7DEE8"/>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660" w:type="dxa"/>
            <w:vAlign w:val="bottom"/>
            <w:vMerge w:val="continue"/>
            <w:shd w:val="clear" w:color="auto" w:fill="B7DEE8"/>
          </w:tcPr>
          <w:p>
            <w:pPr>
              <w:spacing w:after="0"/>
              <w:rPr>
                <w:sz w:val="6"/>
                <w:szCs w:val="6"/>
                <w:color w:val="auto"/>
              </w:rPr>
            </w:pPr>
          </w:p>
        </w:tc>
        <w:tc>
          <w:tcPr>
            <w:tcW w:w="840" w:type="dxa"/>
            <w:vAlign w:val="bottom"/>
            <w:shd w:val="clear" w:color="auto" w:fill="B7DEE8"/>
          </w:tcPr>
          <w:p>
            <w:pPr>
              <w:spacing w:after="0"/>
              <w:rPr>
                <w:sz w:val="6"/>
                <w:szCs w:val="6"/>
                <w:color w:val="auto"/>
              </w:rPr>
            </w:pPr>
          </w:p>
        </w:tc>
        <w:tc>
          <w:tcPr>
            <w:tcW w:w="120" w:type="dxa"/>
            <w:vAlign w:val="bottom"/>
            <w:shd w:val="clear" w:color="auto" w:fill="B7DEE8"/>
          </w:tcPr>
          <w:p>
            <w:pPr>
              <w:spacing w:after="0"/>
              <w:rPr>
                <w:sz w:val="6"/>
                <w:szCs w:val="6"/>
                <w:color w:val="auto"/>
              </w:rPr>
            </w:pPr>
          </w:p>
        </w:tc>
        <w:tc>
          <w:tcPr>
            <w:tcW w:w="160" w:type="dxa"/>
            <w:vAlign w:val="bottom"/>
            <w:shd w:val="clear" w:color="auto" w:fill="B7DEE8"/>
          </w:tcPr>
          <w:p>
            <w:pPr>
              <w:spacing w:after="0"/>
              <w:rPr>
                <w:sz w:val="6"/>
                <w:szCs w:val="6"/>
                <w:color w:val="auto"/>
              </w:rPr>
            </w:pPr>
          </w:p>
        </w:tc>
        <w:tc>
          <w:tcPr>
            <w:tcW w:w="420" w:type="dxa"/>
            <w:vAlign w:val="bottom"/>
            <w:shd w:val="clear" w:color="auto" w:fill="B7DEE8"/>
          </w:tcPr>
          <w:p>
            <w:pPr>
              <w:spacing w:after="0"/>
              <w:rPr>
                <w:sz w:val="6"/>
                <w:szCs w:val="6"/>
                <w:color w:val="auto"/>
              </w:rPr>
            </w:pPr>
          </w:p>
        </w:tc>
        <w:tc>
          <w:tcPr>
            <w:tcW w:w="100" w:type="dxa"/>
            <w:vAlign w:val="bottom"/>
            <w:shd w:val="clear" w:color="auto" w:fill="B7DEE8"/>
          </w:tcPr>
          <w:p>
            <w:pPr>
              <w:spacing w:after="0"/>
              <w:rPr>
                <w:sz w:val="6"/>
                <w:szCs w:val="6"/>
                <w:color w:val="auto"/>
              </w:rPr>
            </w:pPr>
          </w:p>
        </w:tc>
        <w:tc>
          <w:tcPr>
            <w:tcW w:w="940" w:type="dxa"/>
            <w:vAlign w:val="bottom"/>
            <w:shd w:val="clear" w:color="auto" w:fill="B7DEE8"/>
          </w:tcPr>
          <w:p>
            <w:pPr>
              <w:spacing w:after="0"/>
              <w:rPr>
                <w:sz w:val="6"/>
                <w:szCs w:val="6"/>
                <w:color w:val="auto"/>
              </w:rPr>
            </w:pPr>
          </w:p>
        </w:tc>
        <w:tc>
          <w:tcPr>
            <w:tcW w:w="120" w:type="dxa"/>
            <w:vAlign w:val="bottom"/>
            <w:shd w:val="clear" w:color="auto" w:fill="B7DEE8"/>
          </w:tcPr>
          <w:p>
            <w:pPr>
              <w:spacing w:after="0"/>
              <w:rPr>
                <w:sz w:val="6"/>
                <w:szCs w:val="6"/>
                <w:color w:val="auto"/>
              </w:rPr>
            </w:pPr>
          </w:p>
        </w:tc>
        <w:tc>
          <w:tcPr>
            <w:tcW w:w="320" w:type="dxa"/>
            <w:vAlign w:val="bottom"/>
            <w:shd w:val="clear" w:color="auto" w:fill="B7DEE8"/>
          </w:tcPr>
          <w:p>
            <w:pPr>
              <w:spacing w:after="0"/>
              <w:rPr>
                <w:sz w:val="6"/>
                <w:szCs w:val="6"/>
                <w:color w:val="auto"/>
              </w:rPr>
            </w:pPr>
          </w:p>
        </w:tc>
        <w:tc>
          <w:tcPr>
            <w:tcW w:w="300" w:type="dxa"/>
            <w:vAlign w:val="bottom"/>
            <w:shd w:val="clear" w:color="auto" w:fill="B7DEE8"/>
          </w:tcPr>
          <w:p>
            <w:pPr>
              <w:spacing w:after="0"/>
              <w:rPr>
                <w:sz w:val="6"/>
                <w:szCs w:val="6"/>
                <w:color w:val="auto"/>
              </w:rPr>
            </w:pPr>
          </w:p>
        </w:tc>
        <w:tc>
          <w:tcPr>
            <w:tcW w:w="120" w:type="dxa"/>
            <w:vAlign w:val="bottom"/>
            <w:shd w:val="clear" w:color="auto" w:fill="B7DEE8"/>
          </w:tcPr>
          <w:p>
            <w:pPr>
              <w:spacing w:after="0"/>
              <w:rPr>
                <w:sz w:val="6"/>
                <w:szCs w:val="6"/>
                <w:color w:val="auto"/>
              </w:rPr>
            </w:pPr>
          </w:p>
        </w:tc>
        <w:tc>
          <w:tcPr>
            <w:tcW w:w="760" w:type="dxa"/>
            <w:vAlign w:val="bottom"/>
            <w:shd w:val="clear" w:color="auto" w:fill="B7DEE8"/>
          </w:tcPr>
          <w:p>
            <w:pPr>
              <w:spacing w:after="0"/>
              <w:rPr>
                <w:sz w:val="6"/>
                <w:szCs w:val="6"/>
                <w:color w:val="auto"/>
              </w:rPr>
            </w:pPr>
          </w:p>
        </w:tc>
        <w:tc>
          <w:tcPr>
            <w:tcW w:w="100" w:type="dxa"/>
            <w:vAlign w:val="bottom"/>
            <w:shd w:val="clear" w:color="auto" w:fill="B7DEE8"/>
          </w:tcPr>
          <w:p>
            <w:pPr>
              <w:spacing w:after="0"/>
              <w:rPr>
                <w:sz w:val="6"/>
                <w:szCs w:val="6"/>
                <w:color w:val="auto"/>
              </w:rPr>
            </w:pPr>
          </w:p>
        </w:tc>
        <w:tc>
          <w:tcPr>
            <w:tcW w:w="180" w:type="dxa"/>
            <w:vAlign w:val="bottom"/>
            <w:shd w:val="clear" w:color="auto" w:fill="B7DEE8"/>
          </w:tcPr>
          <w:p>
            <w:pPr>
              <w:spacing w:after="0"/>
              <w:rPr>
                <w:sz w:val="6"/>
                <w:szCs w:val="6"/>
                <w:color w:val="auto"/>
              </w:rPr>
            </w:pPr>
          </w:p>
        </w:tc>
        <w:tc>
          <w:tcPr>
            <w:tcW w:w="100" w:type="dxa"/>
            <w:vAlign w:val="bottom"/>
            <w:shd w:val="clear" w:color="auto" w:fill="B7DEE8"/>
          </w:tcPr>
          <w:p>
            <w:pPr>
              <w:spacing w:after="0"/>
              <w:rPr>
                <w:sz w:val="6"/>
                <w:szCs w:val="6"/>
                <w:color w:val="auto"/>
              </w:rPr>
            </w:pPr>
          </w:p>
        </w:tc>
        <w:tc>
          <w:tcPr>
            <w:tcW w:w="940" w:type="dxa"/>
            <w:vAlign w:val="bottom"/>
            <w:shd w:val="clear" w:color="auto" w:fill="B7DEE8"/>
          </w:tcPr>
          <w:p>
            <w:pPr>
              <w:spacing w:after="0"/>
              <w:rPr>
                <w:sz w:val="6"/>
                <w:szCs w:val="6"/>
                <w:color w:val="auto"/>
              </w:rPr>
            </w:pPr>
          </w:p>
        </w:tc>
        <w:tc>
          <w:tcPr>
            <w:tcW w:w="100" w:type="dxa"/>
            <w:vAlign w:val="bottom"/>
            <w:shd w:val="clear" w:color="auto" w:fill="B7DEE8"/>
          </w:tcPr>
          <w:p>
            <w:pPr>
              <w:spacing w:after="0"/>
              <w:rPr>
                <w:sz w:val="6"/>
                <w:szCs w:val="6"/>
                <w:color w:val="auto"/>
              </w:rPr>
            </w:pPr>
          </w:p>
        </w:tc>
        <w:tc>
          <w:tcPr>
            <w:tcW w:w="700" w:type="dxa"/>
            <w:vAlign w:val="bottom"/>
            <w:shd w:val="clear" w:color="auto" w:fill="B7DEE8"/>
          </w:tcPr>
          <w:p>
            <w:pPr>
              <w:spacing w:after="0"/>
              <w:rPr>
                <w:sz w:val="6"/>
                <w:szCs w:val="6"/>
                <w:color w:val="auto"/>
              </w:rPr>
            </w:pPr>
          </w:p>
        </w:tc>
        <w:tc>
          <w:tcPr>
            <w:tcW w:w="80" w:type="dxa"/>
            <w:vAlign w:val="bottom"/>
            <w:shd w:val="clear" w:color="auto" w:fill="B7DEE8"/>
          </w:tcPr>
          <w:p>
            <w:pPr>
              <w:spacing w:after="0"/>
              <w:rPr>
                <w:sz w:val="6"/>
                <w:szCs w:val="6"/>
                <w:color w:val="auto"/>
              </w:rPr>
            </w:pPr>
          </w:p>
        </w:tc>
        <w:tc>
          <w:tcPr>
            <w:tcW w:w="180" w:type="dxa"/>
            <w:vAlign w:val="bottom"/>
            <w:shd w:val="clear" w:color="auto" w:fill="B7DEE8"/>
          </w:tcPr>
          <w:p>
            <w:pPr>
              <w:spacing w:after="0"/>
              <w:rPr>
                <w:sz w:val="6"/>
                <w:szCs w:val="6"/>
                <w:color w:val="auto"/>
              </w:rPr>
            </w:pPr>
          </w:p>
        </w:tc>
        <w:tc>
          <w:tcPr>
            <w:tcW w:w="760" w:type="dxa"/>
            <w:vAlign w:val="bottom"/>
            <w:shd w:val="clear" w:color="auto" w:fill="B7DEE8"/>
          </w:tcPr>
          <w:p>
            <w:pPr>
              <w:spacing w:after="0"/>
              <w:rPr>
                <w:sz w:val="6"/>
                <w:szCs w:val="6"/>
                <w:color w:val="auto"/>
              </w:rPr>
            </w:pPr>
          </w:p>
        </w:tc>
        <w:tc>
          <w:tcPr>
            <w:tcW w:w="100" w:type="dxa"/>
            <w:vAlign w:val="bottom"/>
            <w:shd w:val="clear" w:color="auto" w:fill="B7DEE8"/>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(48,696 )</w:t>
            </w: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(48,696 )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660" w:type="dxa"/>
            <w:vAlign w:val="bottom"/>
            <w:shd w:val="clear" w:color="auto" w:fill="B7DEE8"/>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10,537,725</w:t>
            </w:r>
          </w:p>
        </w:tc>
        <w:tc>
          <w:tcPr>
            <w:tcW w:w="120" w:type="dxa"/>
            <w:vAlign w:val="bottom"/>
            <w:shd w:val="clear" w:color="auto" w:fill="B7DEE8"/>
          </w:tcPr>
          <w:p>
            <w:pPr>
              <w:spacing w:after="0"/>
              <w:rPr>
                <w:sz w:val="16"/>
                <w:szCs w:val="16"/>
                <w:color w:val="auto"/>
              </w:rPr>
            </w:pPr>
          </w:p>
        </w:tc>
        <w:tc>
          <w:tcPr>
            <w:tcW w:w="160" w:type="dxa"/>
            <w:vAlign w:val="bottom"/>
            <w:shd w:val="clear" w:color="auto" w:fill="B7DEE8"/>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shd w:val="clear" w:color="auto" w:fill="B7DEE8"/>
          </w:tcPr>
          <w:p>
            <w:pPr>
              <w:spacing w:after="0"/>
              <w:rPr>
                <w:sz w:val="16"/>
                <w:szCs w:val="16"/>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shd w:val="clear" w:color="auto" w:fill="B7DEE8"/>
          </w:tcPr>
          <w:p>
            <w:pPr>
              <w:spacing w:after="0"/>
              <w:rPr>
                <w:sz w:val="16"/>
                <w:szCs w:val="16"/>
                <w:color w:val="auto"/>
              </w:rPr>
            </w:pPr>
          </w:p>
        </w:tc>
        <w:tc>
          <w:tcPr>
            <w:tcW w:w="320" w:type="dxa"/>
            <w:vAlign w:val="bottom"/>
            <w:shd w:val="clear" w:color="auto" w:fill="B7DEE8"/>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B7DEE8"/>
          </w:tcPr>
          <w:p>
            <w:pPr>
              <w:spacing w:after="0"/>
              <w:rPr>
                <w:sz w:val="16"/>
                <w:szCs w:val="16"/>
                <w:color w:val="auto"/>
              </w:rPr>
            </w:pPr>
          </w:p>
        </w:tc>
        <w:tc>
          <w:tcPr>
            <w:tcW w:w="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   290,187</w:t>
            </w:r>
          </w:p>
        </w:tc>
        <w:tc>
          <w:tcPr>
            <w:tcW w:w="100" w:type="dxa"/>
            <w:vAlign w:val="bottom"/>
            <w:shd w:val="clear" w:color="auto" w:fill="B7DEE8"/>
          </w:tcPr>
          <w:p>
            <w:pPr>
              <w:spacing w:after="0"/>
              <w:rPr>
                <w:sz w:val="16"/>
                <w:szCs w:val="16"/>
                <w:color w:val="auto"/>
              </w:rPr>
            </w:pPr>
          </w:p>
        </w:tc>
        <w:tc>
          <w:tcPr>
            <w:tcW w:w="180" w:type="dxa"/>
            <w:vAlign w:val="bottom"/>
            <w:shd w:val="clear" w:color="auto" w:fill="B7DEE8"/>
          </w:tcPr>
          <w:p>
            <w:pPr>
              <w:spacing w:after="0"/>
              <w:rPr>
                <w:sz w:val="16"/>
                <w:szCs w:val="16"/>
                <w:color w:val="auto"/>
              </w:rPr>
            </w:pPr>
          </w:p>
        </w:tc>
        <w:tc>
          <w:tcPr>
            <w:tcW w:w="1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5"/>
            <w:shd w:val="clear" w:color="auto" w:fill="B7DEE8"/>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(508 ) $ (210,499 ) $</w:t>
            </w:r>
          </w:p>
        </w:tc>
        <w:tc>
          <w:tcPr>
            <w:tcW w:w="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79,181</w:t>
            </w:r>
          </w:p>
        </w:tc>
        <w:tc>
          <w:tcPr>
            <w:tcW w:w="100" w:type="dxa"/>
            <w:vAlign w:val="bottom"/>
            <w:shd w:val="clear" w:color="auto" w:fill="B7DEE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B7DEE8"/>
            </w:tcBorders>
            <w:shd w:val="clear" w:color="auto" w:fill="B7DEE8"/>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7DEE8"/>
            </w:tcBorders>
            <w:shd w:val="clear" w:color="auto" w:fill="B7DE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7DEE8"/>
            </w:tcBorders>
            <w:shd w:val="clear" w:color="auto" w:fill="B7DEE8"/>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7DEE8"/>
            </w:tcBorders>
            <w:shd w:val="clear" w:color="auto" w:fill="B7DE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7DEE8"/>
            </w:tcBorders>
            <w:shd w:val="clear" w:color="auto" w:fill="B7DEE8"/>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7DEE8"/>
            </w:tcBorders>
            <w:shd w:val="clear" w:color="auto" w:fill="B7DE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7DEE8"/>
            </w:tcBorders>
            <w:shd w:val="clear" w:color="auto" w:fill="B7DEE8"/>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7DEE8"/>
            </w:tcBorders>
            <w:shd w:val="clear" w:color="auto" w:fill="B7DEE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7DEE8"/>
            </w:tcBorders>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00" w:type="dxa"/>
            <w:vAlign w:val="bottom"/>
          </w:tcPr>
          <w:p>
            <w:pPr>
              <w:spacing w:after="0"/>
              <w:rPr>
                <w:sz w:val="5"/>
                <w:szCs w:val="5"/>
                <w:color w:val="auto"/>
              </w:rPr>
            </w:pPr>
          </w:p>
        </w:tc>
        <w:tc>
          <w:tcPr>
            <w:tcW w:w="94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120" w:type="dxa"/>
            <w:vAlign w:val="bottom"/>
            <w:gridSpan w:val="3"/>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vMerge w:val="restart"/>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04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5"/>
                <w:szCs w:val="5"/>
                <w:color w:val="auto"/>
              </w:rPr>
            </w:pPr>
          </w:p>
        </w:tc>
        <w:tc>
          <w:tcPr>
            <w:tcW w:w="780" w:type="dxa"/>
            <w:vAlign w:val="bottom"/>
            <w:gridSpan w:val="2"/>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ted deficit</w:t>
            </w:r>
          </w:p>
        </w:tc>
        <w:tc>
          <w:tcPr>
            <w:tcW w:w="1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-659765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2225675</wp:posOffset>
            </wp:positionH>
            <wp:positionV relativeFrom="paragraph">
              <wp:posOffset>-642620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-659765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-642620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-659765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-642620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-659765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-642620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-659765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-642620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-659765</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-642620</wp:posOffset>
            </wp:positionV>
            <wp:extent cx="603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-659765</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-642620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-659765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-642620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p>
      <w:pPr>
        <w:spacing w:after="0" w:line="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8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11,099,727</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3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311,400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(169,719</w:t>
            </w:r>
          </w:p>
        </w:tc>
        <w:tc>
          <w:tcPr>
            <w:tcW w:w="80" w:type="dxa"/>
            <w:vAlign w:val="bottom"/>
            <w:vMerge w:val="continue"/>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141,757</w:t>
            </w:r>
          </w:p>
        </w:tc>
        <w:tc>
          <w:tcPr>
            <w:tcW w:w="0" w:type="dxa"/>
            <w:vAlign w:val="bottom"/>
          </w:tcPr>
          <w:p>
            <w:pPr>
              <w:spacing w:after="0"/>
              <w:rPr>
                <w:sz w:val="1"/>
                <w:szCs w:val="1"/>
                <w:color w:val="auto"/>
              </w:rPr>
            </w:pPr>
          </w:p>
        </w:tc>
      </w:tr>
      <w:tr>
        <w:trPr>
          <w:trHeight w:val="232"/>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color w:val="auto"/>
              </w:rPr>
              <w:t>62</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-267335</wp:posOffset>
            </wp:positionV>
            <wp:extent cx="6412230" cy="111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111125"/>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2180" w:space="480"/>
            <w:col w:w="7440"/>
          </w:cols>
          <w:pgMar w:left="900" w:top="981" w:right="8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60" w:type="dxa"/>
            <w:vAlign w:val="bottom"/>
            <w:shd w:val="clear" w:color="auto" w:fill="B7DEE8"/>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3"/>
                <w:szCs w:val="13"/>
                <w:color w:val="auto"/>
              </w:rPr>
            </w:pPr>
          </w:p>
        </w:tc>
        <w:tc>
          <w:tcPr>
            <w:tcW w:w="160" w:type="dxa"/>
            <w:vAlign w:val="bottom"/>
            <w:shd w:val="clear" w:color="auto" w:fill="B7DEE8"/>
          </w:tcPr>
          <w:p>
            <w:pPr>
              <w:spacing w:after="0"/>
              <w:rPr>
                <w:sz w:val="13"/>
                <w:szCs w:val="13"/>
                <w:color w:val="auto"/>
              </w:rPr>
            </w:pPr>
          </w:p>
        </w:tc>
        <w:tc>
          <w:tcPr>
            <w:tcW w:w="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3"/>
                <w:szCs w:val="13"/>
                <w:color w:val="auto"/>
              </w:rPr>
            </w:pPr>
          </w:p>
        </w:tc>
        <w:tc>
          <w:tcPr>
            <w:tcW w:w="320" w:type="dxa"/>
            <w:vAlign w:val="bottom"/>
            <w:shd w:val="clear" w:color="auto" w:fill="B7DEE8"/>
          </w:tcPr>
          <w:p>
            <w:pPr>
              <w:spacing w:after="0"/>
              <w:rPr>
                <w:sz w:val="13"/>
                <w:szCs w:val="13"/>
                <w:color w:val="auto"/>
              </w:rPr>
            </w:pPr>
          </w:p>
        </w:tc>
        <w:tc>
          <w:tcPr>
            <w:tcW w:w="3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13,359</w:t>
            </w:r>
          </w:p>
        </w:tc>
        <w:tc>
          <w:tcPr>
            <w:tcW w:w="100" w:type="dxa"/>
            <w:vAlign w:val="bottom"/>
            <w:shd w:val="clear" w:color="auto" w:fill="B7DEE8"/>
          </w:tcPr>
          <w:p>
            <w:pPr>
              <w:spacing w:after="0"/>
              <w:rPr>
                <w:sz w:val="13"/>
                <w:szCs w:val="13"/>
                <w:color w:val="auto"/>
              </w:rPr>
            </w:pPr>
          </w:p>
        </w:tc>
        <w:tc>
          <w:tcPr>
            <w:tcW w:w="180" w:type="dxa"/>
            <w:vAlign w:val="bottom"/>
            <w:shd w:val="clear" w:color="auto" w:fill="B7DEE8"/>
          </w:tcPr>
          <w:p>
            <w:pPr>
              <w:spacing w:after="0"/>
              <w:rPr>
                <w:sz w:val="13"/>
                <w:szCs w:val="13"/>
                <w:color w:val="auto"/>
              </w:rPr>
            </w:pPr>
          </w:p>
        </w:tc>
        <w:tc>
          <w:tcPr>
            <w:tcW w:w="100" w:type="dxa"/>
            <w:vAlign w:val="bottom"/>
            <w:shd w:val="clear" w:color="auto" w:fill="B7DEE8"/>
          </w:tcPr>
          <w:p>
            <w:pPr>
              <w:spacing w:after="0"/>
              <w:rPr>
                <w:sz w:val="13"/>
                <w:szCs w:val="13"/>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7DEE8"/>
          </w:tcPr>
          <w:p>
            <w:pPr>
              <w:spacing w:after="0"/>
              <w:rPr>
                <w:sz w:val="13"/>
                <w:szCs w:val="13"/>
                <w:color w:val="auto"/>
              </w:rPr>
            </w:pPr>
          </w:p>
        </w:tc>
        <w:tc>
          <w:tcPr>
            <w:tcW w:w="180" w:type="dxa"/>
            <w:vAlign w:val="bottom"/>
            <w:shd w:val="clear" w:color="auto" w:fill="B7DEE8"/>
          </w:tcPr>
          <w:p>
            <w:pPr>
              <w:spacing w:after="0"/>
              <w:rPr>
                <w:sz w:val="13"/>
                <w:szCs w:val="13"/>
                <w:color w:val="auto"/>
              </w:rPr>
            </w:pPr>
          </w:p>
        </w:tc>
        <w:tc>
          <w:tcPr>
            <w:tcW w:w="7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13,359</w:t>
            </w:r>
          </w:p>
        </w:tc>
        <w:tc>
          <w:tcPr>
            <w:tcW w:w="10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Unrealized loss on available-for-sale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w:t>
            </w: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6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5"/>
                <w:szCs w:val="15"/>
                <w:color w:val="auto"/>
              </w:rPr>
            </w:pPr>
          </w:p>
        </w:tc>
        <w:tc>
          <w:tcPr>
            <w:tcW w:w="160" w:type="dxa"/>
            <w:vAlign w:val="bottom"/>
            <w:tcBorders>
              <w:bottom w:val="single" w:sz="8" w:color="auto"/>
            </w:tcBorders>
            <w:shd w:val="clear" w:color="auto" w:fill="B7DEE8"/>
          </w:tcPr>
          <w:p>
            <w:pPr>
              <w:spacing w:after="0"/>
              <w:rPr>
                <w:sz w:val="15"/>
                <w:szCs w:val="15"/>
                <w:color w:val="auto"/>
              </w:rPr>
            </w:pPr>
          </w:p>
        </w:tc>
        <w:tc>
          <w:tcPr>
            <w:tcW w:w="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5"/>
                <w:szCs w:val="15"/>
                <w:color w:val="auto"/>
              </w:rPr>
            </w:pPr>
          </w:p>
        </w:tc>
        <w:tc>
          <w:tcPr>
            <w:tcW w:w="320" w:type="dxa"/>
            <w:vAlign w:val="bottom"/>
            <w:tcBorders>
              <w:bottom w:val="single" w:sz="8" w:color="auto"/>
            </w:tcBorders>
            <w:shd w:val="clear" w:color="auto" w:fill="B7DEE8"/>
          </w:tcPr>
          <w:p>
            <w:pPr>
              <w:spacing w:after="0"/>
              <w:rPr>
                <w:sz w:val="15"/>
                <w:szCs w:val="15"/>
                <w:color w:val="auto"/>
              </w:rPr>
            </w:pPr>
          </w:p>
        </w:tc>
        <w:tc>
          <w:tcPr>
            <w:tcW w:w="3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B7DEE8"/>
            </w:tcBorders>
            <w:shd w:val="clear" w:color="auto" w:fill="B7DEE8"/>
          </w:tcPr>
          <w:p>
            <w:pPr>
              <w:spacing w:after="0"/>
              <w:rPr>
                <w:sz w:val="15"/>
                <w:szCs w:val="15"/>
                <w:color w:val="auto"/>
              </w:rPr>
            </w:pPr>
          </w:p>
        </w:tc>
        <w:tc>
          <w:tcPr>
            <w:tcW w:w="7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180" w:type="dxa"/>
            <w:vAlign w:val="bottom"/>
            <w:tcBorders>
              <w:bottom w:val="single" w:sz="8" w:color="auto"/>
            </w:tcBorders>
            <w:shd w:val="clear" w:color="auto" w:fill="B7DEE8"/>
          </w:tcPr>
          <w:p>
            <w:pPr>
              <w:spacing w:after="0"/>
              <w:rPr>
                <w:sz w:val="15"/>
                <w:szCs w:val="15"/>
                <w:color w:val="auto"/>
              </w:rPr>
            </w:pPr>
          </w:p>
        </w:tc>
        <w:tc>
          <w:tcPr>
            <w:tcW w:w="100" w:type="dxa"/>
            <w:vAlign w:val="bottom"/>
            <w:tcBorders>
              <w:bottom w:val="single" w:sz="8" w:color="auto"/>
            </w:tcBorders>
            <w:shd w:val="clear" w:color="auto" w:fill="B7DEE8"/>
          </w:tcPr>
          <w:p>
            <w:pPr>
              <w:spacing w:after="0"/>
              <w:rPr>
                <w:sz w:val="15"/>
                <w:szCs w:val="15"/>
                <w:color w:val="auto"/>
              </w:rPr>
            </w:pPr>
          </w:p>
        </w:tc>
        <w:tc>
          <w:tcPr>
            <w:tcW w:w="94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B7DEE8"/>
            </w:tcBorders>
            <w:shd w:val="clear" w:color="auto" w:fill="B7DEE8"/>
          </w:tcPr>
          <w:p>
            <w:pPr>
              <w:spacing w:after="0"/>
              <w:rPr>
                <w:sz w:val="15"/>
                <w:szCs w:val="15"/>
                <w:color w:val="auto"/>
              </w:rPr>
            </w:pPr>
          </w:p>
        </w:tc>
        <w:tc>
          <w:tcPr>
            <w:tcW w:w="70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B7DEE8"/>
            </w:tcBorders>
            <w:shd w:val="clear" w:color="auto" w:fill="B7DEE8"/>
          </w:tcPr>
          <w:p>
            <w:pPr>
              <w:spacing w:after="0"/>
              <w:rPr>
                <w:sz w:val="15"/>
                <w:szCs w:val="15"/>
                <w:color w:val="auto"/>
              </w:rPr>
            </w:pPr>
          </w:p>
        </w:tc>
        <w:tc>
          <w:tcPr>
            <w:tcW w:w="180" w:type="dxa"/>
            <w:vAlign w:val="bottom"/>
            <w:tcBorders>
              <w:bottom w:val="single" w:sz="8" w:color="auto"/>
            </w:tcBorders>
            <w:shd w:val="clear" w:color="auto" w:fill="B7DEE8"/>
          </w:tcPr>
          <w:p>
            <w:pPr>
              <w:spacing w:after="0"/>
              <w:rPr>
                <w:sz w:val="15"/>
                <w:szCs w:val="15"/>
                <w:color w:val="auto"/>
              </w:rPr>
            </w:pPr>
          </w:p>
        </w:tc>
        <w:tc>
          <w:tcPr>
            <w:tcW w:w="76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466</w:t>
            </w:r>
          </w:p>
        </w:tc>
        <w:tc>
          <w:tcPr>
            <w:tcW w:w="100" w:type="dxa"/>
            <w:vAlign w:val="bottom"/>
            <w:tcBorders>
              <w:bottom w:val="single" w:sz="8" w:color="B7DEE8"/>
            </w:tcBorders>
            <w:shd w:val="clear" w:color="auto" w:fill="B7DE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11,192,775</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324,821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246</w:t>
            </w:r>
          </w:p>
        </w:tc>
        <w:tc>
          <w:tcPr>
            <w:tcW w:w="100" w:type="dxa"/>
            <w:vAlign w:val="bottom"/>
          </w:tcPr>
          <w:p>
            <w:pPr>
              <w:spacing w:after="0"/>
              <w:rPr>
                <w:sz w:val="14"/>
                <w:szCs w:val="14"/>
                <w:color w:val="auto"/>
              </w:rPr>
            </w:pPr>
          </w:p>
        </w:tc>
        <w:tc>
          <w:tcPr>
            <w:tcW w:w="96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 (169,253 )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155,815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00" w:type="dxa"/>
            <w:vAlign w:val="bottom"/>
          </w:tcPr>
          <w:p>
            <w:pPr>
              <w:spacing w:after="0"/>
              <w:rPr>
                <w:sz w:val="5"/>
                <w:szCs w:val="5"/>
                <w:color w:val="auto"/>
              </w:rPr>
            </w:pPr>
          </w:p>
        </w:tc>
        <w:tc>
          <w:tcPr>
            <w:tcW w:w="94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5"/>
                <w:szCs w:val="5"/>
                <w:color w:val="auto"/>
              </w:rPr>
            </w:pPr>
          </w:p>
        </w:tc>
        <w:tc>
          <w:tcPr>
            <w:tcW w:w="70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1120" w:type="dxa"/>
            <w:vAlign w:val="bottom"/>
            <w:gridSpan w:val="3"/>
            <w:vMerge w:val="restart"/>
          </w:tcPr>
          <w:p>
            <w:pPr>
              <w:jc w:val="right"/>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80" w:type="dxa"/>
            <w:vAlign w:val="bottom"/>
            <w:gridSpan w:val="3"/>
            <w:vMerge w:val="restart"/>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104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5"/>
                <w:szCs w:val="5"/>
                <w:color w:val="auto"/>
              </w:rPr>
            </w:pPr>
          </w:p>
        </w:tc>
        <w:tc>
          <w:tcPr>
            <w:tcW w:w="70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ted deficit</w:t>
            </w:r>
          </w:p>
        </w:tc>
        <w:tc>
          <w:tcPr>
            <w:tcW w:w="8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6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9"/>
        </w:trPr>
        <w:tc>
          <w:tcPr>
            <w:tcW w:w="2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-779145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-779145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-779145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-779145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-779145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-779145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-779145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-779145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Balance at June 30, 2023</w:t>
      </w:r>
    </w:p>
    <w:p>
      <w:pPr>
        <w:spacing w:after="0" w:line="2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Issuance of Class A common stock in connection with stock plans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8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10,421,151</w:t>
            </w:r>
          </w:p>
        </w:tc>
        <w:tc>
          <w:tcPr>
            <w:tcW w:w="12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283,432</w:t>
            </w:r>
          </w:p>
        </w:tc>
        <w:tc>
          <w:tcPr>
            <w:tcW w:w="5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(869</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(198,446</w:t>
            </w:r>
          </w:p>
        </w:tc>
        <w:tc>
          <w:tcPr>
            <w:tcW w:w="80" w:type="dxa"/>
            <w:vAlign w:val="bottom"/>
            <w:vMerge w:val="continue"/>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84,118</w:t>
            </w:r>
          </w:p>
        </w:tc>
        <w:tc>
          <w:tcPr>
            <w:tcW w:w="0" w:type="dxa"/>
            <w:vAlign w:val="bottom"/>
          </w:tcPr>
          <w:p>
            <w:pPr>
              <w:spacing w:after="0"/>
              <w:rPr>
                <w:sz w:val="1"/>
                <w:szCs w:val="1"/>
                <w:color w:val="auto"/>
              </w:rPr>
            </w:pPr>
          </w:p>
        </w:tc>
      </w:tr>
      <w:tr>
        <w:trPr>
          <w:trHeight w:val="232"/>
        </w:trPr>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5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-267335</wp:posOffset>
            </wp:positionV>
            <wp:extent cx="6412230" cy="1111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2230" cy="111125"/>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2180" w:space="480"/>
            <w:col w:w="7440"/>
          </w:cols>
          <w:pgMar w:left="900" w:top="981" w:right="89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660" w:type="dxa"/>
            <w:vAlign w:val="bottom"/>
            <w:shd w:val="clear" w:color="auto" w:fill="B7DEE8"/>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3"/>
                <w:szCs w:val="13"/>
                <w:color w:val="auto"/>
              </w:rPr>
            </w:pPr>
          </w:p>
        </w:tc>
        <w:tc>
          <w:tcPr>
            <w:tcW w:w="280" w:type="dxa"/>
            <w:vAlign w:val="bottom"/>
            <w:shd w:val="clear" w:color="auto" w:fill="B7DEE8"/>
          </w:tcPr>
          <w:p>
            <w:pPr>
              <w:spacing w:after="0"/>
              <w:rPr>
                <w:sz w:val="13"/>
                <w:szCs w:val="13"/>
                <w:color w:val="auto"/>
              </w:rPr>
            </w:pPr>
          </w:p>
        </w:tc>
        <w:tc>
          <w:tcPr>
            <w:tcW w:w="3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3"/>
                <w:szCs w:val="13"/>
                <w:color w:val="auto"/>
              </w:rPr>
            </w:pPr>
          </w:p>
        </w:tc>
        <w:tc>
          <w:tcPr>
            <w:tcW w:w="320" w:type="dxa"/>
            <w:vAlign w:val="bottom"/>
            <w:shd w:val="clear" w:color="auto" w:fill="B7DEE8"/>
          </w:tcPr>
          <w:p>
            <w:pPr>
              <w:spacing w:after="0"/>
              <w:rPr>
                <w:sz w:val="13"/>
                <w:szCs w:val="13"/>
                <w:color w:val="auto"/>
              </w:rPr>
            </w:pPr>
          </w:p>
        </w:tc>
        <w:tc>
          <w:tcPr>
            <w:tcW w:w="300" w:type="dxa"/>
            <w:vAlign w:val="bottom"/>
            <w:shd w:val="clear" w:color="auto" w:fill="B7DEE8"/>
          </w:tcPr>
          <w:p>
            <w:pPr>
              <w:ind w:left="24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B7DEE8"/>
          </w:tcPr>
          <w:p>
            <w:pPr>
              <w:spacing w:after="0"/>
              <w:rPr>
                <w:sz w:val="13"/>
                <w:szCs w:val="13"/>
                <w:color w:val="auto"/>
              </w:rPr>
            </w:pPr>
          </w:p>
        </w:tc>
        <w:tc>
          <w:tcPr>
            <w:tcW w:w="180" w:type="dxa"/>
            <w:vAlign w:val="bottom"/>
            <w:shd w:val="clear" w:color="auto" w:fill="B7DEE8"/>
          </w:tcPr>
          <w:p>
            <w:pPr>
              <w:spacing w:after="0"/>
              <w:rPr>
                <w:sz w:val="13"/>
                <w:szCs w:val="13"/>
                <w:color w:val="auto"/>
              </w:rPr>
            </w:pPr>
          </w:p>
        </w:tc>
        <w:tc>
          <w:tcPr>
            <w:tcW w:w="5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6,740</w:t>
            </w:r>
          </w:p>
        </w:tc>
        <w:tc>
          <w:tcPr>
            <w:tcW w:w="100" w:type="dxa"/>
            <w:vAlign w:val="bottom"/>
            <w:shd w:val="clear" w:color="auto" w:fill="B7DEE8"/>
          </w:tcPr>
          <w:p>
            <w:pPr>
              <w:spacing w:after="0"/>
              <w:rPr>
                <w:sz w:val="13"/>
                <w:szCs w:val="13"/>
                <w:color w:val="auto"/>
              </w:rPr>
            </w:pPr>
          </w:p>
        </w:tc>
        <w:tc>
          <w:tcPr>
            <w:tcW w:w="620" w:type="dxa"/>
            <w:vAlign w:val="bottom"/>
            <w:shd w:val="clear" w:color="auto" w:fill="B7DEE8"/>
          </w:tcPr>
          <w:p>
            <w:pPr>
              <w:spacing w:after="0"/>
              <w:rPr>
                <w:sz w:val="13"/>
                <w:szCs w:val="13"/>
                <w:color w:val="auto"/>
              </w:rPr>
            </w:pPr>
          </w:p>
        </w:tc>
        <w:tc>
          <w:tcPr>
            <w:tcW w:w="6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3"/>
                <w:szCs w:val="13"/>
                <w:color w:val="auto"/>
              </w:rPr>
            </w:pPr>
          </w:p>
        </w:tc>
        <w:tc>
          <w:tcPr>
            <w:tcW w:w="120" w:type="dxa"/>
            <w:vAlign w:val="bottom"/>
            <w:shd w:val="clear" w:color="auto" w:fill="B7DEE8"/>
          </w:tcPr>
          <w:p>
            <w:pPr>
              <w:spacing w:after="0"/>
              <w:rPr>
                <w:sz w:val="13"/>
                <w:szCs w:val="13"/>
                <w:color w:val="auto"/>
              </w:rPr>
            </w:pPr>
          </w:p>
        </w:tc>
        <w:tc>
          <w:tcPr>
            <w:tcW w:w="5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B7DEE8"/>
          </w:tcPr>
          <w:p>
            <w:pPr>
              <w:spacing w:after="0"/>
              <w:rPr>
                <w:sz w:val="13"/>
                <w:szCs w:val="13"/>
                <w:color w:val="auto"/>
              </w:rPr>
            </w:pPr>
          </w:p>
        </w:tc>
        <w:tc>
          <w:tcPr>
            <w:tcW w:w="280" w:type="dxa"/>
            <w:vAlign w:val="bottom"/>
            <w:shd w:val="clear" w:color="auto" w:fill="B7DEE8"/>
          </w:tcPr>
          <w:p>
            <w:pPr>
              <w:spacing w:after="0"/>
              <w:rPr>
                <w:sz w:val="13"/>
                <w:szCs w:val="13"/>
                <w:color w:val="auto"/>
              </w:rPr>
            </w:pPr>
          </w:p>
        </w:tc>
        <w:tc>
          <w:tcPr>
            <w:tcW w:w="6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b w:val="1"/>
                <w:bCs w:val="1"/>
                <w:color w:val="auto"/>
              </w:rPr>
              <w:t>6,740</w:t>
            </w:r>
          </w:p>
        </w:tc>
        <w:tc>
          <w:tcPr>
            <w:tcW w:w="100" w:type="dxa"/>
            <w:vAlign w:val="bottom"/>
            <w:shd w:val="clear" w:color="auto" w:fill="B7DEE8"/>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Unrealized gain on available-for-sale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w:t>
            </w: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66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B7DEE8"/>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5"/>
                <w:szCs w:val="15"/>
                <w:color w:val="auto"/>
              </w:rPr>
            </w:pPr>
          </w:p>
        </w:tc>
        <w:tc>
          <w:tcPr>
            <w:tcW w:w="280" w:type="dxa"/>
            <w:vAlign w:val="bottom"/>
            <w:shd w:val="clear" w:color="auto" w:fill="B7DEE8"/>
          </w:tcPr>
          <w:p>
            <w:pPr>
              <w:spacing w:after="0"/>
              <w:rPr>
                <w:sz w:val="15"/>
                <w:szCs w:val="15"/>
                <w:color w:val="auto"/>
              </w:rPr>
            </w:pPr>
          </w:p>
        </w:tc>
        <w:tc>
          <w:tcPr>
            <w:tcW w:w="3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5"/>
                <w:szCs w:val="15"/>
                <w:color w:val="auto"/>
              </w:rPr>
            </w:pPr>
          </w:p>
        </w:tc>
        <w:tc>
          <w:tcPr>
            <w:tcW w:w="94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B7DEE8"/>
          </w:tcPr>
          <w:p>
            <w:pPr>
              <w:spacing w:after="0"/>
              <w:rPr>
                <w:sz w:val="15"/>
                <w:szCs w:val="15"/>
                <w:color w:val="auto"/>
              </w:rPr>
            </w:pPr>
          </w:p>
        </w:tc>
        <w:tc>
          <w:tcPr>
            <w:tcW w:w="320" w:type="dxa"/>
            <w:vAlign w:val="bottom"/>
            <w:shd w:val="clear" w:color="auto" w:fill="B7DEE8"/>
          </w:tcPr>
          <w:p>
            <w:pPr>
              <w:spacing w:after="0"/>
              <w:rPr>
                <w:sz w:val="15"/>
                <w:szCs w:val="15"/>
                <w:color w:val="auto"/>
              </w:rPr>
            </w:pPr>
          </w:p>
        </w:tc>
        <w:tc>
          <w:tcPr>
            <w:tcW w:w="300" w:type="dxa"/>
            <w:vAlign w:val="bottom"/>
            <w:shd w:val="clear" w:color="auto" w:fill="B7DEE8"/>
          </w:tcPr>
          <w:p>
            <w:pPr>
              <w:ind w:left="240"/>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shd w:val="clear" w:color="auto" w:fill="B7DEE8"/>
          </w:tcPr>
          <w:p>
            <w:pPr>
              <w:spacing w:after="0"/>
              <w:rPr>
                <w:sz w:val="15"/>
                <w:szCs w:val="15"/>
                <w:color w:val="auto"/>
              </w:rPr>
            </w:pPr>
          </w:p>
        </w:tc>
        <w:tc>
          <w:tcPr>
            <w:tcW w:w="180" w:type="dxa"/>
            <w:vAlign w:val="bottom"/>
            <w:shd w:val="clear" w:color="auto" w:fill="B7DEE8"/>
          </w:tcPr>
          <w:p>
            <w:pPr>
              <w:spacing w:after="0"/>
              <w:rPr>
                <w:sz w:val="15"/>
                <w:szCs w:val="15"/>
                <w:color w:val="auto"/>
              </w:rPr>
            </w:pPr>
          </w:p>
        </w:tc>
        <w:tc>
          <w:tcPr>
            <w:tcW w:w="5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5"/>
                <w:szCs w:val="15"/>
                <w:color w:val="auto"/>
              </w:rPr>
            </w:pPr>
          </w:p>
        </w:tc>
        <w:tc>
          <w:tcPr>
            <w:tcW w:w="620" w:type="dxa"/>
            <w:vAlign w:val="bottom"/>
            <w:shd w:val="clear" w:color="auto" w:fill="B7DEE8"/>
          </w:tcPr>
          <w:p>
            <w:pPr>
              <w:spacing w:after="0"/>
              <w:rPr>
                <w:sz w:val="15"/>
                <w:szCs w:val="15"/>
                <w:color w:val="auto"/>
              </w:rPr>
            </w:pPr>
          </w:p>
        </w:tc>
        <w:tc>
          <w:tcPr>
            <w:tcW w:w="60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B7DEE8"/>
          </w:tcPr>
          <w:p>
            <w:pPr>
              <w:spacing w:after="0"/>
              <w:rPr>
                <w:sz w:val="15"/>
                <w:szCs w:val="15"/>
                <w:color w:val="auto"/>
              </w:rPr>
            </w:pPr>
          </w:p>
        </w:tc>
        <w:tc>
          <w:tcPr>
            <w:tcW w:w="120" w:type="dxa"/>
            <w:vAlign w:val="bottom"/>
            <w:shd w:val="clear" w:color="auto" w:fill="B7DEE8"/>
          </w:tcPr>
          <w:p>
            <w:pPr>
              <w:spacing w:after="0"/>
              <w:rPr>
                <w:sz w:val="15"/>
                <w:szCs w:val="15"/>
                <w:color w:val="auto"/>
              </w:rPr>
            </w:pPr>
          </w:p>
        </w:tc>
        <w:tc>
          <w:tcPr>
            <w:tcW w:w="66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4"/>
                <w:szCs w:val="14"/>
                <w:color w:val="auto"/>
              </w:rPr>
              <w:t>(12,053 )</w:t>
            </w:r>
          </w:p>
        </w:tc>
        <w:tc>
          <w:tcPr>
            <w:tcW w:w="280" w:type="dxa"/>
            <w:vAlign w:val="bottom"/>
            <w:shd w:val="clear" w:color="auto" w:fill="B7DEE8"/>
          </w:tcPr>
          <w:p>
            <w:pPr>
              <w:spacing w:after="0"/>
              <w:rPr>
                <w:sz w:val="15"/>
                <w:szCs w:val="15"/>
                <w:color w:val="auto"/>
              </w:rPr>
            </w:pPr>
          </w:p>
        </w:tc>
        <w:tc>
          <w:tcPr>
            <w:tcW w:w="760" w:type="dxa"/>
            <w:vAlign w:val="bottom"/>
            <w:gridSpan w:val="2"/>
            <w:shd w:val="clear" w:color="auto" w:fill="B7DEE8"/>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(12,053 )</w:t>
            </w:r>
          </w:p>
        </w:tc>
        <w:tc>
          <w:tcPr>
            <w:tcW w:w="0" w:type="dxa"/>
            <w:vAlign w:val="bottom"/>
          </w:tcPr>
          <w:p>
            <w:pPr>
              <w:spacing w:after="0"/>
              <w:rPr>
                <w:sz w:val="1"/>
                <w:szCs w:val="1"/>
                <w:color w:val="auto"/>
              </w:rPr>
            </w:pPr>
          </w:p>
        </w:tc>
      </w:tr>
      <w:tr>
        <w:trPr>
          <w:trHeight w:val="20"/>
        </w:trPr>
        <w:tc>
          <w:tcPr>
            <w:tcW w:w="2660" w:type="dxa"/>
            <w:vAlign w:val="bottom"/>
            <w:shd w:val="clear" w:color="auto" w:fill="B7DEE8"/>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B7DE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B7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B7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B7DE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10,537,725</w:t>
            </w:r>
          </w:p>
        </w:tc>
        <w:tc>
          <w:tcPr>
            <w:tcW w:w="1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1,514,082</w:t>
            </w:r>
          </w:p>
        </w:tc>
        <w:tc>
          <w:tcPr>
            <w:tcW w:w="12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290,187</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(508 ) $</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(210,499 )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79,181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2225675</wp:posOffset>
            </wp:positionH>
            <wp:positionV relativeFrom="paragraph">
              <wp:posOffset>-144780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-144780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-144780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-144780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-144780</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-144780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-144780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Dave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1905</wp:posOffset>
            </wp:positionV>
            <wp:extent cx="1795780"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95780" cy="196850"/>
                    </a:xfrm>
                    <a:prstGeom prst="rect">
                      <a:avLst/>
                    </a:prstGeom>
                    <a:noFill/>
                  </pic:spPr>
                </pic:pic>
              </a:graphicData>
            </a:graphic>
          </wp:anchor>
        </w:drawing>
      </w:r>
    </w:p>
    <w:p>
      <w:pPr>
        <w:spacing w:after="0" w:line="7" w:lineRule="exact"/>
        <w:rPr>
          <w:sz w:val="20"/>
          <w:szCs w:val="20"/>
          <w:color w:val="auto"/>
        </w:rPr>
      </w:pPr>
    </w:p>
    <w:p>
      <w:pPr>
        <w:ind w:left="8320"/>
        <w:spacing w:after="0"/>
        <w:tabs>
          <w:tab w:leader="none" w:pos="98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(48,696 )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used in operating activities: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(33,442 )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20,146</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B7DEE8"/>
          </w:tcPr>
          <w:p>
            <w:pPr>
              <w:spacing w:after="0"/>
              <w:rPr>
                <w:sz w:val="21"/>
                <w:szCs w:val="21"/>
                <w:color w:val="auto"/>
              </w:rPr>
            </w:pPr>
          </w:p>
        </w:tc>
        <w:tc>
          <w:tcPr>
            <w:tcW w:w="120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marketable securities and investments</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ExtraCash receivables, service based revenue</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(3,651 )</w:t>
            </w: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(2,534 )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(6,020 )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(2,334 )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(2,035 )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728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top w:val="single" w:sz="8" w:color="auto"/>
              <w:bottom w:val="single" w:sz="8" w:color="auto"/>
            </w:tcBorders>
            <w:shd w:val="clear" w:color="auto" w:fill="B7DEE8"/>
          </w:tcPr>
          <w:p>
            <w:pPr>
              <w:spacing w:after="0"/>
              <w:rPr>
                <w:sz w:val="20"/>
                <w:szCs w:val="20"/>
                <w:color w:val="auto"/>
              </w:rPr>
            </w:pPr>
          </w:p>
        </w:tc>
        <w:tc>
          <w:tcPr>
            <w:tcW w:w="8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83,423</w:t>
            </w:r>
          </w:p>
        </w:tc>
        <w:tc>
          <w:tcPr>
            <w:tcW w:w="320" w:type="dxa"/>
            <w:vAlign w:val="bottom"/>
            <w:tcBorders>
              <w:bottom w:val="single" w:sz="8" w:color="B7DEE8"/>
            </w:tcBorders>
            <w:shd w:val="clear" w:color="auto" w:fill="B7DEE8"/>
          </w:tcPr>
          <w:p>
            <w:pPr>
              <w:spacing w:after="0"/>
              <w:rPr>
                <w:sz w:val="20"/>
                <w:szCs w:val="20"/>
                <w:color w:val="auto"/>
              </w:rPr>
            </w:pPr>
          </w:p>
        </w:tc>
        <w:tc>
          <w:tcPr>
            <w:tcW w:w="320" w:type="dxa"/>
            <w:vAlign w:val="bottom"/>
            <w:tcBorders>
              <w:top w:val="single" w:sz="8" w:color="auto"/>
              <w:bottom w:val="single" w:sz="8" w:color="auto"/>
            </w:tcBorders>
            <w:shd w:val="clear" w:color="auto" w:fill="B7DEE8"/>
          </w:tcPr>
          <w:p>
            <w:pPr>
              <w:spacing w:after="0"/>
              <w:rPr>
                <w:sz w:val="20"/>
                <w:szCs w:val="20"/>
                <w:color w:val="auto"/>
              </w:rPr>
            </w:pPr>
          </w:p>
        </w:tc>
        <w:tc>
          <w:tcPr>
            <w:tcW w:w="82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18,121</w:t>
            </w:r>
          </w:p>
        </w:tc>
        <w:tc>
          <w:tcPr>
            <w:tcW w:w="100" w:type="dxa"/>
            <w:vAlign w:val="bottom"/>
            <w:tcBorders>
              <w:bottom w:val="single" w:sz="8" w:color="B7DEE8"/>
            </w:tcBorders>
            <w:shd w:val="clear" w:color="auto" w:fill="B7DEE8"/>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for internally developed software costs</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(5,522 )</w:t>
            </w: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shd w:val="clear" w:color="auto" w:fill="B7DEE8"/>
          </w:tcPr>
          <w:p>
            <w:pPr>
              <w:spacing w:after="0"/>
              <w:rPr>
                <w:sz w:val="21"/>
                <w:szCs w:val="21"/>
                <w:color w:val="auto"/>
              </w:rPr>
            </w:pPr>
          </w:p>
        </w:tc>
        <w:tc>
          <w:tcPr>
            <w:tcW w:w="120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(212 )</w:t>
            </w: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(658 )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originations and collections of ExtraCash receivables</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(87,024 )</w:t>
            </w: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(34,268 )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Purchase of investments</w:t>
            </w:r>
          </w:p>
        </w:tc>
        <w:tc>
          <w:tcPr>
            <w:tcW w:w="380" w:type="dxa"/>
            <w:vAlign w:val="bottom"/>
            <w:shd w:val="clear" w:color="auto" w:fill="B7DEE8"/>
          </w:tcPr>
          <w:p>
            <w:pPr>
              <w:spacing w:after="0"/>
              <w:rPr>
                <w:sz w:val="21"/>
                <w:szCs w:val="21"/>
                <w:color w:val="auto"/>
              </w:rPr>
            </w:pPr>
          </w:p>
        </w:tc>
        <w:tc>
          <w:tcPr>
            <w:tcW w:w="120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(74,815 )</w:t>
            </w: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(92,024 )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and maturity of investments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147,689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80" w:type="dxa"/>
            <w:vAlign w:val="bottom"/>
            <w:shd w:val="clear" w:color="auto" w:fill="B7DEE8"/>
          </w:tcPr>
          <w:p>
            <w:pPr>
              <w:spacing w:after="0"/>
              <w:rPr>
                <w:sz w:val="21"/>
                <w:szCs w:val="21"/>
                <w:color w:val="auto"/>
              </w:rPr>
            </w:pPr>
          </w:p>
        </w:tc>
        <w:tc>
          <w:tcPr>
            <w:tcW w:w="120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(59,273 )</w:t>
            </w:r>
          </w:p>
        </w:tc>
        <w:tc>
          <w:tcPr>
            <w:tcW w:w="320" w:type="dxa"/>
            <w:vAlign w:val="bottom"/>
            <w:shd w:val="clear" w:color="auto" w:fill="B7DEE8"/>
          </w:tcPr>
          <w:p>
            <w:pPr>
              <w:spacing w:after="0"/>
              <w:rPr>
                <w:sz w:val="21"/>
                <w:szCs w:val="21"/>
                <w:color w:val="auto"/>
              </w:rPr>
            </w:pPr>
          </w:p>
        </w:tc>
        <w:tc>
          <w:tcPr>
            <w:tcW w:w="920" w:type="dxa"/>
            <w:vAlign w:val="bottom"/>
            <w:gridSpan w:val="2"/>
            <w:shd w:val="clear" w:color="auto" w:fill="B7DEE8"/>
          </w:tcPr>
          <w:p>
            <w:pPr>
              <w:jc w:val="right"/>
              <w:ind w:right="20"/>
              <w:spacing w:after="0"/>
              <w:rPr>
                <w:sz w:val="20"/>
                <w:szCs w:val="20"/>
                <w:color w:val="auto"/>
              </w:rPr>
            </w:pPr>
            <w:r>
              <w:rPr>
                <w:rFonts w:ascii="Times New Roman" w:cs="Times New Roman" w:eastAsia="Times New Roman" w:hAnsi="Times New Roman"/>
                <w:sz w:val="18"/>
                <w:szCs w:val="18"/>
                <w:color w:val="auto"/>
              </w:rPr>
              <w:t>(34,385 )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60,129</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80" w:type="dxa"/>
            <w:vAlign w:val="bottom"/>
            <w:shd w:val="clear" w:color="auto" w:fill="B7DEE8"/>
          </w:tcPr>
          <w:p>
            <w:pPr>
              <w:spacing w:after="0"/>
              <w:rPr>
                <w:sz w:val="20"/>
                <w:szCs w:val="20"/>
                <w:color w:val="auto"/>
              </w:rPr>
            </w:pPr>
          </w:p>
        </w:tc>
        <w:tc>
          <w:tcPr>
            <w:tcW w:w="120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(19,028 )</w:t>
            </w:r>
          </w:p>
        </w:tc>
        <w:tc>
          <w:tcPr>
            <w:tcW w:w="320" w:type="dxa"/>
            <w:vAlign w:val="bottom"/>
            <w:shd w:val="clear" w:color="auto" w:fill="B7DEE8"/>
          </w:tcPr>
          <w:p>
            <w:pPr>
              <w:spacing w:after="0"/>
              <w:rPr>
                <w:sz w:val="20"/>
                <w:szCs w:val="20"/>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2,997</w:t>
            </w:r>
          </w:p>
        </w:tc>
        <w:tc>
          <w:tcPr>
            <w:tcW w:w="100" w:type="dxa"/>
            <w:vAlign w:val="bottom"/>
            <w:shd w:val="clear" w:color="auto" w:fill="B7DEE8"/>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Borders>
              <w:top w:val="single" w:sz="8" w:color="B7DEE8"/>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20" w:type="dxa"/>
            <w:vAlign w:val="bottom"/>
            <w:tcBorders>
              <w:top w:val="single" w:sz="8" w:color="B7DEE8"/>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B7DEE8"/>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fractional shares on reverse stock split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for stock option exercises</w:t>
            </w:r>
          </w:p>
        </w:tc>
        <w:tc>
          <w:tcPr>
            <w:tcW w:w="380" w:type="dxa"/>
            <w:vAlign w:val="bottom"/>
            <w:shd w:val="clear" w:color="auto" w:fill="B7DEE8"/>
          </w:tcPr>
          <w:p>
            <w:pPr>
              <w:spacing w:after="0"/>
              <w:rPr>
                <w:sz w:val="21"/>
                <w:szCs w:val="21"/>
                <w:color w:val="auto"/>
              </w:rPr>
            </w:pPr>
          </w:p>
        </w:tc>
        <w:tc>
          <w:tcPr>
            <w:tcW w:w="8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costs for extinguishment of convertible debt</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(761 )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80" w:type="dxa"/>
            <w:vAlign w:val="bottom"/>
            <w:shd w:val="clear" w:color="auto" w:fill="B7DEE8"/>
          </w:tcPr>
          <w:p>
            <w:pPr>
              <w:ind w:left="180"/>
              <w:spacing w:after="0"/>
              <w:rPr>
                <w:sz w:val="20"/>
                <w:szCs w:val="20"/>
                <w:color w:val="auto"/>
              </w:rPr>
            </w:pPr>
            <w:r>
              <w:rPr>
                <w:rFonts w:ascii="Times New Roman" w:cs="Times New Roman" w:eastAsia="Times New Roman" w:hAnsi="Times New Roman"/>
                <w:sz w:val="18"/>
                <w:szCs w:val="18"/>
                <w:color w:val="auto"/>
              </w:rPr>
              <w:t>Repayment of borrowings on convertible debt, long-term</w:t>
            </w:r>
          </w:p>
        </w:tc>
        <w:tc>
          <w:tcPr>
            <w:tcW w:w="380" w:type="dxa"/>
            <w:vAlign w:val="bottom"/>
            <w:shd w:val="clear" w:color="auto" w:fill="B7DEE8"/>
          </w:tcPr>
          <w:p>
            <w:pPr>
              <w:spacing w:after="0"/>
              <w:rPr>
                <w:sz w:val="21"/>
                <w:szCs w:val="21"/>
                <w:color w:val="auto"/>
              </w:rPr>
            </w:pPr>
          </w:p>
        </w:tc>
        <w:tc>
          <w:tcPr>
            <w:tcW w:w="1200" w:type="dxa"/>
            <w:vAlign w:val="bottom"/>
            <w:gridSpan w:val="2"/>
            <w:shd w:val="clear" w:color="auto" w:fill="B7DEE8"/>
          </w:tcPr>
          <w:p>
            <w:pPr>
              <w:jc w:val="right"/>
              <w:ind w:right="240"/>
              <w:spacing w:after="0"/>
              <w:rPr>
                <w:sz w:val="20"/>
                <w:szCs w:val="20"/>
                <w:color w:val="auto"/>
              </w:rPr>
            </w:pPr>
            <w:r>
              <w:rPr>
                <w:rFonts w:ascii="Times New Roman" w:cs="Times New Roman" w:eastAsia="Times New Roman" w:hAnsi="Times New Roman"/>
                <w:sz w:val="18"/>
                <w:szCs w:val="18"/>
                <w:color w:val="auto"/>
              </w:rPr>
              <w:t>(71,000 )</w:t>
            </w:r>
          </w:p>
        </w:tc>
        <w:tc>
          <w:tcPr>
            <w:tcW w:w="320" w:type="dxa"/>
            <w:vAlign w:val="bottom"/>
            <w:shd w:val="clear" w:color="auto" w:fill="B7DEE8"/>
          </w:tcPr>
          <w:p>
            <w:pPr>
              <w:spacing w:after="0"/>
              <w:rPr>
                <w:sz w:val="21"/>
                <w:szCs w:val="21"/>
                <w:color w:val="auto"/>
              </w:rPr>
            </w:pP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80" w:type="dxa"/>
            <w:vAlign w:val="bottom"/>
            <w:shd w:val="clear" w:color="auto" w:fill="B7DE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B7DE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B7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(70,868 )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shd w:val="clear" w:color="auto" w:fill="B7DEE8"/>
          </w:tcPr>
          <w:p>
            <w:pPr>
              <w:spacing w:after="0"/>
              <w:rPr>
                <w:sz w:val="20"/>
                <w:szCs w:val="20"/>
                <w:color w:val="auto"/>
              </w:rPr>
            </w:pPr>
          </w:p>
        </w:tc>
        <w:tc>
          <w:tcPr>
            <w:tcW w:w="380" w:type="dxa"/>
            <w:vAlign w:val="bottom"/>
            <w:tcBorders>
              <w:top w:val="single" w:sz="8" w:color="auto"/>
            </w:tcBorders>
            <w:shd w:val="clear" w:color="auto" w:fill="B7DEE8"/>
          </w:tcPr>
          <w:p>
            <w:pPr>
              <w:spacing w:after="0"/>
              <w:rPr>
                <w:sz w:val="20"/>
                <w:szCs w:val="20"/>
                <w:color w:val="auto"/>
              </w:rPr>
            </w:pPr>
          </w:p>
        </w:tc>
        <w:tc>
          <w:tcPr>
            <w:tcW w:w="880" w:type="dxa"/>
            <w:vAlign w:val="bottom"/>
            <w:tcBorders>
              <w:top w:val="single" w:sz="8" w:color="auto"/>
            </w:tcBorders>
            <w:shd w:val="clear" w:color="auto" w:fill="B7DEE8"/>
          </w:tcPr>
          <w:p>
            <w:pPr>
              <w:spacing w:after="0"/>
              <w:rPr>
                <w:sz w:val="20"/>
                <w:szCs w:val="20"/>
                <w:color w:val="auto"/>
              </w:rPr>
            </w:pPr>
          </w:p>
        </w:tc>
        <w:tc>
          <w:tcPr>
            <w:tcW w:w="320" w:type="dxa"/>
            <w:vAlign w:val="bottom"/>
            <w:shd w:val="clear" w:color="auto" w:fill="B7DEE8"/>
          </w:tcPr>
          <w:p>
            <w:pPr>
              <w:spacing w:after="0"/>
              <w:rPr>
                <w:sz w:val="20"/>
                <w:szCs w:val="20"/>
                <w:color w:val="auto"/>
              </w:rPr>
            </w:pPr>
          </w:p>
        </w:tc>
        <w:tc>
          <w:tcPr>
            <w:tcW w:w="320" w:type="dxa"/>
            <w:vAlign w:val="bottom"/>
            <w:tcBorders>
              <w:top w:val="single" w:sz="8" w:color="auto"/>
            </w:tcBorders>
            <w:shd w:val="clear" w:color="auto" w:fill="B7DEE8"/>
          </w:tcPr>
          <w:p>
            <w:pPr>
              <w:spacing w:after="0"/>
              <w:rPr>
                <w:sz w:val="20"/>
                <w:szCs w:val="20"/>
                <w:color w:val="auto"/>
              </w:rPr>
            </w:pPr>
          </w:p>
        </w:tc>
        <w:tc>
          <w:tcPr>
            <w:tcW w:w="820" w:type="dxa"/>
            <w:vAlign w:val="bottom"/>
            <w:tcBorders>
              <w:top w:val="single" w:sz="8" w:color="auto"/>
            </w:tcBorders>
            <w:shd w:val="clear" w:color="auto" w:fill="B7DEE8"/>
          </w:tcPr>
          <w:p>
            <w:pPr>
              <w:spacing w:after="0"/>
              <w:rPr>
                <w:sz w:val="20"/>
                <w:szCs w:val="20"/>
                <w:color w:val="auto"/>
              </w:rPr>
            </w:pPr>
          </w:p>
        </w:tc>
        <w:tc>
          <w:tcPr>
            <w:tcW w:w="100" w:type="dxa"/>
            <w:vAlign w:val="bottom"/>
            <w:shd w:val="clear" w:color="auto" w:fill="B7DEE8"/>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(6,473 )</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728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the period</w:t>
            </w:r>
          </w:p>
        </w:tc>
        <w:tc>
          <w:tcPr>
            <w:tcW w:w="380" w:type="dxa"/>
            <w:vAlign w:val="bottom"/>
            <w:tcBorders>
              <w:bottom w:val="single" w:sz="8" w:color="auto"/>
            </w:tcBorders>
            <w:shd w:val="clear" w:color="auto" w:fill="B7DEE8"/>
          </w:tcPr>
          <w:p>
            <w:pPr>
              <w:spacing w:after="0"/>
              <w:rPr>
                <w:sz w:val="21"/>
                <w:szCs w:val="21"/>
                <w:color w:val="auto"/>
              </w:rPr>
            </w:pPr>
          </w:p>
        </w:tc>
        <w:tc>
          <w:tcPr>
            <w:tcW w:w="8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43,078</w:t>
            </w:r>
          </w:p>
        </w:tc>
        <w:tc>
          <w:tcPr>
            <w:tcW w:w="320" w:type="dxa"/>
            <w:vAlign w:val="bottom"/>
            <w:tcBorders>
              <w:bottom w:val="single" w:sz="8" w:color="B7DEE8"/>
            </w:tcBorders>
            <w:shd w:val="clear" w:color="auto" w:fill="B7DEE8"/>
          </w:tcPr>
          <w:p>
            <w:pPr>
              <w:spacing w:after="0"/>
              <w:rPr>
                <w:sz w:val="21"/>
                <w:szCs w:val="21"/>
                <w:color w:val="auto"/>
              </w:rPr>
            </w:pPr>
          </w:p>
        </w:tc>
        <w:tc>
          <w:tcPr>
            <w:tcW w:w="320" w:type="dxa"/>
            <w:vAlign w:val="bottom"/>
            <w:tcBorders>
              <w:bottom w:val="single" w:sz="8" w:color="auto"/>
            </w:tcBorders>
            <w:shd w:val="clear" w:color="auto" w:fill="B7DEE8"/>
          </w:tcPr>
          <w:p>
            <w:pPr>
              <w:spacing w:after="0"/>
              <w:rPr>
                <w:sz w:val="21"/>
                <w:szCs w:val="21"/>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Borders>
              <w:bottom w:val="single" w:sz="8" w:color="B7DEE8"/>
            </w:tcBorders>
            <w:shd w:val="clear" w:color="auto" w:fill="B7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end of the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36,605</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44,799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280" w:type="dxa"/>
            <w:vAlign w:val="bottom"/>
            <w:vMerge w:val="restart"/>
          </w:tcPr>
          <w:p>
            <w:pPr>
              <w:ind w:left="500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-4062730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-4062730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-2502535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-2502535</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-1567815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-1567815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-933450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83"/>
        </w:trPr>
        <w:tc>
          <w:tcPr>
            <w:tcW w:w="7280" w:type="dxa"/>
            <w:vAlign w:val="bottom"/>
            <w:tcBorders>
              <w:top w:val="single" w:sz="8" w:color="B7DEE8"/>
            </w:tcBorders>
            <w:shd w:val="clear" w:color="auto" w:fill="B7DEE8"/>
          </w:tcPr>
          <w:p>
            <w:pPr>
              <w:spacing w:after="0"/>
              <w:rPr>
                <w:sz w:val="24"/>
                <w:szCs w:val="24"/>
                <w:color w:val="auto"/>
              </w:rPr>
            </w:pPr>
          </w:p>
        </w:tc>
        <w:tc>
          <w:tcPr>
            <w:tcW w:w="440" w:type="dxa"/>
            <w:vAlign w:val="bottom"/>
            <w:tcBorders>
              <w:top w:val="single" w:sz="8" w:color="auto"/>
            </w:tcBorders>
            <w:shd w:val="clear" w:color="auto" w:fill="B7DEE8"/>
          </w:tcPr>
          <w:p>
            <w:pPr>
              <w:spacing w:after="0"/>
              <w:rPr>
                <w:sz w:val="24"/>
                <w:szCs w:val="24"/>
                <w:color w:val="auto"/>
              </w:rPr>
            </w:pPr>
          </w:p>
        </w:tc>
        <w:tc>
          <w:tcPr>
            <w:tcW w:w="820" w:type="dxa"/>
            <w:vAlign w:val="bottom"/>
            <w:tcBorders>
              <w:top w:val="single" w:sz="8" w:color="auto"/>
            </w:tcBorders>
            <w:shd w:val="clear" w:color="auto" w:fill="B7DEE8"/>
          </w:tcPr>
          <w:p>
            <w:pPr>
              <w:spacing w:after="0"/>
              <w:rPr>
                <w:sz w:val="24"/>
                <w:szCs w:val="24"/>
                <w:color w:val="auto"/>
              </w:rPr>
            </w:pPr>
          </w:p>
        </w:tc>
        <w:tc>
          <w:tcPr>
            <w:tcW w:w="320" w:type="dxa"/>
            <w:vAlign w:val="bottom"/>
            <w:tcBorders>
              <w:top w:val="single" w:sz="8" w:color="B7DEE8"/>
            </w:tcBorders>
            <w:shd w:val="clear" w:color="auto" w:fill="B7DEE8"/>
          </w:tcPr>
          <w:p>
            <w:pPr>
              <w:spacing w:after="0"/>
              <w:rPr>
                <w:sz w:val="24"/>
                <w:szCs w:val="24"/>
                <w:color w:val="auto"/>
              </w:rPr>
            </w:pPr>
          </w:p>
        </w:tc>
        <w:tc>
          <w:tcPr>
            <w:tcW w:w="360" w:type="dxa"/>
            <w:vAlign w:val="bottom"/>
            <w:tcBorders>
              <w:top w:val="single" w:sz="8" w:color="auto"/>
            </w:tcBorders>
            <w:shd w:val="clear" w:color="auto" w:fill="B7DEE8"/>
          </w:tcPr>
          <w:p>
            <w:pPr>
              <w:spacing w:after="0"/>
              <w:rPr>
                <w:sz w:val="24"/>
                <w:szCs w:val="24"/>
                <w:color w:val="auto"/>
              </w:rPr>
            </w:pPr>
          </w:p>
        </w:tc>
        <w:tc>
          <w:tcPr>
            <w:tcW w:w="780" w:type="dxa"/>
            <w:vAlign w:val="bottom"/>
            <w:tcBorders>
              <w:top w:val="single" w:sz="8" w:color="auto"/>
            </w:tcBorders>
            <w:shd w:val="clear" w:color="auto" w:fill="B7DEE8"/>
          </w:tcPr>
          <w:p>
            <w:pPr>
              <w:spacing w:after="0"/>
              <w:rPr>
                <w:sz w:val="24"/>
                <w:szCs w:val="24"/>
                <w:color w:val="auto"/>
              </w:rPr>
            </w:pPr>
          </w:p>
        </w:tc>
        <w:tc>
          <w:tcPr>
            <w:tcW w:w="100" w:type="dxa"/>
            <w:vAlign w:val="bottom"/>
            <w:tcBorders>
              <w:top w:val="single" w:sz="8" w:color="B7DEE8"/>
            </w:tcBorders>
            <w:shd w:val="clear" w:color="auto" w:fill="B7DEE8"/>
          </w:tcPr>
          <w:p>
            <w:pPr>
              <w:spacing w:after="0"/>
              <w:rPr>
                <w:sz w:val="24"/>
                <w:szCs w:val="24"/>
                <w:color w:val="auto"/>
              </w:rPr>
            </w:pPr>
          </w:p>
        </w:tc>
      </w:tr>
      <w:tr>
        <w:trPr>
          <w:trHeight w:val="241"/>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2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Property and equipment purchases in accounts payable and accrued liabilities</w:t>
            </w:r>
          </w:p>
        </w:tc>
        <w:tc>
          <w:tcPr>
            <w:tcW w:w="440" w:type="dxa"/>
            <w:vAlign w:val="bottom"/>
            <w:shd w:val="clear" w:color="auto" w:fill="B7DEE8"/>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gridSpan w:val="2"/>
            <w:shd w:val="clear" w:color="auto" w:fill="B7DE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B7DEE8"/>
          </w:tcPr>
          <w:p>
            <w:pPr>
              <w:spacing w:after="0"/>
              <w:rPr>
                <w:sz w:val="21"/>
                <w:szCs w:val="21"/>
                <w:color w:val="auto"/>
              </w:rPr>
            </w:pPr>
          </w:p>
        </w:tc>
      </w:tr>
      <w:tr>
        <w:trPr>
          <w:trHeight w:val="243"/>
        </w:trPr>
        <w:tc>
          <w:tcPr>
            <w:tcW w:w="7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paid for:</w:t>
            </w:r>
          </w:p>
        </w:tc>
        <w:tc>
          <w:tcPr>
            <w:tcW w:w="44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7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7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7280" w:type="dxa"/>
            <w:vAlign w:val="bottom"/>
            <w:shd w:val="clear" w:color="auto" w:fill="B7DEE8"/>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shd w:val="clear" w:color="auto" w:fill="B7DEE8"/>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680" w:type="dxa"/>
            <w:vAlign w:val="bottom"/>
            <w:gridSpan w:val="2"/>
            <w:shd w:val="clear" w:color="auto" w:fill="B7DEE8"/>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B7DEE8"/>
          </w:tcPr>
          <w:p>
            <w:pPr>
              <w:spacing w:after="0"/>
              <w:rPr>
                <w:sz w:val="21"/>
                <w:szCs w:val="21"/>
                <w:color w:val="auto"/>
              </w:rPr>
            </w:pPr>
          </w:p>
        </w:tc>
      </w:tr>
      <w:tr>
        <w:trPr>
          <w:trHeight w:val="243"/>
        </w:trPr>
        <w:tc>
          <w:tcPr>
            <w:tcW w:w="7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1"/>
        </w:trPr>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w:t>
            </w:r>
          </w:p>
        </w:tc>
        <w:tc>
          <w:tcPr>
            <w:tcW w:w="44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16"/>
        </w:trPr>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reported within the condensed consolidated balance sheets with the same as shown in the</w:t>
            </w:r>
          </w:p>
        </w:tc>
        <w:tc>
          <w:tcPr>
            <w:tcW w:w="440" w:type="dxa"/>
            <w:vAlign w:val="bottom"/>
            <w:shd w:val="clear" w:color="auto" w:fill="B7DEE8"/>
          </w:tcPr>
          <w:p>
            <w:pPr>
              <w:spacing w:after="0"/>
              <w:rPr>
                <w:sz w:val="18"/>
                <w:szCs w:val="18"/>
                <w:color w:val="auto"/>
              </w:rPr>
            </w:pPr>
          </w:p>
        </w:tc>
        <w:tc>
          <w:tcPr>
            <w:tcW w:w="820" w:type="dxa"/>
            <w:vAlign w:val="bottom"/>
            <w:shd w:val="clear" w:color="auto" w:fill="B7DEE8"/>
          </w:tcPr>
          <w:p>
            <w:pPr>
              <w:spacing w:after="0"/>
              <w:rPr>
                <w:sz w:val="18"/>
                <w:szCs w:val="18"/>
                <w:color w:val="auto"/>
              </w:rPr>
            </w:pPr>
          </w:p>
        </w:tc>
        <w:tc>
          <w:tcPr>
            <w:tcW w:w="320" w:type="dxa"/>
            <w:vAlign w:val="bottom"/>
            <w:shd w:val="clear" w:color="auto" w:fill="B7DEE8"/>
          </w:tcPr>
          <w:p>
            <w:pPr>
              <w:spacing w:after="0"/>
              <w:rPr>
                <w:sz w:val="18"/>
                <w:szCs w:val="18"/>
                <w:color w:val="auto"/>
              </w:rPr>
            </w:pPr>
          </w:p>
        </w:tc>
        <w:tc>
          <w:tcPr>
            <w:tcW w:w="360" w:type="dxa"/>
            <w:vAlign w:val="bottom"/>
            <w:shd w:val="clear" w:color="auto" w:fill="B7DEE8"/>
          </w:tcPr>
          <w:p>
            <w:pPr>
              <w:spacing w:after="0"/>
              <w:rPr>
                <w:sz w:val="18"/>
                <w:szCs w:val="18"/>
                <w:color w:val="auto"/>
              </w:rPr>
            </w:pPr>
          </w:p>
        </w:tc>
        <w:tc>
          <w:tcPr>
            <w:tcW w:w="780" w:type="dxa"/>
            <w:vAlign w:val="bottom"/>
            <w:shd w:val="clear" w:color="auto" w:fill="B7DEE8"/>
          </w:tcPr>
          <w:p>
            <w:pPr>
              <w:spacing w:after="0"/>
              <w:rPr>
                <w:sz w:val="18"/>
                <w:szCs w:val="18"/>
                <w:color w:val="auto"/>
              </w:rPr>
            </w:pPr>
          </w:p>
        </w:tc>
        <w:tc>
          <w:tcPr>
            <w:tcW w:w="100" w:type="dxa"/>
            <w:vAlign w:val="bottom"/>
            <w:shd w:val="clear" w:color="auto" w:fill="B7DEE8"/>
          </w:tcPr>
          <w:p>
            <w:pPr>
              <w:spacing w:after="0"/>
              <w:rPr>
                <w:sz w:val="18"/>
                <w:szCs w:val="18"/>
                <w:color w:val="auto"/>
              </w:rPr>
            </w:pPr>
          </w:p>
        </w:tc>
      </w:tr>
      <w:tr>
        <w:trPr>
          <w:trHeight w:val="248"/>
        </w:trPr>
        <w:tc>
          <w:tcPr>
            <w:tcW w:w="72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condensed consolidated statement of cash flows</w:t>
            </w:r>
          </w:p>
        </w:tc>
        <w:tc>
          <w:tcPr>
            <w:tcW w:w="440" w:type="dxa"/>
            <w:vAlign w:val="bottom"/>
            <w:shd w:val="clear" w:color="auto" w:fill="B7DEE8"/>
          </w:tcPr>
          <w:p>
            <w:pPr>
              <w:spacing w:after="0"/>
              <w:rPr>
                <w:sz w:val="21"/>
                <w:szCs w:val="21"/>
                <w:color w:val="auto"/>
              </w:rPr>
            </w:pPr>
          </w:p>
        </w:tc>
        <w:tc>
          <w:tcPr>
            <w:tcW w:w="820" w:type="dxa"/>
            <w:vAlign w:val="bottom"/>
            <w:shd w:val="clear" w:color="auto" w:fill="B7DEE8"/>
          </w:tcPr>
          <w:p>
            <w:pPr>
              <w:spacing w:after="0"/>
              <w:rPr>
                <w:sz w:val="21"/>
                <w:szCs w:val="21"/>
                <w:color w:val="auto"/>
              </w:rPr>
            </w:pPr>
          </w:p>
        </w:tc>
        <w:tc>
          <w:tcPr>
            <w:tcW w:w="320" w:type="dxa"/>
            <w:vAlign w:val="bottom"/>
            <w:shd w:val="clear" w:color="auto" w:fill="B7DEE8"/>
          </w:tcPr>
          <w:p>
            <w:pPr>
              <w:spacing w:after="0"/>
              <w:rPr>
                <w:sz w:val="21"/>
                <w:szCs w:val="21"/>
                <w:color w:val="auto"/>
              </w:rPr>
            </w:pPr>
          </w:p>
        </w:tc>
        <w:tc>
          <w:tcPr>
            <w:tcW w:w="360" w:type="dxa"/>
            <w:vAlign w:val="bottom"/>
            <w:shd w:val="clear" w:color="auto" w:fill="B7DEE8"/>
          </w:tcPr>
          <w:p>
            <w:pPr>
              <w:spacing w:after="0"/>
              <w:rPr>
                <w:sz w:val="21"/>
                <w:szCs w:val="21"/>
                <w:color w:val="auto"/>
              </w:rPr>
            </w:pPr>
          </w:p>
        </w:tc>
        <w:tc>
          <w:tcPr>
            <w:tcW w:w="7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35,059</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43,608</w:t>
            </w:r>
          </w:p>
        </w:tc>
        <w:tc>
          <w:tcPr>
            <w:tcW w:w="100" w:type="dxa"/>
            <w:vAlign w:val="bottom"/>
          </w:tcPr>
          <w:p>
            <w:pPr>
              <w:spacing w:after="0"/>
              <w:rPr>
                <w:sz w:val="20"/>
                <w:szCs w:val="20"/>
                <w:color w:val="auto"/>
              </w:rPr>
            </w:pPr>
          </w:p>
        </w:tc>
      </w:tr>
      <w:tr>
        <w:trPr>
          <w:trHeight w:val="243"/>
        </w:trPr>
        <w:tc>
          <w:tcPr>
            <w:tcW w:w="728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Borders>
              <w:bottom w:val="single" w:sz="8" w:color="auto"/>
            </w:tcBorders>
            <w:shd w:val="clear" w:color="auto" w:fill="B7DEE8"/>
          </w:tcPr>
          <w:p>
            <w:pPr>
              <w:spacing w:after="0"/>
              <w:rPr>
                <w:sz w:val="21"/>
                <w:szCs w:val="21"/>
                <w:color w:val="auto"/>
              </w:rPr>
            </w:pPr>
          </w:p>
        </w:tc>
        <w:tc>
          <w:tcPr>
            <w:tcW w:w="8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320" w:type="dxa"/>
            <w:vAlign w:val="bottom"/>
            <w:tcBorders>
              <w:bottom w:val="single" w:sz="8" w:color="B7DEE8"/>
            </w:tcBorders>
            <w:shd w:val="clear" w:color="auto" w:fill="B7DEE8"/>
          </w:tcPr>
          <w:p>
            <w:pPr>
              <w:spacing w:after="0"/>
              <w:rPr>
                <w:sz w:val="21"/>
                <w:szCs w:val="21"/>
                <w:color w:val="auto"/>
              </w:rPr>
            </w:pPr>
          </w:p>
        </w:tc>
        <w:tc>
          <w:tcPr>
            <w:tcW w:w="360" w:type="dxa"/>
            <w:vAlign w:val="bottom"/>
            <w:tcBorders>
              <w:bottom w:val="single" w:sz="8" w:color="auto"/>
            </w:tcBorders>
            <w:shd w:val="clear" w:color="auto" w:fill="B7DEE8"/>
          </w:tcPr>
          <w:p>
            <w:pPr>
              <w:spacing w:after="0"/>
              <w:rPr>
                <w:sz w:val="21"/>
                <w:szCs w:val="21"/>
                <w:color w:val="auto"/>
              </w:rPr>
            </w:pPr>
          </w:p>
        </w:tc>
        <w:tc>
          <w:tcPr>
            <w:tcW w:w="78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B7DEE8"/>
            </w:tcBorders>
            <w:shd w:val="clear" w:color="auto" w:fill="B7DEE8"/>
          </w:tcPr>
          <w:p>
            <w:pPr>
              <w:spacing w:after="0"/>
              <w:rPr>
                <w:sz w:val="21"/>
                <w:szCs w:val="21"/>
                <w:color w:val="auto"/>
              </w:rPr>
            </w:pPr>
          </w:p>
        </w:tc>
      </w:tr>
      <w:tr>
        <w:trPr>
          <w:trHeight w:val="241"/>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 end of the period</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36,605</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44,799</w:t>
            </w:r>
          </w:p>
        </w:tc>
        <w:tc>
          <w:tcPr>
            <w:tcW w:w="100" w:type="dxa"/>
            <w:vAlign w:val="bottom"/>
          </w:tcPr>
          <w:p>
            <w:pPr>
              <w:spacing w:after="0"/>
              <w:rPr>
                <w:sz w:val="20"/>
                <w:szCs w:val="20"/>
                <w:color w:val="auto"/>
              </w:rPr>
            </w:pPr>
          </w:p>
        </w:tc>
      </w:tr>
      <w:tr>
        <w:trPr>
          <w:trHeight w:val="20"/>
        </w:trPr>
        <w:tc>
          <w:tcPr>
            <w:tcW w:w="7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5994400</wp:posOffset>
            </wp:positionH>
            <wp:positionV relativeFrom="page">
              <wp:posOffset>637540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page">
              <wp:posOffset>6920230</wp:posOffset>
            </wp:positionH>
            <wp:positionV relativeFrom="page">
              <wp:posOffset>637540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-2168525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-2168525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-187960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accompanying notes to the condensed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4" w:right="8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1 Organization and Nature of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Dave Inc. (“Dave” or the “Company”), a Delaware corporation, with headquarters located in Los Angeles, California, is a financial services company. Dave offers a suite of innovative financial products aimed at helping Members improve their financial health. To help Members avoid punitive overdraft fees and access short-term liquidity, Dave offers its flagship 0% interest ExtraCash product. Through the Dave Checking Account and the Dave Goals account, the Company provides Members with an affordable and transparent banking solution with valuable tools for building long-term financial health. Dave also helps Members generate extra income for spending or emergencies through Dave’s Side Hustle and Surveys products, where Dave presents Members with supplemental work and income opportunities.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ExtraCash:</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Many Americans are often unable to maintain a positive balance between paychecks, driving a reliance on bank overdraft products, payday loans, auto title loans and other forms of expensive credit to put food on the table, gas in their car or pay for unexpected emergencies. For example, traditional banks charge up to $35 for access to as little as $5 of overdraft, and many others in the financial services sector do not allow for overdraft at all. Dave invented a short-term liquidity alternative called ExtraCash, offered through our partnership with Evolve Bank &amp; Trust, a federal reserve member bank and member of the FDIC ("Evolve"), which allows Members to receive via an overdraft of their deposit account with Evolve, up to $500 with an option to send their overdraft funds to an external bank account via the automated clearing house (ACH) network (which typically takes two to five business days) and avoid fees altogether. Members also have the option to send their funds to a Dave Checking account or to an external bank account via the debit card networks (which typically takes minutes or hours) for an instant transfer fee.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Banking:</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Dave offers a full-service digital checking account through our partnership with Evolve Bank &amp; Trust. Dave Checking accounts do not have overdraft or minimum balance fees, allow for early paycheck payment, offer a Dave debit card to facilitate everyday spending and provide FDIC insurance on checking account balances up to $250,000. Moreover, Dave Banking Members receive features to support their financial health such as 4.00% annual percentage yield ("APY") deposit rates on both checking and Goals accounts and opt-in round-up savings on debit transactions in addition to receiving lower ExtraCash instant transfer fees.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Budget: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Leveraging our data connections to Members' bank accounts and spending activity, Dave offers a personal financial management tool to support Members with budgeting, wherever someone banks. With Budget, Dave helps Members to manage their income and expenses between paychecks and avoid liquidity jams that may cause them to overdraft. Dave tracks Members’ income and expenses, and we let them know about estimated upcoming bills and other expenses that are likely to impact their account balances. Budget will monitor their linked bank account held at a depository institution, including a Dave Banking account, and will let them know when they are in danger of having insufficient funds in their account. This helps Members avoid overdrafts, returned transactions and bank fees.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Side Hustle and Surveys: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Dave seeks to help Members improve their financial health by offering them opportunities to generate supplemental income through two channels: Side Hustle and Surveys. Through Side Hustle, our Members can quickly submit applications to leading employers, including Lyft, Instacart, and Walmart that can lead to increased income with flexible employment. Our Surveys product allows for additional earning opportunities, allowing Members to take paid surveys anytime within the Dave mobile application. These channels drive engagement within the Dave ecosystem and deepen our relationship to our Members’ financial well-being.</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accounting principles generally accepted in the United States of America (“U.S. GAAP”).</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4, 2023, the Board approved an amendment to the Company’s certificate of incorporation to complete a 1-for-32 reverse stock split effective January 5, 2023. At a special meeting held on December 13, 2022, stockholders approved the reverse stock split. The primary goal of the reverse stock split was to bring the Company’s stock price above the share bid price requirement for continued listing on Nasdaq. The effects of the reverse stock split have been reflected in the condensed consolidated financial statements and the footnotes.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a variable interest entity (“VIE”). All intercompany transactions and balances have been eliminated upon consolidation.</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condensed consolidated balance sheets. The assets of Dave OD are restricted and may only be used to settle obligations of Dave 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p>
    <w:p>
      <w:pPr>
        <w:spacing w:after="0" w:line="79" w:lineRule="exact"/>
        <w:rPr>
          <w:sz w:val="20"/>
          <w:szCs w:val="20"/>
          <w:color w:val="auto"/>
        </w:rPr>
      </w:pPr>
    </w:p>
    <w:p>
      <w:pPr>
        <w:ind w:left="740" w:hanging="223"/>
        <w:spacing w:after="0"/>
        <w:tabs>
          <w:tab w:leader="none" w:pos="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detail of operating revenues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1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38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38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382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94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58,659</w:t>
            </w:r>
          </w:p>
        </w:tc>
        <w:tc>
          <w:tcPr>
            <w:tcW w:w="58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420" w:type="dxa"/>
            <w:vAlign w:val="bottom"/>
            <w:gridSpan w:val="2"/>
            <w:shd w:val="clear" w:color="auto" w:fill="B6DEE8"/>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152,850</w:t>
            </w:r>
          </w:p>
        </w:tc>
        <w:tc>
          <w:tcPr>
            <w:tcW w:w="580" w:type="dxa"/>
            <w:vAlign w:val="bottom"/>
            <w:gridSpan w:val="2"/>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108,153</w:t>
            </w:r>
          </w:p>
        </w:tc>
        <w:tc>
          <w:tcPr>
            <w:tcW w:w="100" w:type="dxa"/>
            <w:vAlign w:val="bottom"/>
            <w:shd w:val="clear" w:color="auto" w:fill="B6DEE8"/>
          </w:tcPr>
          <w:p>
            <w:pPr>
              <w:spacing w:after="0"/>
              <w:rPr>
                <w:sz w:val="21"/>
                <w:szCs w:val="21"/>
                <w:color w:val="auto"/>
              </w:rPr>
            </w:pPr>
          </w:p>
        </w:tc>
      </w:tr>
      <w:tr>
        <w:trPr>
          <w:trHeight w:val="239"/>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100" w:type="dxa"/>
            <w:vAlign w:val="bottom"/>
          </w:tcPr>
          <w:p>
            <w:pPr>
              <w:spacing w:after="0"/>
              <w:rPr>
                <w:sz w:val="20"/>
                <w:szCs w:val="20"/>
                <w:color w:val="auto"/>
              </w:rPr>
            </w:pPr>
          </w:p>
        </w:tc>
      </w:tr>
      <w:tr>
        <w:trPr>
          <w:trHeight w:val="247"/>
        </w:trPr>
        <w:tc>
          <w:tcPr>
            <w:tcW w:w="3820" w:type="dxa"/>
            <w:vAlign w:val="bottom"/>
            <w:shd w:val="clear" w:color="auto" w:fill="B6DEE8"/>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940" w:type="dxa"/>
            <w:vAlign w:val="bottom"/>
            <w:shd w:val="clear" w:color="auto" w:fill="B6DEE8"/>
          </w:tcPr>
          <w:p>
            <w:pPr>
              <w:spacing w:after="0"/>
              <w:rPr>
                <w:sz w:val="21"/>
                <w:szCs w:val="21"/>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26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2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20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100" w:type="dxa"/>
            <w:vAlign w:val="bottom"/>
            <w:shd w:val="clear" w:color="auto" w:fill="B6DEE8"/>
          </w:tcPr>
          <w:p>
            <w:pPr>
              <w:spacing w:after="0"/>
              <w:rPr>
                <w:sz w:val="21"/>
                <w:szCs w:val="21"/>
                <w:color w:val="auto"/>
              </w:rPr>
            </w:pPr>
          </w:p>
        </w:tc>
      </w:tr>
      <w:tr>
        <w:trPr>
          <w:trHeight w:val="239"/>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r>
      <w:tr>
        <w:trPr>
          <w:trHeight w:val="247"/>
        </w:trPr>
        <w:tc>
          <w:tcPr>
            <w:tcW w:w="38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940" w:type="dxa"/>
            <w:vAlign w:val="bottom"/>
            <w:shd w:val="clear" w:color="auto" w:fill="B6DEE8"/>
          </w:tcPr>
          <w:p>
            <w:pPr>
              <w:spacing w:after="0"/>
              <w:rPr>
                <w:sz w:val="21"/>
                <w:szCs w:val="21"/>
                <w:color w:val="auto"/>
              </w:rPr>
            </w:pPr>
          </w:p>
        </w:tc>
        <w:tc>
          <w:tcPr>
            <w:tcW w:w="520" w:type="dxa"/>
            <w:vAlign w:val="bottom"/>
            <w:shd w:val="clear" w:color="auto" w:fill="B6DEE8"/>
          </w:tcPr>
          <w:p>
            <w:pPr>
              <w:spacing w:after="0"/>
              <w:rPr>
                <w:sz w:val="21"/>
                <w:szCs w:val="21"/>
                <w:color w:val="auto"/>
              </w:rPr>
            </w:pPr>
          </w:p>
        </w:tc>
        <w:tc>
          <w:tcPr>
            <w:tcW w:w="26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11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120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8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r>
      <w:tr>
        <w:trPr>
          <w:trHeight w:val="239"/>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Interchange revenue, net</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00" w:type="dxa"/>
            <w:vAlign w:val="bottom"/>
          </w:tcPr>
          <w:p>
            <w:pPr>
              <w:spacing w:after="0"/>
              <w:rPr>
                <w:sz w:val="20"/>
                <w:szCs w:val="20"/>
                <w:color w:val="auto"/>
              </w:rPr>
            </w:pPr>
          </w:p>
        </w:tc>
      </w:tr>
      <w:tr>
        <w:trPr>
          <w:trHeight w:val="247"/>
        </w:trPr>
        <w:tc>
          <w:tcPr>
            <w:tcW w:w="3820" w:type="dxa"/>
            <w:vAlign w:val="bottom"/>
            <w:shd w:val="clear" w:color="auto" w:fill="B6DEE8"/>
          </w:tcPr>
          <w:p>
            <w:pPr>
              <w:ind w:left="220"/>
              <w:spacing w:after="0"/>
              <w:rPr>
                <w:sz w:val="20"/>
                <w:szCs w:val="20"/>
                <w:color w:val="auto"/>
              </w:rPr>
            </w:pPr>
            <w:r>
              <w:rPr>
                <w:rFonts w:ascii="Times New Roman" w:cs="Times New Roman" w:eastAsia="Times New Roman" w:hAnsi="Times New Roman"/>
                <w:sz w:val="18"/>
                <w:szCs w:val="18"/>
                <w:color w:val="auto"/>
              </w:rPr>
              <w:t>ATM revenue, net</w:t>
            </w:r>
          </w:p>
        </w:tc>
        <w:tc>
          <w:tcPr>
            <w:tcW w:w="940" w:type="dxa"/>
            <w:vAlign w:val="bottom"/>
            <w:shd w:val="clear" w:color="auto" w:fill="B6DEE8"/>
          </w:tcPr>
          <w:p>
            <w:pPr>
              <w:spacing w:after="0"/>
              <w:rPr>
                <w:sz w:val="21"/>
                <w:szCs w:val="21"/>
                <w:color w:val="auto"/>
              </w:rPr>
            </w:pPr>
          </w:p>
        </w:tc>
        <w:tc>
          <w:tcPr>
            <w:tcW w:w="5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6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12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0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8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B6DEE8"/>
          </w:tcPr>
          <w:p>
            <w:pPr>
              <w:spacing w:after="0"/>
              <w:rPr>
                <w:sz w:val="21"/>
                <w:szCs w:val="21"/>
                <w:color w:val="auto"/>
              </w:rPr>
            </w:pPr>
          </w:p>
        </w:tc>
      </w:tr>
      <w:tr>
        <w:trPr>
          <w:trHeight w:val="243"/>
        </w:trPr>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00" w:type="dxa"/>
            <w:vAlign w:val="bottom"/>
          </w:tcPr>
          <w:p>
            <w:pPr>
              <w:spacing w:after="0"/>
              <w:rPr>
                <w:sz w:val="21"/>
                <w:szCs w:val="21"/>
                <w:color w:val="auto"/>
              </w:rPr>
            </w:pPr>
          </w:p>
        </w:tc>
      </w:tr>
      <w:tr>
        <w:trPr>
          <w:trHeight w:val="277"/>
        </w:trPr>
        <w:tc>
          <w:tcPr>
            <w:tcW w:w="382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 net</w:t>
            </w:r>
          </w:p>
        </w:tc>
        <w:tc>
          <w:tcPr>
            <w:tcW w:w="940" w:type="dxa"/>
            <w:vAlign w:val="bottom"/>
            <w:tcBorders>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92,489</w:t>
            </w:r>
          </w:p>
        </w:tc>
        <w:tc>
          <w:tcPr>
            <w:tcW w:w="260" w:type="dxa"/>
            <w:vAlign w:val="bottom"/>
            <w:tcBorders>
              <w:bottom w:val="single" w:sz="8" w:color="B6DEE8"/>
            </w:tcBorders>
            <w:shd w:val="clear" w:color="auto" w:fill="B6DEE8"/>
          </w:tcPr>
          <w:p>
            <w:pPr>
              <w:spacing w:after="0"/>
              <w:rPr>
                <w:sz w:val="24"/>
                <w:szCs w:val="24"/>
                <w:color w:val="auto"/>
              </w:rPr>
            </w:pPr>
          </w:p>
        </w:tc>
        <w:tc>
          <w:tcPr>
            <w:tcW w:w="320" w:type="dxa"/>
            <w:vAlign w:val="bottom"/>
            <w:tcBorders>
              <w:bottom w:val="single" w:sz="8" w:color="auto"/>
            </w:tcBorders>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65,811</w:t>
            </w:r>
          </w:p>
        </w:tc>
        <w:tc>
          <w:tcPr>
            <w:tcW w:w="220" w:type="dxa"/>
            <w:vAlign w:val="bottom"/>
            <w:tcBorders>
              <w:bottom w:val="single" w:sz="8" w:color="B6DEE8"/>
            </w:tcBorders>
            <w:shd w:val="clear" w:color="auto" w:fill="B6DEE8"/>
          </w:tcPr>
          <w:p>
            <w:pPr>
              <w:spacing w:after="0"/>
              <w:rPr>
                <w:sz w:val="24"/>
                <w:szCs w:val="24"/>
                <w:color w:val="auto"/>
              </w:rPr>
            </w:pPr>
          </w:p>
        </w:tc>
        <w:tc>
          <w:tcPr>
            <w:tcW w:w="200" w:type="dxa"/>
            <w:vAlign w:val="bottom"/>
            <w:tcBorders>
              <w:bottom w:val="single" w:sz="8" w:color="auto"/>
            </w:tcBorders>
            <w:shd w:val="clear" w:color="auto" w:fill="B6DEE8"/>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200" w:type="dxa"/>
            <w:vAlign w:val="bottom"/>
            <w:tcBorders>
              <w:bottom w:val="single" w:sz="8" w:color="B6DEE8"/>
            </w:tcBorders>
            <w:shd w:val="clear" w:color="auto" w:fill="B6DEE8"/>
          </w:tcPr>
          <w:p>
            <w:pPr>
              <w:spacing w:after="0"/>
              <w:rPr>
                <w:sz w:val="24"/>
                <w:szCs w:val="24"/>
                <w:color w:val="auto"/>
              </w:rPr>
            </w:pPr>
          </w:p>
        </w:tc>
        <w:tc>
          <w:tcPr>
            <w:tcW w:w="380" w:type="dxa"/>
            <w:vAlign w:val="bottom"/>
            <w:tcBorders>
              <w:bottom w:val="single" w:sz="8" w:color="auto"/>
            </w:tcBorders>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185,974</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-25400</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Based Revenue, Net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tips, optional processing fees, and subscriptions charged to Members, net of processor costs associated with ExtraCash originations. ExtraCash receivables are treated as financial receivables under ASC 310 Receivables (“ASC 310”) and processing fees, net and tips are also accounted for in accordance with ASC 310.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Net: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Processing fees apply when a Member requests expedited ExtraCash. At the Member’s election, the Company expedites the funding of ExtraCash funds within hours of the ExtraCash approval, as opposed to the customary two or three business days for ExtraCash that is transferred via the ACH network. Processing fees are accounted for as non-refundable loan origination fees and are recognized as revenues over the average expected contractual term of its ExtraCash transactions.</w:t>
      </w:r>
    </w:p>
    <w:p>
      <w:pPr>
        <w:spacing w:after="0" w:line="1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Costs incurred by the Company to originate ExtraCash are treated as direct loan origination costs. These direct loan origination costs are netted against ExtraCash-related income over the average expected contractual term of an ExtraCash. Direct origination costs recognized as a reduction of ExtraCash-related income during the three and nine months ended September 30, 2024 were $1.1 million and $2.6 million, respectively. During the three and nine months ended September 30, 2023, the Company recognized direct origination costs as a reduction of ExtraCash-related income of $0.7 million and $2.7 million, respectively.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Tips:</w:t>
      </w:r>
    </w:p>
    <w:p>
      <w:pPr>
        <w:spacing w:after="0" w:line="25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encourages, but does not contractually require its Members who receive ExtraCash to leave a discretionary tip. For accounting purposes, the Company treats tips as an adjustment of yield to ExtraCash and are recognized over the average expected contractual term of its ExtraCash receivables.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Subscriptions:</w:t>
      </w: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subscriptions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Subscription fees are received on a monthly basis from Members who subscribe to the Company’s application. The Company continually fulfills its obligation to each Member over the subscription term. The series of distinct services represents a single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 w:name="page15"/>
    <w:bookmarkEnd w:id="14"/>
    <w:p>
      <w:pPr>
        <w:ind w:right="400"/>
        <w:spacing w:after="0" w:line="282" w:lineRule="auto"/>
        <w:rPr>
          <w:sz w:val="20"/>
          <w:szCs w:val="20"/>
          <w:color w:val="auto"/>
        </w:rPr>
      </w:pPr>
      <w:r>
        <w:rPr>
          <w:rFonts w:ascii="Times New Roman" w:cs="Times New Roman" w:eastAsia="Times New Roman" w:hAnsi="Times New Roman"/>
          <w:sz w:val="18"/>
          <w:szCs w:val="18"/>
          <w:color w:val="auto"/>
        </w:rPr>
        <w:t>performance obligation that is satisfied over time. The Company recognizes revenue ratably as the Member receives and consumes the benefits of the platform throughout the monthly contract period.</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amounts collected from Members.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Other service based revenue consists of lead generation fees from the Company’s Side Hustle advertising partners and revenue share from the Company's Surveys partners.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Based Revenue, Net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Member’s usage out-of-network reduced by related ATM transaction costs during the three months and nine months ended September 30, 2024, were $0.7 million and $2.3 million, respectively. ATM fees earned from Member’s usage out-of-network reduced by related ATM transaction costs during the three months and nine months ended September 30, 2023, were $0.6 million and $1.9 million, respectively. ATM-related fees recognized as a reduction of transaction based revenue during the three months and nine months ended September 30, 2024 were $0.5 million and $1.5 million, respectively. ATM-related fees recognized as a reduction of transaction based revenue during the three months and nine months ended September 30, 2023 were $0.5 million and $1.3 million, respectively.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Processing and Servicing Costs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Processing costs consist of amounts paid to third party processors for the recovery of ExtraCash, tips, processing fees and subscriptions. These expenses also include fees paid for services to connect Member’s bank accounts to the Company’s application. Except for processing and service fees associated with ExtraCash originations, which are recorded net against revenue, all other processing and service fees are expensed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classifies all highly liquid instruments with an original maturity of three months or less as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primarily represents cash held at financial institutions that is pledged as collateral for specific accounts that may become overdrawn.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Marketable securities consist of a money market mutual fund. The fair value of marketable securities is determined by quoted prices in active markets and changes in fair value are recorded in other (income) expense in the condensed consolidated statements of operations.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Investments consist of corporate bonds and notes, asset backed securities, and government securities and are classified as “available-for-sale” as the sale of such securities may be required prior to maturity to implement the Company’s strategies. The fair value of investments is determined by quoted prices in active markets with unrealized gains and losses (other than credit related impairment) reported as a separate component of other comprehensive income. For securities with unrealized losses, any credit related portion of the loss is recognized in earnings. If it is more likely than not that the Company will be unable or does not intend to hold the security</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5" w:name="page16"/>
    <w:bookmarkEnd w:id="15"/>
    <w:p>
      <w:pPr>
        <w:ind w:right="40"/>
        <w:spacing w:after="0" w:line="266" w:lineRule="auto"/>
        <w:rPr>
          <w:sz w:val="20"/>
          <w:szCs w:val="20"/>
          <w:color w:val="auto"/>
        </w:rPr>
      </w:pPr>
      <w:r>
        <w:rPr>
          <w:rFonts w:ascii="Times New Roman" w:cs="Times New Roman" w:eastAsia="Times New Roman" w:hAnsi="Times New Roman"/>
          <w:sz w:val="18"/>
          <w:szCs w:val="18"/>
          <w:color w:val="auto"/>
        </w:rPr>
        <w:t>to recovery of the non-credit related unrealized loss, the loss is recognized in earnings. Realized gains and losses are determined using the specific identification method and recognized in the condensed consolidated statements of comprehensive loss. Any related amounts recorded in accumulated other comprehensive income are reclassified to earnings (on a pre-tax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ExtraCash Receivables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ExtraCash receivables include ExtraCash, fees and tips, net of certain direct origination costs and allowance for credit losses. Management’s intent is to hold ExtraCash receivables until the earlier of repayment or payoff date. Members’ ExtraCash receivables are treated as financial receivables under ASC 310.</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ExtraCash extended to Members is not interest-bearing. The Company recognizes ExtraCash at the origination amount and does not use discounting techniques to determine present value of originations due to their short-term nature.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provide modifications to ExtraCash and does not charge late fees.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origination amounts, inclusive of outstanding processing fees and tips, and reduced by an allowance for expected credit losses. The Company pools its ExtraCash receivables, all of which are short-term (average term of approximately 11 days) in nature and arise from contracts with Members, based on shared risk characteristics to assess their risk of loss, even when that risk is remote. The Company uses an aging method and historical loss rates as a basis for estimating the percentage of current and delinquent ExtraCash receivables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 most indicative of its lifetime expected losses. The Company immediately recognizes an allowance for expected credit losses at the time of the ExtraCash origination. Adjustments to the allowance each period for changes in the estimate of lifetime expected credit losses are recognized in operating expenses—provision for credit losses in the condensed consolidated statements of operations.</w:t>
      </w:r>
    </w:p>
    <w:p>
      <w:pPr>
        <w:spacing w:after="0" w:line="190"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When the Company determines that an ExtraCash receivable is not collectible, or after 120 days from origination has passed, the uncollectible amount is written-off as a reduction to both the allowance and the gross asset balance. Based on the average outstanding ExtraCash receivable term of approximately 11 days, ExtraCash receivables outstanding 12 or more days from origination may be considered past due. Subsequent recoveries are recorded when received and are recorded as a recovery of the allowance for expected credit losses. Any change in circumstances related to a specific Member ExtraCash receivables may result in an additional allowance for expected credit losses being recognized in the period in which the change occurs.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operating expenses in the condensed consolidated statements of operations. Capitalized costs for the three and nine months ended September 30, 2024, were $1.7 million and $5.5 million, respectively. Capitalized costs for the three and nine months ended September 30, 2023, were $1.8 million and $5.9 million,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internally developed software commences when the software is ready for its intended use (i.e., after all substantial testing is complete).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Internally developed software is amortized over its estimated useful life of 3 years.</w:t>
      </w:r>
    </w:p>
    <w:p>
      <w:pPr>
        <w:spacing w:after="0" w:line="20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6" w:name="page17"/>
    <w:bookmarkEnd w:id="16"/>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ASC 820, Fair Value Measurement (“ASC 820”), provides a single definition of fair value and a common framework for measuring fair value as well as disclosure requirements for fair value measurements used in the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principally consist of cash and cash equivalents, restricted cash, ExtraCash receivables, and accounts receivable. The Company’s cash and cash equivalents and restricted cash in excess of the Federal Deposit Insurance Corporation (“FDIC”) insured limits were $34.3 million at September 30, 2024 and $40.9 million at December 31, 2023, respectively. The Company’s payment processors also collect cash on the Company’s behalf and will hold these cash balances temporarily until they are settled the next business day. Also, the Company does not believe its marketable securities are exposed to any significant credit risk due to the quality and nature of the securities in which the money is held.</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No Member individually exceeded 10% or more of the Company’s ExtraCash receivables balance as of September 30, 2024 and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Awards:</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Awards:</w:t>
      </w:r>
    </w:p>
    <w:p>
      <w:pPr>
        <w:spacing w:after="0" w:line="13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condensed consolidated statements of operations. The Company recognizes forfeitures as they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 Awards: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Performance-based RSUs are valued on the grant date and the compensation cost is recognized over the requisite service period if and when the Company concludes it is probable that the performance metrics will be satisfied. The grant-date fair value of the awards are not subsequently remeasured; however, the Company reassesses the probability of vesting at each reporting period and records a cumulative adjustment to compensation expense based on the likelihood the performance metric will be achieved. These costs are a component of stock-based compensation expense, presented within compensation and benefits in the condensed consolidated statements of operations. The Company recognizes forfeitures as they occur.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for the three months and nine months ended September 30, 2024 were $12.5 million and $32.3 million, respectively, and are presented within advertising and marketing within the condensed consolidated statements of operations. Advertising costs for the three and nine months ended September 30, 2023 were $13.9 million and $38.4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follows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$1.8 million and $1.3 million of uncertain tax positions as of September 30, 2024 and December 31, 2023, respectively, related to state income taxes and federal and state research tax credits.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expense and penalties accrued on any unrecognized tax benefits as a component of income tax expense within the statement of operations. The Company recognized $0.004 million of interest expense and penalties as a component of income tax expense during both the nine months ended September 30,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reportable segment.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Stockholders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two classes of participating securities (Class A Common Stock and Class V Common Stock) issued and outstanding as of September 30, 2024. The rights, including the liquidation and dividend rights, of the holders of the Class A Common Stock and Class V Common Stock are identical, except with respect to voting.</w:t>
      </w:r>
    </w:p>
    <w:p>
      <w:pPr>
        <w:spacing w:after="0" w:line="21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Basic net income (loss) attributable to holders of Common Stock per share is calculated by dividing net income (loss) attributable to holders of Common Stock by the weighted-average number of shares outstanding.</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Diluted net income (loss) per share attributable to holders of common stock is computed by dividing net income (loss) per share attributable to stockholders and the weighted-average number of shares outstanding and the effect of potentially dilutive stock options, warrants, and restricted stock using the treasury stock method.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right="160"/>
        <w:spacing w:after="0" w:line="284"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attributable to holders of common stock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thousands, except share data</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u w:val="single" w:color="auto"/>
          <w:color w:val="auto"/>
        </w:rPr>
        <w:t>Numerator</w:t>
      </w:r>
    </w:p>
    <w:p>
      <w:pPr>
        <w:spacing w:after="0" w:line="40"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color w:val="auto"/>
        </w:rPr>
        <w:t>Net income (loss) attributed to common stockholders—basic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-305435</wp:posOffset>
            </wp:positionV>
            <wp:extent cx="641223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1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u w:val="single" w:color="auto"/>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41223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Weighted-average shares of common stock—basic</w:t>
      </w:r>
    </w:p>
    <w:p>
      <w:pPr>
        <w:spacing w:after="0" w:line="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Dilutive effect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Dilutive effect of RSU</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Weighted-average shares of common stock—diluted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41223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-125095</wp:posOffset>
            </wp:positionV>
            <wp:extent cx="641223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0" w:type="dxa"/>
            <w:vAlign w:val="bottom"/>
          </w:tcPr>
          <w:p>
            <w:pPr>
              <w:spacing w:after="0"/>
              <w:rPr>
                <w:sz w:val="18"/>
                <w:szCs w:val="18"/>
                <w:color w:val="auto"/>
              </w:rPr>
            </w:pPr>
          </w:p>
        </w:tc>
        <w:tc>
          <w:tcPr>
            <w:tcW w:w="226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180" w:type="dxa"/>
            <w:vAlign w:val="bottom"/>
          </w:tcPr>
          <w:p>
            <w:pPr>
              <w:spacing w:after="0"/>
              <w:rPr>
                <w:sz w:val="21"/>
                <w:szCs w:val="21"/>
                <w:color w:val="auto"/>
              </w:rPr>
            </w:pPr>
          </w:p>
        </w:tc>
        <w:tc>
          <w:tcPr>
            <w:tcW w:w="2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57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(12,053 )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(48,696 )</w:t>
            </w:r>
          </w:p>
        </w:tc>
      </w:tr>
      <w:tr>
        <w:trPr>
          <w:trHeight w:val="351"/>
        </w:trPr>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11,960,078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11,887,199</w:t>
            </w:r>
          </w:p>
        </w:tc>
        <w:tc>
          <w:tcPr>
            <w:tcW w:w="80" w:type="dxa"/>
            <w:vAlign w:val="bottom"/>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50"/>
        </w:trPr>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1,034,549</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905,690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r>
      <w:tr>
        <w:trPr>
          <w:trHeight w:val="234"/>
        </w:trPr>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13,932,652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11,960,078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13,587,377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11,887,199</w:t>
            </w:r>
          </w:p>
        </w:tc>
        <w:tc>
          <w:tcPr>
            <w:tcW w:w="80" w:type="dxa"/>
            <w:vAlign w:val="bottom"/>
          </w:tcPr>
          <w:p>
            <w:pPr>
              <w:spacing w:after="0"/>
              <w:rPr>
                <w:sz w:val="20"/>
                <w:szCs w:val="20"/>
                <w:color w:val="auto"/>
              </w:rPr>
            </w:pPr>
          </w:p>
        </w:tc>
      </w:tr>
    </w:tbl>
    <w:p>
      <w:pPr>
        <w:spacing w:after="0" w:line="489" w:lineRule="exact"/>
        <w:rPr>
          <w:sz w:val="20"/>
          <w:szCs w:val="20"/>
          <w:color w:val="auto"/>
        </w:rPr>
      </w:pPr>
    </w:p>
    <w:p>
      <w:pPr>
        <w:sectPr>
          <w:pgSz w:w="11900" w:h="16838" w:orient="portrait"/>
          <w:cols w:equalWidth="0" w:num="2">
            <w:col w:w="5360" w:space="720"/>
            <w:col w:w="5160"/>
          </w:cols>
          <w:pgMar w:left="320" w:top="1199" w:right="339" w:bottom="1440" w:gutter="0" w:footer="0" w:header="0"/>
          <w:type w:val="continuous"/>
        </w:sectPr>
      </w:pPr>
    </w:p>
    <w:tbl>
      <w:tblPr>
        <w:tblLayout w:type="fixed"/>
        <w:tblInd w:w="580" w:type="dxa"/>
        <w:tblCellMar>
          <w:top w:w="0" w:type="dxa"/>
          <w:left w:w="0" w:type="dxa"/>
          <w:bottom w:w="0" w:type="dxa"/>
          <w:right w:w="0" w:type="dxa"/>
        </w:tblCellMar>
      </w:tblPr>
      <w:tr>
        <w:trPr>
          <w:trHeight w:val="241"/>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(1.01 )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(4.10 )</w:t>
            </w:r>
          </w:p>
        </w:tc>
      </w:tr>
      <w:tr>
        <w:trPr>
          <w:trHeight w:val="250"/>
        </w:trPr>
        <w:tc>
          <w:tcPr>
            <w:tcW w:w="3120" w:type="dxa"/>
            <w:vAlign w:val="bottom"/>
            <w:shd w:val="clear" w:color="auto" w:fill="B6DEE8"/>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0" w:type="dxa"/>
            <w:vAlign w:val="bottom"/>
            <w:shd w:val="clear" w:color="auto" w:fill="B6DEE8"/>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4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DEE8"/>
          </w:tcPr>
          <w:p>
            <w:pPr>
              <w:jc w:val="right"/>
              <w:ind w:right="270"/>
              <w:spacing w:after="0"/>
              <w:rPr>
                <w:sz w:val="20"/>
                <w:szCs w:val="20"/>
                <w:color w:val="auto"/>
              </w:rPr>
            </w:pPr>
            <w:r>
              <w:rPr>
                <w:rFonts w:ascii="Times New Roman" w:cs="Times New Roman" w:eastAsia="Times New Roman" w:hAnsi="Times New Roman"/>
                <w:sz w:val="18"/>
                <w:szCs w:val="18"/>
                <w:color w:val="auto"/>
              </w:rPr>
              <w:t>(1.01 ) $</w:t>
            </w: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80" w:type="dxa"/>
            <w:vAlign w:val="bottom"/>
            <w:shd w:val="clear" w:color="auto" w:fill="B6DEE8"/>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(4.10 )</w:t>
            </w:r>
          </w:p>
        </w:tc>
      </w:tr>
    </w:tbl>
    <w:p>
      <w:pPr>
        <w:spacing w:after="0" w:line="19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for the periods presented because including them would have been antidilutive:</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2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100" w:type="dxa"/>
            <w:vAlign w:val="bottom"/>
          </w:tcPr>
          <w:p>
            <w:pPr>
              <w:spacing w:after="0"/>
              <w:rPr>
                <w:sz w:val="18"/>
                <w:szCs w:val="18"/>
                <w:color w:val="auto"/>
              </w:rPr>
            </w:pPr>
          </w:p>
        </w:tc>
        <w:tc>
          <w:tcPr>
            <w:tcW w:w="23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r>
      <w:tr>
        <w:trPr>
          <w:trHeight w:val="245"/>
        </w:trPr>
        <w:tc>
          <w:tcPr>
            <w:tcW w:w="5460" w:type="dxa"/>
            <w:vAlign w:val="bottom"/>
          </w:tcPr>
          <w:p>
            <w:pPr>
              <w:spacing w:after="0"/>
              <w:rPr>
                <w:sz w:val="21"/>
                <w:szCs w:val="21"/>
                <w:color w:val="auto"/>
              </w:rPr>
            </w:pPr>
          </w:p>
        </w:tc>
        <w:tc>
          <w:tcPr>
            <w:tcW w:w="22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Ended September 30,</w:t>
            </w:r>
          </w:p>
        </w:tc>
        <w:tc>
          <w:tcPr>
            <w:tcW w:w="100" w:type="dxa"/>
            <w:vAlign w:val="bottom"/>
          </w:tcPr>
          <w:p>
            <w:pPr>
              <w:spacing w:after="0"/>
              <w:rPr>
                <w:sz w:val="21"/>
                <w:szCs w:val="21"/>
                <w:color w:val="auto"/>
              </w:rPr>
            </w:pP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1"/>
        </w:trPr>
        <w:tc>
          <w:tcPr>
            <w:tcW w:w="546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4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Equity incentive awards</w:t>
            </w:r>
          </w:p>
        </w:tc>
        <w:tc>
          <w:tcPr>
            <w:tcW w:w="1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86,354</w:t>
            </w:r>
          </w:p>
        </w:tc>
        <w:tc>
          <w:tcPr>
            <w:tcW w:w="11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2,408,298</w:t>
            </w:r>
          </w:p>
        </w:tc>
        <w:tc>
          <w:tcPr>
            <w:tcW w:w="122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613,956</w:t>
            </w:r>
          </w:p>
        </w:tc>
        <w:tc>
          <w:tcPr>
            <w:tcW w:w="11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2,408,298</w:t>
            </w:r>
          </w:p>
        </w:tc>
        <w:tc>
          <w:tcPr>
            <w:tcW w:w="100" w:type="dxa"/>
            <w:vAlign w:val="bottom"/>
            <w:shd w:val="clear" w:color="auto" w:fill="B6DEE8"/>
          </w:tcPr>
          <w:p>
            <w:pPr>
              <w:spacing w:after="0"/>
              <w:rPr>
                <w:sz w:val="20"/>
                <w:szCs w:val="20"/>
                <w:color w:val="auto"/>
              </w:rPr>
            </w:pPr>
          </w:p>
        </w:tc>
      </w:tr>
      <w:tr>
        <w:trPr>
          <w:trHeight w:val="24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00" w:type="dxa"/>
            <w:vAlign w:val="bottom"/>
          </w:tcPr>
          <w:p>
            <w:pPr>
              <w:spacing w:after="0"/>
              <w:rPr>
                <w:sz w:val="21"/>
                <w:szCs w:val="21"/>
                <w:color w:val="auto"/>
              </w:rPr>
            </w:pPr>
          </w:p>
        </w:tc>
      </w:tr>
      <w:tr>
        <w:trPr>
          <w:trHeight w:val="276"/>
        </w:trPr>
        <w:tc>
          <w:tcPr>
            <w:tcW w:w="546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86,354</w:t>
            </w:r>
          </w:p>
        </w:tc>
        <w:tc>
          <w:tcPr>
            <w:tcW w:w="120" w:type="dxa"/>
            <w:vAlign w:val="bottom"/>
            <w:tcBorders>
              <w:bottom w:val="single" w:sz="8" w:color="B6DEE8"/>
            </w:tcBorders>
            <w:shd w:val="clear" w:color="auto" w:fill="B6DEE8"/>
          </w:tcPr>
          <w:p>
            <w:pPr>
              <w:spacing w:after="0"/>
              <w:rPr>
                <w:sz w:val="24"/>
                <w:szCs w:val="24"/>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2,720,798</w:t>
            </w:r>
          </w:p>
        </w:tc>
        <w:tc>
          <w:tcPr>
            <w:tcW w:w="100" w:type="dxa"/>
            <w:vAlign w:val="bottom"/>
            <w:tcBorders>
              <w:bottom w:val="single" w:sz="8" w:color="B6DEE8"/>
            </w:tcBorders>
            <w:shd w:val="clear" w:color="auto" w:fill="B6DEE8"/>
          </w:tcPr>
          <w:p>
            <w:pPr>
              <w:spacing w:after="0"/>
              <w:rPr>
                <w:sz w:val="24"/>
                <w:szCs w:val="24"/>
                <w:color w:val="auto"/>
              </w:rPr>
            </w:pPr>
          </w:p>
        </w:tc>
        <w:tc>
          <w:tcPr>
            <w:tcW w:w="11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613,956</w:t>
            </w:r>
          </w:p>
        </w:tc>
        <w:tc>
          <w:tcPr>
            <w:tcW w:w="100" w:type="dxa"/>
            <w:vAlign w:val="bottom"/>
            <w:tcBorders>
              <w:bottom w:val="single" w:sz="8" w:color="B6DEE8"/>
            </w:tcBorders>
            <w:shd w:val="clear" w:color="auto" w:fill="B6DEE8"/>
          </w:tcPr>
          <w:p>
            <w:pPr>
              <w:spacing w:after="0"/>
              <w:rPr>
                <w:sz w:val="24"/>
                <w:szCs w:val="24"/>
                <w:color w:val="auto"/>
              </w:rPr>
            </w:pPr>
          </w:p>
        </w:tc>
        <w:tc>
          <w:tcPr>
            <w:tcW w:w="10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2,720,798</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603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03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5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also excluded 11,444,235 public and private warrants and 49,653 earnout shares that were potentially dilutive from the computation of diluted net income (loss) for the three and nine month periods ended September 30, 2024 and 2023, respectively, as including them would have been antidilutive. Refer to Note 9 Warrant Liabilities and Note 13 Fair Value of Financial Instruments for further details.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Not Yet Adopted:</w:t>
      </w:r>
    </w:p>
    <w:p>
      <w:pPr>
        <w:spacing w:after="0" w:line="22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amendments require disclosure of incremental segment information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also require companies with a single reportable segment to provide all disclosures required by this amendment and all existing segment disclosures in Accounting Standards Codification 280, Segment Reporting. The amendments are effective for fiscal years beginning after December 15, 2023, and interim periods beginning after December 15, 2024. The Company expects the adoption of the standard to result in additional segment footnote disclosures.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The amendments require enhanced disclosures in connection with an entity's effective tax rate reconciliation, income taxes paid disaggregated by jurisdiction, and clarification on uncertain tax positions and related financial statement impacts. The amendments are effective for annual periods beginning after December 15, 2024. The Company does not expect the adoption of the amendments to have a significant impact on its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No. </w:t>
      </w:r>
      <w:r>
        <w:rPr>
          <w:rFonts w:ascii="Times New Roman" w:cs="Times New Roman" w:eastAsia="Times New Roman" w:hAnsi="Times New Roman"/>
          <w:sz w:val="18"/>
          <w:szCs w:val="18"/>
          <w:i w:val="1"/>
          <w:iCs w:val="1"/>
          <w:color w:val="auto"/>
        </w:rPr>
        <w:t>2024-03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The new standard requires additional disclosure of the nature of the expenses included in the income statement, including disaggregation of the expense captions presented on the face of the income statement into specific categories. ASU </w:t>
      </w:r>
      <w:r>
        <w:rPr>
          <w:rFonts w:ascii="Times New Roman" w:cs="Times New Roman" w:eastAsia="Times New Roman" w:hAnsi="Times New Roman"/>
          <w:sz w:val="18"/>
          <w:szCs w:val="18"/>
          <w:i w:val="1"/>
          <w:iCs w:val="1"/>
          <w:color w:val="auto"/>
        </w:rPr>
        <w:t>2024-03</w:t>
      </w:r>
      <w:r>
        <w:rPr>
          <w:rFonts w:ascii="Times New Roman" w:cs="Times New Roman" w:eastAsia="Times New Roman" w:hAnsi="Times New Roman"/>
          <w:sz w:val="18"/>
          <w:szCs w:val="18"/>
          <w:color w:val="auto"/>
        </w:rPr>
        <w:t xml:space="preserve"> is effective for fiscal years beginning after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type w:val="continuous"/>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December 15, 2026, with early adoption permitted, and may be applied retrospectively or prospectively. The Company is currently evaluating the impact of this standard on its financial statement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Adopted Accounting Pronouncements:</w:t>
      </w:r>
    </w:p>
    <w:p>
      <w:pPr>
        <w:spacing w:after="0" w:line="2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 (Topic 326): Measurement of Credit Losses on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(“ASU 2016-13”)</w:t>
      </w:r>
      <w:r>
        <w:rPr>
          <w:rFonts w:ascii="Times New Roman" w:cs="Times New Roman" w:eastAsia="Times New Roman" w:hAnsi="Times New Roman"/>
          <w:sz w:val="18"/>
          <w:szCs w:val="18"/>
          <w:color w:val="auto"/>
        </w:rPr>
        <w:t>. ASU 2016-13 introduced a new credit loss methodology, the Current Expected Credit Losses (“CECL”) methodology, which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The Company adopted this ASU on January 1, 2023 and determined that ASU 2016-13 had no material impact on the Company’s condensed consolidated financial statements and related disclosures.</w:t>
      </w:r>
    </w:p>
    <w:p>
      <w:pPr>
        <w:spacing w:after="0" w:line="225"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which provides optional guidance for accounting for contracts, hedging relationships, and other transactions affected by reference rate reform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criteria are met. In December 2022, the FASB issued ASU No. 2022-06, Reference Rate Reform (Topic 848), Deferral of the Sunset Date of Topic</w:t>
      </w:r>
    </w:p>
    <w:p>
      <w:pPr>
        <w:spacing w:after="0" w:line="1" w:lineRule="exact"/>
        <w:rPr>
          <w:sz w:val="20"/>
          <w:szCs w:val="20"/>
          <w:color w:val="auto"/>
        </w:rPr>
      </w:pPr>
    </w:p>
    <w:p>
      <w:pPr>
        <w:ind w:right="20" w:firstLine="8"/>
        <w:spacing w:after="0" w:line="253" w:lineRule="auto"/>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marketable securities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9"/>
        </w:trPr>
        <w:tc>
          <w:tcPr>
            <w:tcW w:w="288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940" w:type="dxa"/>
            <w:vAlign w:val="bottom"/>
            <w:tcBorders>
              <w:bottom w:val="single" w:sz="8" w:color="auto"/>
            </w:tcBorders>
            <w:shd w:val="clear" w:color="auto" w:fill="B6DEE8"/>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B6DEE8"/>
          </w:tcPr>
          <w:p>
            <w:pPr>
              <w:spacing w:after="0"/>
              <w:rPr>
                <w:sz w:val="20"/>
                <w:szCs w:val="20"/>
                <w:color w:val="auto"/>
              </w:rPr>
            </w:pPr>
          </w:p>
        </w:tc>
        <w:tc>
          <w:tcPr>
            <w:tcW w:w="220" w:type="dxa"/>
            <w:vAlign w:val="bottom"/>
            <w:tcBorders>
              <w:bottom w:val="single" w:sz="8" w:color="auto"/>
            </w:tcBorders>
            <w:shd w:val="clear" w:color="auto" w:fill="B6DEE8"/>
          </w:tcPr>
          <w:p>
            <w:pPr>
              <w:spacing w:after="0"/>
              <w:rPr>
                <w:sz w:val="20"/>
                <w:szCs w:val="20"/>
                <w:color w:val="auto"/>
              </w:rPr>
            </w:pPr>
          </w:p>
        </w:tc>
        <w:tc>
          <w:tcPr>
            <w:tcW w:w="4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B6DEE8"/>
            </w:tcBorders>
            <w:shd w:val="clear" w:color="auto" w:fill="B6DEE8"/>
          </w:tcPr>
          <w:p>
            <w:pPr>
              <w:spacing w:after="0"/>
              <w:rPr>
                <w:sz w:val="20"/>
                <w:szCs w:val="20"/>
                <w:color w:val="auto"/>
              </w:rPr>
            </w:pPr>
          </w:p>
        </w:tc>
        <w:tc>
          <w:tcPr>
            <w:tcW w:w="860" w:type="dxa"/>
            <w:vAlign w:val="bottom"/>
            <w:tcBorders>
              <w:bottom w:val="single" w:sz="8" w:color="auto"/>
            </w:tcBorders>
            <w:shd w:val="clear" w:color="auto" w:fill="B6DEE8"/>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B6DEE8"/>
            </w:tcBorders>
            <w:shd w:val="clear" w:color="auto" w:fill="B6DEE8"/>
          </w:tcPr>
          <w:p>
            <w:pPr>
              <w:spacing w:after="0"/>
              <w:rPr>
                <w:sz w:val="20"/>
                <w:szCs w:val="20"/>
                <w:color w:val="auto"/>
              </w:rPr>
            </w:pPr>
          </w:p>
        </w:tc>
      </w:tr>
      <w:tr>
        <w:trPr>
          <w:trHeight w:val="239"/>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9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952</w:t>
            </w:r>
          </w:p>
        </w:tc>
        <w:tc>
          <w:tcPr>
            <w:tcW w:w="100" w:type="dxa"/>
            <w:vAlign w:val="bottom"/>
          </w:tcPr>
          <w:p>
            <w:pPr>
              <w:spacing w:after="0"/>
              <w:rPr>
                <w:sz w:val="20"/>
                <w:szCs w:val="20"/>
                <w:color w:val="auto"/>
              </w:rPr>
            </w:pP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59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September 30, 2024 and December 31, 2023, the Company’s marketable securities consisted of investments in a publicly traded money market mutual fund. The underlying money market instruments were primarily comprised of certificates of deposit and financial company asset backed commercial paper. At September 30, 2024, the investment portfolio had a weighted-average maturity of 18 days. At December 31, 2023, the investment portfolio had a weighted-average maturity of 40 days. The gain recognized in connection with the investment in marketable securities for the three and nine months ended September 30, 2024 was $0.001 million and $0.08 million, respectively, and recorded as a component of interest income in the condensed consolidated statements of operations. The gain recognized in connection with the investment in marketable securities for the three and nine months ended September 30, 2023 was $0.04 million and $0.4 million, respectively, and recorded as a component of interest income in the condensed consolidated statements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September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Cost</w:t>
            </w:r>
          </w:p>
        </w:tc>
        <w:tc>
          <w:tcPr>
            <w:tcW w:w="5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43"/>
        </w:trPr>
        <w:tc>
          <w:tcPr>
            <w:tcW w:w="3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0" w:type="dxa"/>
            <w:vAlign w:val="bottom"/>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600" w:type="dxa"/>
            <w:vAlign w:val="bottom"/>
            <w:gridSpan w:val="3"/>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gridSpan w:val="3"/>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shd w:val="clear" w:color="auto" w:fill="B6DEE8"/>
          </w:tcPr>
          <w:p>
            <w:pPr>
              <w:spacing w:after="0"/>
              <w:rPr>
                <w:sz w:val="21"/>
                <w:szCs w:val="21"/>
                <w:color w:val="auto"/>
              </w:rPr>
            </w:pPr>
          </w:p>
        </w:tc>
        <w:tc>
          <w:tcPr>
            <w:tcW w:w="24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00" w:type="dxa"/>
            <w:vAlign w:val="bottom"/>
            <w:shd w:val="clear" w:color="auto" w:fill="B6DEE8"/>
          </w:tcPr>
          <w:p>
            <w:pPr>
              <w:spacing w:after="0"/>
              <w:rPr>
                <w:sz w:val="21"/>
                <w:szCs w:val="21"/>
                <w:color w:val="auto"/>
              </w:rPr>
            </w:pPr>
          </w:p>
        </w:tc>
      </w:tr>
      <w:tr>
        <w:trPr>
          <w:trHeight w:val="239"/>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33,186</w:t>
            </w:r>
          </w:p>
        </w:tc>
        <w:tc>
          <w:tcPr>
            <w:tcW w:w="100" w:type="dxa"/>
            <w:vAlign w:val="bottom"/>
          </w:tcPr>
          <w:p>
            <w:pPr>
              <w:spacing w:after="0"/>
              <w:rPr>
                <w:sz w:val="20"/>
                <w:szCs w:val="20"/>
                <w:color w:val="auto"/>
              </w:rPr>
            </w:pPr>
          </w:p>
        </w:tc>
      </w:tr>
      <w:tr>
        <w:trPr>
          <w:trHeight w:val="259"/>
        </w:trPr>
        <w:tc>
          <w:tcPr>
            <w:tcW w:w="3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shd w:val="clear" w:color="auto" w:fill="B6DEE8"/>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39,750</w:t>
            </w:r>
          </w:p>
        </w:tc>
        <w:tc>
          <w:tcPr>
            <w:tcW w:w="120" w:type="dxa"/>
            <w:vAlign w:val="bottom"/>
            <w:shd w:val="clear" w:color="auto" w:fill="B6DEE8"/>
          </w:tcPr>
          <w:p>
            <w:pPr>
              <w:spacing w:after="0"/>
              <w:rPr>
                <w:sz w:val="22"/>
                <w:szCs w:val="22"/>
                <w:color w:val="auto"/>
              </w:rPr>
            </w:pPr>
          </w:p>
        </w:tc>
        <w:tc>
          <w:tcPr>
            <w:tcW w:w="480" w:type="dxa"/>
            <w:vAlign w:val="bottom"/>
            <w:gridSpan w:val="2"/>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shd w:val="clear" w:color="auto" w:fill="B6DEE8"/>
          </w:tcPr>
          <w:p>
            <w:pPr>
              <w:spacing w:after="0"/>
              <w:rPr>
                <w:sz w:val="22"/>
                <w:szCs w:val="22"/>
                <w:color w:val="auto"/>
              </w:rPr>
            </w:pPr>
          </w:p>
        </w:tc>
        <w:tc>
          <w:tcPr>
            <w:tcW w:w="460" w:type="dxa"/>
            <w:vAlign w:val="bottom"/>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(58 )</w:t>
            </w:r>
          </w:p>
        </w:tc>
        <w:tc>
          <w:tcPr>
            <w:tcW w:w="140" w:type="dxa"/>
            <w:vAlign w:val="bottom"/>
            <w:shd w:val="clear" w:color="auto" w:fill="B6DEE8"/>
          </w:tcPr>
          <w:p>
            <w:pPr>
              <w:spacing w:after="0"/>
              <w:rPr>
                <w:sz w:val="22"/>
                <w:szCs w:val="22"/>
                <w:color w:val="auto"/>
              </w:rPr>
            </w:pPr>
          </w:p>
        </w:tc>
        <w:tc>
          <w:tcPr>
            <w:tcW w:w="24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39,996</w:t>
            </w:r>
          </w:p>
        </w:tc>
        <w:tc>
          <w:tcPr>
            <w:tcW w:w="100" w:type="dxa"/>
            <w:vAlign w:val="bottom"/>
            <w:shd w:val="clear" w:color="auto" w:fill="B6DEE8"/>
          </w:tcPr>
          <w:p>
            <w:pPr>
              <w:spacing w:after="0"/>
              <w:rPr>
                <w:sz w:val="22"/>
                <w:szCs w:val="22"/>
                <w:color w:val="auto"/>
              </w:rPr>
            </w:pPr>
          </w:p>
        </w:tc>
      </w:tr>
      <w:tr>
        <w:trPr>
          <w:trHeight w:val="20"/>
        </w:trPr>
        <w:tc>
          <w:tcPr>
            <w:tcW w:w="3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-24765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Below is a summary of investments, which are measured at fair value as of December 31,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69,412</w:t>
            </w:r>
          </w:p>
        </w:tc>
        <w:tc>
          <w:tcPr>
            <w:tcW w:w="100" w:type="dxa"/>
            <w:vAlign w:val="bottom"/>
          </w:tcPr>
          <w:p>
            <w:pPr>
              <w:spacing w:after="0"/>
              <w:rPr>
                <w:sz w:val="20"/>
                <w:szCs w:val="20"/>
                <w:color w:val="auto"/>
              </w:rPr>
            </w:pPr>
          </w:p>
        </w:tc>
      </w:tr>
      <w:tr>
        <w:trPr>
          <w:trHeight w:val="247"/>
        </w:trPr>
        <w:tc>
          <w:tcPr>
            <w:tcW w:w="3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B6DEE8"/>
          </w:tcPr>
          <w:p>
            <w:pPr>
              <w:spacing w:after="0"/>
              <w:rPr>
                <w:sz w:val="21"/>
                <w:szCs w:val="21"/>
                <w:color w:val="auto"/>
              </w:rPr>
            </w:pPr>
          </w:p>
        </w:tc>
        <w:tc>
          <w:tcPr>
            <w:tcW w:w="1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00" w:type="dxa"/>
            <w:vAlign w:val="bottom"/>
            <w:shd w:val="clear" w:color="auto" w:fill="B6DEE8"/>
          </w:tcPr>
          <w:p>
            <w:pPr>
              <w:spacing w:after="0"/>
              <w:rPr>
                <w:sz w:val="21"/>
                <w:szCs w:val="21"/>
                <w:color w:val="auto"/>
              </w:rPr>
            </w:pPr>
          </w:p>
        </w:tc>
        <w:tc>
          <w:tcPr>
            <w:tcW w:w="11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126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B6DEE8"/>
          </w:tcPr>
          <w:p>
            <w:pPr>
              <w:spacing w:after="0"/>
              <w:rPr>
                <w:sz w:val="21"/>
                <w:szCs w:val="2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43,502</w:t>
            </w:r>
          </w:p>
        </w:tc>
        <w:tc>
          <w:tcPr>
            <w:tcW w:w="100" w:type="dxa"/>
            <w:vAlign w:val="bottom"/>
          </w:tcPr>
          <w:p>
            <w:pPr>
              <w:spacing w:after="0"/>
              <w:rPr>
                <w:sz w:val="20"/>
                <w:szCs w:val="20"/>
                <w:color w:val="auto"/>
              </w:rPr>
            </w:pPr>
          </w:p>
        </w:tc>
      </w:tr>
      <w:tr>
        <w:trPr>
          <w:trHeight w:val="278"/>
        </w:trPr>
        <w:tc>
          <w:tcPr>
            <w:tcW w:w="3280" w:type="dxa"/>
            <w:vAlign w:val="bottom"/>
            <w:tcBorders>
              <w:top w:val="single" w:sz="8" w:color="auto"/>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shd w:val="clear" w:color="auto" w:fill="B6DEE8"/>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112,577</w:t>
            </w:r>
          </w:p>
        </w:tc>
        <w:tc>
          <w:tcPr>
            <w:tcW w:w="120" w:type="dxa"/>
            <w:vAlign w:val="bottom"/>
            <w:tcBorders>
              <w:bottom w:val="single" w:sz="8" w:color="B6DEE8"/>
            </w:tcBorders>
            <w:shd w:val="clear" w:color="auto" w:fill="B6DEE8"/>
          </w:tcPr>
          <w:p>
            <w:pPr>
              <w:spacing w:after="0"/>
              <w:rPr>
                <w:sz w:val="24"/>
                <w:szCs w:val="24"/>
                <w:color w:val="auto"/>
              </w:rPr>
            </w:pPr>
          </w:p>
        </w:tc>
        <w:tc>
          <w:tcPr>
            <w:tcW w:w="460" w:type="dxa"/>
            <w:vAlign w:val="bottom"/>
            <w:tcBorders>
              <w:top w:val="single" w:sz="8" w:color="auto"/>
              <w:bottom w:val="single" w:sz="8" w:color="auto"/>
            </w:tcBorders>
            <w:gridSpan w:val="2"/>
            <w:shd w:val="clear" w:color="auto" w:fill="B6DEE8"/>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1,008</w:t>
            </w:r>
          </w:p>
        </w:tc>
        <w:tc>
          <w:tcPr>
            <w:tcW w:w="80" w:type="dxa"/>
            <w:vAlign w:val="bottom"/>
            <w:tcBorders>
              <w:bottom w:val="single" w:sz="8" w:color="B6DEE8"/>
            </w:tcBorders>
            <w:shd w:val="clear" w:color="auto" w:fill="B6DEE8"/>
          </w:tcPr>
          <w:p>
            <w:pPr>
              <w:spacing w:after="0"/>
              <w:rPr>
                <w:sz w:val="24"/>
                <w:szCs w:val="24"/>
                <w:color w:val="auto"/>
              </w:rPr>
            </w:pPr>
          </w:p>
        </w:tc>
        <w:tc>
          <w:tcPr>
            <w:tcW w:w="440" w:type="dxa"/>
            <w:vAlign w:val="bottom"/>
            <w:tcBorders>
              <w:top w:val="single" w:sz="8" w:color="auto"/>
              <w:bottom w:val="single" w:sz="8" w:color="auto"/>
            </w:tcBorders>
            <w:gridSpan w:val="2"/>
            <w:shd w:val="clear" w:color="auto" w:fill="B6DEE8"/>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100" w:type="dxa"/>
            <w:vAlign w:val="bottom"/>
            <w:tcBorders>
              <w:bottom w:val="single" w:sz="8" w:color="B6DEE8"/>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 w:type="dxa"/>
            <w:vAlign w:val="bottom"/>
            <w:tcBorders>
              <w:top w:val="single" w:sz="8" w:color="auto"/>
              <w:bottom w:val="single" w:sz="8" w:color="auto"/>
            </w:tcBorders>
            <w:shd w:val="clear" w:color="auto" w:fill="B6DEE8"/>
          </w:tcPr>
          <w:p>
            <w:pPr>
              <w:spacing w:after="0"/>
              <w:rPr>
                <w:sz w:val="24"/>
                <w:szCs w:val="24"/>
                <w:color w:val="auto"/>
              </w:rPr>
            </w:pPr>
          </w:p>
        </w:tc>
        <w:tc>
          <w:tcPr>
            <w:tcW w:w="220" w:type="dxa"/>
            <w:vAlign w:val="bottom"/>
            <w:tcBorders>
              <w:top w:val="single" w:sz="8" w:color="auto"/>
              <w:bottom w:val="single" w:sz="8" w:color="auto"/>
            </w:tcBorders>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113,226</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-25400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-25400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6623050</wp:posOffset>
            </wp:positionH>
            <wp:positionV relativeFrom="paragraph">
              <wp:posOffset>-7620</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unrealized losses and fair values of available-for-sale investment securities that were in unrealized loss positions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1"/>
                <w:szCs w:val="21"/>
                <w:color w:val="auto"/>
              </w:rPr>
            </w:pPr>
          </w:p>
        </w:tc>
        <w:tc>
          <w:tcPr>
            <w:tcW w:w="24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r>
      <w:tr>
        <w:trPr>
          <w:trHeight w:val="245"/>
        </w:trPr>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r>
      <w:tr>
        <w:trPr>
          <w:trHeight w:val="250"/>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B6DEE8"/>
          </w:tcPr>
          <w:p>
            <w:pPr>
              <w:spacing w:after="0"/>
              <w:rPr>
                <w:sz w:val="21"/>
                <w:szCs w:val="21"/>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9"/>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3,808</w:t>
            </w:r>
          </w:p>
        </w:tc>
        <w:tc>
          <w:tcPr>
            <w:tcW w:w="100" w:type="dxa"/>
            <w:vAlign w:val="bottom"/>
            <w:shd w:val="clear" w:color="auto" w:fill="B6DEE8"/>
          </w:tcPr>
          <w:p>
            <w:pPr>
              <w:spacing w:after="0"/>
              <w:rPr>
                <w:sz w:val="22"/>
                <w:szCs w:val="22"/>
                <w:color w:val="auto"/>
              </w:rPr>
            </w:pP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(42 )</w:t>
            </w:r>
          </w:p>
        </w:tc>
        <w:tc>
          <w:tcPr>
            <w:tcW w:w="120" w:type="dxa"/>
            <w:vAlign w:val="bottom"/>
            <w:shd w:val="clear" w:color="auto" w:fill="B6DEE8"/>
          </w:tcPr>
          <w:p>
            <w:pPr>
              <w:spacing w:after="0"/>
              <w:rPr>
                <w:sz w:val="22"/>
                <w:szCs w:val="22"/>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2,476</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(16 )</w:t>
            </w:r>
          </w:p>
        </w:tc>
        <w:tc>
          <w:tcPr>
            <w:tcW w:w="100" w:type="dxa"/>
            <w:vAlign w:val="bottom"/>
            <w:shd w:val="clear" w:color="auto" w:fill="B6DEE8"/>
          </w:tcPr>
          <w:p>
            <w:pPr>
              <w:spacing w:after="0"/>
              <w:rPr>
                <w:sz w:val="22"/>
                <w:szCs w:val="22"/>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6,284</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(58 )</w:t>
            </w:r>
          </w:p>
        </w:tc>
      </w:tr>
      <w:tr>
        <w:trPr>
          <w:trHeight w:val="20"/>
        </w:trPr>
        <w:tc>
          <w:tcPr>
            <w:tcW w:w="2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r>
        <w:trPr>
          <w:trHeight w:val="462"/>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20" w:type="dxa"/>
            <w:vAlign w:val="bottom"/>
          </w:tcPr>
          <w:p>
            <w:pPr>
              <w:spacing w:after="0"/>
              <w:rPr>
                <w:sz w:val="24"/>
                <w:szCs w:val="24"/>
                <w:color w:val="auto"/>
              </w:rPr>
            </w:pPr>
          </w:p>
        </w:tc>
        <w:tc>
          <w:tcPr>
            <w:tcW w:w="24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1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2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r>
      <w:tr>
        <w:trPr>
          <w:trHeight w:val="245"/>
        </w:trPr>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2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Loss</w:t>
            </w:r>
          </w:p>
        </w:tc>
      </w:tr>
      <w:tr>
        <w:trPr>
          <w:trHeight w:val="230"/>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50"/>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20" w:type="dxa"/>
            <w:vAlign w:val="bottom"/>
            <w:shd w:val="clear" w:color="auto" w:fill="B6DEE8"/>
          </w:tcPr>
          <w:p>
            <w:pPr>
              <w:spacing w:after="0"/>
              <w:rPr>
                <w:sz w:val="21"/>
                <w:szCs w:val="21"/>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240" w:type="dxa"/>
            <w:vAlign w:val="bottom"/>
            <w:shd w:val="clear" w:color="auto" w:fill="B6DEE8"/>
          </w:tcPr>
          <w:p>
            <w:pPr>
              <w:spacing w:after="0"/>
              <w:rPr>
                <w:sz w:val="21"/>
                <w:szCs w:val="21"/>
                <w:color w:val="auto"/>
              </w:rPr>
            </w:pP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0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B6DEE8"/>
          </w:tcPr>
          <w:p>
            <w:pPr>
              <w:spacing w:after="0"/>
              <w:rPr>
                <w:sz w:val="21"/>
                <w:szCs w:val="21"/>
                <w:color w:val="auto"/>
              </w:rPr>
            </w:pPr>
          </w:p>
        </w:tc>
        <w:tc>
          <w:tcPr>
            <w:tcW w:w="200" w:type="dxa"/>
            <w:vAlign w:val="bottom"/>
            <w:shd w:val="clear" w:color="auto" w:fill="B6DEE8"/>
          </w:tcPr>
          <w:p>
            <w:pPr>
              <w:spacing w:after="0"/>
              <w:rPr>
                <w:sz w:val="21"/>
                <w:szCs w:val="21"/>
                <w:color w:val="auto"/>
              </w:rPr>
            </w:pPr>
          </w:p>
        </w:tc>
        <w:tc>
          <w:tcPr>
            <w:tcW w:w="11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0"/>
        </w:trPr>
        <w:tc>
          <w:tcPr>
            <w:tcW w:w="2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8"/>
        </w:trPr>
        <w:tc>
          <w:tcPr>
            <w:tcW w:w="23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13,084</w:t>
            </w:r>
          </w:p>
        </w:tc>
        <w:tc>
          <w:tcPr>
            <w:tcW w:w="100" w:type="dxa"/>
            <w:vAlign w:val="bottom"/>
            <w:shd w:val="clear" w:color="auto" w:fill="B6DEE8"/>
          </w:tcPr>
          <w:p>
            <w:pPr>
              <w:spacing w:after="0"/>
              <w:rPr>
                <w:sz w:val="22"/>
                <w:szCs w:val="22"/>
                <w:color w:val="auto"/>
              </w:rPr>
            </w:pPr>
          </w:p>
        </w:tc>
        <w:tc>
          <w:tcPr>
            <w:tcW w:w="2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(63 )</w:t>
            </w:r>
          </w:p>
        </w:tc>
        <w:tc>
          <w:tcPr>
            <w:tcW w:w="120" w:type="dxa"/>
            <w:vAlign w:val="bottom"/>
            <w:shd w:val="clear" w:color="auto" w:fill="B6DEE8"/>
          </w:tcPr>
          <w:p>
            <w:pPr>
              <w:spacing w:after="0"/>
              <w:rPr>
                <w:sz w:val="22"/>
                <w:szCs w:val="22"/>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15,263</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(296 )</w:t>
            </w:r>
          </w:p>
        </w:tc>
        <w:tc>
          <w:tcPr>
            <w:tcW w:w="100" w:type="dxa"/>
            <w:vAlign w:val="bottom"/>
            <w:shd w:val="clear" w:color="auto" w:fill="B6DEE8"/>
          </w:tcPr>
          <w:p>
            <w:pPr>
              <w:spacing w:after="0"/>
              <w:rPr>
                <w:sz w:val="22"/>
                <w:szCs w:val="22"/>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28,348</w:t>
            </w:r>
          </w:p>
        </w:tc>
        <w:tc>
          <w:tcPr>
            <w:tcW w:w="30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(359 )</w:t>
            </w:r>
          </w:p>
        </w:tc>
      </w:tr>
      <w:tr>
        <w:trPr>
          <w:trHeight w:val="20"/>
        </w:trPr>
        <w:tc>
          <w:tcPr>
            <w:tcW w:w="2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-1447800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-1431290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-1447800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-1431290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-1447800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-1431290</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-1447800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-1431290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-1447800</wp:posOffset>
            </wp:positionV>
            <wp:extent cx="603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-1431290</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-1447800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-1431290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03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(loss) gain recorded in connection with the investments for the three and nine months ended September 30, 2024 was ($0.01) million and $0.8 million, respectively, and was recorded as a component of interest income in the condensed consolidated statements of operations. The gain recorded in connection with the investment for the three and nine months ended September 30, 2023 was $0.2 million and $0.5 million, respectively. Accrued interest of $0.1 million and $1.0 million is included in investments within the condensed consolidated balance sheets for the periods ended September 30, 2024 and 2023, respectively.</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Unrealized losses on the available-for-sale investment securities as of September 30, 2024 and December 31, 2023 are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and nine months ended September 30, 2024 and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contractual maturities of available-for-sale investment securities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880" w:type="dxa"/>
            <w:vAlign w:val="bottom"/>
            <w:tcBorders>
              <w:top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38,173</w:t>
            </w:r>
          </w:p>
        </w:tc>
        <w:tc>
          <w:tcPr>
            <w:tcW w:w="100" w:type="dxa"/>
            <w:vAlign w:val="bottom"/>
          </w:tcPr>
          <w:p>
            <w:pPr>
              <w:spacing w:after="0"/>
              <w:rPr>
                <w:sz w:val="20"/>
                <w:szCs w:val="20"/>
                <w:color w:val="auto"/>
              </w:rPr>
            </w:pPr>
          </w:p>
        </w:tc>
      </w:tr>
      <w:tr>
        <w:trPr>
          <w:trHeight w:val="243"/>
        </w:trPr>
        <w:tc>
          <w:tcPr>
            <w:tcW w:w="48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80" w:type="dxa"/>
            <w:vAlign w:val="bottom"/>
            <w:tcBorders>
              <w:bottom w:val="single" w:sz="8" w:color="auto"/>
            </w:tcBorders>
            <w:shd w:val="clear" w:color="auto" w:fill="B6DEE8"/>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Borders>
              <w:bottom w:val="single" w:sz="8" w:color="B6DEE8"/>
            </w:tcBorders>
            <w:shd w:val="clear" w:color="auto" w:fill="B6DEE8"/>
          </w:tcPr>
          <w:p>
            <w:pPr>
              <w:spacing w:after="0"/>
              <w:rPr>
                <w:sz w:val="21"/>
                <w:szCs w:val="21"/>
                <w:color w:val="auto"/>
              </w:rPr>
            </w:pPr>
          </w:p>
        </w:tc>
        <w:tc>
          <w:tcPr>
            <w:tcW w:w="680" w:type="dxa"/>
            <w:vAlign w:val="bottom"/>
            <w:tcBorders>
              <w:bottom w:val="single" w:sz="8" w:color="auto"/>
            </w:tcBorders>
            <w:gridSpan w:val="2"/>
            <w:shd w:val="clear" w:color="auto" w:fill="B6DEE8"/>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Pr>
          <w:p>
            <w:pPr>
              <w:jc w:val="right"/>
              <w:ind w:right="167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39,750</w:t>
            </w:r>
          </w:p>
        </w:tc>
        <w:tc>
          <w:tcPr>
            <w:tcW w:w="7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39,996</w:t>
            </w:r>
          </w:p>
        </w:tc>
        <w:tc>
          <w:tcPr>
            <w:tcW w:w="100" w:type="dxa"/>
            <w:vAlign w:val="bottom"/>
          </w:tcPr>
          <w:p>
            <w:pPr>
              <w:spacing w:after="0"/>
              <w:rPr>
                <w:sz w:val="20"/>
                <w:szCs w:val="20"/>
                <w:color w:val="auto"/>
              </w:rPr>
            </w:pPr>
          </w:p>
        </w:tc>
      </w:tr>
      <w:tr>
        <w:trPr>
          <w:trHeight w:val="20"/>
        </w:trPr>
        <w:tc>
          <w:tcPr>
            <w:tcW w:w="48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-187960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5 ExtraCash Receivables,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ExtraCash receivables, net, represent outstanding originations, tips, and processing fees, net of direct origination costs, less an allowance for credit losses.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September 30, 2024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ExtraCash</w:t>
            </w:r>
          </w:p>
        </w:tc>
      </w:tr>
      <w:tr>
        <w:trPr>
          <w:trHeight w:val="216"/>
        </w:trPr>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ExtraCash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211"/>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0"/>
        </w:trPr>
        <w:tc>
          <w:tcPr>
            <w:tcW w:w="180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1-10</w:t>
            </w:r>
          </w:p>
        </w:tc>
        <w:tc>
          <w:tcPr>
            <w:tcW w:w="3320" w:type="dxa"/>
            <w:vAlign w:val="bottom"/>
            <w:shd w:val="clear" w:color="auto" w:fill="B6DEE8"/>
          </w:tcPr>
          <w:p>
            <w:pPr>
              <w:spacing w:after="0"/>
              <w:rPr>
                <w:sz w:val="20"/>
                <w:szCs w:val="20"/>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143,109</w:t>
            </w:r>
          </w:p>
        </w:tc>
        <w:tc>
          <w:tcPr>
            <w:tcW w:w="600" w:type="dxa"/>
            <w:vAlign w:val="bottom"/>
            <w:gridSpan w:val="3"/>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(2,438 )</w:t>
            </w:r>
          </w:p>
        </w:tc>
        <w:tc>
          <w:tcPr>
            <w:tcW w:w="220" w:type="dxa"/>
            <w:vAlign w:val="bottom"/>
            <w:shd w:val="clear" w:color="auto" w:fill="B6DEE8"/>
          </w:tcPr>
          <w:p>
            <w:pPr>
              <w:spacing w:after="0"/>
              <w:rPr>
                <w:sz w:val="20"/>
                <w:szCs w:val="20"/>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140,671</w:t>
            </w:r>
          </w:p>
        </w:tc>
        <w:tc>
          <w:tcPr>
            <w:tcW w:w="100" w:type="dxa"/>
            <w:vAlign w:val="bottom"/>
            <w:shd w:val="clear" w:color="auto" w:fill="B6DEE8"/>
          </w:tcPr>
          <w:p>
            <w:pPr>
              <w:spacing w:after="0"/>
              <w:rPr>
                <w:sz w:val="20"/>
                <w:szCs w:val="20"/>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(4,269 )</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tcPr>
          <w:p>
            <w:pPr>
              <w:spacing w:after="0"/>
              <w:rPr>
                <w:sz w:val="20"/>
                <w:szCs w:val="20"/>
                <w:color w:val="auto"/>
              </w:rPr>
            </w:pPr>
          </w:p>
        </w:tc>
      </w:tr>
      <w:tr>
        <w:trPr>
          <w:trHeight w:val="247"/>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33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(4,975 )</w:t>
            </w: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B6DEE8"/>
          </w:tcPr>
          <w:p>
            <w:pPr>
              <w:spacing w:after="0"/>
              <w:rPr>
                <w:sz w:val="21"/>
                <w:szCs w:val="21"/>
                <w:color w:val="auto"/>
              </w:rPr>
            </w:pPr>
          </w:p>
        </w:tc>
      </w:tr>
      <w:tr>
        <w:trPr>
          <w:trHeight w:val="239"/>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(4,728 )</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Pr>
          <w:p>
            <w:pPr>
              <w:spacing w:after="0"/>
              <w:rPr>
                <w:sz w:val="20"/>
                <w:szCs w:val="20"/>
                <w:color w:val="auto"/>
              </w:rPr>
            </w:pPr>
          </w:p>
        </w:tc>
      </w:tr>
      <w:tr>
        <w:trPr>
          <w:trHeight w:val="243"/>
        </w:trPr>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33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(4,723 )</w:t>
            </w: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B6DEE8"/>
          </w:tcPr>
          <w:p>
            <w:pPr>
              <w:spacing w:after="0"/>
              <w:rPr>
                <w:sz w:val="21"/>
                <w:szCs w:val="2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186,666</w:t>
            </w:r>
          </w:p>
        </w:tc>
        <w:tc>
          <w:tcPr>
            <w:tcW w:w="100" w:type="dxa"/>
            <w:vAlign w:val="bottom"/>
          </w:tcPr>
          <w:p>
            <w:pPr>
              <w:spacing w:after="0"/>
              <w:rPr>
                <w:sz w:val="20"/>
                <w:szCs w:val="20"/>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(21,133 )</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165,533</w:t>
            </w:r>
          </w:p>
        </w:tc>
        <w:tc>
          <w:tcPr>
            <w:tcW w:w="100" w:type="dxa"/>
            <w:vAlign w:val="bottom"/>
          </w:tcPr>
          <w:p>
            <w:pPr>
              <w:spacing w:after="0"/>
              <w:rPr>
                <w:sz w:val="20"/>
                <w:szCs w:val="20"/>
                <w:color w:val="auto"/>
              </w:rPr>
            </w:pPr>
          </w:p>
        </w:tc>
      </w:tr>
      <w:tr>
        <w:trPr>
          <w:trHeight w:val="20"/>
        </w:trPr>
        <w:tc>
          <w:tcPr>
            <w:tcW w:w="180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-187960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-187960</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detail of ExtraCash receivables, net as of December 31, 2023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ExtraCash</w:t>
            </w:r>
          </w:p>
        </w:tc>
      </w:tr>
      <w:tr>
        <w:trPr>
          <w:trHeight w:val="216"/>
        </w:trPr>
        <w:tc>
          <w:tcPr>
            <w:tcW w:w="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ExtraCash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Allowance for Credit</w:t>
            </w:r>
          </w:p>
        </w:tc>
        <w:tc>
          <w:tcPr>
            <w:tcW w:w="12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r>
      <w:tr>
        <w:trPr>
          <w:trHeight w:val="211"/>
        </w:trPr>
        <w:tc>
          <w:tcPr>
            <w:tcW w:w="58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Days From Origination</w:t>
            </w:r>
          </w:p>
        </w:tc>
        <w:tc>
          <w:tcPr>
            <w:tcW w:w="14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Receivables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1-10</w:t>
            </w:r>
          </w:p>
        </w:tc>
        <w:tc>
          <w:tcPr>
            <w:tcW w:w="3320" w:type="dxa"/>
            <w:vAlign w:val="bottom"/>
            <w:shd w:val="clear" w:color="auto" w:fill="B6DEE8"/>
          </w:tcPr>
          <w:p>
            <w:pPr>
              <w:spacing w:after="0"/>
              <w:rPr>
                <w:sz w:val="20"/>
                <w:szCs w:val="20"/>
                <w:color w:val="auto"/>
              </w:rPr>
            </w:pPr>
          </w:p>
        </w:tc>
        <w:tc>
          <w:tcPr>
            <w:tcW w:w="1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98,553</w:t>
            </w:r>
          </w:p>
        </w:tc>
        <w:tc>
          <w:tcPr>
            <w:tcW w:w="600" w:type="dxa"/>
            <w:vAlign w:val="bottom"/>
            <w:gridSpan w:val="3"/>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(2,676 )</w:t>
            </w:r>
          </w:p>
        </w:tc>
        <w:tc>
          <w:tcPr>
            <w:tcW w:w="220" w:type="dxa"/>
            <w:vAlign w:val="bottom"/>
            <w:shd w:val="clear" w:color="auto" w:fill="B6DEE8"/>
          </w:tcPr>
          <w:p>
            <w:pPr>
              <w:spacing w:after="0"/>
              <w:rPr>
                <w:sz w:val="20"/>
                <w:szCs w:val="20"/>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95,877</w:t>
            </w:r>
          </w:p>
        </w:tc>
        <w:tc>
          <w:tcPr>
            <w:tcW w:w="100" w:type="dxa"/>
            <w:vAlign w:val="bottom"/>
            <w:shd w:val="clear" w:color="auto" w:fill="B6DEE8"/>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11-30</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(4,020 )</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20"/>
                <w:szCs w:val="20"/>
                <w:color w:val="auto"/>
              </w:rPr>
            </w:pPr>
          </w:p>
        </w:tc>
      </w:tr>
      <w:tr>
        <w:trPr>
          <w:trHeight w:val="252"/>
        </w:trPr>
        <w:tc>
          <w:tcPr>
            <w:tcW w:w="580" w:type="dxa"/>
            <w:vAlign w:val="bottom"/>
          </w:tcPr>
          <w:p>
            <w:pPr>
              <w:spacing w:after="0"/>
              <w:rPr>
                <w:sz w:val="21"/>
                <w:szCs w:val="21"/>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31-60</w:t>
            </w:r>
          </w:p>
        </w:tc>
        <w:tc>
          <w:tcPr>
            <w:tcW w:w="33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(4,576 )</w:t>
            </w: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B6DEE8"/>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61-90</w:t>
            </w: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(4,470 )</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18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91-120</w:t>
            </w:r>
          </w:p>
        </w:tc>
        <w:tc>
          <w:tcPr>
            <w:tcW w:w="332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5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(4,568 )</w:t>
            </w: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B6DEE8"/>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shd w:val="clear" w:color="auto" w:fill="B6DE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9"/>
        </w:trPr>
        <w:tc>
          <w:tcPr>
            <w:tcW w:w="5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133,156</w:t>
            </w:r>
          </w:p>
        </w:tc>
        <w:tc>
          <w:tcPr>
            <w:tcW w:w="100" w:type="dxa"/>
            <w:vAlign w:val="bottom"/>
          </w:tcPr>
          <w:p>
            <w:pPr>
              <w:spacing w:after="0"/>
              <w:rPr>
                <w:sz w:val="20"/>
                <w:szCs w:val="20"/>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(20,310 )</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112,846</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5"/>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roll-forward of the allowance for credit losses is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2024</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20,310</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5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44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44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(46,632 )</w:t>
            </w:r>
          </w:p>
        </w:tc>
      </w:tr>
      <w:tr>
        <w:trPr>
          <w:trHeight w:val="239"/>
        </w:trPr>
        <w:tc>
          <w:tcPr>
            <w:tcW w:w="580" w:type="dxa"/>
            <w:vAlign w:val="bottom"/>
          </w:tcPr>
          <w:p>
            <w:pPr>
              <w:spacing w:after="0"/>
              <w:rPr>
                <w:sz w:val="20"/>
                <w:szCs w:val="20"/>
                <w:color w:val="auto"/>
              </w:rPr>
            </w:pPr>
          </w:p>
        </w:tc>
        <w:tc>
          <w:tcPr>
            <w:tcW w:w="5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September 30, 2024</w:t>
            </w: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21,133</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2"/>
        </w:trPr>
        <w:tc>
          <w:tcPr>
            <w:tcW w:w="58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Opening allowance balance at January 1, 2023</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24,501</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5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Plus: provision for credit losses</w:t>
            </w: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44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1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100" w:type="dxa"/>
            <w:vAlign w:val="bottom"/>
            <w:shd w:val="clear" w:color="auto" w:fill="B6DEE8"/>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amounts recovered</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51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Less: amounts written-off</w:t>
            </w:r>
          </w:p>
        </w:tc>
        <w:tc>
          <w:tcPr>
            <w:tcW w:w="140" w:type="dxa"/>
            <w:vAlign w:val="bottom"/>
            <w:shd w:val="clear" w:color="auto" w:fill="B6DEE8"/>
          </w:tcPr>
          <w:p>
            <w:pPr>
              <w:spacing w:after="0"/>
              <w:rPr>
                <w:sz w:val="21"/>
                <w:szCs w:val="21"/>
                <w:color w:val="auto"/>
              </w:rPr>
            </w:pPr>
          </w:p>
        </w:tc>
        <w:tc>
          <w:tcPr>
            <w:tcW w:w="118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80" w:type="dxa"/>
            <w:vAlign w:val="bottom"/>
            <w:shd w:val="clear" w:color="auto" w:fill="B6DEE8"/>
          </w:tcPr>
          <w:p>
            <w:pPr>
              <w:spacing w:after="0"/>
              <w:rPr>
                <w:sz w:val="21"/>
                <w:szCs w:val="21"/>
                <w:color w:val="auto"/>
              </w:rPr>
            </w:pPr>
          </w:p>
        </w:tc>
        <w:tc>
          <w:tcPr>
            <w:tcW w:w="144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2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(58,026 )</w:t>
            </w:r>
          </w:p>
        </w:tc>
      </w:tr>
      <w:tr>
        <w:trPr>
          <w:trHeight w:val="238"/>
        </w:trPr>
        <w:tc>
          <w:tcPr>
            <w:tcW w:w="580" w:type="dxa"/>
            <w:vAlign w:val="bottom"/>
          </w:tcPr>
          <w:p>
            <w:pPr>
              <w:spacing w:after="0"/>
              <w:rPr>
                <w:sz w:val="20"/>
                <w:szCs w:val="20"/>
                <w:color w:val="auto"/>
              </w:rPr>
            </w:pPr>
          </w:p>
        </w:tc>
        <w:tc>
          <w:tcPr>
            <w:tcW w:w="5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allowance balance at September 30, 2023</w:t>
            </w: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19,758</w:t>
            </w:r>
          </w:p>
        </w:tc>
        <w:tc>
          <w:tcPr>
            <w:tcW w:w="100" w:type="dxa"/>
            <w:vAlign w:val="bottom"/>
            <w:tcBorders>
              <w:top w:val="single" w:sz="8" w:color="B6DEE8"/>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-2365375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-2365375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-2365375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-1148080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provision for credit losses for the nine months ended September 30, 2024 was lower compared to the nine months ended September 30, 2023, due primarily to improved collections performance period over period, despite an increase of ExtraCash origination volume from approximately $2,596.9 million for the nine months ended September 30, 2023 compared to $3,596.2 million for the nine months ended September 30, 2024. The decrease in amounts written-off for the nine months ended September 30, 2024 compared to the nine months ended September 30, 2023 was also primarily a result of improved collections performance period over period.</w:t>
      </w:r>
    </w:p>
    <w:p>
      <w:pPr>
        <w:spacing w:after="0" w:line="1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6 Intangible Assets, Net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intangible assets, net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w:t>
            </w: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280" w:type="dxa"/>
            <w:vAlign w:val="bottom"/>
          </w:tcPr>
          <w:p>
            <w:pPr>
              <w:spacing w:after="0"/>
              <w:rPr>
                <w:sz w:val="18"/>
                <w:szCs w:val="18"/>
                <w:color w:val="auto"/>
              </w:rPr>
            </w:pPr>
          </w:p>
        </w:tc>
        <w:tc>
          <w:tcPr>
            <w:tcW w:w="11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Net Book</w:t>
            </w:r>
          </w:p>
        </w:tc>
        <w:tc>
          <w:tcPr>
            <w:tcW w:w="12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w:t>
            </w: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Lives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on</w:t>
            </w:r>
          </w:p>
        </w:tc>
        <w:tc>
          <w:tcPr>
            <w:tcW w:w="280" w:type="dxa"/>
            <w:vAlign w:val="bottom"/>
          </w:tcPr>
          <w:p>
            <w:pPr>
              <w:spacing w:after="0"/>
              <w:rPr>
                <w:sz w:val="21"/>
                <w:szCs w:val="21"/>
                <w:color w:val="auto"/>
              </w:rPr>
            </w:pPr>
          </w:p>
        </w:tc>
        <w:tc>
          <w:tcPr>
            <w:tcW w:w="11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1"/>
                <w:szCs w:val="21"/>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Internally developed</w:t>
            </w:r>
          </w:p>
        </w:tc>
        <w:tc>
          <w:tcPr>
            <w:tcW w:w="100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160" w:type="dxa"/>
            <w:vAlign w:val="bottom"/>
            <w:tcBorders>
              <w:top w:val="single" w:sz="8" w:color="auto"/>
            </w:tcBorders>
            <w:shd w:val="clear" w:color="auto" w:fill="B6DEE8"/>
          </w:tcPr>
          <w:p>
            <w:pPr>
              <w:spacing w:after="0"/>
              <w:rPr>
                <w:sz w:val="18"/>
                <w:szCs w:val="18"/>
                <w:color w:val="auto"/>
              </w:rPr>
            </w:pPr>
          </w:p>
        </w:tc>
        <w:tc>
          <w:tcPr>
            <w:tcW w:w="760" w:type="dxa"/>
            <w:vAlign w:val="bottom"/>
            <w:tcBorders>
              <w:top w:val="single" w:sz="8" w:color="auto"/>
            </w:tcBorders>
            <w:shd w:val="clear" w:color="auto" w:fill="B6DEE8"/>
          </w:tcPr>
          <w:p>
            <w:pPr>
              <w:spacing w:after="0"/>
              <w:rPr>
                <w:sz w:val="18"/>
                <w:szCs w:val="18"/>
                <w:color w:val="auto"/>
              </w:rPr>
            </w:pPr>
          </w:p>
        </w:tc>
        <w:tc>
          <w:tcPr>
            <w:tcW w:w="120" w:type="dxa"/>
            <w:vAlign w:val="bottom"/>
            <w:shd w:val="clear" w:color="auto" w:fill="B6DEE8"/>
          </w:tcPr>
          <w:p>
            <w:pPr>
              <w:spacing w:after="0"/>
              <w:rPr>
                <w:sz w:val="18"/>
                <w:szCs w:val="18"/>
                <w:color w:val="auto"/>
              </w:rPr>
            </w:pPr>
          </w:p>
        </w:tc>
        <w:tc>
          <w:tcPr>
            <w:tcW w:w="320" w:type="dxa"/>
            <w:vAlign w:val="bottom"/>
            <w:tcBorders>
              <w:top w:val="single" w:sz="8" w:color="auto"/>
            </w:tcBorders>
            <w:shd w:val="clear" w:color="auto" w:fill="B6DEE8"/>
          </w:tcPr>
          <w:p>
            <w:pPr>
              <w:spacing w:after="0"/>
              <w:rPr>
                <w:sz w:val="18"/>
                <w:szCs w:val="18"/>
                <w:color w:val="auto"/>
              </w:rPr>
            </w:pPr>
          </w:p>
        </w:tc>
        <w:tc>
          <w:tcPr>
            <w:tcW w:w="70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280" w:type="dxa"/>
            <w:vAlign w:val="bottom"/>
            <w:tcBorders>
              <w:top w:val="single" w:sz="8" w:color="auto"/>
            </w:tcBorders>
            <w:shd w:val="clear" w:color="auto" w:fill="B6DEE8"/>
          </w:tcPr>
          <w:p>
            <w:pPr>
              <w:spacing w:after="0"/>
              <w:rPr>
                <w:sz w:val="18"/>
                <w:szCs w:val="18"/>
                <w:color w:val="auto"/>
              </w:rPr>
            </w:pPr>
          </w:p>
        </w:tc>
        <w:tc>
          <w:tcPr>
            <w:tcW w:w="92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120" w:type="dxa"/>
            <w:vAlign w:val="bottom"/>
            <w:tcBorders>
              <w:top w:val="single" w:sz="8" w:color="auto"/>
            </w:tcBorders>
            <w:shd w:val="clear" w:color="auto" w:fill="B6DEE8"/>
          </w:tcPr>
          <w:p>
            <w:pPr>
              <w:spacing w:after="0"/>
              <w:rPr>
                <w:sz w:val="18"/>
                <w:szCs w:val="18"/>
                <w:color w:val="auto"/>
              </w:rPr>
            </w:pPr>
          </w:p>
        </w:tc>
        <w:tc>
          <w:tcPr>
            <w:tcW w:w="94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220" w:type="dxa"/>
            <w:vAlign w:val="bottom"/>
            <w:tcBorders>
              <w:top w:val="single" w:sz="8" w:color="auto"/>
            </w:tcBorders>
            <w:shd w:val="clear" w:color="auto" w:fill="B6DEE8"/>
          </w:tcPr>
          <w:p>
            <w:pPr>
              <w:spacing w:after="0"/>
              <w:rPr>
                <w:sz w:val="18"/>
                <w:szCs w:val="18"/>
                <w:color w:val="auto"/>
              </w:rPr>
            </w:pPr>
          </w:p>
        </w:tc>
        <w:tc>
          <w:tcPr>
            <w:tcW w:w="680" w:type="dxa"/>
            <w:vAlign w:val="bottom"/>
            <w:tcBorders>
              <w:top w:val="single" w:sz="8" w:color="auto"/>
            </w:tcBorders>
            <w:shd w:val="clear" w:color="auto" w:fill="B6DEE8"/>
          </w:tcPr>
          <w:p>
            <w:pPr>
              <w:spacing w:after="0"/>
              <w:rPr>
                <w:sz w:val="18"/>
                <w:szCs w:val="18"/>
                <w:color w:val="auto"/>
              </w:rPr>
            </w:pPr>
          </w:p>
        </w:tc>
        <w:tc>
          <w:tcPr>
            <w:tcW w:w="80" w:type="dxa"/>
            <w:vAlign w:val="bottom"/>
            <w:shd w:val="clear" w:color="auto" w:fill="B6DEE8"/>
          </w:tcPr>
          <w:p>
            <w:pPr>
              <w:spacing w:after="0"/>
              <w:rPr>
                <w:sz w:val="18"/>
                <w:szCs w:val="18"/>
                <w:color w:val="auto"/>
              </w:rPr>
            </w:pPr>
          </w:p>
        </w:tc>
        <w:tc>
          <w:tcPr>
            <w:tcW w:w="140" w:type="dxa"/>
            <w:vAlign w:val="bottom"/>
            <w:tcBorders>
              <w:top w:val="single" w:sz="8" w:color="auto"/>
            </w:tcBorders>
            <w:shd w:val="clear" w:color="auto" w:fill="B6DEE8"/>
          </w:tcPr>
          <w:p>
            <w:pPr>
              <w:spacing w:after="0"/>
              <w:rPr>
                <w:sz w:val="18"/>
                <w:szCs w:val="18"/>
                <w:color w:val="auto"/>
              </w:rPr>
            </w:pPr>
          </w:p>
        </w:tc>
        <w:tc>
          <w:tcPr>
            <w:tcW w:w="920" w:type="dxa"/>
            <w:vAlign w:val="bottom"/>
            <w:tcBorders>
              <w:top w:val="single" w:sz="8" w:color="auto"/>
            </w:tcBorders>
            <w:shd w:val="clear" w:color="auto" w:fill="B6DEE8"/>
          </w:tcPr>
          <w:p>
            <w:pPr>
              <w:spacing w:after="0"/>
              <w:rPr>
                <w:sz w:val="18"/>
                <w:szCs w:val="18"/>
                <w:color w:val="auto"/>
              </w:rPr>
            </w:pPr>
          </w:p>
        </w:tc>
        <w:tc>
          <w:tcPr>
            <w:tcW w:w="100" w:type="dxa"/>
            <w:vAlign w:val="bottom"/>
            <w:shd w:val="clear" w:color="auto" w:fill="B6DEE8"/>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0" w:type="dxa"/>
            <w:vAlign w:val="bottom"/>
          </w:tcPr>
          <w:p>
            <w:pPr>
              <w:spacing w:after="0"/>
              <w:rPr>
                <w:sz w:val="21"/>
                <w:szCs w:val="21"/>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software</w:t>
            </w:r>
          </w:p>
        </w:tc>
        <w:tc>
          <w:tcPr>
            <w:tcW w:w="1000" w:type="dxa"/>
            <w:vAlign w:val="bottom"/>
            <w:shd w:val="clear" w:color="auto" w:fill="B6DEE8"/>
          </w:tcPr>
          <w:p>
            <w:pPr>
              <w:jc w:val="center"/>
              <w:spacing w:after="0"/>
              <w:rPr>
                <w:sz w:val="20"/>
                <w:szCs w:val="20"/>
                <w:color w:val="auto"/>
              </w:rPr>
            </w:pPr>
            <w:r>
              <w:rPr>
                <w:rFonts w:ascii="Times New Roman" w:cs="Times New Roman" w:eastAsia="Times New Roman" w:hAnsi="Times New Roman"/>
                <w:sz w:val="18"/>
                <w:szCs w:val="18"/>
                <w:color w:val="auto"/>
                <w:w w:val="95"/>
              </w:rPr>
              <w:t>3.0 Years</w:t>
            </w:r>
          </w:p>
        </w:tc>
        <w:tc>
          <w:tcPr>
            <w:tcW w:w="2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27,060</w:t>
            </w:r>
          </w:p>
        </w:tc>
        <w:tc>
          <w:tcPr>
            <w:tcW w:w="440" w:type="dxa"/>
            <w:vAlign w:val="bottom"/>
            <w:gridSpan w:val="2"/>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(13,103 )</w:t>
            </w:r>
          </w:p>
        </w:tc>
        <w:tc>
          <w:tcPr>
            <w:tcW w:w="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13,957</w:t>
            </w:r>
          </w:p>
        </w:tc>
        <w:tc>
          <w:tcPr>
            <w:tcW w:w="1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320" w:type="dxa"/>
            <w:vAlign w:val="bottom"/>
            <w:gridSpan w:val="2"/>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(8,461 ) $</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13,140</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Domain name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15.0 Years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80" w:type="dxa"/>
            <w:vAlign w:val="bottom"/>
          </w:tcPr>
          <w:p>
            <w:pPr>
              <w:spacing w:after="0"/>
              <w:rPr>
                <w:sz w:val="22"/>
                <w:szCs w:val="22"/>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0" w:type="dxa"/>
            <w:vAlign w:val="bottom"/>
            <w:shd w:val="clear" w:color="auto" w:fill="B6DEE8"/>
          </w:tcPr>
          <w:p>
            <w:pPr>
              <w:spacing w:after="0"/>
              <w:rPr>
                <w:sz w:val="22"/>
                <w:szCs w:val="22"/>
                <w:color w:val="auto"/>
              </w:rPr>
            </w:pPr>
          </w:p>
        </w:tc>
        <w:tc>
          <w:tcPr>
            <w:tcW w:w="280" w:type="dxa"/>
            <w:vAlign w:val="bottom"/>
            <w:gridSpan w:val="2"/>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27,181</w:t>
            </w:r>
          </w:p>
        </w:tc>
        <w:tc>
          <w:tcPr>
            <w:tcW w:w="120" w:type="dxa"/>
            <w:vAlign w:val="bottom"/>
            <w:shd w:val="clear" w:color="auto" w:fill="B6DEE8"/>
          </w:tcPr>
          <w:p>
            <w:pPr>
              <w:spacing w:after="0"/>
              <w:rPr>
                <w:sz w:val="22"/>
                <w:szCs w:val="22"/>
                <w:color w:val="auto"/>
              </w:rPr>
            </w:pPr>
          </w:p>
        </w:tc>
        <w:tc>
          <w:tcPr>
            <w:tcW w:w="320" w:type="dxa"/>
            <w:vAlign w:val="bottom"/>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(13,164 )</w:t>
            </w:r>
          </w:p>
        </w:tc>
        <w:tc>
          <w:tcPr>
            <w:tcW w:w="2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14,017</w:t>
            </w:r>
          </w:p>
        </w:tc>
        <w:tc>
          <w:tcPr>
            <w:tcW w:w="100" w:type="dxa"/>
            <w:vAlign w:val="bottom"/>
            <w:shd w:val="clear" w:color="auto" w:fill="B6DEE8"/>
          </w:tcPr>
          <w:p>
            <w:pPr>
              <w:spacing w:after="0"/>
              <w:rPr>
                <w:sz w:val="22"/>
                <w:szCs w:val="22"/>
                <w:color w:val="auto"/>
              </w:rPr>
            </w:pPr>
          </w:p>
        </w:tc>
        <w:tc>
          <w:tcPr>
            <w:tcW w:w="100" w:type="dxa"/>
            <w:vAlign w:val="bottom"/>
            <w:shd w:val="clear" w:color="auto" w:fill="B6DEE8"/>
          </w:tcPr>
          <w:p>
            <w:pPr>
              <w:spacing w:after="0"/>
              <w:rPr>
                <w:sz w:val="22"/>
                <w:szCs w:val="22"/>
                <w:color w:val="auto"/>
              </w:rPr>
            </w:pPr>
          </w:p>
        </w:tc>
        <w:tc>
          <w:tcPr>
            <w:tcW w:w="1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21,722</w:t>
            </w:r>
          </w:p>
        </w:tc>
        <w:tc>
          <w:tcPr>
            <w:tcW w:w="320" w:type="dxa"/>
            <w:vAlign w:val="bottom"/>
            <w:gridSpan w:val="2"/>
            <w:shd w:val="clear" w:color="auto" w:fill="B6DEE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3"/>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(8,516 ) $</w:t>
            </w: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13,206</w:t>
            </w:r>
          </w:p>
        </w:tc>
        <w:tc>
          <w:tcPr>
            <w:tcW w:w="100" w:type="dxa"/>
            <w:vAlign w:val="bottom"/>
            <w:shd w:val="clear" w:color="auto" w:fill="B6DE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B6DEE8"/>
            </w:tcBorders>
            <w:shd w:val="clear" w:color="auto" w:fill="B6DEE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B6DEE8"/>
            </w:tcBorders>
            <w:shd w:val="clear" w:color="auto" w:fill="B6DE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738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The future estimated amortization expenses as of September 30, 2024, were as follows (</w:t>
            </w:r>
            <w:r>
              <w:rPr>
                <w:rFonts w:ascii="Times New Roman" w:cs="Times New Roman" w:eastAsia="Times New Roman" w:hAnsi="Times New Roman"/>
                <w:sz w:val="18"/>
                <w:szCs w:val="18"/>
                <w:i w:val="1"/>
                <w:iCs w:val="1"/>
                <w:color w:val="auto"/>
                <w:w w:val="99"/>
              </w:rPr>
              <w:t>in thousands</w:t>
            </w:r>
            <w:r>
              <w:rPr>
                <w:rFonts w:ascii="Times New Roman" w:cs="Times New Roman" w:eastAsia="Times New Roman" w:hAnsi="Times New Roman"/>
                <w:sz w:val="18"/>
                <w:szCs w:val="18"/>
                <w:color w:val="auto"/>
                <w:w w:val="99"/>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76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7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9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9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68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2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76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320" w:type="dxa"/>
            <w:vAlign w:val="bottom"/>
            <w:shd w:val="clear" w:color="auto" w:fill="B6DEE8"/>
          </w:tcPr>
          <w:p>
            <w:pPr>
              <w:spacing w:after="0"/>
              <w:rPr>
                <w:sz w:val="21"/>
                <w:szCs w:val="21"/>
                <w:color w:val="auto"/>
              </w:rPr>
            </w:pPr>
          </w:p>
        </w:tc>
        <w:tc>
          <w:tcPr>
            <w:tcW w:w="7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280" w:type="dxa"/>
            <w:vAlign w:val="bottom"/>
            <w:shd w:val="clear" w:color="auto" w:fill="B6DEE8"/>
          </w:tcPr>
          <w:p>
            <w:pPr>
              <w:spacing w:after="0"/>
              <w:rPr>
                <w:sz w:val="21"/>
                <w:szCs w:val="21"/>
                <w:color w:val="auto"/>
              </w:rPr>
            </w:pPr>
          </w:p>
        </w:tc>
        <w:tc>
          <w:tcPr>
            <w:tcW w:w="92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20" w:type="dxa"/>
            <w:vAlign w:val="bottom"/>
            <w:shd w:val="clear" w:color="auto" w:fill="B6DEE8"/>
          </w:tcPr>
          <w:p>
            <w:pPr>
              <w:spacing w:after="0"/>
              <w:rPr>
                <w:sz w:val="21"/>
                <w:szCs w:val="21"/>
                <w:color w:val="auto"/>
              </w:rPr>
            </w:pPr>
          </w:p>
        </w:tc>
        <w:tc>
          <w:tcPr>
            <w:tcW w:w="940" w:type="dxa"/>
            <w:vAlign w:val="bottom"/>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220" w:type="dxa"/>
            <w:vAlign w:val="bottom"/>
            <w:shd w:val="clear" w:color="auto" w:fill="B6DEE8"/>
          </w:tcPr>
          <w:p>
            <w:pPr>
              <w:spacing w:after="0"/>
              <w:rPr>
                <w:sz w:val="21"/>
                <w:szCs w:val="21"/>
                <w:color w:val="auto"/>
              </w:rPr>
            </w:pPr>
          </w:p>
        </w:tc>
        <w:tc>
          <w:tcPr>
            <w:tcW w:w="680" w:type="dxa"/>
            <w:vAlign w:val="bottom"/>
            <w:shd w:val="clear" w:color="auto" w:fill="B6DEE8"/>
          </w:tcPr>
          <w:p>
            <w:pPr>
              <w:spacing w:after="0"/>
              <w:rPr>
                <w:sz w:val="21"/>
                <w:szCs w:val="21"/>
                <w:color w:val="auto"/>
              </w:rPr>
            </w:pPr>
          </w:p>
        </w:tc>
        <w:tc>
          <w:tcPr>
            <w:tcW w:w="8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9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2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76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320" w:type="dxa"/>
            <w:vAlign w:val="bottom"/>
            <w:tcBorders>
              <w:bottom w:val="single" w:sz="8" w:color="auto"/>
            </w:tcBorders>
            <w:shd w:val="clear" w:color="auto" w:fill="B6DEE8"/>
          </w:tcPr>
          <w:p>
            <w:pPr>
              <w:spacing w:after="0"/>
              <w:rPr>
                <w:sz w:val="21"/>
                <w:szCs w:val="21"/>
                <w:color w:val="auto"/>
              </w:rPr>
            </w:pPr>
          </w:p>
        </w:tc>
        <w:tc>
          <w:tcPr>
            <w:tcW w:w="700" w:type="dxa"/>
            <w:vAlign w:val="bottom"/>
            <w:tcBorders>
              <w:bottom w:val="single" w:sz="8" w:color="auto"/>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280" w:type="dxa"/>
            <w:vAlign w:val="bottom"/>
            <w:tcBorders>
              <w:bottom w:val="single" w:sz="8" w:color="auto"/>
            </w:tcBorders>
            <w:shd w:val="clear" w:color="auto" w:fill="B6DEE8"/>
          </w:tcPr>
          <w:p>
            <w:pPr>
              <w:spacing w:after="0"/>
              <w:rPr>
                <w:sz w:val="21"/>
                <w:szCs w:val="21"/>
                <w:color w:val="auto"/>
              </w:rPr>
            </w:pPr>
          </w:p>
        </w:tc>
        <w:tc>
          <w:tcPr>
            <w:tcW w:w="920" w:type="dxa"/>
            <w:vAlign w:val="bottom"/>
            <w:tcBorders>
              <w:bottom w:val="single" w:sz="8" w:color="auto"/>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120" w:type="dxa"/>
            <w:vAlign w:val="bottom"/>
            <w:tcBorders>
              <w:bottom w:val="single" w:sz="8" w:color="auto"/>
            </w:tcBorders>
            <w:shd w:val="clear" w:color="auto" w:fill="B6DEE8"/>
          </w:tcPr>
          <w:p>
            <w:pPr>
              <w:spacing w:after="0"/>
              <w:rPr>
                <w:sz w:val="21"/>
                <w:szCs w:val="21"/>
                <w:color w:val="auto"/>
              </w:rPr>
            </w:pPr>
          </w:p>
        </w:tc>
        <w:tc>
          <w:tcPr>
            <w:tcW w:w="940" w:type="dxa"/>
            <w:vAlign w:val="bottom"/>
            <w:tcBorders>
              <w:bottom w:val="single" w:sz="8" w:color="auto"/>
            </w:tcBorders>
            <w:shd w:val="clear" w:color="auto" w:fill="B6DEE8"/>
          </w:tcPr>
          <w:p>
            <w:pPr>
              <w:spacing w:after="0"/>
              <w:rPr>
                <w:sz w:val="21"/>
                <w:szCs w:val="21"/>
                <w:color w:val="auto"/>
              </w:rPr>
            </w:pPr>
          </w:p>
        </w:tc>
        <w:tc>
          <w:tcPr>
            <w:tcW w:w="100" w:type="dxa"/>
            <w:vAlign w:val="bottom"/>
            <w:tcBorders>
              <w:bottom w:val="single" w:sz="8" w:color="auto"/>
            </w:tcBorders>
            <w:shd w:val="clear" w:color="auto" w:fill="B6DEE8"/>
          </w:tcPr>
          <w:p>
            <w:pPr>
              <w:spacing w:after="0"/>
              <w:rPr>
                <w:sz w:val="21"/>
                <w:szCs w:val="21"/>
                <w:color w:val="auto"/>
              </w:rPr>
            </w:pPr>
          </w:p>
        </w:tc>
        <w:tc>
          <w:tcPr>
            <w:tcW w:w="220" w:type="dxa"/>
            <w:vAlign w:val="bottom"/>
            <w:tcBorders>
              <w:bottom w:val="single" w:sz="8" w:color="auto"/>
            </w:tcBorders>
            <w:shd w:val="clear" w:color="auto" w:fill="B6DEE8"/>
          </w:tcPr>
          <w:p>
            <w:pPr>
              <w:spacing w:after="0"/>
              <w:rPr>
                <w:sz w:val="21"/>
                <w:szCs w:val="21"/>
                <w:color w:val="auto"/>
              </w:rPr>
            </w:pPr>
          </w:p>
        </w:tc>
        <w:tc>
          <w:tcPr>
            <w:tcW w:w="680" w:type="dxa"/>
            <w:vAlign w:val="bottom"/>
            <w:tcBorders>
              <w:bottom w:val="single" w:sz="8" w:color="auto"/>
            </w:tcBorders>
            <w:shd w:val="clear" w:color="auto" w:fill="B6DEE8"/>
          </w:tcPr>
          <w:p>
            <w:pPr>
              <w:spacing w:after="0"/>
              <w:rPr>
                <w:sz w:val="21"/>
                <w:szCs w:val="21"/>
                <w:color w:val="auto"/>
              </w:rPr>
            </w:pPr>
          </w:p>
        </w:tc>
        <w:tc>
          <w:tcPr>
            <w:tcW w:w="80" w:type="dxa"/>
            <w:vAlign w:val="bottom"/>
            <w:tcBorders>
              <w:bottom w:val="single" w:sz="8" w:color="auto"/>
            </w:tcBorders>
            <w:shd w:val="clear" w:color="auto" w:fill="B6DEE8"/>
          </w:tcPr>
          <w:p>
            <w:pPr>
              <w:spacing w:after="0"/>
              <w:rPr>
                <w:sz w:val="21"/>
                <w:szCs w:val="21"/>
                <w:color w:val="auto"/>
              </w:rPr>
            </w:pPr>
          </w:p>
        </w:tc>
        <w:tc>
          <w:tcPr>
            <w:tcW w:w="140" w:type="dxa"/>
            <w:vAlign w:val="bottom"/>
            <w:tcBorders>
              <w:bottom w:val="single" w:sz="8" w:color="auto"/>
            </w:tcBorders>
            <w:shd w:val="clear" w:color="auto" w:fill="B6DEE8"/>
          </w:tcPr>
          <w:p>
            <w:pPr>
              <w:spacing w:after="0"/>
              <w:rPr>
                <w:sz w:val="21"/>
                <w:szCs w:val="21"/>
                <w:color w:val="auto"/>
              </w:rPr>
            </w:pPr>
          </w:p>
        </w:tc>
        <w:tc>
          <w:tcPr>
            <w:tcW w:w="9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B6DEE8"/>
            </w:tcBorders>
            <w:shd w:val="clear" w:color="auto" w:fill="B6DE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future amortization</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-1396365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-1379220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-1396365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-1379220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-1396365</wp:posOffset>
            </wp:positionV>
            <wp:extent cx="603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-1379220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-1396365</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-1379220</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-1396365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-1379220</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-1396365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-1379220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2024 was $1.6 million and $4.7 million, respectively. Amortization expense for the three and nine months ended September 30, 2023 was $1.2 million and $3.3 million, respectively. No significant impairment charges were recognized related to long-lived assets for the for the three and nine months ended September 30, 2024 and 2023.</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did not incur any amortization expense related to any changes in useful life of its definite-lived intangible assets for the three and nine months ended September 30, 2024. Amortization expense related to the change in useful life of a certain definite-lived intangible asset for the three and nine months ended September 30, 2023, was $0 and $0.3 million,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accrued expenses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4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Borders>
              <w:top w:val="single" w:sz="8" w:color="auto"/>
            </w:tcBorders>
            <w:shd w:val="clear" w:color="auto" w:fill="B6DEE8"/>
          </w:tcPr>
          <w:p>
            <w:pPr>
              <w:spacing w:after="0"/>
              <w:rPr>
                <w:sz w:val="21"/>
                <w:szCs w:val="21"/>
                <w:color w:val="auto"/>
              </w:rPr>
            </w:pPr>
          </w:p>
        </w:tc>
        <w:tc>
          <w:tcPr>
            <w:tcW w:w="206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shd w:val="clear" w:color="auto" w:fill="B6DEE8"/>
          </w:tcPr>
          <w:p>
            <w:pPr>
              <w:spacing w:after="0"/>
              <w:rPr>
                <w:sz w:val="21"/>
                <w:szCs w:val="21"/>
                <w:color w:val="auto"/>
              </w:rPr>
            </w:pPr>
          </w:p>
        </w:tc>
        <w:tc>
          <w:tcPr>
            <w:tcW w:w="460" w:type="dxa"/>
            <w:vAlign w:val="bottom"/>
            <w:tcBorders>
              <w:top w:val="single" w:sz="8" w:color="auto"/>
            </w:tcBorders>
            <w:shd w:val="clear" w:color="auto" w:fill="B6DEE8"/>
          </w:tcPr>
          <w:p>
            <w:pPr>
              <w:spacing w:after="0"/>
              <w:rPr>
                <w:sz w:val="21"/>
                <w:szCs w:val="21"/>
                <w:color w:val="auto"/>
              </w:rPr>
            </w:pPr>
          </w:p>
        </w:tc>
        <w:tc>
          <w:tcPr>
            <w:tcW w:w="2020" w:type="dxa"/>
            <w:vAlign w:val="bottom"/>
            <w:tcBorders>
              <w:top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shd w:val="clear" w:color="auto" w:fill="B6DEE8"/>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program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20"/>
                <w:szCs w:val="20"/>
                <w:color w:val="auto"/>
              </w:rPr>
            </w:pPr>
          </w:p>
        </w:tc>
      </w:tr>
      <w:tr>
        <w:trPr>
          <w:trHeight w:val="247"/>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Accrued charitable contributions</w:t>
            </w:r>
          </w:p>
        </w:tc>
        <w:tc>
          <w:tcPr>
            <w:tcW w:w="240" w:type="dxa"/>
            <w:vAlign w:val="bottom"/>
            <w:shd w:val="clear" w:color="auto" w:fill="B6DEE8"/>
          </w:tcPr>
          <w:p>
            <w:pPr>
              <w:spacing w:after="0"/>
              <w:rPr>
                <w:sz w:val="21"/>
                <w:szCs w:val="21"/>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B6DEE8"/>
          </w:tcPr>
          <w:p>
            <w:pPr>
              <w:spacing w:after="0"/>
              <w:rPr>
                <w:sz w:val="21"/>
                <w:szCs w:val="21"/>
                <w:color w:val="auto"/>
              </w:rPr>
            </w:pPr>
          </w:p>
        </w:tc>
        <w:tc>
          <w:tcPr>
            <w:tcW w:w="460" w:type="dxa"/>
            <w:vAlign w:val="bottom"/>
            <w:shd w:val="clear" w:color="auto" w:fill="B6DEE8"/>
          </w:tcPr>
          <w:p>
            <w:pPr>
              <w:spacing w:after="0"/>
              <w:rPr>
                <w:sz w:val="21"/>
                <w:szCs w:val="21"/>
                <w:color w:val="auto"/>
              </w:rPr>
            </w:pPr>
          </w:p>
        </w:tc>
        <w:tc>
          <w:tcPr>
            <w:tcW w:w="2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00" w:type="dxa"/>
            <w:vAlign w:val="bottom"/>
            <w:shd w:val="clear" w:color="auto" w:fill="B6DEE8"/>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negative account balances</w:t>
            </w:r>
          </w:p>
        </w:tc>
        <w:tc>
          <w:tcPr>
            <w:tcW w:w="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r>
      <w:tr>
        <w:trPr>
          <w:trHeight w:val="247"/>
        </w:trPr>
        <w:tc>
          <w:tcPr>
            <w:tcW w:w="512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240" w:type="dxa"/>
            <w:vAlign w:val="bottom"/>
            <w:shd w:val="clear" w:color="auto" w:fill="B6DEE8"/>
          </w:tcPr>
          <w:p>
            <w:pPr>
              <w:spacing w:after="0"/>
              <w:rPr>
                <w:sz w:val="21"/>
                <w:szCs w:val="21"/>
                <w:color w:val="auto"/>
              </w:rPr>
            </w:pPr>
          </w:p>
        </w:tc>
        <w:tc>
          <w:tcPr>
            <w:tcW w:w="20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shd w:val="clear" w:color="auto" w:fill="B6DEE8"/>
          </w:tcPr>
          <w:p>
            <w:pPr>
              <w:spacing w:after="0"/>
              <w:rPr>
                <w:sz w:val="21"/>
                <w:szCs w:val="21"/>
                <w:color w:val="auto"/>
              </w:rPr>
            </w:pPr>
          </w:p>
        </w:tc>
        <w:tc>
          <w:tcPr>
            <w:tcW w:w="460" w:type="dxa"/>
            <w:vAlign w:val="bottom"/>
            <w:shd w:val="clear" w:color="auto" w:fill="B6DEE8"/>
          </w:tcPr>
          <w:p>
            <w:pPr>
              <w:spacing w:after="0"/>
              <w:rPr>
                <w:sz w:val="21"/>
                <w:szCs w:val="21"/>
                <w:color w:val="auto"/>
              </w:rPr>
            </w:pPr>
          </w:p>
        </w:tc>
        <w:tc>
          <w:tcPr>
            <w:tcW w:w="20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B6DEE8"/>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512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B6DEE8"/>
          </w:tcPr>
          <w:p>
            <w:pPr>
              <w:spacing w:after="0"/>
              <w:rPr>
                <w:sz w:val="21"/>
                <w:szCs w:val="21"/>
                <w:color w:val="auto"/>
              </w:rPr>
            </w:pPr>
          </w:p>
        </w:tc>
        <w:tc>
          <w:tcPr>
            <w:tcW w:w="206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B6DEE8"/>
            </w:tcBorders>
            <w:shd w:val="clear" w:color="auto" w:fill="B6DEE8"/>
          </w:tcPr>
          <w:p>
            <w:pPr>
              <w:spacing w:after="0"/>
              <w:rPr>
                <w:sz w:val="21"/>
                <w:szCs w:val="21"/>
                <w:color w:val="auto"/>
              </w:rPr>
            </w:pPr>
          </w:p>
        </w:tc>
        <w:tc>
          <w:tcPr>
            <w:tcW w:w="460" w:type="dxa"/>
            <w:vAlign w:val="bottom"/>
            <w:tcBorders>
              <w:bottom w:val="single" w:sz="8" w:color="auto"/>
            </w:tcBorders>
            <w:shd w:val="clear" w:color="auto" w:fill="B6DEE8"/>
          </w:tcPr>
          <w:p>
            <w:pPr>
              <w:spacing w:after="0"/>
              <w:rPr>
                <w:sz w:val="21"/>
                <w:szCs w:val="21"/>
                <w:color w:val="auto"/>
              </w:rPr>
            </w:pPr>
          </w:p>
        </w:tc>
        <w:tc>
          <w:tcPr>
            <w:tcW w:w="20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9"/>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17,111</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00" w:type="dxa"/>
            <w:vAlign w:val="bottom"/>
          </w:tcPr>
          <w:p>
            <w:pPr>
              <w:spacing w:after="0"/>
              <w:rPr>
                <w:sz w:val="20"/>
                <w:szCs w:val="20"/>
                <w:color w:val="auto"/>
              </w:rPr>
            </w:pP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Accrued charitable contributions includes amounts the Company has pledged related to meal donations. The Company uses a portion of tips received to make a charitable cash donation to a third party who uses the funds to provide meals to those in need. For the three and nine months ended September 30, 2024, the Company pledged approximately $1.3 million and $3.2 million related to charitable donations, respectively. For the three and nine months ended September 30, 2023, the Company pledged approximately $0.9 million and $4.2 million related to charitable donations, respectively. These costs are expensed as incurred and are presented within other operating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other current liabilities consisted of the following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3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500" w:type="dxa"/>
            <w:vAlign w:val="bottom"/>
            <w:shd w:val="clear" w:color="auto" w:fill="B6DEE8"/>
          </w:tcPr>
          <w:p>
            <w:pPr>
              <w:spacing w:after="0"/>
              <w:rPr>
                <w:sz w:val="17"/>
                <w:szCs w:val="17"/>
                <w:color w:val="auto"/>
              </w:rPr>
            </w:pPr>
          </w:p>
        </w:tc>
        <w:tc>
          <w:tcPr>
            <w:tcW w:w="2020" w:type="dxa"/>
            <w:vAlign w:val="bottom"/>
            <w:shd w:val="clear" w:color="auto" w:fill="B6DEE8"/>
          </w:tcPr>
          <w:p>
            <w:pPr>
              <w:spacing w:after="0"/>
              <w:rPr>
                <w:sz w:val="17"/>
                <w:szCs w:val="17"/>
                <w:color w:val="auto"/>
              </w:rPr>
            </w:pPr>
          </w:p>
        </w:tc>
        <w:tc>
          <w:tcPr>
            <w:tcW w:w="150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400" w:type="dxa"/>
            <w:vAlign w:val="bottom"/>
            <w:shd w:val="clear" w:color="auto" w:fill="B6DEE8"/>
          </w:tcPr>
          <w:p>
            <w:pPr>
              <w:spacing w:after="0"/>
              <w:rPr>
                <w:sz w:val="17"/>
                <w:szCs w:val="17"/>
                <w:color w:val="auto"/>
              </w:rPr>
            </w:pPr>
          </w:p>
        </w:tc>
        <w:tc>
          <w:tcPr>
            <w:tcW w:w="100" w:type="dxa"/>
            <w:vAlign w:val="bottom"/>
            <w:shd w:val="clear" w:color="auto" w:fill="B6DEE8"/>
          </w:tcPr>
          <w:p>
            <w:pPr>
              <w:spacing w:after="0"/>
              <w:rPr>
                <w:sz w:val="17"/>
                <w:szCs w:val="17"/>
                <w:color w:val="auto"/>
              </w:rPr>
            </w:pPr>
          </w:p>
        </w:tc>
        <w:tc>
          <w:tcPr>
            <w:tcW w:w="460" w:type="dxa"/>
            <w:vAlign w:val="bottom"/>
            <w:shd w:val="clear" w:color="auto" w:fill="B6DEE8"/>
          </w:tcPr>
          <w:p>
            <w:pPr>
              <w:spacing w:after="0"/>
              <w:rPr>
                <w:sz w:val="17"/>
                <w:szCs w:val="17"/>
                <w:color w:val="auto"/>
              </w:rPr>
            </w:pPr>
          </w:p>
        </w:tc>
        <w:tc>
          <w:tcPr>
            <w:tcW w:w="2120" w:type="dxa"/>
            <w:vAlign w:val="bottom"/>
            <w:gridSpan w:val="4"/>
            <w:shd w:val="clear" w:color="auto" w:fill="B6DEE8"/>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3500" w:type="dxa"/>
            <w:vAlign w:val="bottom"/>
            <w:tcBorders>
              <w:top w:val="single" w:sz="8" w:color="B6DEE8"/>
            </w:tcBorders>
            <w:shd w:val="clear" w:color="auto" w:fill="B6DEE8"/>
          </w:tcPr>
          <w:p>
            <w:pPr>
              <w:spacing w:after="0"/>
              <w:rPr>
                <w:sz w:val="2"/>
                <w:szCs w:val="2"/>
                <w:color w:val="auto"/>
              </w:rPr>
            </w:pPr>
          </w:p>
        </w:tc>
        <w:tc>
          <w:tcPr>
            <w:tcW w:w="2020" w:type="dxa"/>
            <w:vAlign w:val="bottom"/>
            <w:tcBorders>
              <w:top w:val="single" w:sz="8" w:color="B6DEE8"/>
            </w:tcBorders>
            <w:shd w:val="clear" w:color="auto" w:fill="B6DEE8"/>
          </w:tcPr>
          <w:p>
            <w:pPr>
              <w:spacing w:after="0"/>
              <w:rPr>
                <w:sz w:val="2"/>
                <w:szCs w:val="2"/>
                <w:color w:val="auto"/>
              </w:rPr>
            </w:pPr>
          </w:p>
        </w:tc>
        <w:tc>
          <w:tcPr>
            <w:tcW w:w="1500" w:type="dxa"/>
            <w:vAlign w:val="bottom"/>
            <w:tcBorders>
              <w:top w:val="single" w:sz="8" w:color="auto"/>
            </w:tcBorders>
            <w:shd w:val="clear" w:color="auto" w:fill="B6DEE8"/>
          </w:tcPr>
          <w:p>
            <w:pPr>
              <w:spacing w:after="0"/>
              <w:rPr>
                <w:sz w:val="2"/>
                <w:szCs w:val="2"/>
                <w:color w:val="auto"/>
              </w:rPr>
            </w:pPr>
          </w:p>
        </w:tc>
        <w:tc>
          <w:tcPr>
            <w:tcW w:w="400" w:type="dxa"/>
            <w:vAlign w:val="bottom"/>
            <w:tcBorders>
              <w:top w:val="single" w:sz="8" w:color="B6DEE8"/>
            </w:tcBorders>
            <w:shd w:val="clear" w:color="auto" w:fill="B6DEE8"/>
          </w:tcPr>
          <w:p>
            <w:pPr>
              <w:spacing w:after="0"/>
              <w:rPr>
                <w:sz w:val="2"/>
                <w:szCs w:val="2"/>
                <w:color w:val="auto"/>
              </w:rPr>
            </w:pPr>
          </w:p>
        </w:tc>
        <w:tc>
          <w:tcPr>
            <w:tcW w:w="100" w:type="dxa"/>
            <w:vAlign w:val="bottom"/>
            <w:tcBorders>
              <w:top w:val="single" w:sz="8" w:color="B6DEE8"/>
            </w:tcBorders>
            <w:shd w:val="clear" w:color="auto" w:fill="B6DEE8"/>
          </w:tcPr>
          <w:p>
            <w:pPr>
              <w:spacing w:after="0"/>
              <w:rPr>
                <w:sz w:val="2"/>
                <w:szCs w:val="2"/>
                <w:color w:val="auto"/>
              </w:rPr>
            </w:pPr>
          </w:p>
        </w:tc>
        <w:tc>
          <w:tcPr>
            <w:tcW w:w="460" w:type="dxa"/>
            <w:vAlign w:val="bottom"/>
            <w:tcBorders>
              <w:top w:val="single" w:sz="8" w:color="B6DEE8"/>
            </w:tcBorders>
            <w:shd w:val="clear" w:color="auto" w:fill="B6DEE8"/>
          </w:tcPr>
          <w:p>
            <w:pPr>
              <w:spacing w:after="0"/>
              <w:rPr>
                <w:sz w:val="2"/>
                <w:szCs w:val="2"/>
                <w:color w:val="auto"/>
              </w:rPr>
            </w:pPr>
          </w:p>
        </w:tc>
        <w:tc>
          <w:tcPr>
            <w:tcW w:w="160" w:type="dxa"/>
            <w:vAlign w:val="bottom"/>
            <w:tcBorders>
              <w:top w:val="single" w:sz="8" w:color="B6DEE8"/>
            </w:tcBorders>
            <w:shd w:val="clear" w:color="auto" w:fill="B6DEE8"/>
          </w:tcPr>
          <w:p>
            <w:pPr>
              <w:spacing w:after="0"/>
              <w:rPr>
                <w:sz w:val="2"/>
                <w:szCs w:val="2"/>
                <w:color w:val="auto"/>
              </w:rPr>
            </w:pPr>
          </w:p>
        </w:tc>
        <w:tc>
          <w:tcPr>
            <w:tcW w:w="1440" w:type="dxa"/>
            <w:vAlign w:val="bottom"/>
            <w:tcBorders>
              <w:top w:val="single" w:sz="8" w:color="auto"/>
            </w:tcBorders>
            <w:shd w:val="clear" w:color="auto" w:fill="B6DEE8"/>
          </w:tcPr>
          <w:p>
            <w:pPr>
              <w:spacing w:after="0"/>
              <w:rPr>
                <w:sz w:val="2"/>
                <w:szCs w:val="2"/>
                <w:color w:val="auto"/>
              </w:rPr>
            </w:pPr>
          </w:p>
        </w:tc>
        <w:tc>
          <w:tcPr>
            <w:tcW w:w="420" w:type="dxa"/>
            <w:vAlign w:val="bottom"/>
            <w:tcBorders>
              <w:top w:val="single" w:sz="8" w:color="B6DEE8"/>
            </w:tcBorders>
            <w:shd w:val="clear" w:color="auto" w:fill="B6DEE8"/>
          </w:tcPr>
          <w:p>
            <w:pPr>
              <w:spacing w:after="0"/>
              <w:rPr>
                <w:sz w:val="2"/>
                <w:szCs w:val="2"/>
                <w:color w:val="auto"/>
              </w:rPr>
            </w:pPr>
          </w:p>
        </w:tc>
        <w:tc>
          <w:tcPr>
            <w:tcW w:w="100" w:type="dxa"/>
            <w:vAlign w:val="bottom"/>
            <w:tcBorders>
              <w:top w:val="single" w:sz="8" w:color="B6DEE8"/>
            </w:tcBorders>
            <w:shd w:val="clear" w:color="auto" w:fill="B6DEE8"/>
          </w:tcPr>
          <w:p>
            <w:pPr>
              <w:spacing w:after="0"/>
              <w:rPr>
                <w:sz w:val="2"/>
                <w:szCs w:val="2"/>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3,150</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3,150</w:t>
            </w:r>
          </w:p>
        </w:tc>
        <w:tc>
          <w:tcPr>
            <w:tcW w:w="100" w:type="dxa"/>
            <w:vAlign w:val="bottom"/>
          </w:tcPr>
          <w:p>
            <w:pPr>
              <w:spacing w:after="0"/>
              <w:rPr>
                <w:sz w:val="20"/>
                <w:szCs w:val="20"/>
                <w:color w:val="auto"/>
              </w:rPr>
            </w:pPr>
          </w:p>
        </w:tc>
      </w:tr>
      <w:tr>
        <w:trPr>
          <w:trHeight w:val="243"/>
        </w:trPr>
        <w:tc>
          <w:tcPr>
            <w:tcW w:w="3500" w:type="dxa"/>
            <w:vAlign w:val="bottom"/>
            <w:tcBorders>
              <w:bottom w:val="single" w:sz="8" w:color="auto"/>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Borders>
              <w:bottom w:val="single" w:sz="8" w:color="auto"/>
            </w:tcBorders>
            <w:shd w:val="clear" w:color="auto" w:fill="B6DEE8"/>
          </w:tcPr>
          <w:p>
            <w:pPr>
              <w:spacing w:after="0"/>
              <w:rPr>
                <w:sz w:val="21"/>
                <w:szCs w:val="21"/>
                <w:color w:val="auto"/>
              </w:rPr>
            </w:pPr>
          </w:p>
        </w:tc>
        <w:tc>
          <w:tcPr>
            <w:tcW w:w="1900" w:type="dxa"/>
            <w:vAlign w:val="bottom"/>
            <w:tcBorders>
              <w:bottom w:val="single" w:sz="8" w:color="auto"/>
            </w:tcBorders>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B6DEE8"/>
            </w:tcBorders>
            <w:shd w:val="clear" w:color="auto" w:fill="B6DEE8"/>
          </w:tcPr>
          <w:p>
            <w:pPr>
              <w:spacing w:after="0"/>
              <w:rPr>
                <w:sz w:val="21"/>
                <w:szCs w:val="21"/>
                <w:color w:val="auto"/>
              </w:rPr>
            </w:pPr>
          </w:p>
        </w:tc>
        <w:tc>
          <w:tcPr>
            <w:tcW w:w="460" w:type="dxa"/>
            <w:vAlign w:val="bottom"/>
            <w:tcBorders>
              <w:bottom w:val="single" w:sz="8" w:color="auto"/>
            </w:tcBorders>
            <w:shd w:val="clear" w:color="auto" w:fill="B6DEE8"/>
          </w:tcPr>
          <w:p>
            <w:pPr>
              <w:spacing w:after="0"/>
              <w:rPr>
                <w:sz w:val="21"/>
                <w:szCs w:val="21"/>
                <w:color w:val="auto"/>
              </w:rPr>
            </w:pPr>
          </w:p>
        </w:tc>
        <w:tc>
          <w:tcPr>
            <w:tcW w:w="2020" w:type="dxa"/>
            <w:vAlign w:val="bottom"/>
            <w:tcBorders>
              <w:bottom w:val="single" w:sz="8" w:color="auto"/>
            </w:tcBorders>
            <w:gridSpan w:val="3"/>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3,956</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3,865</w:t>
            </w:r>
          </w:p>
        </w:tc>
        <w:tc>
          <w:tcPr>
            <w:tcW w:w="100" w:type="dxa"/>
            <w:vAlign w:val="bottom"/>
          </w:tcPr>
          <w:p>
            <w:pPr>
              <w:spacing w:after="0"/>
              <w:rPr>
                <w:sz w:val="20"/>
                <w:szCs w:val="20"/>
                <w:color w:val="auto"/>
              </w:rPr>
            </w:pPr>
          </w:p>
        </w:tc>
      </w:tr>
      <w:tr>
        <w:trPr>
          <w:trHeight w:val="20"/>
        </w:trPr>
        <w:tc>
          <w:tcPr>
            <w:tcW w:w="35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current liabilities includes $3.2 million in deferred transaction costs associated with the transactions consummated on January 5, 2022 as contemplated by that certain Agreement and Plan of Merger, dated as of June 7, 2021 among VPC Impact Acquisition Holdings III, Inc. (“VPCC”), Dave Inc., a Delaware corporation (“Legacy Dave”), and other entities (the “Business Combination”). These transaction costs were also capitalized and included within additional paid-in capital in the condensed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Note Payable</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bore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would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repurchased the $105.7 million outstanding balance of the Note as of January 29, 2024 for $71.0 million. The Company reduced the net carrying amount of debt by unamortized debt issuance costs of $0.03 million at the extinguishment date. The Company also incurred third-party costs totaling $1.3 million in conjunction with the settlement of the Note. The third-party costs are included in the reacquisition price and the gain on extinguishment of $33.4 million was calculated as the difference between the net carrying amount of debt and the reacquisition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 Liabilities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September 30, 2024,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Public Warrants and the Private Warrants have an exercise price of $368 per share, subject to adjustments and will expire five years after the completion of the Business Combination or earlier upon redemption or liquidation.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when the price per share of Class A Common Stock equals or exceeds $576.00: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 for cash:</w:t>
      </w:r>
    </w:p>
    <w:p>
      <w:pPr>
        <w:spacing w:after="0" w:line="117"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5" w:name="page26"/>
    <w:bookmarkEnd w:id="25"/>
    <w:p>
      <w:pPr>
        <w:ind w:left="480" w:hanging="472"/>
        <w:spacing w:after="0"/>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right="300" w:firstLine="8"/>
        <w:spacing w:after="0" w:line="266" w:lineRule="auto"/>
        <w:tabs>
          <w:tab w:leader="none" w:pos="4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 if, and only if, the closing price of Class A Common Stock equals or exceeds $576.00 per share (as adjusted) for any 20 trading days within a 30-trading day period ending on the third trading day prior to the date on which the Company sends the notice of redemption to the warrant holders.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of Public Warrants for when the price per share of Class A Common Stock equals or exceeds $320.00: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4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175" w:lineRule="exact"/>
        <w:rPr>
          <w:rFonts w:ascii="Times New Roman" w:cs="Times New Roman" w:eastAsia="Times New Roman" w:hAnsi="Times New Roman"/>
          <w:sz w:val="18"/>
          <w:szCs w:val="18"/>
          <w:color w:val="auto"/>
        </w:rPr>
      </w:pPr>
    </w:p>
    <w:p>
      <w:pPr>
        <w:ind w:right="220" w:firstLine="8"/>
        <w:spacing w:after="0" w:line="282" w:lineRule="auto"/>
        <w:tabs>
          <w:tab w:leader="none" w:pos="42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Class A Common Stock equals or exceeds $320.00 per Public Share (as adjusted) for any 20 trading days within the 30-trading day period ending three trading days before the Company sends notice of redemption to the warrant holders.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80"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w:t>
      </w:r>
    </w:p>
    <w:p>
      <w:pPr>
        <w:spacing w:after="0" w:line="2" w:lineRule="exact"/>
        <w:rPr>
          <w:sz w:val="20"/>
          <w:szCs w:val="20"/>
          <w:color w:val="auto"/>
        </w:rPr>
      </w:pPr>
    </w:p>
    <w:p>
      <w:pPr>
        <w:ind w:firstLine="8"/>
        <w:spacing w:after="0" w:line="25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$120.0656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19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Immediately prior to the close of the Business Combination, all, or 1,664,394 of the vested warrants were exercised and net settled for 14,087 shares of Legacy Dave’s Class A Common Stock after applying the exchange ratio.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10 Debt Facility</w:t>
      </w:r>
    </w:p>
    <w:p>
      <w:pPr>
        <w:spacing w:after="0" w:line="229"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In January 2021, Dave OD Funding I, LLC (“Borrower”) entered into a delayed draw senior secured loan facility (the “Debt Facility”) with Victory Park Management, LLC (“Agent”), and allowed the Borrower to draw up to $100 million from various lenders (the “Lenders”) associated with Victory Park Management, LLC. The Debt Facility had an interest rate of 6.95% annually plus a base rate defined as the greater of the three-month London interbank offered rate ("LIBOR") as of the last business day of each calendar month and 2.55%. Interest is payable monthly in arrears. The Debt Facility contained certain financial covenants, including a requirement to maintain a minimum cash, cash equivalents, or marketable securities balance of $8.0 million.</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13, 2023, the Company executed the Third Amendment to the Debt Facility with the existing Lenders. The Third Amendment, among other things: (i) increases the secured loan facility commitment amount by $50.0 million to a total of $150.0 million; (ii) extends the maturity date of the Debt Facility from January 2025 to December 2026; (iii) adds a liquidity trigger threshold, measured as of the last day of any calendar month, equal to the lesser of (a) the trailing six-month EBITDA as of such date, (b) the product of (A) the trailing three-month EBITDA as of such date, multiplied by (B) two (2), and (c) zero ($0); (iv) increases the minimum liquidity threshold, a requirement to maintain a minimum cash, cash equivalents, or marketable securities balance, from $8.0 million to $15.0 million; (v) replaces LIBOR with the secured overnight financing rate ("SOFR") and updates interest rates to the base rate (or if greater, SOFR for such date for a 3-month tenor and 3.00%) plus 5.00% per annum on that portion of the aggregate outstanding principal balance that is less than or equal to $75.0 million, plus the base rate plus 4.50% per annum on that portion of the aggregate outstanding principal balance, if any, that is greater than $75.0 million; (vi) updates prepayment premiums for early or voluntary principal repayments; and (vii) the Company's guaranty (the limited guaranty was secured by a first-priority lien against substantially all of the Company's assets) of up to $25,000,000 of the Borrower's obligations under the Debt Facility has been terminated.</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Payments of the loan draws are due at the following dates: (i) within five business days after the date of receipt by the Borrower of any net cash proceeds in excess of $0.25 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 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 million in respect of clause (a) above and (y) 100% of such extraordinary receipts in respect of clause (b)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 had drawn $75.0 million on the Debt Facility and had made no repayments.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Third Amendment was accounted for as a debt modification and, accordingly, the Company capitalized $0.4 million of financing costs which will be recognized within the statement of operations evenly through maturity date of the Debt Facility, no gain or loss was recognized. As of September 30, 2024, the Company was in compliance with all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 Other than as described below, management does not believe that any of these proceedings or claims will have a significant adverse effect on the Company’s business, financial condition, results of operations, or cash flows. However, legal proceedings and claims are subject to many factors that are difficult to predict, so there can be no assurance that, in the event of a material unfavorable result in one or more claims, the Company will not incur material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1. Federal Trade Commission v. Dave, Inc. (filed November 5, 2024 in the United States District Court for the Central District of California)</w:t>
      </w:r>
    </w:p>
    <w:p>
      <w:pPr>
        <w:spacing w:after="0" w:line="22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January 2023, the Company received a Civil Investigative Demand from the Federal Trade Commission (the “FTC”) staff seeking information in connection with the sale, offering, advertising, marketing or other promotion of cash advance products and online financial services. In response, the Company cooperated with the FTC staff while seeking to engage constructively with the FTC to resolve this matter.</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August 21, 2024, the FTC staff sent the Company a proposed consent order and draft complaint, alleging that the Company had violated Section 5 of the Federal Trade Commission Act and certain provisions of the Restore Online Shoppers’ Confidence Act related to the Company’s platform and offering of the ExtraCash Product (the “Complaint”), and advising that it would recommend the filing of an enforcement action if the Company did not settle the FTC’s claims. The Company engaged in good faith negotiations with the FTC staff to settle the claims but these negotiations were unsuccessful, and on November 5, 2024, the FTC filed the Complaint in the United States District Court for the Central District of California against the Company. The Complaint seeks a permanent injunction, monetary relief for an unspecified amount and “other relief as the court determines to be just and proper.”</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Although the Company believes that its practices have at all times been in compliance with applicable law, the outcome of any case in litigation is uncertain. Therefore, for the period ending September 30, 2024, the Company has recorded a $7 million litigation and settlement accrual for this matter. Significant changes in the accrual may be required in future periods as the case progresses and additional information becomes available. At this time, the Company is unable to reasonably predict the possible outcome of this matter due to, among other things, the fact that it raises difficult factual and legal issues and is subject to many uncertainties and complexities. There can be no assurance that the Company will be successful in the litigation, and the Company may incur a loss in excess of the amount accrued. The defense or resolution of this matter could involve significant monetary costs and have a material impact on the Company’s business, financial results and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 Lopez v. Dave Inc. (filed July 15, 2022 in US District Court for the Northern District of California).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10, 2024, the parties in the Lopez matter reached a settlement agreement in mediation. The settlement was paid in August 2024.</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7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lease agreement with PCJW for office space located in Los Angeles, California. The lease term is seven years, beginning January 1, 2019 and ending December 31, 2025. The current monthly lease payment is $0.02 million, subject to an annual escalation of 5%.</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sublease agreement with PCJW, controlled by Company’s founders (including the Company’s CEO), for general office space next to the aforementioned leased property in Los Angeles, California. The lease term was five years subject to early termination by either party, beginning November 2018 and ending October 2023. In November 2023, the Company extended the sublease for five more years ending October 2028. Under the terms of the sublease, the current monthly rent is $0.006 million, subject to an annual escalation of 4%.</w:t>
      </w:r>
    </w:p>
    <w:p>
      <w:pPr>
        <w:spacing w:after="0" w:line="220"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All leases were classified as operating and operating lease expenses are presented within Other operating expenses in the condensed consolidated statements of operations. The Company does not have any finance leases or sublease arrangements where the Company is the sublessor. The Company’s leasing activities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1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9"/>
        </w:trPr>
        <w:tc>
          <w:tcPr>
            <w:tcW w:w="580" w:type="dxa"/>
            <w:vAlign w:val="bottom"/>
          </w:tcPr>
          <w:p>
            <w:pPr>
              <w:spacing w:after="0"/>
              <w:rPr>
                <w:sz w:val="24"/>
                <w:szCs w:val="24"/>
                <w:color w:val="auto"/>
              </w:rPr>
            </w:pPr>
          </w:p>
        </w:tc>
        <w:tc>
          <w:tcPr>
            <w:tcW w:w="324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316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240" w:type="dxa"/>
            <w:vAlign w:val="bottom"/>
            <w:gridSpan w:val="2"/>
            <w:shd w:val="clear" w:color="auto" w:fill="B6DE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shd w:val="clear" w:color="auto" w:fill="B6DEE8"/>
          </w:tcPr>
          <w:p>
            <w:pPr>
              <w:spacing w:after="0"/>
              <w:rPr>
                <w:sz w:val="24"/>
                <w:szCs w:val="24"/>
                <w:color w:val="auto"/>
              </w:rPr>
            </w:pPr>
          </w:p>
        </w:tc>
        <w:tc>
          <w:tcPr>
            <w:tcW w:w="560" w:type="dxa"/>
            <w:vAlign w:val="bottom"/>
          </w:tcPr>
          <w:p>
            <w:pPr>
              <w:spacing w:after="0"/>
              <w:rPr>
                <w:sz w:val="24"/>
                <w:szCs w:val="24"/>
                <w:color w:val="auto"/>
              </w:rPr>
            </w:pPr>
          </w:p>
        </w:tc>
      </w:tr>
      <w:tr>
        <w:trPr>
          <w:trHeight w:val="806"/>
        </w:trPr>
        <w:tc>
          <w:tcPr>
            <w:tcW w:w="580" w:type="dxa"/>
            <w:vAlign w:val="bottom"/>
          </w:tcPr>
          <w:p>
            <w:pPr>
              <w:spacing w:after="0"/>
              <w:rPr>
                <w:sz w:val="24"/>
                <w:szCs w:val="24"/>
                <w:color w:val="auto"/>
              </w:rPr>
            </w:pPr>
          </w:p>
        </w:tc>
        <w:tc>
          <w:tcPr>
            <w:tcW w:w="324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B6DEE8"/>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00" w:type="dxa"/>
            <w:vAlign w:val="bottom"/>
            <w:tcBorders>
              <w:top w:val="single" w:sz="8" w:color="B6DEE8"/>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-1045210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-1028065</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-1045210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-1028065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8" w:name="page29"/>
    <w:bookmarkEnd w:id="28"/>
    <w:tbl>
      <w:tblPr>
        <w:tblLayout w:type="fixed"/>
        <w:tblInd w:w="58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50"/>
        </w:trPr>
        <w:tc>
          <w:tcPr>
            <w:tcW w:w="6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243"/>
        </w:trPr>
        <w:tc>
          <w:tcPr>
            <w:tcW w:w="6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120" w:type="dxa"/>
            <w:vAlign w:val="bottom"/>
            <w:tcBorders>
              <w:top w:val="single" w:sz="8" w:color="auto"/>
            </w:tcBorders>
            <w:shd w:val="clear" w:color="auto" w:fill="B6DEE8"/>
          </w:tcPr>
          <w:p>
            <w:pPr>
              <w:spacing w:after="0"/>
              <w:rPr>
                <w:sz w:val="21"/>
                <w:szCs w:val="21"/>
                <w:color w:val="auto"/>
              </w:rPr>
            </w:pPr>
          </w:p>
        </w:tc>
        <w:tc>
          <w:tcPr>
            <w:tcW w:w="1620" w:type="dxa"/>
            <w:vAlign w:val="bottom"/>
            <w:tcBorders>
              <w:top w:val="single" w:sz="8" w:color="auto"/>
            </w:tcBorders>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140" w:type="dxa"/>
            <w:vAlign w:val="bottom"/>
            <w:tcBorders>
              <w:top w:val="single" w:sz="8" w:color="auto"/>
            </w:tcBorders>
            <w:shd w:val="clear" w:color="auto" w:fill="B6DEE8"/>
          </w:tcPr>
          <w:p>
            <w:pPr>
              <w:spacing w:after="0"/>
              <w:rPr>
                <w:sz w:val="21"/>
                <w:szCs w:val="21"/>
                <w:color w:val="auto"/>
              </w:rPr>
            </w:pPr>
          </w:p>
        </w:tc>
        <w:tc>
          <w:tcPr>
            <w:tcW w:w="1740" w:type="dxa"/>
            <w:vAlign w:val="bottom"/>
            <w:tcBorders>
              <w:top w:val="single" w:sz="8" w:color="auto"/>
            </w:tcBorders>
            <w:shd w:val="clear" w:color="auto" w:fill="B6DEE8"/>
          </w:tcPr>
          <w:p>
            <w:pPr>
              <w:spacing w:after="0"/>
              <w:rPr>
                <w:sz w:val="21"/>
                <w:szCs w:val="21"/>
                <w:color w:val="auto"/>
              </w:rPr>
            </w:pP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2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w:t>
            </w:r>
          </w:p>
        </w:tc>
        <w:tc>
          <w:tcPr>
            <w:tcW w:w="120" w:type="dxa"/>
            <w:vAlign w:val="bottom"/>
            <w:shd w:val="clear" w:color="auto" w:fill="B6DEE8"/>
          </w:tcPr>
          <w:p>
            <w:pPr>
              <w:spacing w:after="0"/>
              <w:rPr>
                <w:sz w:val="21"/>
                <w:szCs w:val="21"/>
                <w:color w:val="auto"/>
              </w:rPr>
            </w:pPr>
          </w:p>
        </w:tc>
        <w:tc>
          <w:tcPr>
            <w:tcW w:w="1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B6DEE8"/>
          </w:tcPr>
          <w:p>
            <w:pPr>
              <w:spacing w:after="0"/>
              <w:rPr>
                <w:sz w:val="21"/>
                <w:szCs w:val="21"/>
                <w:color w:val="auto"/>
              </w:rPr>
            </w:pPr>
          </w:p>
        </w:tc>
        <w:tc>
          <w:tcPr>
            <w:tcW w:w="140" w:type="dxa"/>
            <w:vAlign w:val="bottom"/>
            <w:shd w:val="clear" w:color="auto" w:fill="B6DEE8"/>
          </w:tcPr>
          <w:p>
            <w:pPr>
              <w:spacing w:after="0"/>
              <w:rPr>
                <w:sz w:val="21"/>
                <w:szCs w:val="21"/>
                <w:color w:val="auto"/>
              </w:rPr>
            </w:pPr>
          </w:p>
        </w:tc>
        <w:tc>
          <w:tcPr>
            <w:tcW w:w="17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B6DEE8"/>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w:t>
            </w:r>
          </w:p>
        </w:tc>
        <w:tc>
          <w:tcPr>
            <w:tcW w:w="120" w:type="dxa"/>
            <w:vAlign w:val="bottom"/>
          </w:tcPr>
          <w:p>
            <w:pPr>
              <w:spacing w:after="0"/>
              <w:rPr>
                <w:sz w:val="20"/>
                <w:szCs w:val="20"/>
                <w:color w:val="auto"/>
              </w:rPr>
            </w:pPr>
          </w:p>
        </w:tc>
        <w:tc>
          <w:tcPr>
            <w:tcW w:w="1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future minimum lease payments as of September 30, 2024, were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4140" w:type="dxa"/>
            <w:vAlign w:val="bottom"/>
          </w:tcPr>
          <w:p>
            <w:pPr>
              <w:spacing w:after="0"/>
              <w:rPr>
                <w:sz w:val="18"/>
                <w:szCs w:val="18"/>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6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2024 (remaining)</w:t>
            </w:r>
          </w:p>
        </w:tc>
        <w:tc>
          <w:tcPr>
            <w:tcW w:w="5140" w:type="dxa"/>
            <w:vAlign w:val="bottom"/>
            <w:gridSpan w:val="2"/>
            <w:shd w:val="clear" w:color="auto" w:fill="B6DEE8"/>
          </w:tcPr>
          <w:p>
            <w:pPr>
              <w:ind w:left="4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B6DEE8"/>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4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68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2026</w:t>
            </w:r>
          </w:p>
        </w:tc>
        <w:tc>
          <w:tcPr>
            <w:tcW w:w="4140" w:type="dxa"/>
            <w:vAlign w:val="bottom"/>
            <w:shd w:val="clear" w:color="auto" w:fill="B6DEE8"/>
          </w:tcPr>
          <w:p>
            <w:pPr>
              <w:spacing w:after="0"/>
              <w:rPr>
                <w:sz w:val="21"/>
                <w:szCs w:val="21"/>
                <w:color w:val="auto"/>
              </w:rPr>
            </w:pPr>
          </w:p>
        </w:tc>
        <w:tc>
          <w:tcPr>
            <w:tcW w:w="100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368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5140" w:type="dxa"/>
            <w:vAlign w:val="bottom"/>
            <w:tcBorders>
              <w:bottom w:val="single" w:sz="8" w:color="auto"/>
            </w:tcBorders>
            <w:gridSpan w:val="2"/>
            <w:shd w:val="clear" w:color="auto" w:fill="B6DEE8"/>
          </w:tcPr>
          <w:p>
            <w:pPr>
              <w:ind w:left="4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tcBorders>
              <w:bottom w:val="single" w:sz="8" w:color="B6DEE8"/>
            </w:tcBorders>
            <w:shd w:val="clear" w:color="auto" w:fill="B6DEE8"/>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(80 )</w:t>
            </w:r>
          </w:p>
        </w:tc>
        <w:tc>
          <w:tcPr>
            <w:tcW w:w="560" w:type="dxa"/>
            <w:vAlign w:val="bottom"/>
          </w:tcPr>
          <w:p>
            <w:pPr>
              <w:spacing w:after="0"/>
              <w:rPr>
                <w:sz w:val="20"/>
                <w:szCs w:val="20"/>
                <w:color w:val="auto"/>
              </w:rPr>
            </w:pPr>
          </w:p>
        </w:tc>
      </w:tr>
      <w:tr>
        <w:trPr>
          <w:trHeight w:val="278"/>
        </w:trPr>
        <w:tc>
          <w:tcPr>
            <w:tcW w:w="580" w:type="dxa"/>
            <w:vAlign w:val="bottom"/>
          </w:tcPr>
          <w:p>
            <w:pPr>
              <w:spacing w:after="0"/>
              <w:rPr>
                <w:sz w:val="24"/>
                <w:szCs w:val="24"/>
                <w:color w:val="auto"/>
              </w:rPr>
            </w:pPr>
          </w:p>
        </w:tc>
        <w:tc>
          <w:tcPr>
            <w:tcW w:w="368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140" w:type="dxa"/>
            <w:vAlign w:val="bottom"/>
            <w:tcBorders>
              <w:top w:val="single" w:sz="8" w:color="auto"/>
              <w:bottom w:val="single" w:sz="8" w:color="auto"/>
            </w:tcBorders>
            <w:gridSpan w:val="2"/>
            <w:shd w:val="clear" w:color="auto" w:fill="B6DEE8"/>
          </w:tcPr>
          <w:p>
            <w:pPr>
              <w:ind w:left="41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tcBorders>
              <w:bottom w:val="single" w:sz="8" w:color="B6DEE8"/>
            </w:tcBorders>
            <w:shd w:val="clear" w:color="auto" w:fill="B6DEE8"/>
          </w:tcPr>
          <w:p>
            <w:pPr>
              <w:spacing w:after="0"/>
              <w:rPr>
                <w:sz w:val="24"/>
                <w:szCs w:val="24"/>
                <w:color w:val="auto"/>
              </w:rPr>
            </w:pPr>
          </w:p>
        </w:tc>
        <w:tc>
          <w:tcPr>
            <w:tcW w:w="560" w:type="dxa"/>
            <w:vAlign w:val="bottom"/>
          </w:tcPr>
          <w:p>
            <w:pPr>
              <w:spacing w:after="0"/>
              <w:rPr>
                <w:sz w:val="24"/>
                <w:szCs w:val="24"/>
                <w:color w:val="auto"/>
              </w:rPr>
            </w:pPr>
          </w:p>
        </w:tc>
      </w:tr>
      <w:tr>
        <w:trPr>
          <w:trHeight w:val="590"/>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25</w:t>
            </w: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-908050</wp:posOffset>
            </wp:positionV>
            <wp:extent cx="603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-890905</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Note 13 Fair Value of Financial Instruments</w:t>
      </w:r>
    </w:p>
    <w:p>
      <w:pPr>
        <w:spacing w:after="0" w:line="1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are the major categories of assets and liabilities measured at fair value on a recurring basis as of September 30, 2024 and December 31, 2023, using quoted prices in active markets for identical assets (Level 1), significant other observable inputs (Level 2), and significant unobservable inputs (Level 3)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Pr>
          <w:p>
            <w:pPr>
              <w:spacing w:after="0"/>
              <w:rPr>
                <w:sz w:val="18"/>
                <w:szCs w:val="18"/>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08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DEE8"/>
          </w:tcPr>
          <w:p>
            <w:pPr>
              <w:spacing w:after="0"/>
              <w:rPr>
                <w:sz w:val="20"/>
                <w:szCs w:val="20"/>
                <w:color w:val="auto"/>
              </w:rPr>
            </w:pPr>
          </w:p>
        </w:tc>
        <w:tc>
          <w:tcPr>
            <w:tcW w:w="900" w:type="dxa"/>
            <w:vAlign w:val="bottom"/>
            <w:shd w:val="clear" w:color="auto" w:fill="B6DEE8"/>
          </w:tcPr>
          <w:p>
            <w:pPr>
              <w:spacing w:after="0"/>
              <w:rPr>
                <w:sz w:val="20"/>
                <w:szCs w:val="20"/>
                <w:color w:val="auto"/>
              </w:rPr>
            </w:pPr>
          </w:p>
        </w:tc>
        <w:tc>
          <w:tcPr>
            <w:tcW w:w="120" w:type="dxa"/>
            <w:vAlign w:val="bottom"/>
            <w:shd w:val="clear" w:color="auto" w:fill="B6DEE8"/>
          </w:tcPr>
          <w:p>
            <w:pPr>
              <w:spacing w:after="0"/>
              <w:rPr>
                <w:sz w:val="20"/>
                <w:szCs w:val="20"/>
                <w:color w:val="auto"/>
              </w:rPr>
            </w:pPr>
          </w:p>
        </w:tc>
        <w:tc>
          <w:tcPr>
            <w:tcW w:w="18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780" w:type="dxa"/>
            <w:vAlign w:val="bottom"/>
            <w:shd w:val="clear" w:color="auto" w:fill="B6DEE8"/>
          </w:tcPr>
          <w:p>
            <w:pPr>
              <w:spacing w:after="0"/>
              <w:rPr>
                <w:sz w:val="20"/>
                <w:szCs w:val="20"/>
                <w:color w:val="auto"/>
              </w:rPr>
            </w:pPr>
          </w:p>
        </w:tc>
        <w:tc>
          <w:tcPr>
            <w:tcW w:w="120" w:type="dxa"/>
            <w:vAlign w:val="bottom"/>
            <w:shd w:val="clear" w:color="auto" w:fill="B6DEE8"/>
          </w:tcPr>
          <w:p>
            <w:pPr>
              <w:spacing w:after="0"/>
              <w:rPr>
                <w:sz w:val="20"/>
                <w:szCs w:val="20"/>
                <w:color w:val="auto"/>
              </w:rPr>
            </w:pPr>
          </w:p>
        </w:tc>
        <w:tc>
          <w:tcPr>
            <w:tcW w:w="180" w:type="dxa"/>
            <w:vAlign w:val="bottom"/>
            <w:shd w:val="clear" w:color="auto" w:fill="B6DEE8"/>
          </w:tcPr>
          <w:p>
            <w:pPr>
              <w:spacing w:after="0"/>
              <w:rPr>
                <w:sz w:val="20"/>
                <w:szCs w:val="20"/>
                <w:color w:val="auto"/>
              </w:rPr>
            </w:pPr>
          </w:p>
        </w:tc>
        <w:tc>
          <w:tcPr>
            <w:tcW w:w="1100" w:type="dxa"/>
            <w:vAlign w:val="bottom"/>
            <w:shd w:val="clear" w:color="auto" w:fill="B6DEE8"/>
          </w:tcPr>
          <w:p>
            <w:pPr>
              <w:spacing w:after="0"/>
              <w:rPr>
                <w:sz w:val="20"/>
                <w:szCs w:val="20"/>
                <w:color w:val="auto"/>
              </w:rPr>
            </w:pPr>
          </w:p>
        </w:tc>
        <w:tc>
          <w:tcPr>
            <w:tcW w:w="38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340" w:type="dxa"/>
            <w:vAlign w:val="bottom"/>
            <w:shd w:val="clear" w:color="auto" w:fill="B6DEE8"/>
          </w:tcPr>
          <w:p>
            <w:pPr>
              <w:spacing w:after="0"/>
              <w:rPr>
                <w:sz w:val="20"/>
                <w:szCs w:val="20"/>
                <w:color w:val="auto"/>
              </w:rPr>
            </w:pPr>
          </w:p>
        </w:tc>
        <w:tc>
          <w:tcPr>
            <w:tcW w:w="122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r>
      <w:tr>
        <w:trPr>
          <w:trHeight w:val="239"/>
        </w:trPr>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auto"/>
            </w:tcBorders>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Borders>
              <w:bottom w:val="single" w:sz="8" w:color="auto"/>
            </w:tcBorders>
            <w:shd w:val="clear" w:color="auto" w:fill="B6DEE8"/>
          </w:tcPr>
          <w:p>
            <w:pPr>
              <w:spacing w:after="0"/>
              <w:rPr>
                <w:sz w:val="21"/>
                <w:szCs w:val="21"/>
                <w:color w:val="auto"/>
              </w:rPr>
            </w:pPr>
          </w:p>
        </w:tc>
        <w:tc>
          <w:tcPr>
            <w:tcW w:w="9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DEE8"/>
            </w:tcBorders>
            <w:shd w:val="clear" w:color="auto" w:fill="B6DEE8"/>
          </w:tcPr>
          <w:p>
            <w:pPr>
              <w:spacing w:after="0"/>
              <w:rPr>
                <w:sz w:val="21"/>
                <w:szCs w:val="21"/>
                <w:color w:val="auto"/>
              </w:rPr>
            </w:pPr>
          </w:p>
        </w:tc>
        <w:tc>
          <w:tcPr>
            <w:tcW w:w="180" w:type="dxa"/>
            <w:vAlign w:val="bottom"/>
            <w:tcBorders>
              <w:bottom w:val="single" w:sz="8" w:color="auto"/>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7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39,996</w:t>
            </w:r>
          </w:p>
        </w:tc>
        <w:tc>
          <w:tcPr>
            <w:tcW w:w="120" w:type="dxa"/>
            <w:vAlign w:val="bottom"/>
            <w:tcBorders>
              <w:bottom w:val="single" w:sz="8" w:color="B6DEE8"/>
            </w:tcBorders>
            <w:shd w:val="clear" w:color="auto" w:fill="B6DEE8"/>
          </w:tcPr>
          <w:p>
            <w:pPr>
              <w:spacing w:after="0"/>
              <w:rPr>
                <w:sz w:val="21"/>
                <w:szCs w:val="21"/>
                <w:color w:val="auto"/>
              </w:rPr>
            </w:pPr>
          </w:p>
        </w:tc>
        <w:tc>
          <w:tcPr>
            <w:tcW w:w="180" w:type="dxa"/>
            <w:vAlign w:val="bottom"/>
            <w:tcBorders>
              <w:bottom w:val="single" w:sz="8" w:color="auto"/>
            </w:tcBorders>
            <w:shd w:val="clear" w:color="auto" w:fill="B6DEE8"/>
          </w:tcPr>
          <w:p>
            <w:pPr>
              <w:spacing w:after="0"/>
              <w:rPr>
                <w:sz w:val="21"/>
                <w:szCs w:val="21"/>
                <w:color w:val="auto"/>
              </w:rPr>
            </w:pPr>
          </w:p>
        </w:tc>
        <w:tc>
          <w:tcPr>
            <w:tcW w:w="1100" w:type="dxa"/>
            <w:vAlign w:val="bottom"/>
            <w:tcBorders>
              <w:bottom w:val="single" w:sz="8" w:color="auto"/>
            </w:tcBorders>
            <w:shd w:val="clear" w:color="auto" w:fill="B6DEE8"/>
          </w:tcPr>
          <w:p>
            <w:pPr>
              <w:spacing w:after="0"/>
              <w:rPr>
                <w:sz w:val="21"/>
                <w:szCs w:val="21"/>
                <w:color w:val="auto"/>
              </w:rPr>
            </w:pPr>
          </w:p>
        </w:tc>
        <w:tc>
          <w:tcPr>
            <w:tcW w:w="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340" w:type="dxa"/>
            <w:vAlign w:val="bottom"/>
            <w:tcBorders>
              <w:bottom w:val="single" w:sz="8" w:color="auto"/>
            </w:tcBorders>
            <w:shd w:val="clear" w:color="auto" w:fill="B6DEE8"/>
          </w:tcPr>
          <w:p>
            <w:pPr>
              <w:spacing w:after="0"/>
              <w:rPr>
                <w:sz w:val="21"/>
                <w:szCs w:val="21"/>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39,996</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39,996</w:t>
            </w:r>
          </w:p>
        </w:tc>
        <w:tc>
          <w:tcPr>
            <w:tcW w:w="1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40,092</w:t>
            </w:r>
          </w:p>
        </w:tc>
        <w:tc>
          <w:tcPr>
            <w:tcW w:w="100" w:type="dxa"/>
            <w:vAlign w:val="bottom"/>
          </w:tcPr>
          <w:p>
            <w:pPr>
              <w:spacing w:after="0"/>
              <w:rPr>
                <w:sz w:val="20"/>
                <w:szCs w:val="20"/>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08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B6DEE8"/>
          </w:tcPr>
          <w:p>
            <w:pPr>
              <w:spacing w:after="0"/>
              <w:rPr>
                <w:sz w:val="19"/>
                <w:szCs w:val="19"/>
                <w:color w:val="auto"/>
              </w:rPr>
            </w:pPr>
          </w:p>
        </w:tc>
        <w:tc>
          <w:tcPr>
            <w:tcW w:w="900" w:type="dxa"/>
            <w:vAlign w:val="bottom"/>
            <w:shd w:val="clear" w:color="auto" w:fill="B6DEE8"/>
          </w:tcPr>
          <w:p>
            <w:pPr>
              <w:spacing w:after="0"/>
              <w:rPr>
                <w:sz w:val="19"/>
                <w:szCs w:val="19"/>
                <w:color w:val="auto"/>
              </w:rPr>
            </w:pPr>
          </w:p>
        </w:tc>
        <w:tc>
          <w:tcPr>
            <w:tcW w:w="120" w:type="dxa"/>
            <w:vAlign w:val="bottom"/>
            <w:shd w:val="clear" w:color="auto" w:fill="B6DEE8"/>
          </w:tcPr>
          <w:p>
            <w:pPr>
              <w:spacing w:after="0"/>
              <w:rPr>
                <w:sz w:val="19"/>
                <w:szCs w:val="19"/>
                <w:color w:val="auto"/>
              </w:rPr>
            </w:pPr>
          </w:p>
        </w:tc>
        <w:tc>
          <w:tcPr>
            <w:tcW w:w="18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780" w:type="dxa"/>
            <w:vAlign w:val="bottom"/>
            <w:shd w:val="clear" w:color="auto" w:fill="B6DEE8"/>
          </w:tcPr>
          <w:p>
            <w:pPr>
              <w:spacing w:after="0"/>
              <w:rPr>
                <w:sz w:val="19"/>
                <w:szCs w:val="19"/>
                <w:color w:val="auto"/>
              </w:rPr>
            </w:pPr>
          </w:p>
        </w:tc>
        <w:tc>
          <w:tcPr>
            <w:tcW w:w="120" w:type="dxa"/>
            <w:vAlign w:val="bottom"/>
            <w:shd w:val="clear" w:color="auto" w:fill="B6DEE8"/>
          </w:tcPr>
          <w:p>
            <w:pPr>
              <w:spacing w:after="0"/>
              <w:rPr>
                <w:sz w:val="19"/>
                <w:szCs w:val="19"/>
                <w:color w:val="auto"/>
              </w:rPr>
            </w:pPr>
          </w:p>
        </w:tc>
        <w:tc>
          <w:tcPr>
            <w:tcW w:w="180" w:type="dxa"/>
            <w:vAlign w:val="bottom"/>
            <w:shd w:val="clear" w:color="auto" w:fill="B6DEE8"/>
          </w:tcPr>
          <w:p>
            <w:pPr>
              <w:spacing w:after="0"/>
              <w:rPr>
                <w:sz w:val="19"/>
                <w:szCs w:val="19"/>
                <w:color w:val="auto"/>
              </w:rPr>
            </w:pPr>
          </w:p>
        </w:tc>
        <w:tc>
          <w:tcPr>
            <w:tcW w:w="1100" w:type="dxa"/>
            <w:vAlign w:val="bottom"/>
            <w:shd w:val="clear" w:color="auto" w:fill="B6DEE8"/>
          </w:tcPr>
          <w:p>
            <w:pPr>
              <w:spacing w:after="0"/>
              <w:rPr>
                <w:sz w:val="19"/>
                <w:szCs w:val="19"/>
                <w:color w:val="auto"/>
              </w:rPr>
            </w:pPr>
          </w:p>
        </w:tc>
        <w:tc>
          <w:tcPr>
            <w:tcW w:w="38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340" w:type="dxa"/>
            <w:vAlign w:val="bottom"/>
            <w:shd w:val="clear" w:color="auto" w:fill="B6DEE8"/>
          </w:tcPr>
          <w:p>
            <w:pPr>
              <w:spacing w:after="0"/>
              <w:rPr>
                <w:sz w:val="19"/>
                <w:szCs w:val="19"/>
                <w:color w:val="auto"/>
              </w:rPr>
            </w:pPr>
          </w:p>
        </w:tc>
        <w:tc>
          <w:tcPr>
            <w:tcW w:w="122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r>
      <w:tr>
        <w:trPr>
          <w:trHeight w:val="247"/>
        </w:trPr>
        <w:tc>
          <w:tcPr>
            <w:tcW w:w="4080" w:type="dxa"/>
            <w:vAlign w:val="bottom"/>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0" w:type="dxa"/>
            <w:vAlign w:val="bottom"/>
            <w:shd w:val="clear" w:color="auto" w:fill="B6DEE8"/>
          </w:tcPr>
          <w:p>
            <w:pPr>
              <w:spacing w:after="0"/>
              <w:rPr>
                <w:sz w:val="21"/>
                <w:szCs w:val="21"/>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3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B6DEE8"/>
          </w:tcPr>
          <w:p>
            <w:pPr>
              <w:spacing w:after="0"/>
              <w:rPr>
                <w:sz w:val="21"/>
                <w:szCs w:val="21"/>
                <w:color w:val="auto"/>
              </w:rPr>
            </w:pPr>
          </w:p>
        </w:tc>
      </w:tr>
      <w:tr>
        <w:trPr>
          <w:trHeight w:val="239"/>
        </w:trPr>
        <w:tc>
          <w:tcPr>
            <w:tcW w:w="40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Earnout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r>
      <w:tr>
        <w:trPr>
          <w:trHeight w:val="279"/>
        </w:trPr>
        <w:tc>
          <w:tcPr>
            <w:tcW w:w="4080" w:type="dxa"/>
            <w:vAlign w:val="bottom"/>
            <w:tcBorders>
              <w:bottom w:val="single" w:sz="8" w:color="auto"/>
            </w:tcBorders>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20" w:type="dxa"/>
            <w:vAlign w:val="bottom"/>
            <w:tcBorders>
              <w:bottom w:val="single" w:sz="8" w:color="B6DEE8"/>
            </w:tcBorders>
            <w:shd w:val="clear" w:color="auto" w:fill="B6DEE8"/>
          </w:tcPr>
          <w:p>
            <w:pPr>
              <w:spacing w:after="0"/>
              <w:rPr>
                <w:sz w:val="24"/>
                <w:szCs w:val="24"/>
                <w:color w:val="auto"/>
              </w:rPr>
            </w:pPr>
          </w:p>
        </w:tc>
        <w:tc>
          <w:tcPr>
            <w:tcW w:w="340" w:type="dxa"/>
            <w:vAlign w:val="bottom"/>
            <w:tcBorders>
              <w:bottom w:val="single" w:sz="8" w:color="auto"/>
            </w:tcBorders>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B6DEE8"/>
            </w:tcBorders>
            <w:shd w:val="clear" w:color="auto" w:fill="B6DEE8"/>
          </w:tcPr>
          <w:p>
            <w:pPr>
              <w:spacing w:after="0"/>
              <w:rPr>
                <w:sz w:val="24"/>
                <w:szCs w:val="24"/>
                <w:color w:val="auto"/>
              </w:rPr>
            </w:pPr>
          </w:p>
        </w:tc>
        <w:tc>
          <w:tcPr>
            <w:tcW w:w="1280" w:type="dxa"/>
            <w:vAlign w:val="bottom"/>
            <w:tcBorders>
              <w:bottom w:val="single" w:sz="8" w:color="auto"/>
            </w:tcBorders>
            <w:gridSpan w:val="2"/>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100" w:type="dxa"/>
            <w:vAlign w:val="bottom"/>
            <w:tcBorders>
              <w:bottom w:val="single" w:sz="8" w:color="B6DEE8"/>
            </w:tcBorders>
            <w:shd w:val="clear" w:color="auto" w:fill="B6DEE8"/>
          </w:tcPr>
          <w:p>
            <w:pPr>
              <w:spacing w:after="0"/>
              <w:rPr>
                <w:sz w:val="24"/>
                <w:szCs w:val="24"/>
                <w:color w:val="auto"/>
              </w:rPr>
            </w:pPr>
          </w:p>
        </w:tc>
        <w:tc>
          <w:tcPr>
            <w:tcW w:w="500" w:type="dxa"/>
            <w:vAlign w:val="bottom"/>
            <w:tcBorders>
              <w:bottom w:val="single" w:sz="8" w:color="auto"/>
            </w:tcBorders>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tcBorders>
              <w:bottom w:val="single" w:sz="8" w:color="B6DEE8"/>
            </w:tcBorders>
            <w:shd w:val="clear" w:color="auto" w:fill="B6DEE8"/>
          </w:tcPr>
          <w:p>
            <w:pPr>
              <w:spacing w:after="0"/>
              <w:rPr>
                <w:sz w:val="24"/>
                <w:szCs w:val="24"/>
                <w:color w:val="auto"/>
              </w:rPr>
            </w:pPr>
          </w:p>
        </w:tc>
      </w:tr>
      <w:tr>
        <w:trPr>
          <w:trHeight w:val="42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Pr>
          <w:p>
            <w:pPr>
              <w:spacing w:after="0"/>
              <w:rPr>
                <w:sz w:val="24"/>
                <w:szCs w:val="24"/>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08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DEE8"/>
          </w:tcPr>
          <w:p>
            <w:pPr>
              <w:spacing w:after="0"/>
              <w:rPr>
                <w:sz w:val="20"/>
                <w:szCs w:val="20"/>
                <w:color w:val="auto"/>
              </w:rPr>
            </w:pPr>
          </w:p>
        </w:tc>
        <w:tc>
          <w:tcPr>
            <w:tcW w:w="900" w:type="dxa"/>
            <w:vAlign w:val="bottom"/>
            <w:shd w:val="clear" w:color="auto" w:fill="B6DEE8"/>
          </w:tcPr>
          <w:p>
            <w:pPr>
              <w:spacing w:after="0"/>
              <w:rPr>
                <w:sz w:val="20"/>
                <w:szCs w:val="20"/>
                <w:color w:val="auto"/>
              </w:rPr>
            </w:pPr>
          </w:p>
        </w:tc>
        <w:tc>
          <w:tcPr>
            <w:tcW w:w="120" w:type="dxa"/>
            <w:vAlign w:val="bottom"/>
            <w:shd w:val="clear" w:color="auto" w:fill="B6DEE8"/>
          </w:tcPr>
          <w:p>
            <w:pPr>
              <w:spacing w:after="0"/>
              <w:rPr>
                <w:sz w:val="20"/>
                <w:szCs w:val="20"/>
                <w:color w:val="auto"/>
              </w:rPr>
            </w:pPr>
          </w:p>
        </w:tc>
        <w:tc>
          <w:tcPr>
            <w:tcW w:w="18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780" w:type="dxa"/>
            <w:vAlign w:val="bottom"/>
            <w:shd w:val="clear" w:color="auto" w:fill="B6DEE8"/>
          </w:tcPr>
          <w:p>
            <w:pPr>
              <w:spacing w:after="0"/>
              <w:rPr>
                <w:sz w:val="20"/>
                <w:szCs w:val="20"/>
                <w:color w:val="auto"/>
              </w:rPr>
            </w:pPr>
          </w:p>
        </w:tc>
        <w:tc>
          <w:tcPr>
            <w:tcW w:w="120" w:type="dxa"/>
            <w:vAlign w:val="bottom"/>
            <w:shd w:val="clear" w:color="auto" w:fill="B6DEE8"/>
          </w:tcPr>
          <w:p>
            <w:pPr>
              <w:spacing w:after="0"/>
              <w:rPr>
                <w:sz w:val="20"/>
                <w:szCs w:val="20"/>
                <w:color w:val="auto"/>
              </w:rPr>
            </w:pPr>
          </w:p>
        </w:tc>
        <w:tc>
          <w:tcPr>
            <w:tcW w:w="180" w:type="dxa"/>
            <w:vAlign w:val="bottom"/>
            <w:shd w:val="clear" w:color="auto" w:fill="B6DEE8"/>
          </w:tcPr>
          <w:p>
            <w:pPr>
              <w:spacing w:after="0"/>
              <w:rPr>
                <w:sz w:val="20"/>
                <w:szCs w:val="20"/>
                <w:color w:val="auto"/>
              </w:rPr>
            </w:pPr>
          </w:p>
        </w:tc>
        <w:tc>
          <w:tcPr>
            <w:tcW w:w="1100" w:type="dxa"/>
            <w:vAlign w:val="bottom"/>
            <w:shd w:val="clear" w:color="auto" w:fill="B6DEE8"/>
          </w:tcPr>
          <w:p>
            <w:pPr>
              <w:spacing w:after="0"/>
              <w:rPr>
                <w:sz w:val="20"/>
                <w:szCs w:val="20"/>
                <w:color w:val="auto"/>
              </w:rPr>
            </w:pPr>
          </w:p>
        </w:tc>
        <w:tc>
          <w:tcPr>
            <w:tcW w:w="38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340" w:type="dxa"/>
            <w:vAlign w:val="bottom"/>
            <w:shd w:val="clear" w:color="auto" w:fill="B6DEE8"/>
          </w:tcPr>
          <w:p>
            <w:pPr>
              <w:spacing w:after="0"/>
              <w:rPr>
                <w:sz w:val="20"/>
                <w:szCs w:val="20"/>
                <w:color w:val="auto"/>
              </w:rPr>
            </w:pPr>
          </w:p>
        </w:tc>
        <w:tc>
          <w:tcPr>
            <w:tcW w:w="122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r>
      <w:tr>
        <w:trPr>
          <w:trHeight w:val="239"/>
        </w:trPr>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0"/>
                <w:szCs w:val="20"/>
                <w:color w:val="auto"/>
              </w:rPr>
            </w:pPr>
          </w:p>
        </w:tc>
      </w:tr>
      <w:tr>
        <w:trPr>
          <w:trHeight w:val="243"/>
        </w:trPr>
        <w:tc>
          <w:tcPr>
            <w:tcW w:w="4080" w:type="dxa"/>
            <w:vAlign w:val="bottom"/>
            <w:tcBorders>
              <w:bottom w:val="single" w:sz="8" w:color="auto"/>
            </w:tcBorders>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Borders>
              <w:bottom w:val="single" w:sz="8" w:color="auto"/>
            </w:tcBorders>
            <w:shd w:val="clear" w:color="auto" w:fill="B6DEE8"/>
          </w:tcPr>
          <w:p>
            <w:pPr>
              <w:spacing w:after="0"/>
              <w:rPr>
                <w:sz w:val="21"/>
                <w:szCs w:val="21"/>
                <w:color w:val="auto"/>
              </w:rPr>
            </w:pPr>
          </w:p>
        </w:tc>
        <w:tc>
          <w:tcPr>
            <w:tcW w:w="9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DEE8"/>
            </w:tcBorders>
            <w:shd w:val="clear" w:color="auto" w:fill="B6DEE8"/>
          </w:tcPr>
          <w:p>
            <w:pPr>
              <w:spacing w:after="0"/>
              <w:rPr>
                <w:sz w:val="21"/>
                <w:szCs w:val="21"/>
                <w:color w:val="auto"/>
              </w:rPr>
            </w:pPr>
          </w:p>
        </w:tc>
        <w:tc>
          <w:tcPr>
            <w:tcW w:w="180" w:type="dxa"/>
            <w:vAlign w:val="bottom"/>
            <w:tcBorders>
              <w:bottom w:val="single" w:sz="8" w:color="auto"/>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7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113,226</w:t>
            </w:r>
          </w:p>
        </w:tc>
        <w:tc>
          <w:tcPr>
            <w:tcW w:w="120" w:type="dxa"/>
            <w:vAlign w:val="bottom"/>
            <w:tcBorders>
              <w:bottom w:val="single" w:sz="8" w:color="B6DEE8"/>
            </w:tcBorders>
            <w:shd w:val="clear" w:color="auto" w:fill="B6DEE8"/>
          </w:tcPr>
          <w:p>
            <w:pPr>
              <w:spacing w:after="0"/>
              <w:rPr>
                <w:sz w:val="21"/>
                <w:szCs w:val="21"/>
                <w:color w:val="auto"/>
              </w:rPr>
            </w:pPr>
          </w:p>
        </w:tc>
        <w:tc>
          <w:tcPr>
            <w:tcW w:w="180" w:type="dxa"/>
            <w:vAlign w:val="bottom"/>
            <w:tcBorders>
              <w:bottom w:val="single" w:sz="8" w:color="auto"/>
            </w:tcBorders>
            <w:shd w:val="clear" w:color="auto" w:fill="B6DEE8"/>
          </w:tcPr>
          <w:p>
            <w:pPr>
              <w:spacing w:after="0"/>
              <w:rPr>
                <w:sz w:val="21"/>
                <w:szCs w:val="21"/>
                <w:color w:val="auto"/>
              </w:rPr>
            </w:pPr>
          </w:p>
        </w:tc>
        <w:tc>
          <w:tcPr>
            <w:tcW w:w="1100" w:type="dxa"/>
            <w:vAlign w:val="bottom"/>
            <w:tcBorders>
              <w:bottom w:val="single" w:sz="8" w:color="auto"/>
            </w:tcBorders>
            <w:shd w:val="clear" w:color="auto" w:fill="B6DEE8"/>
          </w:tcPr>
          <w:p>
            <w:pPr>
              <w:spacing w:after="0"/>
              <w:rPr>
                <w:sz w:val="21"/>
                <w:szCs w:val="21"/>
                <w:color w:val="auto"/>
              </w:rPr>
            </w:pPr>
          </w:p>
        </w:tc>
        <w:tc>
          <w:tcPr>
            <w:tcW w:w="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B6DEE8"/>
            </w:tcBorders>
            <w:shd w:val="clear" w:color="auto" w:fill="B6DEE8"/>
          </w:tcPr>
          <w:p>
            <w:pPr>
              <w:spacing w:after="0"/>
              <w:rPr>
                <w:sz w:val="21"/>
                <w:szCs w:val="21"/>
                <w:color w:val="auto"/>
              </w:rPr>
            </w:pPr>
          </w:p>
        </w:tc>
        <w:tc>
          <w:tcPr>
            <w:tcW w:w="160" w:type="dxa"/>
            <w:vAlign w:val="bottom"/>
            <w:tcBorders>
              <w:bottom w:val="single" w:sz="8" w:color="auto"/>
            </w:tcBorders>
            <w:shd w:val="clear" w:color="auto" w:fill="B6DEE8"/>
          </w:tcPr>
          <w:p>
            <w:pPr>
              <w:spacing w:after="0"/>
              <w:rPr>
                <w:sz w:val="21"/>
                <w:szCs w:val="21"/>
                <w:color w:val="auto"/>
              </w:rPr>
            </w:pPr>
          </w:p>
        </w:tc>
        <w:tc>
          <w:tcPr>
            <w:tcW w:w="340" w:type="dxa"/>
            <w:vAlign w:val="bottom"/>
            <w:tcBorders>
              <w:bottom w:val="single" w:sz="8" w:color="auto"/>
            </w:tcBorders>
            <w:shd w:val="clear" w:color="auto" w:fill="B6DEE8"/>
          </w:tcPr>
          <w:p>
            <w:pPr>
              <w:spacing w:after="0"/>
              <w:rPr>
                <w:sz w:val="21"/>
                <w:szCs w:val="21"/>
                <w:color w:val="auto"/>
              </w:rPr>
            </w:pP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113,226</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8"/>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952</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113,226</w:t>
            </w:r>
          </w:p>
        </w:tc>
        <w:tc>
          <w:tcPr>
            <w:tcW w:w="1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114,178</w:t>
            </w:r>
          </w:p>
        </w:tc>
        <w:tc>
          <w:tcPr>
            <w:tcW w:w="100" w:type="dxa"/>
            <w:vAlign w:val="bottom"/>
          </w:tcPr>
          <w:p>
            <w:pPr>
              <w:spacing w:after="0"/>
              <w:rPr>
                <w:sz w:val="20"/>
                <w:szCs w:val="20"/>
                <w:color w:val="auto"/>
              </w:rPr>
            </w:pPr>
          </w:p>
        </w:tc>
      </w:tr>
      <w:tr>
        <w:trPr>
          <w:trHeight w:val="20"/>
        </w:trPr>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080" w:type="dxa"/>
            <w:vAlign w:val="bottom"/>
            <w:gridSpan w:val="3"/>
            <w:shd w:val="clear" w:color="auto" w:fill="B6DEE8"/>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B6DEE8"/>
          </w:tcPr>
          <w:p>
            <w:pPr>
              <w:spacing w:after="0"/>
              <w:rPr>
                <w:sz w:val="19"/>
                <w:szCs w:val="19"/>
                <w:color w:val="auto"/>
              </w:rPr>
            </w:pPr>
          </w:p>
        </w:tc>
        <w:tc>
          <w:tcPr>
            <w:tcW w:w="900" w:type="dxa"/>
            <w:vAlign w:val="bottom"/>
            <w:shd w:val="clear" w:color="auto" w:fill="B6DEE8"/>
          </w:tcPr>
          <w:p>
            <w:pPr>
              <w:spacing w:after="0"/>
              <w:rPr>
                <w:sz w:val="19"/>
                <w:szCs w:val="19"/>
                <w:color w:val="auto"/>
              </w:rPr>
            </w:pPr>
          </w:p>
        </w:tc>
        <w:tc>
          <w:tcPr>
            <w:tcW w:w="120" w:type="dxa"/>
            <w:vAlign w:val="bottom"/>
            <w:shd w:val="clear" w:color="auto" w:fill="B6DEE8"/>
          </w:tcPr>
          <w:p>
            <w:pPr>
              <w:spacing w:after="0"/>
              <w:rPr>
                <w:sz w:val="19"/>
                <w:szCs w:val="19"/>
                <w:color w:val="auto"/>
              </w:rPr>
            </w:pPr>
          </w:p>
        </w:tc>
        <w:tc>
          <w:tcPr>
            <w:tcW w:w="18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780" w:type="dxa"/>
            <w:vAlign w:val="bottom"/>
            <w:shd w:val="clear" w:color="auto" w:fill="B6DEE8"/>
          </w:tcPr>
          <w:p>
            <w:pPr>
              <w:spacing w:after="0"/>
              <w:rPr>
                <w:sz w:val="19"/>
                <w:szCs w:val="19"/>
                <w:color w:val="auto"/>
              </w:rPr>
            </w:pPr>
          </w:p>
        </w:tc>
        <w:tc>
          <w:tcPr>
            <w:tcW w:w="120" w:type="dxa"/>
            <w:vAlign w:val="bottom"/>
            <w:shd w:val="clear" w:color="auto" w:fill="B6DEE8"/>
          </w:tcPr>
          <w:p>
            <w:pPr>
              <w:spacing w:after="0"/>
              <w:rPr>
                <w:sz w:val="19"/>
                <w:szCs w:val="19"/>
                <w:color w:val="auto"/>
              </w:rPr>
            </w:pPr>
          </w:p>
        </w:tc>
        <w:tc>
          <w:tcPr>
            <w:tcW w:w="180" w:type="dxa"/>
            <w:vAlign w:val="bottom"/>
            <w:shd w:val="clear" w:color="auto" w:fill="B6DEE8"/>
          </w:tcPr>
          <w:p>
            <w:pPr>
              <w:spacing w:after="0"/>
              <w:rPr>
                <w:sz w:val="19"/>
                <w:szCs w:val="19"/>
                <w:color w:val="auto"/>
              </w:rPr>
            </w:pPr>
          </w:p>
        </w:tc>
        <w:tc>
          <w:tcPr>
            <w:tcW w:w="1100" w:type="dxa"/>
            <w:vAlign w:val="bottom"/>
            <w:shd w:val="clear" w:color="auto" w:fill="B6DEE8"/>
          </w:tcPr>
          <w:p>
            <w:pPr>
              <w:spacing w:after="0"/>
              <w:rPr>
                <w:sz w:val="19"/>
                <w:szCs w:val="19"/>
                <w:color w:val="auto"/>
              </w:rPr>
            </w:pPr>
          </w:p>
        </w:tc>
        <w:tc>
          <w:tcPr>
            <w:tcW w:w="38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c>
          <w:tcPr>
            <w:tcW w:w="160" w:type="dxa"/>
            <w:vAlign w:val="bottom"/>
            <w:shd w:val="clear" w:color="auto" w:fill="B6DEE8"/>
          </w:tcPr>
          <w:p>
            <w:pPr>
              <w:spacing w:after="0"/>
              <w:rPr>
                <w:sz w:val="19"/>
                <w:szCs w:val="19"/>
                <w:color w:val="auto"/>
              </w:rPr>
            </w:pPr>
          </w:p>
        </w:tc>
        <w:tc>
          <w:tcPr>
            <w:tcW w:w="340" w:type="dxa"/>
            <w:vAlign w:val="bottom"/>
            <w:shd w:val="clear" w:color="auto" w:fill="B6DEE8"/>
          </w:tcPr>
          <w:p>
            <w:pPr>
              <w:spacing w:after="0"/>
              <w:rPr>
                <w:sz w:val="19"/>
                <w:szCs w:val="19"/>
                <w:color w:val="auto"/>
              </w:rPr>
            </w:pPr>
          </w:p>
        </w:tc>
        <w:tc>
          <w:tcPr>
            <w:tcW w:w="1220" w:type="dxa"/>
            <w:vAlign w:val="bottom"/>
            <w:shd w:val="clear" w:color="auto" w:fill="B6DEE8"/>
          </w:tcPr>
          <w:p>
            <w:pPr>
              <w:spacing w:after="0"/>
              <w:rPr>
                <w:sz w:val="19"/>
                <w:szCs w:val="19"/>
                <w:color w:val="auto"/>
              </w:rPr>
            </w:pPr>
          </w:p>
        </w:tc>
        <w:tc>
          <w:tcPr>
            <w:tcW w:w="100" w:type="dxa"/>
            <w:vAlign w:val="bottom"/>
            <w:shd w:val="clear" w:color="auto" w:fill="B6DEE8"/>
          </w:tcPr>
          <w:p>
            <w:pPr>
              <w:spacing w:after="0"/>
              <w:rPr>
                <w:sz w:val="19"/>
                <w:szCs w:val="19"/>
                <w:color w:val="auto"/>
              </w:rPr>
            </w:pPr>
          </w:p>
        </w:tc>
      </w:tr>
      <w:tr>
        <w:trPr>
          <w:trHeight w:val="239"/>
        </w:trPr>
        <w:tc>
          <w:tcPr>
            <w:tcW w:w="4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Warrant liabilities - public warrants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r>
      <w:tr>
        <w:trPr>
          <w:trHeight w:val="247"/>
        </w:trPr>
        <w:tc>
          <w:tcPr>
            <w:tcW w:w="4080" w:type="dxa"/>
            <w:vAlign w:val="bottom"/>
            <w:gridSpan w:val="3"/>
            <w:shd w:val="clear" w:color="auto" w:fill="B6DEE8"/>
          </w:tcPr>
          <w:p>
            <w:pPr>
              <w:ind w:left="14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80" w:type="dxa"/>
            <w:vAlign w:val="bottom"/>
            <w:shd w:val="clear" w:color="auto" w:fill="B6DEE8"/>
          </w:tcPr>
          <w:p>
            <w:pPr>
              <w:spacing w:after="0"/>
              <w:rPr>
                <w:sz w:val="21"/>
                <w:szCs w:val="21"/>
                <w:color w:val="auto"/>
              </w:rPr>
            </w:pPr>
          </w:p>
        </w:tc>
        <w:tc>
          <w:tcPr>
            <w:tcW w:w="90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7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DEE8"/>
          </w:tcPr>
          <w:p>
            <w:pPr>
              <w:spacing w:after="0"/>
              <w:rPr>
                <w:sz w:val="21"/>
                <w:szCs w:val="21"/>
                <w:color w:val="auto"/>
              </w:rPr>
            </w:pPr>
          </w:p>
        </w:tc>
        <w:tc>
          <w:tcPr>
            <w:tcW w:w="18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3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B6DEE8"/>
          </w:tcPr>
          <w:p>
            <w:pPr>
              <w:spacing w:after="0"/>
              <w:rPr>
                <w:sz w:val="21"/>
                <w:szCs w:val="21"/>
                <w:color w:val="auto"/>
              </w:rPr>
            </w:pPr>
          </w:p>
        </w:tc>
        <w:tc>
          <w:tcPr>
            <w:tcW w:w="160" w:type="dxa"/>
            <w:vAlign w:val="bottom"/>
            <w:shd w:val="clear" w:color="auto" w:fill="B6DEE8"/>
          </w:tcPr>
          <w:p>
            <w:pPr>
              <w:spacing w:after="0"/>
              <w:rPr>
                <w:sz w:val="21"/>
                <w:szCs w:val="21"/>
                <w:color w:val="auto"/>
              </w:rPr>
            </w:pPr>
          </w:p>
        </w:tc>
        <w:tc>
          <w:tcPr>
            <w:tcW w:w="340" w:type="dxa"/>
            <w:vAlign w:val="bottom"/>
            <w:shd w:val="clear" w:color="auto" w:fill="B6DEE8"/>
          </w:tcPr>
          <w:p>
            <w:pPr>
              <w:spacing w:after="0"/>
              <w:rPr>
                <w:sz w:val="21"/>
                <w:szCs w:val="21"/>
                <w:color w:val="auto"/>
              </w:rPr>
            </w:pPr>
          </w:p>
        </w:tc>
        <w:tc>
          <w:tcPr>
            <w:tcW w:w="12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B6DEE8"/>
          </w:tcPr>
          <w:p>
            <w:pPr>
              <w:spacing w:after="0"/>
              <w:rPr>
                <w:sz w:val="21"/>
                <w:szCs w:val="21"/>
                <w:color w:val="auto"/>
              </w:rPr>
            </w:pPr>
          </w:p>
        </w:tc>
      </w:tr>
      <w:tr>
        <w:trPr>
          <w:trHeight w:val="239"/>
        </w:trPr>
        <w:tc>
          <w:tcPr>
            <w:tcW w:w="40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Earnout liabilities</w:t>
            </w: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r>
        <w:trPr>
          <w:trHeight w:val="278"/>
        </w:trPr>
        <w:tc>
          <w:tcPr>
            <w:tcW w:w="4080" w:type="dxa"/>
            <w:vAlign w:val="bottom"/>
            <w:tcBorders>
              <w:bottom w:val="single" w:sz="8" w:color="auto"/>
            </w:tcBorders>
            <w:gridSpan w:val="3"/>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20" w:type="dxa"/>
            <w:vAlign w:val="bottom"/>
            <w:tcBorders>
              <w:bottom w:val="single" w:sz="8" w:color="B6DEE8"/>
            </w:tcBorders>
            <w:shd w:val="clear" w:color="auto" w:fill="B6DEE8"/>
          </w:tcPr>
          <w:p>
            <w:pPr>
              <w:spacing w:after="0"/>
              <w:rPr>
                <w:sz w:val="24"/>
                <w:szCs w:val="24"/>
                <w:color w:val="auto"/>
              </w:rPr>
            </w:pPr>
          </w:p>
        </w:tc>
        <w:tc>
          <w:tcPr>
            <w:tcW w:w="340" w:type="dxa"/>
            <w:vAlign w:val="bottom"/>
            <w:tcBorders>
              <w:bottom w:val="single" w:sz="8" w:color="auto"/>
            </w:tcBorders>
            <w:gridSpan w:val="2"/>
            <w:shd w:val="clear" w:color="auto" w:fill="B6DEE8"/>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B6DEE8"/>
            </w:tcBorders>
            <w:shd w:val="clear" w:color="auto" w:fill="B6DEE8"/>
          </w:tcPr>
          <w:p>
            <w:pPr>
              <w:spacing w:after="0"/>
              <w:rPr>
                <w:sz w:val="24"/>
                <w:szCs w:val="24"/>
                <w:color w:val="auto"/>
              </w:rPr>
            </w:pPr>
          </w:p>
        </w:tc>
        <w:tc>
          <w:tcPr>
            <w:tcW w:w="1280" w:type="dxa"/>
            <w:vAlign w:val="bottom"/>
            <w:tcBorders>
              <w:bottom w:val="single" w:sz="8" w:color="auto"/>
            </w:tcBorders>
            <w:gridSpan w:val="2"/>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Borders>
              <w:bottom w:val="single" w:sz="8" w:color="B6DEE8"/>
            </w:tcBorders>
            <w:shd w:val="clear" w:color="auto" w:fill="B6DEE8"/>
          </w:tcPr>
          <w:p>
            <w:pPr>
              <w:spacing w:after="0"/>
              <w:rPr>
                <w:sz w:val="24"/>
                <w:szCs w:val="24"/>
                <w:color w:val="auto"/>
              </w:rPr>
            </w:pPr>
          </w:p>
        </w:tc>
        <w:tc>
          <w:tcPr>
            <w:tcW w:w="500" w:type="dxa"/>
            <w:vAlign w:val="bottom"/>
            <w:tcBorders>
              <w:bottom w:val="single" w:sz="8" w:color="auto"/>
            </w:tcBorders>
            <w:gridSpan w:val="2"/>
            <w:shd w:val="clear" w:color="auto" w:fill="B6DEE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-2767965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-2767965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-2767965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-2767965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-1799590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-1782445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-1799590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-1782445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-1799590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-1782445</wp:posOffset>
            </wp:positionV>
            <wp:extent cx="603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-1799590</wp:posOffset>
            </wp:positionV>
            <wp:extent cx="603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-1782445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-993775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-993775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-993775</wp:posOffset>
            </wp:positionV>
            <wp:extent cx="603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-993775</wp:posOffset>
            </wp:positionV>
            <wp:extent cx="603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03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assets or liabilities measured at fair value on a non-recurring basis as of September 30, 2024 and December 31, 2023.</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financial instruments not measured at fair value. The Company has evaluated cash (Level 1), restricted cash (Level 1), accounts payable (Level 2), accrued expenses (Level 2) and ExtraCash receivables (Level 3) and believes the carrying value approximates the fair value due to the short-term nature of these balances. The fair value of the debt facility (Level 2) approximates its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the valuation techniques used by the Company to measure the fair value of investments held as of September 30,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Securities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Bonds and Notes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0"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Asset-Backed Securities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loss related to the change in fair value of the public warrant liability for the three and nine months ended September 30, 2024 was $0.1 million and $0.2 million, respectively, which is presented within changes in fair value of public warrant liability in the condensed consolidated statements of operations.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1 public warrant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58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1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60" w:type="dxa"/>
            <w:vAlign w:val="bottom"/>
            <w:tcBorders>
              <w:bottom w:val="single" w:sz="8" w:color="auto"/>
            </w:tcBorders>
            <w:shd w:val="clear" w:color="auto" w:fill="B6DEE8"/>
          </w:tcPr>
          <w:p>
            <w:pPr>
              <w:spacing w:after="0"/>
              <w:rPr>
                <w:sz w:val="21"/>
                <w:szCs w:val="21"/>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September 30, 2024</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11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discussed further in Note 9, Warrant Liabilities, in January 2022, upon completion of the Business Combination, private warrants were automatically converted to warrants to purchase Class A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condensed consolidated statement of operations. The derivative liability was subsequently recorded at fair value at each reporting period, with changes in fair value reflected in earnings. The loss related to the change in fair value of the private warrant liability for the three and nine months ended September 30, 2024 was $0.1 million and $0.2 million, respectively, which is presented within changes in fair value of private warrant liabilities in the condensed consolidated 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private warrant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9"/>
        </w:trPr>
        <w:tc>
          <w:tcPr>
            <w:tcW w:w="58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1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60" w:type="dxa"/>
            <w:vAlign w:val="bottom"/>
            <w:tcBorders>
              <w:bottom w:val="single" w:sz="8" w:color="auto"/>
            </w:tcBorders>
            <w:shd w:val="clear" w:color="auto" w:fill="B6DEE8"/>
          </w:tcPr>
          <w:p>
            <w:pPr>
              <w:spacing w:after="0"/>
              <w:rPr>
                <w:sz w:val="21"/>
                <w:szCs w:val="21"/>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September 30, 2024</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1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used a Black-Scholes option pricing model to determine the fair value of the private warrant liability. The following table presents the assumptions used to value the private warrant liability for the three months ended September 30, 2024:</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20"/>
                <w:szCs w:val="20"/>
                <w:color w:val="auto"/>
              </w:rPr>
            </w:pP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79.9 %</w:t>
            </w:r>
          </w:p>
        </w:tc>
      </w:tr>
      <w:tr>
        <w:trPr>
          <w:trHeight w:val="24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56"/>
        </w:trPr>
        <w:tc>
          <w:tcPr>
            <w:tcW w:w="48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3880" w:type="dxa"/>
            <w:vAlign w:val="bottom"/>
            <w:shd w:val="clear" w:color="auto" w:fill="B7DEE8"/>
          </w:tcPr>
          <w:p>
            <w:pPr>
              <w:spacing w:after="0"/>
              <w:rPr>
                <w:sz w:val="22"/>
                <w:szCs w:val="22"/>
                <w:color w:val="auto"/>
              </w:rPr>
            </w:pPr>
          </w:p>
        </w:tc>
        <w:tc>
          <w:tcPr>
            <w:tcW w:w="138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2.26 years</w:t>
            </w:r>
          </w:p>
        </w:tc>
        <w:tc>
          <w:tcPr>
            <w:tcW w:w="60" w:type="dxa"/>
            <w:vAlign w:val="bottom"/>
          </w:tcPr>
          <w:p>
            <w:pPr>
              <w:spacing w:after="0"/>
              <w:rPr>
                <w:sz w:val="22"/>
                <w:szCs w:val="22"/>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88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-610870</wp:posOffset>
            </wp:positionV>
            <wp:extent cx="641223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Liability:</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the reverse recapitalization, 49,563 shares of Class A Common Stock held by founders of VPCC are subject to forfeiture if the vesting condition is not met over the five year term following the closing date of the Business Combination (“Founder Holder Earnout Shares”). These Founder Holder Earnout Shares were initially recorded as a liability at fair value and subsequently recorded at fair value at each reporting period, with changes in fair value reflected in earnings. The (gain)/loss related to the change in fair value of the Founder Holder Earnout Shares liabilities for the three and nine months ended September 30, 2024 was $(0.02) million and $0.1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million, respectively, which are presented within changes in fair value of earnout liabilities in the condensed consolidated statements of operations.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roll-forward of the Level 3 Founder Holder Earnout Shares liability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93"/>
        </w:trPr>
        <w:tc>
          <w:tcPr>
            <w:tcW w:w="58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Opening value at January 1, 2024</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4"/>
                <w:szCs w:val="24"/>
                <w:color w:val="auto"/>
              </w:rPr>
            </w:pPr>
          </w:p>
        </w:tc>
      </w:tr>
      <w:tr>
        <w:trPr>
          <w:trHeight w:val="250"/>
        </w:trPr>
        <w:tc>
          <w:tcPr>
            <w:tcW w:w="580" w:type="dxa"/>
            <w:vAlign w:val="bottom"/>
          </w:tcPr>
          <w:p>
            <w:pPr>
              <w:spacing w:after="0"/>
              <w:rPr>
                <w:sz w:val="21"/>
                <w:szCs w:val="21"/>
                <w:color w:val="auto"/>
              </w:rPr>
            </w:pPr>
          </w:p>
        </w:tc>
        <w:tc>
          <w:tcPr>
            <w:tcW w:w="8100" w:type="dxa"/>
            <w:vAlign w:val="bottom"/>
            <w:tcBorders>
              <w:bottom w:val="single" w:sz="8" w:color="B6DEE8"/>
            </w:tcBorders>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60" w:type="dxa"/>
            <w:vAlign w:val="bottom"/>
            <w:tcBorders>
              <w:bottom w:val="single" w:sz="8" w:color="auto"/>
            </w:tcBorders>
            <w:shd w:val="clear" w:color="auto" w:fill="B6DEE8"/>
          </w:tcPr>
          <w:p>
            <w:pPr>
              <w:spacing w:after="0"/>
              <w:rPr>
                <w:sz w:val="21"/>
                <w:szCs w:val="21"/>
                <w:color w:val="auto"/>
              </w:rPr>
            </w:pPr>
          </w:p>
        </w:tc>
        <w:tc>
          <w:tcPr>
            <w:tcW w:w="104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B6DEE8"/>
            </w:tcBorders>
            <w:shd w:val="clear" w:color="auto" w:fill="B6DEE8"/>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value at September 30, 2024</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10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used a Monte Carlo Simulation Method to determine the fair value of the Founder Holder Earnout Shares liability. The following table presents the assumptions used to value the Founder Holder Earnout Shares liability for the three months ended September 30, 2024:</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38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720" w:type="dxa"/>
            <w:vAlign w:val="bottom"/>
            <w:shd w:val="clear" w:color="auto" w:fill="B7DEE8"/>
          </w:tcPr>
          <w:p>
            <w:pPr>
              <w:jc w:val="right"/>
              <w:ind w:right="30"/>
              <w:spacing w:after="0"/>
              <w:rPr>
                <w:sz w:val="20"/>
                <w:szCs w:val="20"/>
                <w:color w:val="auto"/>
              </w:rPr>
            </w:pPr>
            <w:r>
              <w:rPr>
                <w:rFonts w:ascii="Times New Roman" w:cs="Times New Roman" w:eastAsia="Times New Roman" w:hAnsi="Times New Roman"/>
                <w:sz w:val="18"/>
                <w:szCs w:val="18"/>
                <w:color w:val="auto"/>
              </w:rPr>
              <w:t>$400-$480</w:t>
            </w:r>
          </w:p>
        </w:tc>
        <w:tc>
          <w:tcPr>
            <w:tcW w:w="60" w:type="dxa"/>
            <w:vAlign w:val="bottom"/>
          </w:tcPr>
          <w:p>
            <w:pPr>
              <w:spacing w:after="0"/>
              <w:rPr>
                <w:sz w:val="21"/>
                <w:szCs w:val="2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72.1 %</w:t>
            </w: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2.26 years</w:t>
            </w:r>
          </w:p>
        </w:tc>
      </w:tr>
      <w:tr>
        <w:trPr>
          <w:trHeight w:val="24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other assets or liabilities that were required to be measured at fair value on a recurring basis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no shares of preferred stock were outstanding, and the Company has no present plans to issue any shares of preferred stock.</w:t>
      </w:r>
    </w:p>
    <w:p>
      <w:pPr>
        <w:spacing w:after="0" w:line="2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and Class V Common Stock</w:t>
      </w:r>
    </w:p>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Board of Directors has authorized two classes of common stock, Class A Common Stock and Class V Common Stock. The Company had authorized 500,000,000 and 100,000,000 shares of Class A Common Stock and Class V Common Stock, respectively. Shares of Class V Common Stock have 10 votes per share, while shares of Class A Common Stock have one vote per share. The holders of shares of Class A Common Stock and Class V Common Stock will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 As of September 30, 2024, the Company had 11,242,338 and 1,514,082 shares of Class A Common Stock and Class V Common Stock issued, respectively. As of September 30, 2024, the Company had 11,192,775 and 1,514,082 shares of Class A Common Stock and Class V Common Stock outstanding,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ind w:right="100"/>
        <w:spacing w:after="0" w:line="282" w:lineRule="auto"/>
        <w:rPr>
          <w:sz w:val="20"/>
          <w:szCs w:val="20"/>
          <w:color w:val="auto"/>
        </w:rPr>
      </w:pPr>
      <w:r>
        <w:rPr>
          <w:rFonts w:ascii="Times New Roman" w:cs="Times New Roman" w:eastAsia="Times New Roman" w:hAnsi="Times New Roman"/>
          <w:sz w:val="18"/>
          <w:szCs w:val="18"/>
          <w:color w:val="auto"/>
        </w:rPr>
        <w:t>was terminated and replaced by the 2021 Plan. The maximum term of stock options granted under the 2021 Plan is 10 years and the awards generally vest over a four-year period.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recognized $13.4 million and $27.2 million of stock-based compensation expense arising from stock option, restricted stock unit grants and performance-based restricted stock unit grants which is recorded as a component of compensation and benefits in the condensed consolidated statements of operations for the three and nine months ended September 30, 2024, respectively. The Company recognized $6.7 million and $20.1 million of stock based compensation expense arising from stock option and restricted stock unit grants for the three and nine months ended September 30, 2023, respectively.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p>
    <w:p>
      <w:pPr>
        <w:spacing w:after="0" w:line="160"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of time that options are expected to be outstanding. As the Company does not have sufficient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exercise behavior, it determines the expected life assumption using the simplified method, which is an average of the contractual term of the option and its vesting period.</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Risk free interest rate</w:t>
      </w:r>
      <w:r>
        <w:rPr>
          <w:rFonts w:ascii="Times New Roman" w:cs="Times New Roman" w:eastAsia="Times New Roman" w:hAnsi="Times New Roman"/>
          <w:sz w:val="18"/>
          <w:szCs w:val="18"/>
          <w:color w:val="auto"/>
        </w:rPr>
        <w:t>—The risk-free interest rate is based on the implied yield available on U.S. Treasury issues with an equivalent term approximating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life of the options depending on the date of the grant and expected life of the options.</w:t>
      </w:r>
    </w:p>
    <w:p>
      <w:pPr>
        <w:spacing w:after="0" w:line="158"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—The Company bases the expected dividend yield assumption on the fact that it has never paid cash dividends and has no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intention to pay cash dividends.</w:t>
      </w:r>
    </w:p>
    <w:p>
      <w:pPr>
        <w:spacing w:after="0" w:line="15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the Company’s limited operating history and lack of company-specific historical or implied volatility,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stock options is summarized as follows:</w:t>
      </w:r>
    </w:p>
    <w:p>
      <w:pPr>
        <w:spacing w:after="0" w:line="200" w:lineRule="exact"/>
        <w:rPr>
          <w:sz w:val="20"/>
          <w:szCs w:val="20"/>
          <w:color w:val="auto"/>
        </w:rPr>
      </w:pP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4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45"/>
        </w:trPr>
        <w:tc>
          <w:tcPr>
            <w:tcW w:w="4040" w:type="dxa"/>
            <w:vAlign w:val="bottom"/>
          </w:tcPr>
          <w:p>
            <w:pPr>
              <w:spacing w:after="0"/>
              <w:rPr>
                <w:sz w:val="21"/>
                <w:szCs w:val="21"/>
                <w:color w:val="auto"/>
              </w:rPr>
            </w:pPr>
          </w:p>
        </w:tc>
        <w:tc>
          <w:tcPr>
            <w:tcW w:w="16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220" w:type="dxa"/>
            <w:vAlign w:val="bottom"/>
          </w:tcPr>
          <w:p>
            <w:pPr>
              <w:spacing w:after="0"/>
              <w:rPr>
                <w:sz w:val="21"/>
                <w:szCs w:val="21"/>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1"/>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outstanding, January 1, 2024</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766,829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0" w:type="dxa"/>
            <w:vAlign w:val="bottom"/>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20"/>
                <w:szCs w:val="20"/>
                <w:color w:val="auto"/>
              </w:rPr>
            </w:pPr>
          </w:p>
        </w:tc>
      </w:tr>
      <w:tr>
        <w:trPr>
          <w:trHeight w:val="245"/>
        </w:trPr>
        <w:tc>
          <w:tcPr>
            <w:tcW w:w="4040" w:type="dxa"/>
            <w:vAlign w:val="bottom"/>
            <w:shd w:val="clear" w:color="auto" w:fill="B7DEE8"/>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7DEE8"/>
          </w:tcPr>
          <w:p>
            <w:pPr>
              <w:spacing w:after="0"/>
              <w:rPr>
                <w:sz w:val="21"/>
                <w:szCs w:val="21"/>
                <w:color w:val="auto"/>
              </w:rPr>
            </w:pPr>
          </w:p>
        </w:tc>
        <w:tc>
          <w:tcPr>
            <w:tcW w:w="200" w:type="dxa"/>
            <w:vAlign w:val="bottom"/>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B7DEE8"/>
          </w:tcPr>
          <w:p>
            <w:pPr>
              <w:spacing w:after="0"/>
              <w:rPr>
                <w:sz w:val="21"/>
                <w:szCs w:val="21"/>
                <w:color w:val="auto"/>
              </w:rPr>
            </w:pPr>
          </w:p>
        </w:tc>
        <w:tc>
          <w:tcPr>
            <w:tcW w:w="1280" w:type="dxa"/>
            <w:vAlign w:val="bottom"/>
            <w:shd w:val="clear" w:color="auto" w:fill="B7DEE8"/>
          </w:tcPr>
          <w:p>
            <w:pPr>
              <w:spacing w:after="0"/>
              <w:rPr>
                <w:sz w:val="21"/>
                <w:szCs w:val="21"/>
                <w:color w:val="auto"/>
              </w:rPr>
            </w:pPr>
          </w:p>
        </w:tc>
        <w:tc>
          <w:tcPr>
            <w:tcW w:w="220" w:type="dxa"/>
            <w:vAlign w:val="bottom"/>
            <w:shd w:val="clear" w:color="auto" w:fill="B7DEE8"/>
          </w:tcPr>
          <w:p>
            <w:pPr>
              <w:spacing w:after="0"/>
              <w:rPr>
                <w:sz w:val="21"/>
                <w:szCs w:val="21"/>
                <w:color w:val="auto"/>
              </w:rPr>
            </w:pPr>
          </w:p>
        </w:tc>
        <w:tc>
          <w:tcPr>
            <w:tcW w:w="180" w:type="dxa"/>
            <w:vAlign w:val="bottom"/>
            <w:shd w:val="clear" w:color="auto" w:fill="B7DEE8"/>
          </w:tcPr>
          <w:p>
            <w:pPr>
              <w:spacing w:after="0"/>
              <w:rPr>
                <w:sz w:val="21"/>
                <w:szCs w:val="21"/>
                <w:color w:val="auto"/>
              </w:rPr>
            </w:pPr>
          </w:p>
        </w:tc>
        <w:tc>
          <w:tcPr>
            <w:tcW w:w="10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39"/>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(133,891 )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040" w:type="dxa"/>
            <w:vAlign w:val="bottom"/>
            <w:shd w:val="clear" w:color="auto" w:fill="B7DEE8"/>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B7DEE8"/>
          </w:tcPr>
          <w:p>
            <w:pPr>
              <w:jc w:val="right"/>
              <w:ind w:right="140"/>
              <w:spacing w:after="0"/>
              <w:rPr>
                <w:sz w:val="20"/>
                <w:szCs w:val="20"/>
                <w:color w:val="auto"/>
              </w:rPr>
            </w:pPr>
            <w:r>
              <w:rPr>
                <w:rFonts w:ascii="Times New Roman" w:cs="Times New Roman" w:eastAsia="Times New Roman" w:hAnsi="Times New Roman"/>
                <w:sz w:val="18"/>
                <w:szCs w:val="18"/>
                <w:color w:val="auto"/>
              </w:rPr>
              <w:t>(6,389 )</w:t>
            </w:r>
          </w:p>
        </w:tc>
        <w:tc>
          <w:tcPr>
            <w:tcW w:w="200" w:type="dxa"/>
            <w:vAlign w:val="bottom"/>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B7DEE8"/>
          </w:tcPr>
          <w:p>
            <w:pPr>
              <w:spacing w:after="0"/>
              <w:rPr>
                <w:sz w:val="21"/>
                <w:szCs w:val="21"/>
                <w:color w:val="auto"/>
              </w:rPr>
            </w:pPr>
          </w:p>
        </w:tc>
        <w:tc>
          <w:tcPr>
            <w:tcW w:w="1280" w:type="dxa"/>
            <w:vAlign w:val="bottom"/>
            <w:shd w:val="clear" w:color="auto" w:fill="B7DEE8"/>
          </w:tcPr>
          <w:p>
            <w:pPr>
              <w:spacing w:after="0"/>
              <w:rPr>
                <w:sz w:val="21"/>
                <w:szCs w:val="21"/>
                <w:color w:val="auto"/>
              </w:rPr>
            </w:pPr>
          </w:p>
        </w:tc>
        <w:tc>
          <w:tcPr>
            <w:tcW w:w="220" w:type="dxa"/>
            <w:vAlign w:val="bottom"/>
            <w:shd w:val="clear" w:color="auto" w:fill="B7DEE8"/>
          </w:tcPr>
          <w:p>
            <w:pPr>
              <w:spacing w:after="0"/>
              <w:rPr>
                <w:sz w:val="21"/>
                <w:szCs w:val="21"/>
                <w:color w:val="auto"/>
              </w:rPr>
            </w:pPr>
          </w:p>
        </w:tc>
        <w:tc>
          <w:tcPr>
            <w:tcW w:w="180" w:type="dxa"/>
            <w:vAlign w:val="bottom"/>
            <w:shd w:val="clear" w:color="auto" w:fill="B7DEE8"/>
          </w:tcPr>
          <w:p>
            <w:pPr>
              <w:spacing w:after="0"/>
              <w:rPr>
                <w:sz w:val="21"/>
                <w:szCs w:val="21"/>
                <w:color w:val="auto"/>
              </w:rPr>
            </w:pPr>
          </w:p>
        </w:tc>
        <w:tc>
          <w:tcPr>
            <w:tcW w:w="1080" w:type="dxa"/>
            <w:vAlign w:val="bottom"/>
            <w:shd w:val="clear" w:color="auto" w:fill="B7DEE8"/>
          </w:tcPr>
          <w:p>
            <w:pPr>
              <w:spacing w:after="0"/>
              <w:rPr>
                <w:sz w:val="21"/>
                <w:szCs w:val="21"/>
                <w:color w:val="auto"/>
              </w:rPr>
            </w:pPr>
          </w:p>
        </w:tc>
        <w:tc>
          <w:tcPr>
            <w:tcW w:w="100" w:type="dxa"/>
            <w:vAlign w:val="bottom"/>
            <w:shd w:val="clear" w:color="auto" w:fill="B7DEE8"/>
          </w:tcPr>
          <w:p>
            <w:pPr>
              <w:spacing w:after="0"/>
              <w:rPr>
                <w:sz w:val="21"/>
                <w:szCs w:val="21"/>
                <w:color w:val="auto"/>
              </w:rPr>
            </w:pPr>
          </w:p>
        </w:tc>
      </w:tr>
      <w:tr>
        <w:trPr>
          <w:trHeight w:val="24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(3,600 )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04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Options outstanding, September 30, 2024</w:t>
            </w:r>
          </w:p>
        </w:tc>
        <w:tc>
          <w:tcPr>
            <w:tcW w:w="1420" w:type="dxa"/>
            <w:vAlign w:val="bottom"/>
            <w:tcBorders>
              <w:top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622,949</w:t>
            </w:r>
          </w:p>
        </w:tc>
        <w:tc>
          <w:tcPr>
            <w:tcW w:w="220" w:type="dxa"/>
            <w:vAlign w:val="bottom"/>
            <w:shd w:val="clear" w:color="auto" w:fill="B7DEE8"/>
          </w:tcPr>
          <w:p>
            <w:pPr>
              <w:spacing w:after="0"/>
              <w:rPr>
                <w:sz w:val="20"/>
                <w:szCs w:val="20"/>
                <w:color w:val="auto"/>
              </w:rPr>
            </w:pPr>
          </w:p>
        </w:tc>
        <w:tc>
          <w:tcPr>
            <w:tcW w:w="200" w:type="dxa"/>
            <w:vAlign w:val="bottom"/>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480" w:type="dxa"/>
            <w:vAlign w:val="bottom"/>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B7DEE8"/>
          </w:tcPr>
          <w:p>
            <w:pPr>
              <w:spacing w:after="0"/>
              <w:rPr>
                <w:sz w:val="20"/>
                <w:szCs w:val="20"/>
                <w:color w:val="auto"/>
              </w:rPr>
            </w:pPr>
          </w:p>
        </w:tc>
        <w:tc>
          <w:tcPr>
            <w:tcW w:w="180" w:type="dxa"/>
            <w:vAlign w:val="bottom"/>
            <w:shd w:val="clear" w:color="auto" w:fill="B7DEE8"/>
          </w:tcPr>
          <w:p>
            <w:pPr>
              <w:spacing w:after="0"/>
              <w:rPr>
                <w:sz w:val="20"/>
                <w:szCs w:val="20"/>
                <w:color w:val="auto"/>
              </w:rPr>
            </w:pPr>
          </w:p>
        </w:tc>
        <w:tc>
          <w:tcPr>
            <w:tcW w:w="10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100" w:type="dxa"/>
            <w:vAlign w:val="bottom"/>
            <w:shd w:val="clear" w:color="auto" w:fill="B7DEE8"/>
          </w:tcPr>
          <w:p>
            <w:pPr>
              <w:spacing w:after="0"/>
              <w:rPr>
                <w:sz w:val="20"/>
                <w:szCs w:val="20"/>
                <w:color w:val="auto"/>
              </w:rPr>
            </w:pPr>
          </w:p>
        </w:tc>
      </w:tr>
      <w:tr>
        <w:trPr>
          <w:trHeight w:val="24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Nonvested options, September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366,597</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21"/>
                <w:szCs w:val="21"/>
                <w:color w:val="auto"/>
              </w:rPr>
            </w:pPr>
          </w:p>
        </w:tc>
      </w:tr>
      <w:tr>
        <w:trPr>
          <w:trHeight w:val="276"/>
        </w:trPr>
        <w:tc>
          <w:tcPr>
            <w:tcW w:w="4040" w:type="dxa"/>
            <w:vAlign w:val="bottom"/>
            <w:tcBorders>
              <w:bottom w:val="single" w:sz="8" w:color="B7DEE8"/>
            </w:tcBorders>
            <w:shd w:val="clear" w:color="auto" w:fill="B7DEE8"/>
          </w:tcPr>
          <w:p>
            <w:pPr>
              <w:spacing w:after="0"/>
              <w:rPr>
                <w:sz w:val="20"/>
                <w:szCs w:val="20"/>
                <w:color w:val="auto"/>
              </w:rPr>
            </w:pPr>
            <w:r>
              <w:rPr>
                <w:rFonts w:ascii="Times New Roman" w:cs="Times New Roman" w:eastAsia="Times New Roman" w:hAnsi="Times New Roman"/>
                <w:sz w:val="18"/>
                <w:szCs w:val="18"/>
                <w:b w:val="1"/>
                <w:bCs w:val="1"/>
                <w:color w:val="auto"/>
              </w:rPr>
              <w:t>Vested and exercisable, September 30, 2024</w:t>
            </w:r>
          </w:p>
        </w:tc>
        <w:tc>
          <w:tcPr>
            <w:tcW w:w="1420" w:type="dxa"/>
            <w:vAlign w:val="bottom"/>
            <w:tcBorders>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256,352</w:t>
            </w:r>
          </w:p>
        </w:tc>
        <w:tc>
          <w:tcPr>
            <w:tcW w:w="220" w:type="dxa"/>
            <w:vAlign w:val="bottom"/>
            <w:tcBorders>
              <w:bottom w:val="single" w:sz="8" w:color="B7DEE8"/>
            </w:tcBorders>
            <w:shd w:val="clear" w:color="auto" w:fill="B7DEE8"/>
          </w:tcPr>
          <w:p>
            <w:pPr>
              <w:spacing w:after="0"/>
              <w:rPr>
                <w:sz w:val="24"/>
                <w:szCs w:val="24"/>
                <w:color w:val="auto"/>
              </w:rPr>
            </w:pPr>
          </w:p>
        </w:tc>
        <w:tc>
          <w:tcPr>
            <w:tcW w:w="200" w:type="dxa"/>
            <w:vAlign w:val="bottom"/>
            <w:tcBorders>
              <w:bottom w:val="single" w:sz="8" w:color="B7DEE8"/>
            </w:tcBorders>
            <w:shd w:val="clear" w:color="auto" w:fill="B7DEE8"/>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80" w:type="dxa"/>
            <w:vAlign w:val="bottom"/>
            <w:tcBorders>
              <w:bottom w:val="single" w:sz="8" w:color="B7DEE8"/>
            </w:tcBorders>
            <w:gridSpan w:val="2"/>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B7DEE8"/>
            </w:tcBorders>
            <w:shd w:val="clear" w:color="auto" w:fill="B7DEE8"/>
          </w:tcPr>
          <w:p>
            <w:pPr>
              <w:spacing w:after="0"/>
              <w:rPr>
                <w:sz w:val="24"/>
                <w:szCs w:val="24"/>
                <w:color w:val="auto"/>
              </w:rPr>
            </w:pPr>
          </w:p>
        </w:tc>
        <w:tc>
          <w:tcPr>
            <w:tcW w:w="180" w:type="dxa"/>
            <w:vAlign w:val="bottom"/>
            <w:tcBorders>
              <w:bottom w:val="single" w:sz="8" w:color="B7DEE8"/>
            </w:tcBorders>
            <w:shd w:val="clear" w:color="auto" w:fill="B7DEE8"/>
          </w:tcPr>
          <w:p>
            <w:pPr>
              <w:spacing w:after="0"/>
              <w:rPr>
                <w:sz w:val="24"/>
                <w:szCs w:val="24"/>
                <w:color w:val="auto"/>
              </w:rPr>
            </w:pPr>
          </w:p>
        </w:tc>
        <w:tc>
          <w:tcPr>
            <w:tcW w:w="108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100" w:type="dxa"/>
            <w:vAlign w:val="bottom"/>
            <w:tcBorders>
              <w:bottom w:val="single" w:sz="8" w:color="B7DEE8"/>
            </w:tcBorders>
            <w:shd w:val="clear" w:color="auto" w:fill="B7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September 30, 2024, total estimated unrecognized stock-based compensation cost related to unvested stock options prior to that date was $2.9 million, which is expected to be recognized over a weighted-average remaining period of 3.0 years.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3, 2021, the Company granted the Chief Executive Officer stock options to purchase up to 358,001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 million. The options have a strike price of $23.18 per share. The Company determined the fair value of the options on the grant date to be $10.5 million using a Monte Carlo simulation with key inputs and assumptions such as stock price, term, dividend yield, risk-free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3" w:name="page34"/>
    <w:bookmarkEnd w:id="33"/>
    <w:p>
      <w:pPr>
        <w:ind w:right="160"/>
        <w:spacing w:after="0" w:line="261" w:lineRule="auto"/>
        <w:rPr>
          <w:sz w:val="20"/>
          <w:szCs w:val="20"/>
          <w:color w:val="auto"/>
        </w:rPr>
      </w:pPr>
      <w:r>
        <w:rPr>
          <w:rFonts w:ascii="Times New Roman" w:cs="Times New Roman" w:eastAsia="Times New Roman" w:hAnsi="Times New Roman"/>
          <w:sz w:val="18"/>
          <w:szCs w:val="18"/>
          <w:color w:val="auto"/>
        </w:rPr>
        <w:t>interest rate, and volatility. The derived service periods determined by the valuation for each of the nine tranches range from approximately three years to approximately seven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options granted to the Chief Executive Officer on the grant date:</w:t>
      </w:r>
    </w:p>
    <w:p>
      <w:pPr>
        <w:spacing w:after="0" w:line="200" w:lineRule="exact"/>
        <w:rPr>
          <w:sz w:val="20"/>
          <w:szCs w:val="20"/>
          <w:color w:val="auto"/>
        </w:rPr>
      </w:pP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50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00" w:type="dxa"/>
            <w:vAlign w:val="bottom"/>
            <w:shd w:val="clear" w:color="auto" w:fill="B7DEE8"/>
          </w:tcPr>
          <w:p>
            <w:pPr>
              <w:ind w:left="3740"/>
              <w:spacing w:after="0"/>
              <w:rPr>
                <w:sz w:val="20"/>
                <w:szCs w:val="20"/>
                <w:color w:val="auto"/>
              </w:rPr>
            </w:pPr>
            <w:r>
              <w:rPr>
                <w:rFonts w:ascii="Times New Roman" w:cs="Times New Roman" w:eastAsia="Times New Roman" w:hAnsi="Times New Roman"/>
                <w:sz w:val="18"/>
                <w:szCs w:val="18"/>
                <w:color w:val="auto"/>
              </w:rPr>
              <w:t>10.0 years</w:t>
            </w:r>
          </w:p>
        </w:tc>
        <w:tc>
          <w:tcPr>
            <w:tcW w:w="60" w:type="dxa"/>
            <w:vAlign w:val="bottom"/>
          </w:tcPr>
          <w:p>
            <w:pPr>
              <w:spacing w:after="0"/>
              <w:rPr>
                <w:sz w:val="21"/>
                <w:szCs w:val="2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8"/>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-299720</wp:posOffset>
            </wp:positionV>
            <wp:extent cx="641223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Repricing:</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 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 vested and unvested stock options outstanding as of June 9, 2023, with original exercise prices ranging from $22.09 to $23.18, were repriced.</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repricing on June 9, 2023 resulted in incremental stock-based compensation expense of $0.2 million, of which $0.1 million related to vested stock option awards was expensed on the repricing date. The remaining $0.1 million related to unvested stock option awards is being amortized on a straight-line basis over the weighted-average vesting period of those awards of approximately 1.3 years as of June 9, 2023.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September 2023, the Company’s Board of Directors approved a repricing of certain previously granted and still outstanding vested and unvested stock option awards held by eight remaining eligible employees excluded from the aforementioned June 9th repricing. As a result, the exercise price for these awards was lowered to $7.23 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 vested and unvested stock options outstanding as of September 13, 2023, with original exercise prices ranging from $22.09 to $23.18, were repriced.</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repricing on September 13, 2023 resulted in incremental stock-based compensation expense of $0.2 million, of which $0.17 million related to vested stock option awards was expensed on the repricing date. The remaining $0.07 million related to unvested stock option awards is being amortized on a straight-line basis over the weighted-average vesting period of those awards of approximately 1.0 years as of September 13, 2023.</w:t>
      </w:r>
    </w:p>
    <w:p>
      <w:pPr>
        <w:sectPr>
          <w:pgSz w:w="11900" w:h="16838" w:orient="portrait"/>
          <w:cols w:equalWidth="0" w:num="1">
            <w:col w:w="11220"/>
          </w:cols>
          <w:pgMar w:left="320" w:top="1201" w:right="35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with respect to RSUs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2024</w:t>
      </w:r>
    </w:p>
    <w:p>
      <w:pPr>
        <w:spacing w:after="0" w:line="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Granted</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Vested</w:t>
      </w:r>
    </w:p>
    <w:p>
      <w:pPr>
        <w:spacing w:after="0" w:line="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Forfeited</w:t>
      </w:r>
    </w:p>
    <w:p>
      <w:pPr>
        <w:spacing w:after="0" w:line="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Outstanding shares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45"/>
        </w:trPr>
        <w:tc>
          <w:tcPr>
            <w:tcW w:w="23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1"/>
                <w:szCs w:val="21"/>
                <w:color w:val="auto"/>
              </w:rPr>
            </w:pPr>
          </w:p>
        </w:tc>
        <w:tc>
          <w:tcPr>
            <w:tcW w:w="17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1,726,639</w:t>
            </w:r>
          </w:p>
        </w:tc>
        <w:tc>
          <w:tcPr>
            <w:tcW w:w="2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34"/>
        </w:trPr>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501,062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r>
      <w:tr>
        <w:trPr>
          <w:trHeight w:val="243"/>
        </w:trPr>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(424,711 )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r>
      <w:tr>
        <w:trPr>
          <w:trHeight w:val="256"/>
        </w:trPr>
        <w:tc>
          <w:tcPr>
            <w:tcW w:w="2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(518,737 )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37"/>
        </w:trPr>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1,284,253</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0"/>
        </w:trPr>
        <w:tc>
          <w:tcPr>
            <w:tcW w:w="2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-805180</wp:posOffset>
            </wp:positionV>
            <wp:extent cx="641223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-496570</wp:posOffset>
            </wp:positionV>
            <wp:extent cx="641223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-3647440</wp:posOffset>
            </wp:positionH>
            <wp:positionV relativeFrom="paragraph">
              <wp:posOffset>-179705</wp:posOffset>
            </wp:positionV>
            <wp:extent cx="6412230" cy="1803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00"/>
          </w:cols>
          <w:pgMar w:left="320" w:top="1201" w:right="359" w:bottom="1440" w:gutter="0" w:footer="0" w:header="0"/>
          <w:type w:val="continuous"/>
        </w:sectPr>
      </w:pPr>
    </w:p>
    <w:p>
      <w:pPr>
        <w:spacing w:after="0" w:line="10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At September 30, 2024, total estimated unrecognized stock-based compensation cost related to nonvested RSUs was approximately $32.3 million, which is expected to be recognized over a weighted-average period of 2.2 years.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34" w:name="page35"/>
    <w:bookmarkEnd w:id="34"/>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2023, the Company granted 629,454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$3.0 million using a Monte Carlo simulation with key inputs and assumptions such as stock price, term, risk-free interest rate, and volatility. The derived service periods determined by the valuation for each of the six tranches range from approximately two years 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that contain service and market conditions on the grant date: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40" w:type="dxa"/>
            <w:vAlign w:val="bottom"/>
            <w:shd w:val="clear" w:color="auto" w:fill="B7DEE8"/>
          </w:tcPr>
          <w:p>
            <w:pPr>
              <w:ind w:left="3880"/>
              <w:spacing w:after="0"/>
              <w:rPr>
                <w:sz w:val="20"/>
                <w:szCs w:val="20"/>
                <w:color w:val="auto"/>
              </w:rPr>
            </w:pPr>
            <w:r>
              <w:rPr>
                <w:rFonts w:ascii="Times New Roman" w:cs="Times New Roman" w:eastAsia="Times New Roman" w:hAnsi="Times New Roman"/>
                <w:sz w:val="18"/>
                <w:szCs w:val="18"/>
                <w:color w:val="auto"/>
              </w:rPr>
              <w:t>5.0 years</w:t>
            </w:r>
          </w:p>
        </w:tc>
        <w:tc>
          <w:tcPr>
            <w:tcW w:w="60" w:type="dxa"/>
            <w:vAlign w:val="bottom"/>
          </w:tcPr>
          <w:p>
            <w:pPr>
              <w:spacing w:after="0"/>
              <w:rPr>
                <w:sz w:val="21"/>
                <w:szCs w:val="2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During October 2023, the Company granted 71,844 RSUs to certain employees in six tranches. Each of the six tranches contain service and market conditions. The market conditions relate to the achievement of certain specified price targets. Vesting commences on the grant date and the Company determined the fair value of the RSUs on the grant date to be approximately $0.2 million using a Monte Carlo simulation with key inputs and assumptions such as stock price, term, risk-free interest rate, and volatility. The derived service periods determined by the valuation ranges from approximately two years to approximately three years. Each grant will be expensed monthly over the derived service period unless vesting conditions for a particular grant are met, at which point all remaining compensation charges related to that particular grant will be expensed in the period in which the vesting conditions were met.</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granted during October 2023 that contain service and market conditions on the grant date:</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546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4640" w:type="dxa"/>
            <w:vAlign w:val="bottom"/>
            <w:shd w:val="clear" w:color="auto" w:fill="B7DEE8"/>
          </w:tcPr>
          <w:p>
            <w:pPr>
              <w:ind w:left="3880"/>
              <w:spacing w:after="0"/>
              <w:rPr>
                <w:sz w:val="20"/>
                <w:szCs w:val="20"/>
                <w:color w:val="auto"/>
              </w:rPr>
            </w:pPr>
            <w:r>
              <w:rPr>
                <w:rFonts w:ascii="Times New Roman" w:cs="Times New Roman" w:eastAsia="Times New Roman" w:hAnsi="Times New Roman"/>
                <w:sz w:val="18"/>
                <w:szCs w:val="18"/>
                <w:color w:val="auto"/>
              </w:rPr>
              <w:t>4.2 years</w:t>
            </w:r>
          </w:p>
        </w:tc>
        <w:tc>
          <w:tcPr>
            <w:tcW w:w="60" w:type="dxa"/>
            <w:vAlign w:val="bottom"/>
          </w:tcPr>
          <w:p>
            <w:pPr>
              <w:spacing w:after="0"/>
              <w:rPr>
                <w:sz w:val="21"/>
                <w:szCs w:val="21"/>
                <w:color w:val="auto"/>
              </w:rPr>
            </w:pP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2024, the Company's Board of Directors approved a modification to the price targets in the market conditions and the addition of alternative performance conditions for 333,275 unvested RSUs. The modification of the unvested RSUs resulted in an incremental stock-based compensation expense of $1.0 million, which will be expensed monthly over the derived service period. The weighted average modification-date fair value of the RSUs was $5.36 per award. The Company determined the fair value of the RSUs on the modification date using a Monte Carlo simulation with key inputs and assumptions such as stock price, term, risk-free interest rate, and volatility. The derived service periods determined by the valuation range from approximately one year to approximately two years. The RSUs will be expensed monthly over the derived service period unless vesting conditions for a particular tranche are met, at which point all remaining compensation charges will be expensed in the period in which the vesting conditions were met. As a result of the modification, the RSUs are now classified as performance-based RSUs and included in the activity table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key inputs and assumptions used to value the RSUs modified during the quarter ended June 30, 2024:</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9220" w:type="dxa"/>
            <w:vAlign w:val="bottom"/>
            <w:shd w:val="clear" w:color="auto" w:fill="B7DEE8"/>
          </w:tcPr>
          <w:p>
            <w:pPr>
              <w:spacing w:after="0"/>
              <w:rPr>
                <w:sz w:val="20"/>
                <w:szCs w:val="20"/>
                <w:color w:val="auto"/>
              </w:rPr>
            </w:pPr>
            <w:r>
              <w:rPr>
                <w:rFonts w:ascii="Times New Roman" w:cs="Times New Roman" w:eastAsia="Times New Roman" w:hAnsi="Times New Roman"/>
                <w:sz w:val="18"/>
                <w:szCs w:val="18"/>
                <w:color w:val="auto"/>
              </w:rPr>
              <w:t>Remaining term</w:t>
            </w:r>
          </w:p>
        </w:tc>
        <w:tc>
          <w:tcPr>
            <w:tcW w:w="880" w:type="dxa"/>
            <w:vAlign w:val="bottom"/>
            <w:shd w:val="clear" w:color="auto" w:fill="B7DEE8"/>
          </w:tcPr>
          <w:p>
            <w:pPr>
              <w:ind w:left="120"/>
              <w:spacing w:after="0"/>
              <w:rPr>
                <w:sz w:val="20"/>
                <w:szCs w:val="20"/>
                <w:color w:val="auto"/>
              </w:rPr>
            </w:pPr>
            <w:r>
              <w:rPr>
                <w:rFonts w:ascii="Times New Roman" w:cs="Times New Roman" w:eastAsia="Times New Roman" w:hAnsi="Times New Roman"/>
                <w:sz w:val="18"/>
                <w:szCs w:val="18"/>
                <w:color w:val="auto"/>
              </w:rPr>
              <w:t>3.7 years</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quarter ended September 30, 2024, the Company's Board of Directors approved a modification to the price targets in the market conditions and the addition of alternative performance conditions for 50,000 unvested RSUs and during the quarter the Company achieved the performance conditions. The modification and achievement of the performance conditions resulted in an incremental cumulative stock-based compensation expense of approximately $0.4 million. As a result of the modification, the RSUs are now classified as performance-based RSUs and included in the activity table below. The 50,000 performance-based RSUs were subject to vesting as of September 30, 2024 and will be considered vested and subsequently issued based upon the achievement of the remaining service requirement as outlined in the award agreements.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grants performance-based RSUs to certain executives and employees as part of its long-term incentive plan. The performance-based RSUs are subject to the attainment of defined performance and service conditions, such as the Company's trailing twelve month adjusted EBITDA and specific share price targets, both subject to continued employment with the Company through certain dates. The actual number of shares subject to the award is determined at the end of the performance period and may range from 0% to 150% of the target shares granted depending upon the terms of the award.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with respect to Performance-Based RSUs is summarized as follows:</w:t>
      </w:r>
    </w:p>
    <w:p>
      <w:pPr>
        <w:spacing w:after="0" w:line="3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5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45"/>
        </w:trPr>
        <w:tc>
          <w:tcPr>
            <w:tcW w:w="5740" w:type="dxa"/>
            <w:vAlign w:val="bottom"/>
          </w:tcPr>
          <w:p>
            <w:pPr>
              <w:spacing w:after="0"/>
              <w:rPr>
                <w:sz w:val="21"/>
                <w:szCs w:val="21"/>
                <w:color w:val="auto"/>
              </w:rPr>
            </w:pPr>
          </w:p>
        </w:tc>
        <w:tc>
          <w:tcPr>
            <w:tcW w:w="13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00" w:type="dxa"/>
            <w:vAlign w:val="bottom"/>
          </w:tcPr>
          <w:p>
            <w:pPr>
              <w:spacing w:after="0"/>
              <w:rPr>
                <w:sz w:val="21"/>
                <w:szCs w:val="21"/>
                <w:color w:val="auto"/>
              </w:rPr>
            </w:pPr>
          </w:p>
        </w:tc>
      </w:tr>
      <w:tr>
        <w:trPr>
          <w:trHeight w:val="243"/>
        </w:trPr>
        <w:tc>
          <w:tcPr>
            <w:tcW w:w="7100" w:type="dxa"/>
            <w:vAlign w:val="bottom"/>
            <w:gridSpan w:val="2"/>
            <w:shd w:val="clear" w:color="auto" w:fill="B7DEE8"/>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 shares at January 1, 2024</w:t>
            </w:r>
          </w:p>
        </w:tc>
        <w:tc>
          <w:tcPr>
            <w:tcW w:w="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7DEE8"/>
          </w:tcPr>
          <w:p>
            <w:pPr>
              <w:spacing w:after="0"/>
              <w:rPr>
                <w:sz w:val="21"/>
                <w:szCs w:val="21"/>
                <w:color w:val="auto"/>
              </w:rPr>
            </w:pPr>
          </w:p>
        </w:tc>
        <w:tc>
          <w:tcPr>
            <w:tcW w:w="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39"/>
        </w:trPr>
        <w:tc>
          <w:tcPr>
            <w:tcW w:w="71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516,316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0"/>
                <w:szCs w:val="20"/>
                <w:color w:val="auto"/>
              </w:rPr>
            </w:pPr>
          </w:p>
        </w:tc>
      </w:tr>
      <w:tr>
        <w:trPr>
          <w:trHeight w:val="247"/>
        </w:trPr>
        <w:tc>
          <w:tcPr>
            <w:tcW w:w="7100" w:type="dxa"/>
            <w:vAlign w:val="bottom"/>
            <w:gridSpan w:val="2"/>
            <w:shd w:val="clear" w:color="auto" w:fill="B7DEE8"/>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7DEE8"/>
          </w:tcPr>
          <w:p>
            <w:pPr>
              <w:spacing w:after="0"/>
              <w:rPr>
                <w:sz w:val="21"/>
                <w:szCs w:val="21"/>
                <w:color w:val="auto"/>
              </w:rPr>
            </w:pPr>
          </w:p>
        </w:tc>
        <w:tc>
          <w:tcPr>
            <w:tcW w:w="1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7DEE8"/>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(15,188 )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21"/>
                <w:szCs w:val="21"/>
                <w:color w:val="auto"/>
              </w:rPr>
            </w:pPr>
          </w:p>
        </w:tc>
      </w:tr>
      <w:tr>
        <w:trPr>
          <w:trHeight w:val="276"/>
        </w:trPr>
        <w:tc>
          <w:tcPr>
            <w:tcW w:w="5740" w:type="dxa"/>
            <w:vAlign w:val="bottom"/>
            <w:tcBorders>
              <w:bottom w:val="single" w:sz="8" w:color="B7DEE8"/>
            </w:tcBorders>
            <w:shd w:val="clear" w:color="auto" w:fill="B7DEE8"/>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 shares at September 30, 2024</w:t>
            </w:r>
          </w:p>
        </w:tc>
        <w:tc>
          <w:tcPr>
            <w:tcW w:w="1360" w:type="dxa"/>
            <w:vAlign w:val="bottom"/>
            <w:tcBorders>
              <w:top w:val="single" w:sz="8" w:color="auto"/>
              <w:bottom w:val="single" w:sz="8" w:color="auto"/>
            </w:tcBorders>
            <w:shd w:val="clear" w:color="auto" w:fill="B7DEE8"/>
          </w:tcPr>
          <w:p>
            <w:pPr>
              <w:spacing w:after="0"/>
              <w:rPr>
                <w:sz w:val="24"/>
                <w:szCs w:val="24"/>
                <w:color w:val="auto"/>
              </w:rPr>
            </w:pPr>
          </w:p>
        </w:tc>
        <w:tc>
          <w:tcPr>
            <w:tcW w:w="680" w:type="dxa"/>
            <w:vAlign w:val="bottom"/>
            <w:tcBorders>
              <w:top w:val="single" w:sz="8" w:color="auto"/>
              <w:bottom w:val="single" w:sz="8" w:color="auto"/>
            </w:tcBorders>
            <w:shd w:val="clear" w:color="auto" w:fill="B7DEE8"/>
          </w:tcPr>
          <w:p>
            <w:pPr>
              <w:jc w:val="right"/>
              <w:spacing w:after="0"/>
              <w:rPr>
                <w:sz w:val="20"/>
                <w:szCs w:val="20"/>
                <w:color w:val="auto"/>
              </w:rPr>
            </w:pPr>
            <w:r>
              <w:rPr>
                <w:rFonts w:ascii="Times New Roman" w:cs="Times New Roman" w:eastAsia="Times New Roman" w:hAnsi="Times New Roman"/>
                <w:sz w:val="18"/>
                <w:szCs w:val="18"/>
                <w:b w:val="1"/>
                <w:bCs w:val="1"/>
                <w:color w:val="auto"/>
              </w:rPr>
              <w:t>501,128</w:t>
            </w:r>
          </w:p>
        </w:tc>
        <w:tc>
          <w:tcPr>
            <w:tcW w:w="260" w:type="dxa"/>
            <w:vAlign w:val="bottom"/>
            <w:tcBorders>
              <w:bottom w:val="single" w:sz="8" w:color="B7DEE8"/>
            </w:tcBorders>
            <w:shd w:val="clear" w:color="auto" w:fill="B7DEE8"/>
          </w:tcPr>
          <w:p>
            <w:pPr>
              <w:spacing w:after="0"/>
              <w:rPr>
                <w:sz w:val="24"/>
                <w:szCs w:val="24"/>
                <w:color w:val="auto"/>
              </w:rPr>
            </w:pPr>
          </w:p>
        </w:tc>
        <w:tc>
          <w:tcPr>
            <w:tcW w:w="18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B7DEE8"/>
            </w:tcBorders>
            <w:shd w:val="clear" w:color="auto" w:fill="B7DEE8"/>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Borders>
              <w:bottom w:val="single" w:sz="8" w:color="B7DEE8"/>
            </w:tcBorders>
            <w:shd w:val="clear" w:color="auto" w:fill="B7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2024, the Company achieved certain performance conditions as outlined in its grant agreements and recorded a cumulative stock-based compensation expense of approximately $5.6 million. Additionally, a total of 318,087 performance-based RSUs were subject to vesting as of September 30, 2024 and will be considered vested and subsequently issued to participants based upon the achievement of the remaining service requirements as outlined in the award agreements.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September 30, 2024, total estimated unrecognized stock-based compensation cost related to nonvested performance-based RSUs was approximately $9.3 million, which is expected to be recognized over a weighted-average period of 1.2 years.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Related-Party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Leasing Arrangements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2024, the Company paid $0.1 million and $0.3 million, respectively, under lease agreements with PCJW, which is controlled by the Company's founders (including the Company's current CEO), for general office space in Los Angeles, California. During the three and nine months ended September 30, 2023, the Company paid $0.1 million and $0.2 million, respectively under the lease agreements with PCJW.</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is a schedule of future minimum rental payments as of September 30, 2024 under Company’s sublease for the properties located in Los Angeles, California, signed with PCJW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87" w:lineRule="exact"/>
        <w:rPr>
          <w:sz w:val="20"/>
          <w:szCs w:val="20"/>
          <w:color w:val="auto"/>
        </w:rPr>
      </w:pPr>
    </w:p>
    <w:tbl>
      <w:tblPr>
        <w:tblLayout w:type="fixed"/>
        <w:tblInd w:w="580" w:type="dxa"/>
        <w:tblCellMar>
          <w:top w:w="0" w:type="dxa"/>
          <w:left w:w="0" w:type="dxa"/>
          <w:bottom w:w="0" w:type="dxa"/>
          <w:right w:w="0" w:type="dxa"/>
        </w:tblCellMar>
      </w:tblPr>
      <w:tr>
        <w:trPr>
          <w:trHeight w:val="211"/>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Related-Party Commitment</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8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2024 (remaining)</w:t>
            </w:r>
          </w:p>
        </w:tc>
        <w:tc>
          <w:tcPr>
            <w:tcW w:w="1000" w:type="dxa"/>
            <w:vAlign w:val="bottom"/>
            <w:shd w:val="clear" w:color="auto" w:fill="B6DE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B6DEE8"/>
          </w:tcPr>
          <w:p>
            <w:pPr>
              <w:spacing w:after="0"/>
              <w:rPr>
                <w:sz w:val="20"/>
                <w:szCs w:val="20"/>
                <w:color w:val="auto"/>
              </w:rPr>
            </w:pPr>
          </w:p>
        </w:tc>
      </w:tr>
      <w:tr>
        <w:trPr>
          <w:trHeight w:val="23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0"/>
                <w:szCs w:val="20"/>
                <w:color w:val="auto"/>
              </w:rPr>
            </w:pPr>
          </w:p>
        </w:tc>
      </w:tr>
      <w:tr>
        <w:trPr>
          <w:trHeight w:val="247"/>
        </w:trPr>
        <w:tc>
          <w:tcPr>
            <w:tcW w:w="7820" w:type="dxa"/>
            <w:vAlign w:val="bottom"/>
            <w:gridSpan w:val="2"/>
            <w:shd w:val="clear" w:color="auto" w:fill="B6DEE8"/>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shd w:val="clear" w:color="auto" w:fill="B6DEE8"/>
          </w:tcPr>
          <w:p>
            <w:pPr>
              <w:spacing w:after="0"/>
              <w:rPr>
                <w:sz w:val="21"/>
                <w:szCs w:val="21"/>
                <w:color w:val="auto"/>
              </w:rPr>
            </w:pPr>
          </w:p>
        </w:tc>
        <w:tc>
          <w:tcPr>
            <w:tcW w:w="1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B6DEE8"/>
          </w:tcPr>
          <w:p>
            <w:pPr>
              <w:spacing w:after="0"/>
              <w:rPr>
                <w:sz w:val="21"/>
                <w:szCs w:val="21"/>
                <w:color w:val="auto"/>
              </w:rPr>
            </w:pPr>
          </w:p>
        </w:tc>
      </w:tr>
      <w:tr>
        <w:trPr>
          <w:trHeight w:val="239"/>
        </w:trPr>
        <w:tc>
          <w:tcPr>
            <w:tcW w:w="7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0"/>
                <w:szCs w:val="20"/>
                <w:color w:val="auto"/>
              </w:rPr>
            </w:pPr>
          </w:p>
        </w:tc>
      </w:tr>
      <w:tr>
        <w:trPr>
          <w:trHeight w:val="238"/>
        </w:trPr>
        <w:tc>
          <w:tcPr>
            <w:tcW w:w="7820" w:type="dxa"/>
            <w:vAlign w:val="bottom"/>
            <w:tcBorders>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1000" w:type="dxa"/>
            <w:vAlign w:val="bottom"/>
            <w:tcBorders>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712</w:t>
            </w:r>
          </w:p>
        </w:tc>
        <w:tc>
          <w:tcPr>
            <w:tcW w:w="100" w:type="dxa"/>
            <w:vAlign w:val="bottom"/>
            <w:tcBorders>
              <w:bottom w:val="single" w:sz="8" w:color="B6DEE8"/>
            </w:tcBorders>
            <w:shd w:val="clear" w:color="auto" w:fill="B6DEE8"/>
          </w:tcPr>
          <w:p>
            <w:pPr>
              <w:spacing w:after="0"/>
              <w:rPr>
                <w:sz w:val="20"/>
                <w:szCs w:val="20"/>
                <w:color w:val="auto"/>
              </w:rPr>
            </w:pPr>
          </w:p>
        </w:tc>
      </w:tr>
      <w:tr>
        <w:trPr>
          <w:trHeight w:val="235"/>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(80 )</w:t>
            </w:r>
          </w:p>
        </w:tc>
      </w:tr>
      <w:tr>
        <w:trPr>
          <w:trHeight w:val="278"/>
        </w:trPr>
        <w:tc>
          <w:tcPr>
            <w:tcW w:w="7820" w:type="dxa"/>
            <w:vAlign w:val="bottom"/>
            <w:tcBorders>
              <w:top w:val="single" w:sz="8" w:color="auto"/>
              <w:bottom w:val="single" w:sz="8" w:color="auto"/>
            </w:tcBorders>
            <w:gridSpan w:val="2"/>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000" w:type="dxa"/>
            <w:vAlign w:val="bottom"/>
            <w:tcBorders>
              <w:top w:val="single" w:sz="8" w:color="auto"/>
              <w:bottom w:val="single" w:sz="8" w:color="auto"/>
            </w:tcBorders>
            <w:shd w:val="clear" w:color="auto" w:fill="B6DEE8"/>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100" w:type="dxa"/>
            <w:vAlign w:val="bottom"/>
            <w:tcBorders>
              <w:bottom w:val="single" w:sz="8" w:color="B6DEE8"/>
            </w:tcBorders>
            <w:shd w:val="clear" w:color="auto" w:fill="B6DEE8"/>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related-party components of the lease right-of-use assets, lease liabilities, short-term, and lease liabilities, long-term are presented as part of the right-of-use asset and lease liability on the condensed consolidated balance sheets.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Facility</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Brendan Carroll, a Senior Partner at Victory Park Capital Advisors, LLC ("VPC"), joined the board of directors of the Company upon closing of the Business Combination. Interest expense related to the Debt Facility totaled $2.0 million and $5.9 million for the three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and nine months ended September 30, 2024, respectively. For more information about the Debt Facility with VPC, refer to Note 10, Debt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Services</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law firm of Mitchell Sandler LLC, of which the Company's director Andrea Mitchell is a partner, provided legal services to the Company, which totaled $0.6 million and $1.0 million for the three and nine months ended September 30, 2024, respectively.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17 401(k) Savings Plan</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 million and $1.5 million for the three and nine months ended September 30, 2024, respectively, and $0.5 million and $1.6 million for the three and nine months ended September 30,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condensed consolidated balance sheet date, but before the condensed consolidated financial statements are available to be issued. The Company recognizes in the condensed consolidated financial statements the effects of all subsequent events that provide additional evidence about conditions that existed at the date of the condensed consolidated balance sheet, including the estimates inherent in the process of preparing the condensed consolidated financial statements. The Company’s condensed consolidated financial statements do not recognize subsequent events that provide evidence about conditions that did not exist at the date of the condensed consolidated balance sheet but arose after the condensed consolidated balance sheet date and before the condensed consolidated financial statements were available to be issued.</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October 18, 2024, the Company amended its Debt Facility with Victory Park Management, LLC. The amendment increased the advance rate within the facility by 250 basis points and it adjusted eligibility criteria and concentration limits to expand borrowing capacity. There is no impact to the cost of funds on the $75 million outstanding as of September 30, 2024, and the cost of any future draws will remain at the same spread over the benchmark rate. The facility size and maturity remain unchanged at $150 million and December 15, 2026, respectively.</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November 5, 2024, the Federal Trade Commission (the “FTC”) filed a civil complaint against us alleging violations of Section 5(a) of the FTC Act and the Restore Online Shoppers’ Confidence Act related to our platform and offering of our ExtraCash product. The complaint seeks a permanent injunction, monetary relief for an unspecified amount and “other relief as the court determines to be just and proper.” Given the outcome of any case in litigation is uncertain, for the period ending September 30, 2024, the Company has recorded a $7 million litigation and settlement accrual for this matter. Significant changes in the accrual may be required in future periods as the case progresses and additional information becomes available.</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the Company’s financial condition and results of operations should be read in conjunction with our condensed consolidated financial statements and the notes related thereto which are included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“Risk Factors” and elsewhere in our Annual Report on Form 10-K </w:t>
      </w:r>
      <w:r>
        <w:rPr>
          <w:rFonts w:ascii="Times New Roman" w:cs="Times New Roman" w:eastAsia="Times New Roman" w:hAnsi="Times New Roman"/>
          <w:sz w:val="18"/>
          <w:szCs w:val="18"/>
          <w:color w:val="auto"/>
        </w:rPr>
        <w:t>for the year ended December 31, 2023 filed with the Securities and Exchange Commission (the “SEC”)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5, 2024 (the “Annual Report”) </w:t>
      </w:r>
      <w:r>
        <w:rPr>
          <w:rFonts w:ascii="Times New Roman" w:cs="Times New Roman" w:eastAsia="Times New Roman" w:hAnsi="Times New Roman"/>
          <w:sz w:val="18"/>
          <w:szCs w:val="18"/>
          <w:i w:val="1"/>
          <w:iCs w:val="1"/>
          <w:color w:val="auto"/>
        </w:rPr>
        <w:t>and in our subsequent Quarterly Reports on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8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Further, we see a significant opportunity to address the broader short-term credit market. According to a 2024 report by The Financial Health Network ("FHN"), legacy financial institutions charge approximately $40 billion in fees annually. The FHN estimates that financially “coping” and “vulnerable” populations pay over $200 billion a year in fees and interest for access to short-term credit. Our prospective Member opportunity is also significant. We estimate that our total addressable market consists of between 170 million and 190 million Americans who are in need of financial stability and are either not served or underserved by legacy financial institutions.</w:t>
      </w:r>
    </w:p>
    <w:p>
      <w:pPr>
        <w:spacing w:after="0" w:line="18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Dave offers a suite of innovative financial products aimed at helping our Members improve their financial health. To help Members avoid punitive overdraft fees and access short-term liquidity, Dave offers, through Evolve, its flagship 0% interest ExtraCash product. Through Dave Banking, we provide a digital checking account experience, seamlessly integrated with ExtraCash,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high APY savings rates, our Side Hustle product, where we present Members with supplemental work opportunities, and through our Surveys product, where Members can earn supplemental income by taking surveys. Our budgeting tool helps Members manage their upcoming bills to avoid overspending.</w:t>
      </w:r>
    </w:p>
    <w:p>
      <w:pPr>
        <w:spacing w:after="0" w:line="2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only begun to address the many inequities in financial services, but our progress to date demonstrates the demand for Dave to improve the financial system for the everyday person. Since inception and through the date of this report, nearly 16 million Members have registered on the Dave app and nearly 12 million Members have used at least one of our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Comparability of Financial Information</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Our future results of operations and financial position may not be comparable to historical results as a result of the consummation of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Member Growth and Activity</w:t>
      </w:r>
    </w:p>
    <w:p>
      <w:pPr>
        <w:spacing w:after="0" w:line="225"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Expansion</w:t>
      </w:r>
    </w:p>
    <w:p>
      <w:pPr>
        <w:spacing w:after="0" w:line="2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Competition</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Concentration</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currently rely on agreements with Evolve, our only bank partner, to provide ExtraCash and other deposit accounts, debit card services and other transaction services to us and our Members. See Part II Item 1A, “Risk Factors” for additional information. Given the size and consistent growth of our Member base as well as how our product capabilities have been expanding, we are in the process of evaluating additional financial institutions with which we can partner.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Trends/General Economic Conditions</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expect economic cycles to affect our business, financial performance, and financial condition. Macroeconomic conditions, including, but not limited to, rising interest rates, inflation, unemployment rates, and consumer sentiment may impact consumer spending behavior and consumer demand for financial products. Although the Company’s business operations have not been materially impacted as of the date of this report, our business, financial condition, results of operations and prospects may be adversely affected due to the ongoing nature of these macroeconomic factors. Interest rates have remained elevated over the last two years which has increased the costs of borrowing on our Debt Facility. Higher interest rates also often lead to higher payment obligations, which may reduce the ability of Members to repay their ExtraCash and, therefore, lead to increased delinquencies, write-offs and decreased recoveries. We also believe that higher interest rates may increase demand for ExtraCash as consumers seek additional sources of liquidity to help them fund higher costs of living. Additionally, higher levels of unemployment could adversely impact Members’ income levels and, hence, the ability of Members to repay, which could lead to deterioration in credit performance. We believe that our underwriting engine is well positioned to evaluate credit risk in a higher unemployment environment as it analyzes bank account transaction data to assess, nearly in real-time, changes in members’ income, spending, savings, and employment status. We also believe that demand for ExtraCash may increase in periods of higher unemployment as consumers seek additional sources of liquidity to help them meet their financial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Currently, we conduct business through one operating segment which constitutes a single reportable segment. For more information about our basis of presentation, refer to Note 2 in the accompanying condensed consolidated financial statements of Dave included in this report.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Service based revenue, net</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Service based revenue, net primarily consists of optional express processing fees, optional tips and subscriptions charged to Members, net of processor-related costs associated with ExtraCash originations. Service based revenue, net also consists of lead generation fees from our Side Hustle advertising partners and revenue share from our surveys partner.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based revenue, net</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Transaction based revenue, net primarily consists of interchange and ATM revenues from our Checking Product, net of interchange fees, ATM-related fees, and interest earned by Members, fees earned from funding and withdrawal-related transactions, and volume support from a certain co-branded agreement and deposit referral fees that are recognized at the point in time the transactions occur, as the performance obligations are satisfied and the variable consideration is not constrained.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classify our operating expenses into the following five categories: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2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provision for credit losses primarily consists of an allowance for expected credit losses at a level estimated to be adequate to absorb credit losses inherent in the outstanding ExtraCash receivables,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condensed consolidated statement of operations. We consider ExtraCash receivables aged more than 120 days or which become uncollectible based on information available to us as impaired. All impaired ExtraCash receivables are deemed uncollectible and subsequently written off and are a direct reduction to the allowance for credit losses. Subsequent recoveries, if any, of ExtraCash receivables written-off are recorded as a reduction to ExtraCash receivables, resulting in a reduction to the allowance for credit losses and a corresponding reduction to the provision for credit losses in the condensed consolidated statements of operations when collected.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 Costs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Processing and servicing fees consist of fees paid to our processing partners for the recovery of ExtraCash, optional tips, optional express processing fees and subscriptions. These expenses also include fees paid for services to connect Members’ bank accounts to our application. Except for processing and servicing fees associated with ExtraCash originations which are recorded net against revenue, all other processing and service fees are expensed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manage routine customer service inquiries and support.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Other operating expenses consist primarily of technology and infrastructure (third-party Software as a Service or “SaaS”), commitments to charity, transaction based costs (program expenses, association fees, processor fees, losses from Member-disputed transactions, bank card fees and fraud), depreciation and amortization of property and equipment and intangible assets, legal fees, rent, certain sales tax related costs, office related expenses, public relations costs, professional services fees, travel and entertainment, and insurance. Costs associated with technology and infrastructure (third-party SaaS), depreciation and amortization of property and equipment and intangible assets, legal fees, rent, office related expenses, public relations costs, professional services fees, travel and</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40" w:name="page41"/>
    <w:bookmarkEnd w:id="40"/>
    <w:p>
      <w:pPr>
        <w:ind w:right="500"/>
        <w:spacing w:after="0" w:line="282" w:lineRule="auto"/>
        <w:rPr>
          <w:sz w:val="20"/>
          <w:szCs w:val="20"/>
          <w:color w:val="auto"/>
        </w:rPr>
      </w:pPr>
      <w:r>
        <w:rPr>
          <w:rFonts w:ascii="Times New Roman" w:cs="Times New Roman" w:eastAsia="Times New Roman" w:hAnsi="Times New Roman"/>
          <w:sz w:val="18"/>
          <w:szCs w:val="18"/>
          <w:color w:val="auto"/>
        </w:rPr>
        <w:t>entertainment, and insurance vary based upon our investment in infrastructure, business development, risk management and internal controls and are generally not correlated with our operating revenues or other transaction metrics.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Other (income) expenses consist of interest income, interest expense, gain on extinguishment of debt, changes in fair value of earnout liabilities and changes in fair value of warrant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(benefit) for income taxes consists of the federal and state corporate income taxes accrued on income resulting from the sale of our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180" w:type="dxa"/>
            <w:vAlign w:val="bottom"/>
            <w:shd w:val="clear" w:color="auto" w:fill="B6DEE8"/>
          </w:tcPr>
          <w:p>
            <w:pPr>
              <w:spacing w:after="0"/>
              <w:rPr>
                <w:sz w:val="20"/>
                <w:szCs w:val="20"/>
                <w:color w:val="auto"/>
              </w:rPr>
            </w:pPr>
          </w:p>
        </w:tc>
        <w:tc>
          <w:tcPr>
            <w:tcW w:w="104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400" w:type="dxa"/>
            <w:vAlign w:val="bottom"/>
            <w:shd w:val="clear" w:color="auto" w:fill="B6DEE8"/>
          </w:tcPr>
          <w:p>
            <w:pPr>
              <w:spacing w:after="0"/>
              <w:rPr>
                <w:sz w:val="20"/>
                <w:szCs w:val="20"/>
                <w:color w:val="auto"/>
              </w:rPr>
            </w:pPr>
          </w:p>
        </w:tc>
        <w:tc>
          <w:tcPr>
            <w:tcW w:w="800" w:type="dxa"/>
            <w:vAlign w:val="bottom"/>
            <w:shd w:val="clear" w:color="auto" w:fill="B6DEE8"/>
          </w:tcPr>
          <w:p>
            <w:pPr>
              <w:spacing w:after="0"/>
              <w:rPr>
                <w:sz w:val="20"/>
                <w:szCs w:val="20"/>
                <w:color w:val="auto"/>
              </w:rPr>
            </w:pPr>
          </w:p>
        </w:tc>
        <w:tc>
          <w:tcPr>
            <w:tcW w:w="26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1040" w:type="dxa"/>
            <w:vAlign w:val="bottom"/>
            <w:shd w:val="clear" w:color="auto" w:fill="B6DEE8"/>
          </w:tcPr>
          <w:p>
            <w:pPr>
              <w:spacing w:after="0"/>
              <w:rPr>
                <w:sz w:val="20"/>
                <w:szCs w:val="20"/>
                <w:color w:val="auto"/>
              </w:rPr>
            </w:pPr>
          </w:p>
        </w:tc>
        <w:tc>
          <w:tcPr>
            <w:tcW w:w="200" w:type="dxa"/>
            <w:vAlign w:val="bottom"/>
            <w:shd w:val="clear" w:color="auto" w:fill="B6DEE8"/>
          </w:tcPr>
          <w:p>
            <w:pPr>
              <w:spacing w:after="0"/>
              <w:rPr>
                <w:sz w:val="20"/>
                <w:szCs w:val="20"/>
                <w:color w:val="auto"/>
              </w:rPr>
            </w:pPr>
          </w:p>
        </w:tc>
        <w:tc>
          <w:tcPr>
            <w:tcW w:w="220" w:type="dxa"/>
            <w:vAlign w:val="bottom"/>
            <w:shd w:val="clear" w:color="auto" w:fill="B6DEE8"/>
          </w:tcPr>
          <w:p>
            <w:pPr>
              <w:spacing w:after="0"/>
              <w:rPr>
                <w:sz w:val="20"/>
                <w:szCs w:val="20"/>
                <w:color w:val="auto"/>
              </w:rPr>
            </w:pPr>
          </w:p>
        </w:tc>
        <w:tc>
          <w:tcPr>
            <w:tcW w:w="102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58,659</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39,166</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8"/>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18,297</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4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(246 )</w:t>
            </w:r>
          </w:p>
        </w:tc>
        <w:tc>
          <w:tcPr>
            <w:tcW w:w="2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6,632</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7"/>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92,489</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65,811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26,678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Processing fees, net of processor costs associated with ExtraCash originations, for the three months ended September 30, 2024 were $58.7 million, an increase of $19.5 million, or 50%, from $39.2 million for the three months ended September 30, 2023. The increase was primarily attributable to a 23% increase in monthly transacting Members period over period, increases in total ExtraCash volume from approximately $931.5 million to approximately $1,359.5 million period over period and average ExtraCash amounts that increased from $147 to $172 as of the three months ended September 30, 2023 and 2024, respectively. Additionally, the average processing fees Members paid to expedite ExtraCash increased, while the percentage of Members that chose to pay a processing fee to expedite ExtraCash remained flat for the three months ended September 30, 2024 as compared to the three months ended September 30, 2023, respectively. Prospectively, we expect processing fees to increase as expedited ExtraCash volume and average expedited ExtraCash sizes increase, however, processing fees have not always trended ratably. Prior to the implementation of percentage-based processing fees in late 2023, processing fees did not scale ratably with expedited ExtraCash origination amounts.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Tips for the three months ended September 30, 2024 were $18.3 million, an increase of $3.8 million, or 26%, from $14.5 million for the three months ended September 30, 2023. The increase was primarily attributable to higher tips from Members relating to increases in total ExtraCash volume from approximately $931.5 million to approximately $1,359.5 million period over period and average ExtraCash amounts increased from $147 to $172 for the three months ended September 30, 2023 and 2024, respectively. The average tip Members chose to leave increased while the percentage of Members that chose to leave a tip decreased for the three months ended September 30, 2024 as compared to the three months ended September 30, 2023, respectively. Tip amounts may not always trend ratably as tips can vary depending on the total amount of the ExtraCash, amount of tips Members choose to leave and the percentage of Members who leave a tip.</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Subscriptions for the three months ended September 30, 2024 were $6.3 million, an increase of $1.2 million, or 24%, from $5.1 million for the three months ended September 30, 2023. The increase was primarily attributable to an increase in paying Members on our platform.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Transaction based revenue, net for the three months ended September 30, 2024 was $9.1 million, an increase of $2.5 million, or 37%, from $6.6 million for the three months ended September 30, 2023. The increase was primarily attributable to interchange revenue earned from the growth in Members engaging with our Checking Product, card spend and transaction volume of $471.9 million for the three months ended September 30, 2024, an increase of 38%, from $341.0 million for the three months ended September 30, 2023, in addition to increases in fees earned from Members' funding and withdrawal-related transactions, offset by an increase of $0.3 million in interest due to Members.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2"/>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60" w:type="dxa"/>
            <w:vAlign w:val="bottom"/>
          </w:tcPr>
          <w:p>
            <w:pPr>
              <w:spacing w:after="0"/>
              <w:rPr>
                <w:sz w:val="20"/>
                <w:szCs w:val="20"/>
                <w:color w:val="auto"/>
              </w:rPr>
            </w:pPr>
          </w:p>
        </w:tc>
      </w:tr>
      <w:tr>
        <w:trPr>
          <w:trHeight w:val="233"/>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(2,303 )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(1,413 )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30,763</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57"/>
        </w:trPr>
        <w:tc>
          <w:tcPr>
            <w:tcW w:w="58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24,419</w:t>
            </w:r>
          </w:p>
        </w:tc>
        <w:tc>
          <w:tcPr>
            <w:tcW w:w="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6"/>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89,939</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76,385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13,554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$13.7 million for the three months ended September 30, 2024, compared to $16.0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2023. The decrease of $2.3 million, or 14%, was primarily attributable to a decrease in provision expense of $2.9 million related to ExtraCash receivables aged over 120 days and those that have become uncollectible based on information available to us, offset by an increase in provision expense of $0.6 million related to ExtraCash receivables aged 120 days and under.</w:t>
      </w:r>
    </w:p>
    <w:p>
      <w:pPr>
        <w:spacing w:after="0" w:line="1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decrease in provision expense of $2.9 million related to ExtraCash receivables aged over 120 days and those which have become uncollectible based on information available to us, period over period, was attributed to improved collections performance due primarily to underwriting modifications related to ExtraCash eligibility requirements, new Member conversion and risk detection, all despite increases in transacting Members, average ExtraCash amounts from $147 to $172 and total ExtraCash origination volume from $931.5 million to approximately $1,359.5 million for the three months ended September 30, 2023 and 2024, respectively. All impaired ExtraCash receivables deemed uncollectible are subsequently written-off and are a direct reduction to the allowance for credit losses.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$0.6 million related to ExtraCash receivables aged 120 days and under was primarily attributed to an increase in receivables outstanding related to the 46% increase in ExtraCash origination volume, offset by improved collections performance during the period ended September 30, 2024 as compared to the period ended September 30, 2023. This resulted in an increase to the allowance for credit losses and corresponding increase in provision expense during the three months ended September 30, 2024 as compared to September 30, 2023. We anticipate volatility in ExtraCash receivables outstanding each period as they are directly correlated with the timing and volume of Member ExtraCash activity during the last 120 days prior to the end of the period.</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Historical loss and collections rates utilized in the calculation of the provision for credit losses improved slightly when compared to historical rates due to continued improvement in historical collections performance. Any changes to our historical loss and collections experience directly affect the historical loss rates utilized in the calculation of the allowance for credit losses. The changes in the allowance for credit losses, period over period, have a direct impact on the provision for credit losses.</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ExtraCash receivables and a roll-forward of the allowance for credit losses, refer to the tables in Note 5 ExtraCash Receivables, Net in the accompanying condensed consolidated financial statements of Dave included in this report.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2" w:name="page43"/>
    <w:bookmarkEnd w:id="42"/>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$8.6 million for the three months ended September 30, 2024, compared to $7.1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2023. The increase of $1.5 million, or 21%, was primarily driven by increases in ExtraCash origination volume from $931.5 million to approximately $1,359.5 million, offset by, continued technology enhancements made to our ExtraCash payments structure along with rebates and cost savings due to price reductions from our processors.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Advertising and marketing</w:t>
      </w:r>
      <w:r>
        <w:rPr>
          <w:rFonts w:ascii="Times New Roman" w:cs="Times New Roman" w:eastAsia="Times New Roman" w:hAnsi="Times New Roman"/>
          <w:sz w:val="18"/>
          <w:szCs w:val="18"/>
          <w:color w:val="auto"/>
        </w:rPr>
        <w:t>—Advertising and marketing expenses totaled $12.5 million for the three months ended September 30, 2024, compared to $13.9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September 30, 2023. The decrease of $1.4 million, or 10%, was primarily attributable to a more targeted, conversion-focused spend approach on our advertising campaigns, production and promotions across various social media platforms and television. Additionally, channel and creative optimization and ongoing improvements to our measurement and reporting infrastructure allowed us to invest more intelligently across our marketing mix.</w:t>
      </w:r>
    </w:p>
    <w:p>
      <w:pPr>
        <w:spacing w:after="0" w:line="183"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$30.8 million for the three months ended September 30, 2024,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$23.1 million for the three months ended September 30, 2023. The increase of $7.7 million, or 33%, was primarily attributable to the following:</w:t>
      </w:r>
    </w:p>
    <w:p>
      <w:pPr>
        <w:spacing w:after="0" w:line="52" w:lineRule="exact"/>
        <w:rPr>
          <w:sz w:val="20"/>
          <w:szCs w:val="20"/>
          <w:color w:val="auto"/>
        </w:rPr>
      </w:pPr>
    </w:p>
    <w:p>
      <w:pPr>
        <w:ind w:left="1020" w:right="6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$6.6 million, primarily due to the vesting of certain performance based restricted stock units during the three months ended September 30, 2024, compared to the three months ended September 30, 2023, offset by a reduction in stock-based compensation expense related to stock options granted in prior years that have fully vested; and</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related costs of $1.1 million, primarily due to an increase in salaries, offset by reductions in headcounts and severance-related costs, period over period.</w:t>
      </w:r>
    </w:p>
    <w:p>
      <w:pPr>
        <w:spacing w:after="0" w:line="16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$24.4 million for the three months ended September 30, 2024, compared to $16.3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September 30, 2023. The increase of $8.1 million, or 49%, was primarily attributable to the following:</w:t>
      </w:r>
    </w:p>
    <w:p>
      <w:pPr>
        <w:spacing w:after="0" w:line="52"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settlement expenses of $7.3 million, primarily attributed to a $7.0 million legal settlement and litigation accrual related to the FTC matter.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expenses related to our Checking Product of $0.8 million, primarily attributable to processing fees, card fees and fraud related costs associated with the growth in Members and the number of transactions processed; and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of $0.4 million, primarily due to increased amortization of other internally capitalized project costs and depreciation related to leasehold improvements and equipment purchases; offset by</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various general and administrative expenses of $0.5 million, primarily due to cost cutting measures enacted across the Company.</w:t>
      </w:r>
    </w:p>
    <w:p>
      <w:pPr>
        <w:sectPr>
          <w:pgSz w:w="11900" w:h="16838" w:orient="portrait"/>
          <w:cols w:equalWidth="0" w:num="1">
            <w:col w:w="11200"/>
          </w:cols>
          <w:pgMar w:left="320" w:top="1199" w:right="37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expenses</w:t>
      </w: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p>
      <w:pPr>
        <w:spacing w:after="0" w:line="2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fair value of earnout liabilities</w:t>
      </w:r>
    </w:p>
    <w:p>
      <w:pPr>
        <w:spacing w:after="0" w:line="36"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280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1"/>
        </w:trPr>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37"/>
        </w:trPr>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60" w:type="dxa"/>
            <w:vAlign w:val="bottom"/>
          </w:tcPr>
          <w:p>
            <w:pPr>
              <w:spacing w:after="0"/>
              <w:rPr>
                <w:sz w:val="20"/>
                <w:szCs w:val="20"/>
                <w:color w:val="auto"/>
              </w:rPr>
            </w:pPr>
          </w:p>
        </w:tc>
      </w:tr>
      <w:tr>
        <w:trPr>
          <w:trHeight w:val="230"/>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(1,093 )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43"/>
        </w:trPr>
        <w:tc>
          <w:tcPr>
            <w:tcW w:w="180" w:type="dxa"/>
            <w:vAlign w:val="bottom"/>
          </w:tcPr>
          <w:p>
            <w:pPr>
              <w:spacing w:after="0"/>
              <w:rPr>
                <w:sz w:val="21"/>
                <w:szCs w:val="21"/>
                <w:color w:val="auto"/>
              </w:rPr>
            </w:pPr>
          </w:p>
        </w:tc>
        <w:tc>
          <w:tcPr>
            <w:tcW w:w="1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(17 )</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-950 %</w:t>
            </w:r>
          </w:p>
        </w:tc>
      </w:tr>
      <w:tr>
        <w:trPr>
          <w:trHeight w:val="459"/>
        </w:trPr>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(257 )</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-179 %</w:t>
            </w:r>
          </w:p>
        </w:tc>
      </w:tr>
      <w:tr>
        <w:trPr>
          <w:trHeight w:val="236"/>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3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-933450</wp:posOffset>
            </wp:positionV>
            <wp:extent cx="641223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-624840</wp:posOffset>
            </wp:positionV>
            <wp:extent cx="641223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-179070</wp:posOffset>
            </wp:positionV>
            <wp:extent cx="6412230" cy="1797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00"/>
            <w:col w:w="6240"/>
          </w:cols>
          <w:pgMar w:left="320" w:top="1199" w:right="379" w:bottom="1440" w:gutter="0" w:footer="0" w:header="0"/>
          <w:type w:val="continuous"/>
        </w:sectPr>
      </w:pPr>
    </w:p>
    <w:p>
      <w:pPr>
        <w:spacing w:after="0" w:line="306"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$0.4 million for the three months ended September 30, 2024, compared to $1.3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The decrease of $0.9 million, or 67%, was primarily attributable to an average lower total balance of investments held during the quarter ended September 30, 2024 as compared to the quarter ended September 30, 2023.</w:t>
      </w:r>
    </w:p>
    <w:p>
      <w:pPr>
        <w:spacing w:after="0" w:line="17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$2.0 million for the three months ended September 30, 2024, compared to $3.1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The decrease of $1.1 million, or 36%, was primarily attributable to a reduction of interest expense related to the repurchase of the convertible note with FTX Ventures Ltd. in January 2024.</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9" w:right="379" w:bottom="1440" w:gutter="0" w:footer="0" w:header="0"/>
          <w:type w:val="continuous"/>
        </w:sectPr>
      </w:pPr>
    </w:p>
    <w:bookmarkStart w:id="43" w:name="page44"/>
    <w:bookmarkEnd w:id="43"/>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fair value of warrant liability totaled an expense of $0.2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a gain of $0.3 million for the three months ended September 30, 2023. The increase in expense of $0.5 million, or 179%, was primarily attributable to fair value adjustments associated with our public and private warrant liabilities due to increases in our underlying Class A Common Stock price compared to the quarter ended September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54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8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4044 %</w:t>
            </w:r>
          </w:p>
        </w:tc>
      </w:tr>
      <w:tr>
        <w:trPr>
          <w:trHeight w:val="236"/>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13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4044 %</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Provision for income taxes for the three months ended September 30, 2024 increased by approximately $0.4 million compared to the three months ended September 30, 2023. The increase was primarily due to income reported for the three months ended September 30, 2024 compared to losses report for the three months ended September 30, 2023. The Company reported losses for the three months ended September 30, 2023 resulting in state minimum taxes but no income tax benefit on the losses due to the Company’s valuation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3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Service based revenue, net</w:t>
            </w:r>
          </w:p>
        </w:tc>
        <w:tc>
          <w:tcPr>
            <w:tcW w:w="200" w:type="dxa"/>
            <w:vAlign w:val="bottom"/>
            <w:shd w:val="clear" w:color="auto" w:fill="B6DEE8"/>
          </w:tcPr>
          <w:p>
            <w:pPr>
              <w:spacing w:after="0"/>
              <w:rPr>
                <w:sz w:val="20"/>
                <w:szCs w:val="20"/>
                <w:color w:val="auto"/>
              </w:rPr>
            </w:pPr>
          </w:p>
        </w:tc>
        <w:tc>
          <w:tcPr>
            <w:tcW w:w="1020" w:type="dxa"/>
            <w:vAlign w:val="bottom"/>
            <w:shd w:val="clear" w:color="auto" w:fill="B6DEE8"/>
          </w:tcPr>
          <w:p>
            <w:pPr>
              <w:spacing w:after="0"/>
              <w:rPr>
                <w:sz w:val="20"/>
                <w:szCs w:val="20"/>
                <w:color w:val="auto"/>
              </w:rPr>
            </w:pPr>
          </w:p>
        </w:tc>
        <w:tc>
          <w:tcPr>
            <w:tcW w:w="300" w:type="dxa"/>
            <w:vAlign w:val="bottom"/>
            <w:shd w:val="clear" w:color="auto" w:fill="B6DEE8"/>
          </w:tcPr>
          <w:p>
            <w:pPr>
              <w:spacing w:after="0"/>
              <w:rPr>
                <w:sz w:val="20"/>
                <w:szCs w:val="20"/>
                <w:color w:val="auto"/>
              </w:rPr>
            </w:pPr>
          </w:p>
        </w:tc>
        <w:tc>
          <w:tcPr>
            <w:tcW w:w="400" w:type="dxa"/>
            <w:vAlign w:val="bottom"/>
            <w:shd w:val="clear" w:color="auto" w:fill="B6DEE8"/>
          </w:tcPr>
          <w:p>
            <w:pPr>
              <w:spacing w:after="0"/>
              <w:rPr>
                <w:sz w:val="20"/>
                <w:szCs w:val="20"/>
                <w:color w:val="auto"/>
              </w:rPr>
            </w:pPr>
          </w:p>
        </w:tc>
        <w:tc>
          <w:tcPr>
            <w:tcW w:w="800" w:type="dxa"/>
            <w:vAlign w:val="bottom"/>
            <w:shd w:val="clear" w:color="auto" w:fill="B6DEE8"/>
          </w:tcPr>
          <w:p>
            <w:pPr>
              <w:spacing w:after="0"/>
              <w:rPr>
                <w:sz w:val="20"/>
                <w:szCs w:val="20"/>
                <w:color w:val="auto"/>
              </w:rPr>
            </w:pPr>
          </w:p>
        </w:tc>
        <w:tc>
          <w:tcPr>
            <w:tcW w:w="260" w:type="dxa"/>
            <w:vAlign w:val="bottom"/>
            <w:shd w:val="clear" w:color="auto" w:fill="B6DEE8"/>
          </w:tcPr>
          <w:p>
            <w:pPr>
              <w:spacing w:after="0"/>
              <w:rPr>
                <w:sz w:val="20"/>
                <w:szCs w:val="20"/>
                <w:color w:val="auto"/>
              </w:rPr>
            </w:pPr>
          </w:p>
        </w:tc>
        <w:tc>
          <w:tcPr>
            <w:tcW w:w="160" w:type="dxa"/>
            <w:vAlign w:val="bottom"/>
            <w:shd w:val="clear" w:color="auto" w:fill="B6DEE8"/>
          </w:tcPr>
          <w:p>
            <w:pPr>
              <w:spacing w:after="0"/>
              <w:rPr>
                <w:sz w:val="20"/>
                <w:szCs w:val="20"/>
                <w:color w:val="auto"/>
              </w:rPr>
            </w:pPr>
          </w:p>
        </w:tc>
        <w:tc>
          <w:tcPr>
            <w:tcW w:w="1040" w:type="dxa"/>
            <w:vAlign w:val="bottom"/>
            <w:shd w:val="clear" w:color="auto" w:fill="B6DEE8"/>
          </w:tcPr>
          <w:p>
            <w:pPr>
              <w:spacing w:after="0"/>
              <w:rPr>
                <w:sz w:val="20"/>
                <w:szCs w:val="20"/>
                <w:color w:val="auto"/>
              </w:rPr>
            </w:pPr>
          </w:p>
        </w:tc>
        <w:tc>
          <w:tcPr>
            <w:tcW w:w="200" w:type="dxa"/>
            <w:vAlign w:val="bottom"/>
            <w:shd w:val="clear" w:color="auto" w:fill="B6DEE8"/>
          </w:tcPr>
          <w:p>
            <w:pPr>
              <w:spacing w:after="0"/>
              <w:rPr>
                <w:sz w:val="20"/>
                <w:szCs w:val="20"/>
                <w:color w:val="auto"/>
              </w:rPr>
            </w:pPr>
          </w:p>
        </w:tc>
        <w:tc>
          <w:tcPr>
            <w:tcW w:w="220" w:type="dxa"/>
            <w:vAlign w:val="bottom"/>
            <w:shd w:val="clear" w:color="auto" w:fill="B6DEE8"/>
          </w:tcPr>
          <w:p>
            <w:pPr>
              <w:spacing w:after="0"/>
              <w:rPr>
                <w:sz w:val="20"/>
                <w:szCs w:val="20"/>
                <w:color w:val="auto"/>
              </w:rPr>
            </w:pPr>
          </w:p>
        </w:tc>
        <w:tc>
          <w:tcPr>
            <w:tcW w:w="1020" w:type="dxa"/>
            <w:vAlign w:val="bottom"/>
            <w:shd w:val="clear" w:color="auto" w:fill="B6DEE8"/>
          </w:tcPr>
          <w:p>
            <w:pPr>
              <w:spacing w:after="0"/>
              <w:rPr>
                <w:sz w:val="20"/>
                <w:szCs w:val="20"/>
                <w:color w:val="auto"/>
              </w:rPr>
            </w:pPr>
          </w:p>
        </w:tc>
        <w:tc>
          <w:tcPr>
            <w:tcW w:w="100" w:type="dxa"/>
            <w:vAlign w:val="bottom"/>
            <w:shd w:val="clear" w:color="auto" w:fill="B6DEE8"/>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Processing fees,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152,850</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108,153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8"/>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Tips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49,284</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(648 )</w:t>
            </w:r>
          </w:p>
        </w:tc>
        <w:tc>
          <w:tcPr>
            <w:tcW w:w="2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based revenue, net</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246,236</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185,974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60,262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0"/>
        </w:trPr>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based revenue, net—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fees,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net of processor costs associated with ExtraCash originations, for the nine months ended September 30, 2024 were $152.9 million,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of $44.7 million, or 41%, from $108.2 million for the nine months ended September 30, 2023. The increase was primarily attributable to an 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monthly transacting Members period over period, increases in total ExtraCash volume from approximately $2,596.9 million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$3,596.2 million period over period and average ExtraCash amounts that increased from $152 to $166 as of the nine months ended September 30, 2023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respectively. Additionally, the average processing fees Members paid to expedite ExtraCash increased while the percentage of Members that chose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a processing fee to expedite ExtraCash remained flat for the nine months ended September 30, 2024 as compared to the nine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2023, respectively. Prospectively, we expect processing fees to increase as expedited ExtraCash volume and average expedited ExtraCash sizes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however, processing fees have not always trended ratably. Prior to the implementation of percentage-based processing fees in late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did not scale ratably with expedited ExtraCash origination sizes.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Tips</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Tips for the nine months ended September 30, 2024 were $49.3 million, an increase of $7.9 million, or 19%, from $41.4 million for the nine months ended September 30, 2023. The increase was primarily attributable to higher tips from Members relating to increases in total ExtraCash volume from approximately $2,596.9 million to approximately $3,596.2 million period over period and average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44" w:name="page45"/>
    <w:bookmarkEnd w:id="44"/>
    <w:p>
      <w:pPr>
        <w:ind w:right="20"/>
        <w:spacing w:after="0" w:line="261" w:lineRule="auto"/>
        <w:rPr>
          <w:sz w:val="20"/>
          <w:szCs w:val="20"/>
          <w:color w:val="auto"/>
        </w:rPr>
      </w:pPr>
      <w:r>
        <w:rPr>
          <w:rFonts w:ascii="Times New Roman" w:cs="Times New Roman" w:eastAsia="Times New Roman" w:hAnsi="Times New Roman"/>
          <w:sz w:val="18"/>
          <w:szCs w:val="18"/>
          <w:color w:val="auto"/>
        </w:rPr>
        <w:t>ExtraCash amounts increased from $152 to $166 for the nine months ended September 30, 2023 and 2024, respectively. The average tip Members chose to leave increased while the percentage of Members that chose to leave a tip decreased for the nine months ended September 30, 2024 as compared to the nine months ended September 30, 2023, respectively. Tip amounts may not always trend ratably as tips can vary depending on the total amount of the ExtraCash, the amount of tips Members choose to leave and the percentage of Members who leave a tip.</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Subscriptions for the nine months ended September 30, 2024 were $18.1 million, an increase of $1.9 million, or 12%, from $16.2 million for the nine months ended September 30, 2023. The increase was primarily attributable to an increase in paying Members on our platform.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based revenue, net</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Transaction based revenue, net for the nine months ended September 30, 2024 were $25.6 million, an increase of $6.4 million, or 33%, from $19.2 million for the nine months ended September 30, 2023. The increase was primarily attributable to interchange revenue earned from the growth in Members engaging with our Checking Product, card spend and transaction volume of $1,393.8 million for the nine months ended September 30, 2024, an increase of 48%, from $940.0 million for the nine months ended September 30, 2023 and increases in fees earned from Members' funding and withdrawal-related transactions, offset by an increase of $1.1 million in interest due to Members during the nine months ended September 30, 2024.</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2"/>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60" w:type="dxa"/>
            <w:vAlign w:val="bottom"/>
          </w:tcPr>
          <w:p>
            <w:pPr>
              <w:spacing w:after="0"/>
              <w:rPr>
                <w:sz w:val="20"/>
                <w:szCs w:val="20"/>
                <w:color w:val="auto"/>
              </w:rPr>
            </w:pPr>
          </w:p>
        </w:tc>
      </w:tr>
      <w:tr>
        <w:trPr>
          <w:trHeight w:val="232"/>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37,988</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(5,873 )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Processing and servicing costs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(6,029 )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79,830</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71,380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56"/>
        </w:trPr>
        <w:tc>
          <w:tcPr>
            <w:tcW w:w="580" w:type="dxa"/>
            <w:vAlign w:val="bottom"/>
          </w:tcPr>
          <w:p>
            <w:pPr>
              <w:spacing w:after="0"/>
              <w:rPr>
                <w:sz w:val="22"/>
                <w:szCs w:val="22"/>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58,366</w:t>
            </w:r>
          </w:p>
        </w:tc>
        <w:tc>
          <w:tcPr>
            <w:tcW w:w="3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54,922</w:t>
            </w:r>
          </w:p>
        </w:tc>
        <w:tc>
          <w:tcPr>
            <w:tcW w:w="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7"/>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232,618</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229,947</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credit losses</w:t>
      </w:r>
      <w:r>
        <w:rPr>
          <w:rFonts w:ascii="Times New Roman" w:cs="Times New Roman" w:eastAsia="Times New Roman" w:hAnsi="Times New Roman"/>
          <w:sz w:val="18"/>
          <w:szCs w:val="18"/>
          <w:color w:val="auto"/>
        </w:rPr>
        <w:t>—The provision for credit losses totaled $38.0 million for the nine months ended September 30, 2024, compared to $43.9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nine months ended September 30, 2023. The decrease of $5.9 million, or 13%, was primarily attributable to a decrease in provision expense of $11.4 million related to ExtraCash receivables aged over 120 days and those that have become uncollectible based on information available to us, offset by an increase in provision expense of $5.6 million related to ExtraCash receivables aged 120 days and under.</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decrease in provision expense of $11.4 million related to ExtraCash receivables aged over 120 days and those which have become uncollectible based on information available to us, period over period, was attributed to improved collections performance due primarily to underwriting modifications related to ExtraCash eligibility requirements, new Member conversion and risk detection, despite increases in transacting Members, average ExtraCash from $152 to $166 and total ExtraCash origination volume from $2,596.9 million to approximately $3,596.2 million for the nine months ended September 30, 2023 and 2024, respectively. All impaired ExtraCash receivables deemed uncollectible are subsequently written-off and are a direct reduction to the allowance for credit losses.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increase in provision expense of $5.6 million related to ExtraCash receivables aged 120 days and under was primarily attributed to an increase in receivables outstanding related to the 38% increase in ExtraCash volume, offset by improved collections performance during the nine months ended September 30, 2024 compared to the nine months ended September 30, 2023. This resulted in an increase to the allowance for credit losses and corresponding increase in provision expense during the nine months ended September 30, 2024 as compared to September 30, 2023. We anticipate volatility in ExtraCash receivables outstanding each period as they are directly correlated with the timing and volume of Member ExtraCash activity during the last 120 days prior to the end of the period.</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Historical loss and collections rates utilized in the calculation of the provision for credit losses decreased slightly when compared to historical rates due to continued improvement in historical collections performance. Any changes to our historical loss and collections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ind w:right="500"/>
        <w:spacing w:after="0" w:line="282" w:lineRule="auto"/>
        <w:rPr>
          <w:sz w:val="20"/>
          <w:szCs w:val="20"/>
          <w:color w:val="auto"/>
        </w:rPr>
      </w:pPr>
      <w:r>
        <w:rPr>
          <w:rFonts w:ascii="Times New Roman" w:cs="Times New Roman" w:eastAsia="Times New Roman" w:hAnsi="Times New Roman"/>
          <w:sz w:val="18"/>
          <w:szCs w:val="18"/>
          <w:color w:val="auto"/>
        </w:rPr>
        <w:t>experience directly affect the historical loss rates utilized in the calculation of the allowance for credit losses. The changes in the allowance for credit losses, period over period, have a direct impact on the provision for credit losses.</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information on the aging of ExtraCash receivables and a roll-forward of the allowance for credit losses, refer to the tables in Note 5 ExtraCash receivables, Net in the accompanying condensed consolidated financial statements of Dave included in this report.</w:t>
      </w:r>
    </w:p>
    <w:p>
      <w:pPr>
        <w:spacing w:after="0" w:line="16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Processing and service costs</w:t>
      </w:r>
      <w:r>
        <w:rPr>
          <w:rFonts w:ascii="Times New Roman" w:cs="Times New Roman" w:eastAsia="Times New Roman" w:hAnsi="Times New Roman"/>
          <w:sz w:val="18"/>
          <w:szCs w:val="18"/>
          <w:color w:val="auto"/>
        </w:rPr>
        <w:t>—Processing and servicing costs totaled $24.1 million for the nine months ended September 30, 2024, compared to $21.4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The increase of $2.7 million, or 13%, was primarily driven by increases in ExtraCash origination volume from $2,596.9 million to approximately $3,596.2 million, offset by, technology enhancements made to our ExtraCash payments structure along with rebates and cost savings due to price reductions from our processors.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Advertising and marketing</w:t>
      </w:r>
      <w:r>
        <w:rPr>
          <w:rFonts w:ascii="Times New Roman" w:cs="Times New Roman" w:eastAsia="Times New Roman" w:hAnsi="Times New Roman"/>
          <w:sz w:val="18"/>
          <w:szCs w:val="18"/>
          <w:color w:val="auto"/>
        </w:rPr>
        <w:t>—Advertising and marketing expenses totaled $32.3 million for the nine months ended September 30, 2024, compared to $38.4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The decrease of $6.0 million, or 16%, was primarily attributable to a more targeted, conversion-focused spend approach on our advertising campaigns, production and promotions across various social media platforms and television. Additionally, channel and creative optimization and ongoing improvements to our measurement and reporting infrastructure allowed us to invest more intelligently across our marketing mix.</w:t>
      </w:r>
    </w:p>
    <w:p>
      <w:pPr>
        <w:spacing w:after="0" w:line="183"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Compensation and benefits</w:t>
      </w:r>
      <w:r>
        <w:rPr>
          <w:rFonts w:ascii="Times New Roman" w:cs="Times New Roman" w:eastAsia="Times New Roman" w:hAnsi="Times New Roman"/>
          <w:sz w:val="18"/>
          <w:szCs w:val="18"/>
          <w:color w:val="auto"/>
        </w:rPr>
        <w:t>—Compensation and benefits expenses totaled $79.8 million for the nine months ended September 30, 2024, compared to $71.4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nine months ended September 30, 2023. The increase of $8.4 million, or 12%, was primarily attributable to the following:</w:t>
      </w:r>
    </w:p>
    <w:p>
      <w:pPr>
        <w:spacing w:after="0" w:line="52" w:lineRule="exact"/>
        <w:rPr>
          <w:sz w:val="20"/>
          <w:szCs w:val="20"/>
          <w:color w:val="auto"/>
        </w:rPr>
      </w:pPr>
    </w:p>
    <w:p>
      <w:pPr>
        <w:ind w:left="1020" w:right="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stock-based compensation of $7.0 million, primarily due to additional stock-based compensation expense related to a modification of price targets in the market vesting conditions for unvested RSUs, larger amounts of restricted stock units granted during the 9 months ended September 30, 2024 and the vesting of certain performance based RSUs compared to the nine months ended September 30, 2023, offset by a reduction in stock-based compensation expense related to stock options granted in prior years that have fully vested;</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payroll and related costs of $2.2 million, primarily related to increases in salaries and performance bonuses; offset by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contractor and consulting fees of $0.8 million due to the reduction in external support for IT security, finance, marketing, design and customer service resources.</w:t>
      </w:r>
    </w:p>
    <w:p>
      <w:pPr>
        <w:spacing w:after="0" w:line="16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—Other operating expenses totaled $58.4 million for the nine months ended September 30, 2024, compared to $54.9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2023. The increase of $3.4 million, or 6%, was primarily attributable to the following:</w:t>
      </w:r>
    </w:p>
    <w:p>
      <w:pPr>
        <w:spacing w:after="0" w:line="268" w:lineRule="exact"/>
        <w:rPr>
          <w:sz w:val="20"/>
          <w:szCs w:val="20"/>
          <w:color w:val="auto"/>
        </w:rPr>
      </w:pPr>
    </w:p>
    <w:p>
      <w:pPr>
        <w:ind w:left="1020" w:right="1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legal expenses of $2.9 million, primarily due to a $7.0 million legal settlement and litigation accrual related to the FTC matter during the nine months ended September 30, 2024, compared to $4.3 million in legal and settlement related to a separate matter incurred during the nine months ended September 30, 2023;</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expenses related to our Checking Product of $1.5 million, primarily attributable to processing fees, card fees and fraud related costs associated with the growth in Members and the number of transactions processed; and</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depreciation and amortization of $1.5 million, primarily due to increased amortization of other internally capitalized project costs and depreciation related to leasehold improvements and equipment purchases; offset by</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contribution expenses of $1.0 million, primarily due to amounts pledged to charitable meal donations related to Members' tips;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various general and administrative expenses of $1.6 million, primarily due to cost cutting measures enacted across the company.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p>
      <w:pPr>
        <w:spacing w:after="0" w:line="2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Gain on extinguishment of convertible debt</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fair value of earnout liabilities</w:t>
      </w:r>
    </w:p>
    <w:p>
      <w:pPr>
        <w:spacing w:after="0" w:line="36"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200" w:type="dxa"/>
            <w:vAlign w:val="bottom"/>
          </w:tcPr>
          <w:p>
            <w:pPr>
              <w:spacing w:after="0"/>
              <w:rPr>
                <w:sz w:val="21"/>
                <w:szCs w:val="21"/>
                <w:color w:val="auto"/>
              </w:rPr>
            </w:pPr>
          </w:p>
        </w:tc>
        <w:tc>
          <w:tcPr>
            <w:tcW w:w="2780" w:type="dxa"/>
            <w:vAlign w:val="bottom"/>
            <w:gridSpan w:val="5"/>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41"/>
        </w:trPr>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60" w:type="dxa"/>
            <w:vAlign w:val="bottom"/>
          </w:tcPr>
          <w:p>
            <w:pPr>
              <w:spacing w:after="0"/>
              <w:rPr>
                <w:sz w:val="20"/>
                <w:szCs w:val="20"/>
                <w:color w:val="auto"/>
              </w:rPr>
            </w:pPr>
          </w:p>
        </w:tc>
      </w:tr>
      <w:tr>
        <w:trPr>
          <w:trHeight w:val="230"/>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(2,836 )</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200" w:type="dxa"/>
            <w:vAlign w:val="bottom"/>
          </w:tcPr>
          <w:p>
            <w:pPr>
              <w:spacing w:after="0"/>
              <w:rPr>
                <w:sz w:val="21"/>
                <w:szCs w:val="21"/>
                <w:color w:val="auto"/>
              </w:rPr>
            </w:pP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(33,442 )</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(33,442 )</w:t>
            </w: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459"/>
        </w:trPr>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(239 )</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r>
      <w:tr>
        <w:trPr>
          <w:trHeight w:val="236"/>
        </w:trPr>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(29,243</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4,699</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(33,942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-1087755</wp:posOffset>
            </wp:positionV>
            <wp:extent cx="641223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-779145</wp:posOffset>
            </wp:positionV>
            <wp:extent cx="641223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-471170</wp:posOffset>
            </wp:positionV>
            <wp:extent cx="6412230" cy="291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41223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700"/>
            <w:col w:w="6260"/>
          </w:cols>
          <w:pgMar w:left="320" w:top="1309" w:right="359" w:bottom="1440" w:gutter="0" w:footer="0" w:header="0"/>
        </w:sectPr>
      </w:pPr>
    </w:p>
    <w:p>
      <w:pPr>
        <w:spacing w:after="0" w:line="63" w:lineRule="exact"/>
        <w:rPr>
          <w:sz w:val="20"/>
          <w:szCs w:val="20"/>
          <w:color w:val="auto"/>
        </w:rPr>
      </w:pPr>
    </w:p>
    <w:p>
      <w:pPr>
        <w:jc w:val="both"/>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totaled $2.5 million for the nine months ended September 30, 2024, compared to $4.0 million for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The decrease of $1.5 million, or 38%, was primarily attributable to an average lower balance of investments held during the nine months ended September 30, 2024 as compared to the nine months ended September 30, 2023.</w:t>
      </w:r>
    </w:p>
    <w:p>
      <w:pPr>
        <w:spacing w:after="0" w:line="173"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totaled $6.1 million for the nine months ended September 30, 2024, compared to $9.0 million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The decrease of $2.8 million, or 32%, was primarily attributable to a reduction of interest expense related to the repurchase of the convertible note with FTX Ventures Ltd. in January 2024.</w:t>
      </w:r>
    </w:p>
    <w:p>
      <w:pPr>
        <w:spacing w:after="0" w:line="17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Gain on extinguishment of convertible debt</w:t>
      </w:r>
      <w:r>
        <w:rPr>
          <w:rFonts w:ascii="Times New Roman" w:cs="Times New Roman" w:eastAsia="Times New Roman" w:hAnsi="Times New Roman"/>
          <w:sz w:val="18"/>
          <w:szCs w:val="18"/>
          <w:color w:val="auto"/>
        </w:rPr>
        <w:t>— The gain on extinguishment of convertible debt totaled $33.4 million for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$0 for the nine months ended September 30, 2023. The increase was primarily attributable to the repurchase of the $105.7 million outstanding balance of the convertible note with FTX Ventures Ltd. for $71.0 million during January of 2024. The gain was reduced by unamortized debt issuance costs of $0.03 million at the extinguishment date and third-party costs totaling $1.3 million in conjunction with the settlement of the convertible note.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earnout liability</w:t>
      </w:r>
      <w:r>
        <w:rPr>
          <w:rFonts w:ascii="Times New Roman" w:cs="Times New Roman" w:eastAsia="Times New Roman" w:hAnsi="Times New Roman"/>
          <w:sz w:val="18"/>
          <w:szCs w:val="18"/>
          <w:color w:val="auto"/>
        </w:rPr>
        <w:t>—Changes in the fair value of earnout liabilities totaled an expense of $0.1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a gain of $0.04 million for the nine months ended September 30, 2023. The increase in expense of $0.2 million, or 431%, was primarily attributable to fair value adjustments associated with our earnout shares liability due to increases in our underlying Class A Common Stock price as of the nine months ended September 30, 2024 when compared to the nine months ended September 30, 2023.</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Changes in fair value of warrant liability</w:t>
      </w:r>
      <w:r>
        <w:rPr>
          <w:rFonts w:ascii="Times New Roman" w:cs="Times New Roman" w:eastAsia="Times New Roman" w:hAnsi="Times New Roman"/>
          <w:sz w:val="18"/>
          <w:szCs w:val="18"/>
          <w:color w:val="auto"/>
        </w:rPr>
        <w:t>—Changes in the fair value of warrant liability totaled an expense of $0.4 million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a gain of $0.2 million for the nine months ended September 30, 2023. The increase in expense of $0.6 million, or 271%, was primarily attributable to fair value adjustments associated with our public and private warrant liabilities due to increases in our underlying Class A Common Stock price for the nine months ended September 30, 2024 as compared to the nine months ended September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2"/>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percentages)</w:t>
            </w:r>
          </w:p>
        </w:tc>
        <w:tc>
          <w:tcPr>
            <w:tcW w:w="8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2024/2023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2024/2023</w:t>
            </w:r>
          </w:p>
        </w:tc>
        <w:tc>
          <w:tcPr>
            <w:tcW w:w="1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1,794</w:t>
            </w:r>
          </w:p>
        </w:tc>
        <w:tc>
          <w:tcPr>
            <w:tcW w:w="3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7375 %</w:t>
            </w:r>
          </w:p>
        </w:tc>
      </w:tr>
      <w:tr>
        <w:trPr>
          <w:trHeight w:val="236"/>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1,794</w:t>
            </w:r>
          </w:p>
        </w:tc>
        <w:tc>
          <w:tcPr>
            <w:tcW w:w="12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7375 %</w:t>
            </w: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7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Provision for income taxes for the nine months ended September 30, 2024 increased by approximately $1.8 million compared to the nine months ended September 30, 2023. This increase was primarily due to a significant increase in income for nine months ended September 30, 2024 compared to the nine months ended September 30, 2023, including a discrete gain on extinguishment of convertible debt of $33.4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type w:val="continuous"/>
        </w:sectPr>
      </w:pPr>
    </w:p>
    <w:bookmarkStart w:id="47" w:name="page48"/>
    <w:bookmarkEnd w:id="47"/>
    <w:p>
      <w:pPr>
        <w:ind w:right="480"/>
        <w:spacing w:after="0" w:line="282" w:lineRule="auto"/>
        <w:rPr>
          <w:sz w:val="20"/>
          <w:szCs w:val="20"/>
          <w:color w:val="auto"/>
        </w:rPr>
      </w:pPr>
      <w:r>
        <w:rPr>
          <w:rFonts w:ascii="Times New Roman" w:cs="Times New Roman" w:eastAsia="Times New Roman" w:hAnsi="Times New Roman"/>
          <w:sz w:val="18"/>
          <w:szCs w:val="18"/>
          <w:color w:val="auto"/>
        </w:rPr>
        <w:t>and facilitates an alternative comparison among fiscal periods. The non-GAAP financial measure is not, and should not be viewed as, a substitute for GAAP reporting measures.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“Adjusted EBITDA” is defined as net income (loss) adjusted for interest expense, net, provision (benefit)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not all companies calculate Adjusted EBITDA in the same fashion.</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income (loss) to Adjusted EBITDA below should be reviewed, and no single financial measure should be relied upon to evaluate our business.</w:t>
      </w:r>
    </w:p>
    <w:p>
      <w:pPr>
        <w:spacing w:after="0" w:line="18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(loss) to Adjusted EBITDA (loss) for the three and nine months ended September 30, 2024 and 2023, respectively:</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320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6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shd w:val="clear" w:color="auto" w:fill="B6DEE8"/>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40" w:type="dxa"/>
            <w:vAlign w:val="bottom"/>
            <w:shd w:val="clear" w:color="auto" w:fill="B6DEE8"/>
          </w:tcPr>
          <w:p>
            <w:pPr>
              <w:spacing w:after="0"/>
              <w:rPr>
                <w:sz w:val="20"/>
                <w:szCs w:val="20"/>
                <w:color w:val="auto"/>
              </w:rPr>
            </w:pPr>
          </w:p>
        </w:tc>
        <w:tc>
          <w:tcPr>
            <w:tcW w:w="1100" w:type="dxa"/>
            <w:vAlign w:val="bottom"/>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(12,053 )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4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13,359</w:t>
            </w:r>
          </w:p>
        </w:tc>
        <w:tc>
          <w:tcPr>
            <w:tcW w:w="34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accrual</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20" w:type="dxa"/>
            <w:vAlign w:val="bottom"/>
            <w:shd w:val="clear" w:color="auto" w:fill="B6DEE8"/>
          </w:tcPr>
          <w:p>
            <w:pPr>
              <w:spacing w:after="0"/>
              <w:rPr>
                <w:sz w:val="21"/>
                <w:szCs w:val="21"/>
                <w:color w:val="auto"/>
              </w:rPr>
            </w:pPr>
          </w:p>
        </w:tc>
        <w:tc>
          <w:tcPr>
            <w:tcW w:w="98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(17 )</w:t>
            </w:r>
          </w:p>
        </w:tc>
        <w:tc>
          <w:tcPr>
            <w:tcW w:w="1100" w:type="dxa"/>
            <w:vAlign w:val="bottom"/>
            <w:shd w:val="clear" w:color="auto" w:fill="B6DEE8"/>
          </w:tcPr>
          <w:p>
            <w:pPr>
              <w:spacing w:after="0"/>
              <w:rPr>
                <w:sz w:val="21"/>
                <w:szCs w:val="21"/>
                <w:color w:val="auto"/>
              </w:rPr>
            </w:pPr>
          </w:p>
        </w:tc>
        <w:tc>
          <w:tcPr>
            <w:tcW w:w="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B6DEE8"/>
          </w:tcPr>
          <w:p>
            <w:pPr>
              <w:spacing w:after="0"/>
              <w:rPr>
                <w:sz w:val="21"/>
                <w:szCs w:val="21"/>
                <w:color w:val="auto"/>
              </w:rPr>
            </w:pPr>
          </w:p>
        </w:tc>
      </w:tr>
      <w:tr>
        <w:trPr>
          <w:trHeight w:val="24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(257 )</w:t>
            </w:r>
          </w:p>
        </w:tc>
      </w:tr>
      <w:tr>
        <w:trPr>
          <w:trHeight w:val="20"/>
        </w:trPr>
        <w:tc>
          <w:tcPr>
            <w:tcW w:w="6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1120" w:type="dxa"/>
            <w:vAlign w:val="bottom"/>
            <w:shd w:val="clear" w:color="auto" w:fill="B6DEE8"/>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b w:val="1"/>
                <w:bCs w:val="1"/>
                <w:color w:val="auto"/>
              </w:rPr>
              <w:t>24,712</w:t>
            </w:r>
          </w:p>
        </w:tc>
        <w:tc>
          <w:tcPr>
            <w:tcW w:w="340" w:type="dxa"/>
            <w:vAlign w:val="bottom"/>
            <w:shd w:val="clear" w:color="auto" w:fill="B6DEE8"/>
          </w:tcPr>
          <w:p>
            <w:pPr>
              <w:spacing w:after="0"/>
              <w:rPr>
                <w:sz w:val="22"/>
                <w:szCs w:val="22"/>
                <w:color w:val="auto"/>
              </w:rPr>
            </w:pPr>
          </w:p>
        </w:tc>
        <w:tc>
          <w:tcPr>
            <w:tcW w:w="1100" w:type="dxa"/>
            <w:vAlign w:val="bottom"/>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(2,470 )</w:t>
            </w:r>
          </w:p>
        </w:tc>
      </w:tr>
      <w:tr>
        <w:trPr>
          <w:trHeight w:val="20"/>
        </w:trPr>
        <w:tc>
          <w:tcPr>
            <w:tcW w:w="6180" w:type="dxa"/>
            <w:vAlign w:val="bottom"/>
            <w:tcBorders>
              <w:top w:val="single" w:sz="8" w:color="B6DEE8"/>
            </w:tcBorders>
            <w:shd w:val="clear" w:color="auto" w:fill="B6DEE8"/>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B6DEE8"/>
            </w:tcBorders>
            <w:shd w:val="clear" w:color="auto" w:fill="B6DEE8"/>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B6DEE8"/>
            </w:tcBorders>
            <w:shd w:val="clear" w:color="auto" w:fill="B6DEE8"/>
          </w:tcPr>
          <w:p>
            <w:pPr>
              <w:spacing w:after="0" w:line="20" w:lineRule="exact"/>
              <w:rPr>
                <w:sz w:val="1"/>
                <w:szCs w:val="1"/>
                <w:color w:val="auto"/>
              </w:rPr>
            </w:pPr>
          </w:p>
        </w:tc>
      </w:tr>
      <w:tr>
        <w:trPr>
          <w:trHeight w:val="818"/>
        </w:trPr>
        <w:tc>
          <w:tcPr>
            <w:tcW w:w="6180" w:type="dxa"/>
            <w:vAlign w:val="bottom"/>
          </w:tcPr>
          <w:p>
            <w:pPr>
              <w:spacing w:after="0"/>
              <w:rPr>
                <w:sz w:val="24"/>
                <w:szCs w:val="24"/>
                <w:color w:val="auto"/>
              </w:rPr>
            </w:pPr>
          </w:p>
        </w:tc>
        <w:tc>
          <w:tcPr>
            <w:tcW w:w="320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4"/>
        </w:trPr>
        <w:tc>
          <w:tcPr>
            <w:tcW w:w="6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20" w:type="dxa"/>
            <w:vAlign w:val="bottom"/>
            <w:shd w:val="clear" w:color="auto" w:fill="B6DEE8"/>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340" w:type="dxa"/>
            <w:vAlign w:val="bottom"/>
            <w:shd w:val="clear" w:color="auto" w:fill="B6DEE8"/>
          </w:tcPr>
          <w:p>
            <w:pPr>
              <w:spacing w:after="0"/>
              <w:rPr>
                <w:sz w:val="20"/>
                <w:szCs w:val="20"/>
                <w:color w:val="auto"/>
              </w:rPr>
            </w:pPr>
          </w:p>
        </w:tc>
        <w:tc>
          <w:tcPr>
            <w:tcW w:w="1100" w:type="dxa"/>
            <w:vAlign w:val="bottom"/>
            <w:shd w:val="clear" w:color="auto" w:fill="B6DEE8"/>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(48,696 )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34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34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20,145</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 and litigation accrual</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Gain on extinguishment of convertible debt</w:t>
            </w:r>
          </w:p>
        </w:tc>
        <w:tc>
          <w:tcPr>
            <w:tcW w:w="1120" w:type="dxa"/>
            <w:vAlign w:val="bottom"/>
            <w:shd w:val="clear" w:color="auto" w:fill="B6DEE8"/>
          </w:tcPr>
          <w:p>
            <w:pPr>
              <w:spacing w:after="0"/>
              <w:rPr>
                <w:sz w:val="21"/>
                <w:szCs w:val="21"/>
                <w:color w:val="auto"/>
              </w:rPr>
            </w:pPr>
          </w:p>
        </w:tc>
        <w:tc>
          <w:tcPr>
            <w:tcW w:w="980" w:type="dxa"/>
            <w:vAlign w:val="bottom"/>
            <w:gridSpan w:val="2"/>
            <w:shd w:val="clear" w:color="auto" w:fill="B6DEE8"/>
          </w:tcPr>
          <w:p>
            <w:pPr>
              <w:jc w:val="right"/>
              <w:ind w:right="280"/>
              <w:spacing w:after="0"/>
              <w:rPr>
                <w:sz w:val="20"/>
                <w:szCs w:val="20"/>
                <w:color w:val="auto"/>
              </w:rPr>
            </w:pPr>
            <w:r>
              <w:rPr>
                <w:rFonts w:ascii="Times New Roman" w:cs="Times New Roman" w:eastAsia="Times New Roman" w:hAnsi="Times New Roman"/>
                <w:sz w:val="18"/>
                <w:szCs w:val="18"/>
                <w:color w:val="auto"/>
              </w:rPr>
              <w:t>(33,442 )</w:t>
            </w:r>
          </w:p>
        </w:tc>
        <w:tc>
          <w:tcPr>
            <w:tcW w:w="1100" w:type="dxa"/>
            <w:vAlign w:val="bottom"/>
            <w:shd w:val="clear" w:color="auto" w:fill="B6DEE8"/>
          </w:tcPr>
          <w:p>
            <w:pPr>
              <w:spacing w:after="0"/>
              <w:rPr>
                <w:sz w:val="21"/>
                <w:szCs w:val="21"/>
                <w:color w:val="auto"/>
              </w:rPr>
            </w:pPr>
          </w:p>
        </w:tc>
        <w:tc>
          <w:tcPr>
            <w:tcW w:w="62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B6DEE8"/>
          </w:tcPr>
          <w:p>
            <w:pPr>
              <w:spacing w:after="0"/>
              <w:rPr>
                <w:sz w:val="21"/>
                <w:szCs w:val="21"/>
                <w:color w:val="auto"/>
              </w:rPr>
            </w:pP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Changes in fair value of earnout liabilities</w:t>
            </w:r>
          </w:p>
        </w:tc>
        <w:tc>
          <w:tcPr>
            <w:tcW w:w="1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47"/>
        </w:trPr>
        <w:tc>
          <w:tcPr>
            <w:tcW w:w="618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Changes in fair value of public and private warrant liabilities</w:t>
            </w:r>
          </w:p>
        </w:tc>
        <w:tc>
          <w:tcPr>
            <w:tcW w:w="1120" w:type="dxa"/>
            <w:vAlign w:val="bottom"/>
            <w:shd w:val="clear" w:color="auto" w:fill="B6DEE8"/>
          </w:tcPr>
          <w:p>
            <w:pPr>
              <w:spacing w:after="0"/>
              <w:rPr>
                <w:sz w:val="21"/>
                <w:szCs w:val="21"/>
                <w:color w:val="auto"/>
              </w:rPr>
            </w:pPr>
          </w:p>
        </w:tc>
        <w:tc>
          <w:tcPr>
            <w:tcW w:w="6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shd w:val="clear" w:color="auto" w:fill="B6DEE8"/>
          </w:tcPr>
          <w:p>
            <w:pPr>
              <w:spacing w:after="0"/>
              <w:rPr>
                <w:sz w:val="21"/>
                <w:szCs w:val="21"/>
                <w:color w:val="auto"/>
              </w:rPr>
            </w:pPr>
          </w:p>
        </w:tc>
        <w:tc>
          <w:tcPr>
            <w:tcW w:w="1100" w:type="dxa"/>
            <w:vAlign w:val="bottom"/>
            <w:shd w:val="clear" w:color="auto" w:fill="B6DEE8"/>
          </w:tcPr>
          <w:p>
            <w:pPr>
              <w:spacing w:after="0"/>
              <w:rPr>
                <w:sz w:val="21"/>
                <w:szCs w:val="21"/>
                <w:color w:val="auto"/>
              </w:rPr>
            </w:pPr>
          </w:p>
        </w:tc>
        <w:tc>
          <w:tcPr>
            <w:tcW w:w="720" w:type="dxa"/>
            <w:vAlign w:val="bottom"/>
            <w:gridSpan w:val="2"/>
            <w:shd w:val="clear" w:color="auto" w:fill="B6DEE8"/>
          </w:tcPr>
          <w:p>
            <w:pPr>
              <w:jc w:val="right"/>
              <w:ind w:right="20"/>
              <w:spacing w:after="0"/>
              <w:rPr>
                <w:sz w:val="20"/>
                <w:szCs w:val="20"/>
                <w:color w:val="auto"/>
              </w:rPr>
            </w:pPr>
            <w:r>
              <w:rPr>
                <w:rFonts w:ascii="Times New Roman" w:cs="Times New Roman" w:eastAsia="Times New Roman" w:hAnsi="Times New Roman"/>
                <w:sz w:val="18"/>
                <w:szCs w:val="18"/>
                <w:color w:val="auto"/>
              </w:rPr>
              <w:t>(239 )</w:t>
            </w:r>
          </w:p>
        </w:tc>
      </w:tr>
      <w:tr>
        <w:trPr>
          <w:trHeight w:val="20"/>
        </w:trPr>
        <w:tc>
          <w:tcPr>
            <w:tcW w:w="6180" w:type="dxa"/>
            <w:vAlign w:val="bottom"/>
            <w:shd w:val="clear" w:color="auto" w:fill="B6DEE8"/>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B6DEE8"/>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r>
      <w:tr>
        <w:trPr>
          <w:trHeight w:val="236"/>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(loss)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53,048</w:t>
            </w:r>
          </w:p>
        </w:tc>
        <w:tc>
          <w:tcPr>
            <w:tcW w:w="340" w:type="dxa"/>
            <w:vAlign w:val="bottom"/>
          </w:tcPr>
          <w:p>
            <w:pPr>
              <w:spacing w:after="0"/>
              <w:rPr>
                <w:sz w:val="20"/>
                <w:szCs w:val="20"/>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(20,078 )</w:t>
            </w:r>
          </w:p>
        </w:tc>
      </w:tr>
      <w:tr>
        <w:trPr>
          <w:trHeight w:val="20"/>
        </w:trPr>
        <w:tc>
          <w:tcPr>
            <w:tcW w:w="6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-2468245</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-2451100</wp:posOffset>
            </wp:positionV>
            <wp:extent cx="596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-2468245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-2451100</wp:posOffset>
            </wp:positionV>
            <wp:extent cx="6032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-187960</wp:posOffset>
            </wp:positionV>
            <wp:extent cx="5969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past, we have financed our operations primarily from cash receipts from service and transaction based revenues, equity financings, borrowings under the Debt Facility, issuances of convertible notes and funds received as a result of the business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8" w:name="page49"/>
    <w:bookmarkEnd w:id="48"/>
    <w:p>
      <w:pPr>
        <w:ind w:right="460"/>
        <w:spacing w:after="0" w:line="282" w:lineRule="auto"/>
        <w:rPr>
          <w:sz w:val="20"/>
          <w:szCs w:val="20"/>
          <w:color w:val="auto"/>
        </w:rPr>
      </w:pPr>
      <w:r>
        <w:rPr>
          <w:rFonts w:ascii="Times New Roman" w:cs="Times New Roman" w:eastAsia="Times New Roman" w:hAnsi="Times New Roman"/>
          <w:sz w:val="18"/>
          <w:szCs w:val="18"/>
          <w:color w:val="auto"/>
        </w:rPr>
        <w:t>combination. As of September 30, 2024 and December 31, 2023 our cash and cash equivalents, marketable securities, investments and restricted cash balance was $76.7 million and $157.3 million, respectively.</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an early-stage company, the expenses we have incurred since inception are consistent with our strategy and approach to capital allocation. Although we have recently begun to generate net income, we may incur net losses in the future in accordance with our operating plan as we continue to expand and improve upon our financial platform.</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We do not have any “off-balance sheet arrangements,” as defined by the SEC regulations.</w:t>
      </w:r>
    </w:p>
    <w:p>
      <w:pPr>
        <w:spacing w:after="0" w:line="15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terms of approximately 1.3 to 4.1 years as of September 30, 2024, and we had a total lease liability of $0.6 million. See Note 12, Leases in the notes to our condensed consolidated financial statements for additional information regarding our lease liabilities as of September 30, 2024.</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near term, we expect to continue to generate ExtraCash relying primarily on our balance sheet cash and Debt Facility, as needed. Interest payments on term loan borrowings under the Debt Facility are required to be made on a monthly basis. At September 30, 2024, $75.0 million of term loans under the Debt Facility were outstanding. See Note 10, Debt Facility in the notes to our condensed consolidated financial statements in this report.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we also had certain contractual payment obligations for interest owed under the $100.0 million Note we issued and sold pursuant to the Note Purchase Agreement entered into with FTX Ventures Ltd. Interest payments relating to the Note were required to be made or added to the outstanding principal on a semi-annual basis. On January 29, 2024, we repurchased the $105.5 million outstanding balance of the Note for $71.0 million. For more information on the Note Purchase Agreement with FTX Ventures Ltd., see Note 8, Convertible Note Payable.</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may use cash to acquire businesses and technologies. The nature of these transactions, however, makes it difficult to predict the amount and timing of such cash requirements.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gridSpan w:val="2"/>
          </w:tcPr>
          <w:p>
            <w:pPr>
              <w:jc w:val="right"/>
              <w:ind w:right="4950"/>
              <w:spacing w:after="0"/>
              <w:rPr>
                <w:sz w:val="20"/>
                <w:szCs w:val="20"/>
                <w:color w:val="auto"/>
              </w:rPr>
            </w:pPr>
            <w:r>
              <w:rPr>
                <w:rFonts w:ascii="Times New Roman" w:cs="Times New Roman" w:eastAsia="Times New Roman" w:hAnsi="Times New Roman"/>
                <w:sz w:val="18"/>
                <w:szCs w:val="18"/>
                <w:b w:val="1"/>
                <w:bCs w:val="1"/>
                <w:color w:val="auto"/>
                <w:w w:val="99"/>
              </w:rPr>
              <w:t>Cash Flows Summary</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24"/>
                <w:szCs w:val="24"/>
                <w:color w:val="auto"/>
              </w:rPr>
            </w:pPr>
          </w:p>
        </w:tc>
        <w:tc>
          <w:tcPr>
            <w:tcW w:w="37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1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83,423</w:t>
            </w:r>
          </w:p>
        </w:tc>
        <w:tc>
          <w:tcPr>
            <w:tcW w:w="380" w:type="dxa"/>
            <w:vAlign w:val="bottom"/>
            <w:shd w:val="clear" w:color="auto" w:fill="B6DEE8"/>
          </w:tcPr>
          <w:p>
            <w:pPr>
              <w:spacing w:after="0"/>
              <w:rPr>
                <w:sz w:val="20"/>
                <w:szCs w:val="20"/>
                <w:color w:val="auto"/>
              </w:rPr>
            </w:pPr>
          </w:p>
        </w:tc>
        <w:tc>
          <w:tcPr>
            <w:tcW w:w="380" w:type="dxa"/>
            <w:vAlign w:val="bottom"/>
            <w:shd w:val="clear" w:color="auto" w:fill="B6DEE8"/>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18,121</w:t>
            </w:r>
          </w:p>
        </w:tc>
        <w:tc>
          <w:tcPr>
            <w:tcW w:w="100" w:type="dxa"/>
            <w:vAlign w:val="bottom"/>
            <w:shd w:val="clear" w:color="auto" w:fill="B6DEE8"/>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tcPr>
          <w:p>
            <w:pPr>
              <w:spacing w:after="0"/>
              <w:rPr>
                <w:sz w:val="20"/>
                <w:szCs w:val="20"/>
                <w:color w:val="auto"/>
              </w:rPr>
            </w:pP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(19,028 )</w:t>
            </w: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6160" w:type="dxa"/>
            <w:vAlign w:val="bottom"/>
            <w:shd w:val="clear" w:color="auto" w:fill="B6DEE8"/>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shd w:val="clear" w:color="auto" w:fill="B6DEE8"/>
          </w:tcPr>
          <w:p>
            <w:pPr>
              <w:spacing w:after="0"/>
              <w:rPr>
                <w:sz w:val="21"/>
                <w:szCs w:val="21"/>
                <w:color w:val="auto"/>
              </w:rPr>
            </w:pPr>
          </w:p>
        </w:tc>
        <w:tc>
          <w:tcPr>
            <w:tcW w:w="1940" w:type="dxa"/>
            <w:vAlign w:val="bottom"/>
            <w:gridSpan w:val="2"/>
            <w:shd w:val="clear" w:color="auto" w:fill="B6DEE8"/>
          </w:tcPr>
          <w:p>
            <w:pPr>
              <w:jc w:val="right"/>
              <w:ind w:right="300"/>
              <w:spacing w:after="0"/>
              <w:rPr>
                <w:sz w:val="20"/>
                <w:szCs w:val="20"/>
                <w:color w:val="auto"/>
              </w:rPr>
            </w:pPr>
            <w:r>
              <w:rPr>
                <w:rFonts w:ascii="Times New Roman" w:cs="Times New Roman" w:eastAsia="Times New Roman" w:hAnsi="Times New Roman"/>
                <w:sz w:val="18"/>
                <w:szCs w:val="18"/>
                <w:color w:val="auto"/>
              </w:rPr>
              <w:t>(70,868 )</w:t>
            </w:r>
          </w:p>
        </w:tc>
        <w:tc>
          <w:tcPr>
            <w:tcW w:w="380" w:type="dxa"/>
            <w:vAlign w:val="bottom"/>
            <w:shd w:val="clear" w:color="auto" w:fill="B6DEE8"/>
          </w:tcPr>
          <w:p>
            <w:pPr>
              <w:spacing w:after="0"/>
              <w:rPr>
                <w:sz w:val="21"/>
                <w:szCs w:val="21"/>
                <w:color w:val="auto"/>
              </w:rPr>
            </w:pPr>
          </w:p>
        </w:tc>
        <w:tc>
          <w:tcPr>
            <w:tcW w:w="1340" w:type="dxa"/>
            <w:vAlign w:val="bottom"/>
            <w:shd w:val="clear" w:color="auto" w:fill="B6DE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6DEE8"/>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60" w:type="dxa"/>
            <w:vAlign w:val="bottom"/>
            <w:shd w:val="clear" w:color="auto" w:fill="B6DE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80" w:type="dxa"/>
            <w:vAlign w:val="bottom"/>
            <w:shd w:val="clear" w:color="auto" w:fill="B6DE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B6DEE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 and restricted 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(6,473 )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21,122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9"/>
        </w:trPr>
        <w:tc>
          <w:tcPr>
            <w:tcW w:w="6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6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-1319530</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-1319530</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operating activities increased compared to the nine months ended September 30, 2023 due to increases in operating revenues and a reduction in various operating expenses across the organization. Net cash provided by operating activities for the nine months ended September 30, 2024 included net income of $41.1 million, and excluding non-cash impacts, included increase in legal settlement accrual of $3.8 million, an increase in accounts payable of $2.9 million, an increase in other non-current liabilities of $2.8 million, an increase in accrued expenses of $4.5 million, and a decrease in prepaid income taxes of $0.1 million. These changes were offset by an increase in prepaid expenses and other current assets of $6.0 million, an increase in ExtraCash receivables, service based revenue of $3.7 million.</w:t>
      </w:r>
    </w:p>
    <w:p>
      <w:pPr>
        <w:spacing w:after="0" w:line="187" w:lineRule="exact"/>
        <w:rPr>
          <w:sz w:val="20"/>
          <w:szCs w:val="20"/>
          <w:color w:val="auto"/>
        </w:rPr>
      </w:pPr>
    </w:p>
    <w:p>
      <w:pPr>
        <w:ind w:right="162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2023, net cash provided by operating activities increased compared to the nine months ended September 30, 2022 due to increases in operating revenues, offset primarily by increases in compensation and other operating expenses to support the growth of the business. Net cash provided by operating activities for the nine months ended September 30, 2023 included a net loss of $48.6 million, and excluding non-cash impacts, included a decrease in accounts payable of $2.1 million, a decrease in a legal settlement accrual of $1.4 million, and a decrease in other current liabilities of $0.6 million. These changes were offset primarily by an increase in accrued expenses of $2.8 million, a decrease in prepaid expenses and other current assets of $0.4 million and a decrease in other non-current assets of $0.1 million.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investing activities was $19.0 million. This included the sale and maturity of investments of $147.7 million and sale of marketable securities of $60.1 million, offset by purchases of investments of $74.8 million, purchases of marketable securities of $59.3 million, net ExtraCash originations and collections of $87.0 million and payments related to internally developed software costs and property and equipment of $5.5 million.</w:t>
      </w:r>
    </w:p>
    <w:p>
      <w:pPr>
        <w:spacing w:after="0" w:line="180" w:lineRule="exact"/>
        <w:rPr>
          <w:sz w:val="20"/>
          <w:szCs w:val="20"/>
          <w:color w:val="auto"/>
        </w:rPr>
      </w:pPr>
    </w:p>
    <w:p>
      <w:pPr>
        <w:ind w:right="16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net cash provided by investing activities was $3.0 million. This included the sale and maturity of short-term investments of $137.2 million and sale of marketable securities of $33.0 million, offset by purchases of short-term investments of $92.0 million, net ExtraCash originations and collections of $34.3 million, payments related to internally developed software costs of $5.9 million, and purchases of marketable securities of $34.4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net cash used in financing activities was $70.9 million, which consisted of the $71.8 million paydown of the FTX Ventures Ltd. convertible note and associated costs, offset by $0.9 million for proceeds received for stock option exercises.</w:t>
      </w:r>
    </w:p>
    <w:p>
      <w:pPr>
        <w:spacing w:after="0" w:line="162" w:lineRule="exact"/>
        <w:rPr>
          <w:sz w:val="20"/>
          <w:szCs w:val="20"/>
          <w:color w:val="auto"/>
        </w:rPr>
      </w:pPr>
    </w:p>
    <w:p>
      <w:pPr>
        <w:ind w:right="16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2023 net cash used in financing activities was $4.0 thousand, which primarily consisted of payments for fractional shares that resulted from a reverse stock split.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U.S. GAAP. The preparation of these condensed consolidated financial statements requires us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p>
    <w:p>
      <w:pPr>
        <w:spacing w:after="0" w:line="187"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 and</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For further details, please refer to Note 2 in our accompanying condensed consolidated financial statements for the three and nine months ended September 30, 2024 and 2023 included in this Form 10-Q.</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0" w:name="page51"/>
    <w:bookmarkEnd w:id="50"/>
    <w:p>
      <w:pPr>
        <w:ind w:right="18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estimates are described in the notes to our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ExtraCash receivables from contracts with Members as of the balance sheet dates are recorded at their original ExtraCash amounts reduced by an allowance for expected credit losses. We pool our ExtraCash receivables,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ExtraCash receivables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we determined that our historical loss rates remained most indicative of our lifetime expected losses. We immediately recognize an allowance for expected credit losses at the time of the ExtraCash origination. Adjustments to the allowance each period for changes in the estimate of lifetime expected credit losses are recognized in operating expenses—provision for credit losses in the condensed consolidated statements of operations.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determine that an ExtraCash receivable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ExtraCash receivable may result in an additional allowance for expected credit losses being recognized in the period in which the change occurs.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follow ASC 740, Income Taxes (“ASC 740”), which requires recognition of deferred tax assets and liabilities for the expected future tax consequences of events that have been included in the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our estimated annual pre-tax income in each tax jurisdiction in which it operates, and the development of tax planning strategies during the year. In addition, our tax expense can be impacted by changes in tax rates or laws and other factors that cannot be predicted with certainty. As such, there can be significant volatility in interim tax provisions.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$1.8 million and $1.1 million of uncertain tax positions as of September 30, 2024 and 2023, respectively, related to state income taxes and federal and state R&amp;D tax credits.</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accrued on any unrecognized tax benefits as a component of income tax expense within the statement of operations.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subject to income tax in jurisdictions in which we operate, including the United States. For U.S. income tax purposes, we are taxed as a Subchapter C corporation.</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recognize deferred taxes for temporary differences between the basis of assets and liabilities for financial statement and income tax purposes. We recorded a valuation allowance against our deferred tax assets, net of certain deferred tax liabilities, at September 30, 2024 and December 31, 2023. Based upon management’s assessment of all available evidence, we have concluded that it is more-likely-than-not that the deferred tax assets, net of certain deferred tax liabilities, will not be realized.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condensed consolidated financial statements included in this report for the recent accounting pronouncements adopted and the recent accounting pronouncements not yet adopted for the three months ended September 30, 2024 and 2023.</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(1) the last day of the fiscal year (a) following March 4, 2026, (b) in which we have total annual gross revenue of at least $1.235 billion, (c) in which we are deemed to be a “large accelerated filer” under the rules of the SEC, which means the market value of our common equity that is held by non-affiliates exceeds $700.0 million as of the end of the prior fiscal year’s second fiscal quarter; and (2) the date on which we have issued more than $1.0 billion in non-convertible debt securities during the previous three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Note 2, “Significant Accounting Policies,” of our condensed consolidated financial statements included in this report for a discussion of the impact of recent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conducted an evaluation of the effectiveness of the design and operation of our disclosure controls and procedures as of September 30, 2024. Based on this evaluation, our Chief Executive Officer and Chief Financial Officer have concluded that our disclosure controls and procedures were not effective, due to the material weaknesses in our internal control over financial reporting described below. As a result, we performed additional analysis as deemed necessary to ensure that our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discussed in Part II, Item 9A in our Annual Report, we identified material weaknesses in our internal control over financial reporting for the years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because:</w:t>
      </w:r>
    </w:p>
    <w:p>
      <w:pPr>
        <w:spacing w:after="0" w:line="99" w:lineRule="exact"/>
        <w:rPr>
          <w:sz w:val="20"/>
          <w:szCs w:val="20"/>
          <w:color w:val="auto"/>
        </w:rPr>
      </w:pPr>
    </w:p>
    <w:p>
      <w:pPr>
        <w:ind w:left="1020" w:right="34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sufficient evidence of the performance and/or review of certain internal controls or complete remediation testing for certain internal controls over the period-end financial reporting process addressing financial statement and footnote presentation and disclosures; and</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sufficient evidence of the performance and/or review of certain IT application controls for information systems that are relevant to the preparation of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and Status</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During 2023, we made significant progress enhancing our internal control environment by completing an enterprise-wide risk assessment, process narratives, risk and control matrices, a subsequent gap analysis and performed targeted testing of the design and operating effectiveness of our internal control over financial reporting in efforts to remediate previously disclosed material weaknesses. These efforts also include, but are not limited to: adding additional resources in accounting and finance departments, utilizing third party specialists to assist with complex accounting matters and reduce risks associated with the lack of segregation of duties; implementing a segregation of duties monitoring tool; formalizing accounting policies and procedures; implementing a new enterprise resource planning system to enhance the journal entry review and approval processes; performing bank and balance sheet account reconciliations on a monthly basis; implementing a SOX compliance and audit management platform; and designing and implementing both IT general controls and IT application controls around our product platform and core applications, including controls over: change management, access security and IT operations.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continue to implement our plan to remediate the material weaknesses described above. Those remediation measures are ongoing and include (i) ensuring our enterprise-wide risk assessment, risk and control matrices, process narratives and gap analysis continue to be updated to reflect our current accounting processes and internal control environment and (ii) ensuring internal control over financial reporting is adequately performed; and (iii) ensuring sufficient testing is performed and the testing-related support and documentation are complete and accurate for the design and operating effectiveness of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details on our material weaknesses that existed during the years ended December 31, 2023 and 2022, please refer to our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please see Note 11, “Commitments and Contingencies,” to the condensed consolidated financial statements included elsewhere in this report.</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other legal proceedings arising in the ordinary course of business. We are not currently a party to any other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the date of this Form 10-Q, there have been no material changes to the risk factors disclosed in in our Annual Report for the year ended December 31, 2023 filed with the SEC on March 5, 2024, other than as noted below.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 single bank partner, and if our present or any future key banking relationships are terminated and we are not able to secure or successfully migrate client portfolios to a new bank partner or partners, or our bank partner becomes subject to regulatory restrictions or other operational disruptions, our business would be adversely affected.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currently rely on agreements with Evolve, our only bank partner, to provide ExtraCash and other deposit accounts, debit card services and other transaction services to us and our Members. These agreements and corresponding regulations governing banks and financial institutions may give Evolve substantial discretion in approving certain aspects of our business practices, including our application and qualification procedures for Members and require us to comply with certain legal requirements. Evolve discretionary actions under these agreements could impose material limitations to, or have a material adverse effect on, our business, financial condition and results of operations. In addition, any disruptions or restrictions on Evolve’s operations could have an adverse effect on our business, financial condition and results of operations. For example, in May 2024, Evolve experienced a cybersecurity incident that resulted in the leak of certain customer information, including information of some of our Members. If our relationship with Evolve is terminated or Evolve becomes unable to provide the necessary services to us, we would need to find another financial institution to provide those services, which could be difficult and expensive. If we are unable to find a replacement financial institution to provide the services we receive from Evolve, we would not be able to offer ExtraCash advances, service our deposit accounts, debit cards and other services, which would have a material adverse effect on our business, financial condition and results of operations. Furthermore, our financial results could be adversely affected if our costs associated with using Evolve materially change or if any penalty or claim for damages is imposed as a result of our breach of our agreements with Evolve.</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state and federal agencies have broad discretion in their interpretation of laws and requirements related to bank partnership programs and may elect to alter standards or the interpretation of the standards applicable to these programs. The uncertainty of the federal and state regulatory environments around bank partnership programs means that our efforts to launch products and services through bank partners may not ultimately be successful, or may be restricted or challenged by legislation or regulatory action. If the legal structure underlying our relationship with Evolve were to be successfully challenged or otherwise restricted, we would need to find an alternative bank relationship. Furthermore, Evolve or any other future bank partners could be subject to enforcement actions, civil monetary penalties, supervisory orders to cease and desist or other remedial actions, which, even if unrelated to our business, could impose restrictions on the bank partner’s ability to continue to extend credit on current terms or offer services that are required for certain of our products. For example, in June 2024, the Federal Reserve Board issued a cease and desist order against Evolve for alleged deficiencies in its anti-money laundering, risk management and consumer compliance programs. Federal or state regulators may also subject us to increased compliance, legal and operational costs, and could subject our business model to scrutiny and otherwise increase our regulatory requirements, or may adversely affect our ability to expand our business.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that require us to share consumer information for servicing purposes. Information security risks in the financial services industry continue to increase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ind w:right="40"/>
        <w:spacing w:after="0" w:line="258" w:lineRule="auto"/>
        <w:rPr>
          <w:sz w:val="20"/>
          <w:szCs w:val="20"/>
          <w:color w:val="auto"/>
        </w:rPr>
      </w:pPr>
      <w:r>
        <w:rPr>
          <w:rFonts w:ascii="Times New Roman" w:cs="Times New Roman" w:eastAsia="Times New Roman" w:hAnsi="Times New Roman"/>
          <w:sz w:val="18"/>
          <w:szCs w:val="18"/>
          <w:color w:val="auto"/>
        </w:rPr>
        <w:t>generally,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applications and websites.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cybersecurity challenges, including threats to our own IT infrastructure or those of third-party providers, may take a variety of forms ranging from stolen bank accounts, business email compromise, user fraud, account takeover, check fraud or cybersecurity attacks, such as ransomware, unauthorized encryption, denial-of-service attacks, social engineering, unauthorized access, spam or other attacks, to “mega breaches” targeted against cloud-based services and other hosted software, which could be initiated by individual or groups of hackers or sophisticated cyber criminals. A cybersecurity incident or breach could result in disclosure of confidential information and intellectual property, or cause service interruptions and compromised data. We may be unable to anticipate or prevent techniques used in the future to obtain unauthorized access or to sabotage systems because they change frequently and often are not detected until after an incident has occurred. Our information technology and infrastructure, as well as those of our third-party service providers, have experienced breaches and may be subject or vulnerable in the future to breaches or attacks. For example, a third-party breach resulted in improper disclosure of certain of our Members’ information, and any future improper disclosure of our own confidential business information or the information of our Members could materially and adversely affect our business.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 regulatory investigations, class action litigation and other lawsuits. If sensitive information is lost or improperly disclosed through a data breach or otherwise or threatened to be disclosed, we could experience a loss of confidence by our partners and Members in the security of our systems, products and services and prevent us from obtaining new partners and Members, and we could incur significant costs to remedy problems caused by breaches and implement measures to prevent further breaches, and expose us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w:t>
      </w:r>
    </w:p>
    <w:p>
      <w:pPr>
        <w:spacing w:after="0" w:line="19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Most jurisdictions have enacted laws requiring companies to notify individuals, regulatory authorities and others of security breaches involving certain types of data. In addition, our agreements with certain partners and service providers may require us to notify them in the event of a security breach. Such mandatory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May 2020, an unauthorized third party attempted to gain access to Dave Member accounts and was able to access Member profiles and Members’ partial or incomplete bank account information. We did not uncover any evidence that the attacker was able to take any actions with respect to the data, other than gaining read access to it, nor do we believe any unauthorized transactions were made or advances requested on our platform. We provided notice to relevant parties as required under applicable law and agreements and took steps to set up alerts to detect abnormal request volumes and introduced rate limiting at the IP address level. In addition, in June 2020, we were notified of an unauthorized third party breach of our Dave database. The third party was able to access to Dave’s system by breaching the system of one of Dave’s third party service providers. The attacker was able to download a large data set, including encrypted social security numbers for some Members; however, there was no evidence that unauthorized transactions were made or advances requested on our platform, nor do we believe that the third party gained access to decryption keys or was otherwise able to decrypt encrypted information. The May 2020 and June 2020 incidents are collectively referred to herein as the "2020 Incidents." We took remedial measures, including the engagement of an outside security consultant to monitor for ongoing dark web activity and to conduct a security audit and incident investigation, and notified relevant parties as required under applicable law and agreements. As a result of the 2020 Incidents, we are in the process of settling a purported class action in California for approximately $3.1 million and we settled individual claims outside of California for approximately $4.4 million. See Item 1. Legal Proceedings. In addition, in 2024, one of our third-party service providers experienced a data breach that resulted in improper disclosure of certain of our Members’ information. As we have increased our Member base and our brand has become more widely known and recognized, third parties may continue to seek to compromise our security controls or gain unauthorized access to our sensitive corporate information or our Members’ data.</w:t>
      </w:r>
    </w:p>
    <w:p>
      <w:pPr>
        <w:spacing w:after="0" w:line="19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our banking partner or other strategic partners were to conclude that our systems and security policies and procedures are insufficiently rigorous, they could terminate their relationships with us, and our financial results and business could be adversely</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180"/>
        <w:spacing w:after="0" w:line="282" w:lineRule="auto"/>
        <w:rPr>
          <w:sz w:val="20"/>
          <w:szCs w:val="20"/>
          <w:color w:val="auto"/>
        </w:rPr>
      </w:pPr>
      <w:r>
        <w:rPr>
          <w:rFonts w:ascii="Times New Roman" w:cs="Times New Roman" w:eastAsia="Times New Roman" w:hAnsi="Times New Roman"/>
          <w:sz w:val="18"/>
          <w:szCs w:val="18"/>
          <w:color w:val="auto"/>
        </w:rPr>
        <w:t>affected. Under our terms of service and our contracts with strategic partners, if there is a breach of non-public personal information of our Members that we store, we could be liable to the partner for their losses and related expenses.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w:t>
      </w:r>
    </w:p>
    <w:p>
      <w:pPr>
        <w:spacing w:after="0" w:line="18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Our insurance may be insufficient or may not cover all liabilities incurred by cybersecurity incidents.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6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oversight in a variety of areas under federal, state and local laws, and is subject to regulatory investigations and consumer litigation.</w:t>
      </w:r>
    </w:p>
    <w:p>
      <w:pPr>
        <w:spacing w:after="0" w:line="15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which could materially and adversely affect our business. Moreover, any competitors subject to different, or in some cases less restrictive, legislative or regulatory regimes may have or obtain a competitive advantage over us.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Consumer Financial Protection Bureau (“CFPB”), which oversees compliance with federal consumer financial protection laws. In addition, our partnership with Evolve is subject to the supervisory authority of the Federal Reserve, which is Evolve’s primary federal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1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For example, on November 5, 2024, the Federal Trade Commission (the “FTC”) filed a civil complaint against us alleging violations of Section 5(a) of the FTC Act and the Restore Online Shoppers’ Confidence Act related to our platform and offering of our ExtraCash product. The complaint seeks a permanent injunction, monetary relief for an unspecified amount and “other relief as the court determines to be just and proper.” Given the outcome of any case in litigation is uncertain, for the period ending September 30, 2024, we have recorded a $7 million litigation and settlement accrual for this matter. Significant changes in the accrual may be required in future periods as the case progresses and additional information becomes available. At this time, we are unable to reasonably predict the possible outcome of this matter due to, among other things, the fact that it raises difficult factual and legal issues and is subject to many uncertainties and complexities. There can be no assurance that we will be successful in the litigation, and we may incur a loss in excess of the amount accrued. The defense or resolution of this matter could involve significant monetary costs and have a material impact on our business, financial results and operations. See Note 11, “Commitments and Contingencies,” to the condensed consolidated financial statements for additional information.</w:t>
      </w:r>
    </w:p>
    <w:p>
      <w:pPr>
        <w:spacing w:after="0" w:line="20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addition, we are also subject to consumer litigation, including putative consumer class actions which allege that we violate federal and/or state laws regulating the financial services industry. For example, in July 2022, a purported class action </w:t>
      </w:r>
      <w:r>
        <w:rPr>
          <w:rFonts w:ascii="Times New Roman" w:cs="Times New Roman" w:eastAsia="Times New Roman" w:hAnsi="Times New Roman"/>
          <w:sz w:val="18"/>
          <w:szCs w:val="18"/>
          <w:i w:val="1"/>
          <w:iCs w:val="1"/>
          <w:color w:val="auto"/>
        </w:rPr>
        <w:t>Lopez v. Dave, Inc.</w:t>
      </w:r>
      <w:r>
        <w:rPr>
          <w:rFonts w:ascii="Times New Roman" w:cs="Times New Roman" w:eastAsia="Times New Roman" w:hAnsi="Times New Roman"/>
          <w:sz w:val="18"/>
          <w:szCs w:val="18"/>
          <w:color w:val="auto"/>
        </w:rPr>
        <w:t xml:space="preserve"> was filed in the U.S. District Court for the Northern District of California alleging violations of California consumer protection laws and state and federal lending laws, among other things, and we settled this matter in July 2024. In December 2022, a purported class action </w:t>
      </w:r>
      <w:r>
        <w:rPr>
          <w:rFonts w:ascii="Times New Roman" w:cs="Times New Roman" w:eastAsia="Times New Roman" w:hAnsi="Times New Roman"/>
          <w:sz w:val="18"/>
          <w:szCs w:val="18"/>
          <w:i w:val="1"/>
          <w:iCs w:val="1"/>
          <w:color w:val="auto"/>
        </w:rPr>
        <w:t>Golubiewski and Checchia v. Dave, Inc.</w:t>
      </w:r>
      <w:r>
        <w:rPr>
          <w:rFonts w:ascii="Times New Roman" w:cs="Times New Roman" w:eastAsia="Times New Roman" w:hAnsi="Times New Roman"/>
          <w:sz w:val="18"/>
          <w:szCs w:val="18"/>
          <w:color w:val="auto"/>
        </w:rPr>
        <w:t xml:space="preserve"> was filed in the U.S. District Court for the Middle District of Pennsylvania alleging similar violations under Pennsylvania state and federal laws. We are actively litigating this matter and cannot estimate the likely outcome at this time.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t>Our "terms of use" for the Dave App as well as the Evolve agreements related to the ExtraCash and deposit accounts include arbitration clauses. If our arbitration agreements were to become unenforceable for any reason, we could experience an increase to our consumer litigation costs and exposure to potentially damaging class action lawsuits. Even if our arbitration clause remains enforceable, we may be subject to mass arbitrations in which large groups of consumers bring arbitration claims against the Company simultaneously.</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been and may in the future also be subject to investigations and potential enforcement actions that may be brought by state regulatory authorities, state attorneys general or other state enforcement authorities and other governmental agencies. Any such actions could subject us to civil money penalties and fines, Member remediation,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18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continues to be highly regulated and subject to new laws or regulations in many jurisdictions, including the U.S. states in which we operate, which could restrict the products and services we offer, impose additional compliance costs on us, render our current operations unprofitable or even prohibit our current or future operations.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regulators are interpreting existing laws, regulations and rules in new and different ways as they attempt to apply them to novel products and business models such as ours. The regulatory landscape in which we operate continues to evolve, and the CFPB has issued several interpretive statements and guidance that could impact our business practices. For example, in July 2024, the CFPB proposed interpretive rule on paycheck advance and earned wage access, a model which Dave was originally founded on but transitioned away from beginning in 2022. If the CFPB determines that our current business model and practices fall within the scope of the proposed interpretive rule, we could be subject to additional regulatory requirements and scrutiny. Moreover, "True lender" challenges of bank partnership arrangements for credit products (such as the arrangement for ExtraCash) are being raised at the federal and state levels, and banking as a service arrangements (such as the arrangements for our deposit accounts) are subject to heightened scrutiny. Changes in the laws, regulations and enforcement priorities applicable to our business, or 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as well as unenforceability of the advances facilitated through our platform, any of which could have a material adverse effect on our business, financial position, and results of operations.</w:t>
      </w:r>
    </w:p>
    <w:p>
      <w:pPr>
        <w:spacing w:after="0" w:line="19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 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7" w:name="page58"/>
    <w:bookmarkEnd w:id="5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bank partnership model, we are and will continue to be subject to third-party risk management obligations, our business model may need to be substantially altered and we may not be able to continue to operate our business as it is currently operated.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 operate our business as it is currently operated. Failure by us, or any of our business partners, to comply with applicable laws and regulations could have a material adverse effect on our business, financial position and results of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states have adopted laws regulating and requiring licensing, registration, notice filing, or other approval by parties that engage in certain activities regarding consumer finance transactions.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certain consumer financial licensing laws to our platform and the related activities it performs is not always clear, and regulatory agencies may not agree with our determinations on the applicability of such laws to us. In addition, state licensing requirements may evolve over time, including, in particular, recent trends in legislation seeking to impose licensing requirements and regulation of parties engaged in the business of offering "earned wage access" products to consumers. For example, in 2023, the banking regulators in Connecticut and Maryland issued guidance (and in the case of Maryland, a regulatory change) (collectively, “State Regulatory Changes”) indicating that traditional “earned wage access” products would, under certain circumstances, be considered small loans under the state lending laws, and that optional fees and tips, under certain circumstances, would be finance charges for purposes of calculating the interest rate under the state’s applicable usury limit. These State Regulatory Changes would subject those covered by them to licensure and limitations or prohibitions on certain charges. Although we do not believe that our ExtraCash overdraft product offered through Evolve is covered by the State Regulatory Changes, we have recently received separate inquiries from the Connecticut and Maryland banking regulators as to whether the ExtraCash product is subject to the State Regulatory Changes, as well as a subpoena from the Maryland Attorney General requesting information regarding any earned wage access and related products that we offer in the state of Maryland. Although we believe that our practices and products offered at all times in Maryland and Connecticut have been in compliance with applicable law, the defense or resolution of these matters could involve significant monetary costs or penalties and have a significant impact on our financial results and operations.</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If we were found to be in violation of applicable state licensing or other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ExtraCash receivables facilitated through our platform could be rendered void in whole or in part, any of which could have an adverse effect on our business, results of operations, and financial condition. Additionally, in December 2021, we entered into a Memorandum of Understanding (“MOU”) with the California Department of Financial Protection and Innovation (“CA DFPI”). The MOU required us to provide the CA DFPI with certain information as requested by the CA DFPI and adhere to certain practices in connection with our prior advance product (including certain disclosures related to us not being licensed by the CA DFPI). </w:t>
      </w:r>
      <w:r>
        <w:rPr>
          <w:rFonts w:ascii="Times New Roman" w:cs="Times New Roman" w:eastAsia="Times New Roman" w:hAnsi="Times New Roman"/>
          <w:sz w:val="18"/>
          <w:szCs w:val="18"/>
          <w:color w:val="222222"/>
        </w:rPr>
        <w:t>The CA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DFPI finalized a new California Consumer Finance Protection Law regulation, effective February 15, 2025, which requires providers of income-based advances (and other providers) to register with the DFPI (the "DFPI Regulation.") The DFPI Regulation has an exemption for bank-issued products such as ExtraCash. </w:t>
      </w:r>
      <w:r>
        <w:rPr>
          <w:rFonts w:ascii="Times New Roman" w:cs="Times New Roman" w:eastAsia="Times New Roman" w:hAnsi="Times New Roman"/>
          <w:sz w:val="18"/>
          <w:szCs w:val="18"/>
          <w:color w:val="000000"/>
        </w:rPr>
        <w:t>The MOU will terminate on the DFPI Regulation's effective date.</w:t>
      </w:r>
      <w:r>
        <w:rPr>
          <w:rFonts w:ascii="Times New Roman" w:cs="Times New Roman" w:eastAsia="Times New Roman" w:hAnsi="Times New Roman"/>
          <w:sz w:val="18"/>
          <w:szCs w:val="18"/>
          <w:color w:val="222222"/>
        </w:rPr>
        <w:t xml:space="preserve"> It is possible that the DFPI may not agree with the Company's interpretation of the DFPI Regulation and if we were found to be in violation of the DFPI Regulation, we could be subject to fines, damages, injunctive relief, and other penalties or consequences.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80"/>
        <w:spacing w:after="0"/>
        <w:tabs>
          <w:tab w:leader="none" w:pos="5620" w:val="left"/>
        </w:tabs>
        <w:rPr>
          <w:sz w:val="20"/>
          <w:szCs w:val="20"/>
          <w:color w:val="auto"/>
        </w:rPr>
      </w:pPr>
      <w:r>
        <w:rPr>
          <w:rFonts w:ascii="Times New Roman" w:cs="Times New Roman" w:eastAsia="Times New Roman" w:hAnsi="Times New Roman"/>
          <w:sz w:val="17"/>
          <w:szCs w:val="17"/>
          <w:b w:val="1"/>
          <w:bCs w:val="1"/>
          <w:u w:val="single" w:color="auto"/>
          <w:color w:val="auto"/>
        </w:rPr>
        <w:t>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ectPr>
          <w:pgSz w:w="11900" w:h="16838" w:orient="portrait"/>
          <w:cols w:equalWidth="0" w:num="1">
            <w:col w:w="11080"/>
          </w:cols>
          <w:pgMar w:left="320" w:top="1305" w:right="499" w:bottom="1440" w:gutter="0" w:footer="0" w:header="0"/>
        </w:sectPr>
      </w:pP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3.2</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10.1+†</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10.3+†</w:t>
      </w:r>
    </w:p>
    <w:p>
      <w:pPr>
        <w:spacing w:after="0" w:line="19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10.4+†</w:t>
      </w:r>
    </w:p>
    <w:p>
      <w:pPr>
        <w:spacing w:after="0" w:line="3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10.5+†</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349">
        <w:r>
          <w:rPr>
            <w:rFonts w:ascii="Times New Roman" w:cs="Times New Roman" w:eastAsia="Times New Roman" w:hAnsi="Times New Roman"/>
            <w:sz w:val="18"/>
            <w:szCs w:val="18"/>
            <w:u w:val="single" w:color="auto"/>
            <w:color w:val="0000FF"/>
          </w:rPr>
          <w:t>Second Amended and Restated Certificate of Incorporation of Dave Inc. (incorporated by reference to Exhibit 3.1 to the Company’s Current</w:t>
        </w:r>
      </w:hyperlink>
      <w:r>
        <w:rPr>
          <w:rFonts w:ascii="Times New Roman" w:cs="Times New Roman" w:eastAsia="Times New Roman" w:hAnsi="Times New Roman"/>
          <w:sz w:val="18"/>
          <w:szCs w:val="18"/>
          <w:u w:val="single" w:color="auto"/>
          <w:color w:val="0000FF"/>
        </w:rPr>
        <w:t xml:space="preserve"> </w:t>
      </w:r>
      <w:hyperlink r:id="rId349">
        <w:r>
          <w:rPr>
            <w:rFonts w:ascii="Times New Roman" w:cs="Times New Roman" w:eastAsia="Times New Roman" w:hAnsi="Times New Roman"/>
            <w:sz w:val="18"/>
            <w:szCs w:val="18"/>
            <w:u w:val="single" w:color="auto"/>
            <w:color w:val="0000FF"/>
          </w:rPr>
          <w:t>Report on Form 8-K filed 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44080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64408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31692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3169285" cy="8255"/>
                    </a:xfrm>
                    <a:prstGeom prst="rect">
                      <a:avLst/>
                    </a:prstGeom>
                    <a:noFill/>
                  </pic:spPr>
                </pic:pic>
              </a:graphicData>
            </a:graphic>
          </wp:anchor>
        </w:drawing>
      </w:r>
    </w:p>
    <w:p>
      <w:pPr>
        <w:spacing w:after="0" w:line="101" w:lineRule="exact"/>
        <w:rPr>
          <w:sz w:val="20"/>
          <w:szCs w:val="20"/>
          <w:color w:val="auto"/>
        </w:rPr>
      </w:pPr>
    </w:p>
    <w:p>
      <w:pPr>
        <w:ind w:right="120"/>
        <w:spacing w:after="0" w:line="282" w:lineRule="auto"/>
        <w:rPr>
          <w:rFonts w:ascii="Times New Roman" w:cs="Times New Roman" w:eastAsia="Times New Roman" w:hAnsi="Times New Roman"/>
          <w:sz w:val="18"/>
          <w:szCs w:val="18"/>
          <w:u w:val="single" w:color="auto"/>
          <w:color w:val="0000FF"/>
        </w:rPr>
      </w:pPr>
      <w:hyperlink r:id="rId352">
        <w:r>
          <w:rPr>
            <w:rFonts w:ascii="Times New Roman" w:cs="Times New Roman" w:eastAsia="Times New Roman" w:hAnsi="Times New Roman"/>
            <w:sz w:val="18"/>
            <w:szCs w:val="18"/>
            <w:u w:val="single" w:color="auto"/>
            <w:color w:val="0000FF"/>
          </w:rPr>
          <w:t>Amended and Restated Bylaws of Dave Inc. (incorporated by reference to Exhibit 3.2 to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with the Commission on January 11,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646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63646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19665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196659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Bank Services Agreement, dated July 13, 2020, by and between Evolve Bank &amp; Trust and Dave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45904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459041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First Amendment to Bank Services Agreement, dated August 8, 2024, by and between Evolve Bank &amp; Trust and Dave Operating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1772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61772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Debit Card Issuing Agreement, dated July 13, 2020, by and between Evolve Bank &amp; Trust and Dave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47967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479679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Service Agreement, dated March 18, 2020, by and between Dave, Inc. and Galileo Financial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933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5093335" cy="8255"/>
                    </a:xfrm>
                    <a:prstGeom prst="rect">
                      <a:avLst/>
                    </a:prstGeom>
                    <a:noFill/>
                  </pic:spPr>
                </pic:pic>
              </a:graphicData>
            </a:graphic>
          </wp:anchor>
        </w:drawing>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u w:val="single" w:color="auto"/>
          <w:color w:val="0000FF"/>
        </w:rPr>
        <w:t>First Amendment to Service Agreement, dated January 31, 2023, by and between Dave Operating LLC and Galileo Financial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4236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64236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2444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spacing w:after="0" w:line="10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0000FF"/>
        </w:rPr>
        <w:t>Second Amendment to Service Agreement, dated May 4, 2023, by and between Dave Operating LLC and Galileo Financial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468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63468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24447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spacing w:after="0" w:line="1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0000FF"/>
        </w:rPr>
        <w:t>Third Amendment to Service Agreement, dated August 13, 2024, by and between Dave Operating LLC and Galileo Financial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44207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64420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2444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244475" cy="8890"/>
                    </a:xfrm>
                    <a:prstGeom prst="rect">
                      <a:avLst/>
                    </a:prstGeom>
                    <a:noFill/>
                  </pic:spPr>
                </pic:pic>
              </a:graphicData>
            </a:graphic>
          </wp:anchor>
        </w:drawing>
      </w:r>
    </w:p>
    <w:p>
      <w:pPr>
        <w:spacing w:after="0" w:line="1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u w:val="single" w:color="auto"/>
          <w:color w:val="0000FF"/>
        </w:rPr>
        <w:t>PCI Addendum to Service Agreement, dated October 12, 2022, by and between Dave Operating LLC and Galileo Financial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63468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63468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-48260</wp:posOffset>
            </wp:positionV>
            <wp:extent cx="2730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2730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 w:space="400"/>
            <w:col w:w="10100"/>
          </w:cols>
          <w:pgMar w:left="320" w:top="1305" w:right="499" w:bottom="1440" w:gutter="0" w:footer="0" w:header="0"/>
          <w:type w:val="continuous"/>
        </w:sectPr>
      </w:pPr>
    </w:p>
    <w:p>
      <w:pPr>
        <w:spacing w:after="0" w:line="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Amended Non-Employee Director Compensation Policy, dated April 24, 2024.</w:t>
            </w:r>
          </w:p>
        </w:tc>
        <w:tc>
          <w:tcPr>
            <w:tcW w:w="20" w:type="dxa"/>
            <w:vAlign w:val="bottom"/>
            <w:tcBorders>
              <w:bottom w:val="single" w:sz="8" w:color="0000EE"/>
            </w:tcBorders>
          </w:tcPr>
          <w:p>
            <w:pPr>
              <w:spacing w:after="0"/>
              <w:rPr>
                <w:sz w:val="18"/>
                <w:szCs w:val="18"/>
                <w:color w:val="auto"/>
              </w:rPr>
            </w:pPr>
          </w:p>
        </w:tc>
        <w:tc>
          <w:tcPr>
            <w:tcW w:w="4340" w:type="dxa"/>
            <w:vAlign w:val="bottom"/>
            <w:gridSpan w:val="4"/>
          </w:tcPr>
          <w:p>
            <w:pPr>
              <w:spacing w:after="0"/>
              <w:rPr>
                <w:sz w:val="18"/>
                <w:szCs w:val="18"/>
                <w:color w:val="auto"/>
              </w:rPr>
            </w:pPr>
          </w:p>
        </w:tc>
      </w:tr>
      <w:tr>
        <w:trPr>
          <w:trHeight w:val="46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Rule 13a-14(a) under the Securities Exchange Act of 1934, as adopted pursuant to</w:t>
            </w:r>
          </w:p>
        </w:tc>
        <w:tc>
          <w:tcPr>
            <w:tcW w:w="6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90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Rule 13a-14(a) under the Securities Exchange Act of 1934, as adopted pursuant to</w:t>
            </w:r>
          </w:p>
        </w:tc>
        <w:tc>
          <w:tcPr>
            <w:tcW w:w="100" w:type="dxa"/>
            <w:vAlign w:val="bottom"/>
            <w:gridSpan w:val="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r>
      <w:tr>
        <w:trPr>
          <w:trHeight w:val="20"/>
        </w:trPr>
        <w:tc>
          <w:tcPr>
            <w:tcW w:w="90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7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Chief Financial Officer pursuant to 18 U.S.C. §1350, as adopted pursuant to §906 of the</w:t>
            </w:r>
          </w:p>
        </w:tc>
        <w:tc>
          <w:tcPr>
            <w:tcW w:w="18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00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00" w:type="dxa"/>
            <w:vAlign w:val="bottom"/>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980" w:type="dxa"/>
            <w:vAlign w:val="bottom"/>
            <w:gridSpan w:val="7"/>
          </w:tcPr>
          <w:p>
            <w:pPr>
              <w:spacing w:after="0" w:line="20" w:lineRule="exact"/>
              <w:rPr>
                <w:sz w:val="1"/>
                <w:szCs w:val="1"/>
                <w:color w:val="auto"/>
              </w:rPr>
            </w:pPr>
          </w:p>
        </w:tc>
      </w:tr>
      <w:tr>
        <w:trPr>
          <w:trHeight w:val="39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900" w:type="dxa"/>
            <w:vAlign w:val="bottom"/>
          </w:tcPr>
          <w:p>
            <w:pPr>
              <w:spacing w:after="0"/>
              <w:rPr>
                <w:sz w:val="20"/>
                <w:szCs w:val="20"/>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157" w:lineRule="exact"/>
        <w:rPr>
          <w:sz w:val="20"/>
          <w:szCs w:val="20"/>
          <w:color w:val="auto"/>
        </w:rPr>
      </w:pPr>
    </w:p>
    <w:p>
      <w:pPr>
        <w:ind w:left="980" w:hanging="89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5" w:right="4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 Certain exhibits and schedules have been omitted in accordance with Item 601(a)(5) of Regulation S-K.</w:t>
      </w:r>
    </w:p>
    <w:p>
      <w:pPr>
        <w:spacing w:after="0" w:line="117" w:lineRule="exact"/>
        <w:rPr>
          <w:sz w:val="20"/>
          <w:szCs w:val="20"/>
          <w:color w:val="auto"/>
        </w:rPr>
      </w:pPr>
    </w:p>
    <w:p>
      <w:pPr>
        <w:ind w:right="59" w:firstLine="8"/>
        <w:spacing w:after="0" w:line="532" w:lineRule="auto"/>
        <w:tabs>
          <w:tab w:leader="none" w:pos="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identified information has been redacted in accordance with Item 601(b)(2)(ii) or 601(b)(10)(iv) of Regulation S-K, as applicable. ++ Indicates a management contract or compensatory plan, contract or arrangement.</w:t>
      </w:r>
    </w:p>
    <w:p>
      <w:pPr>
        <w:spacing w:after="0" w:line="5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and not filed.</w:t>
      </w:r>
    </w:p>
    <w:p>
      <w:pPr>
        <w:spacing w:after="0" w:line="200" w:lineRule="exact"/>
        <w:rPr>
          <w:sz w:val="20"/>
          <w:szCs w:val="20"/>
          <w:color w:val="auto"/>
        </w:rPr>
      </w:pPr>
    </w:p>
    <w:p>
      <w:pPr>
        <w:spacing w:after="0" w:line="2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60" w:name="page61"/>
    <w:bookmarkEnd w:id="60"/>
    <w:p>
      <w:pPr>
        <w:ind w:left="50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12, 2024</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56"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Jason Wilk</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Dated: November 12, 2024</w:t>
      </w:r>
      <w:r>
        <w:rPr>
          <w:sz w:val="20"/>
          <w:szCs w:val="20"/>
          <w:color w:val="auto"/>
        </w:rPr>
        <w:tab/>
      </w:r>
      <w:r>
        <w:rPr>
          <w:rFonts w:ascii="Times New Roman" w:cs="Times New Roman" w:eastAsia="Times New Roman" w:hAnsi="Times New Roman"/>
          <w:sz w:val="17"/>
          <w:szCs w:val="17"/>
          <w:b w:val="1"/>
          <w:bCs w:val="1"/>
          <w:color w:val="auto"/>
        </w:rPr>
        <w:t>DAVE INC.</w:t>
      </w:r>
    </w:p>
    <w:p>
      <w:pPr>
        <w:spacing w:after="0" w:line="256"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26035</wp:posOffset>
            </wp:positionV>
            <wp:extent cx="32404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4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Kyle Beilman</w:t>
      </w:r>
    </w:p>
    <w:p>
      <w:pPr>
        <w:spacing w:after="0" w:line="3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81" w:right="1239" w:bottom="1440" w:gutter="0" w:footer="0" w:header="0"/>
        </w:sectPr>
      </w:pPr>
    </w:p>
    <w:bookmarkStart w:id="61" w:name="page62"/>
    <w:bookmarkEnd w:id="61"/>
    <w:p>
      <w:pPr>
        <w:jc w:val="right"/>
        <w:spacing w:after="0"/>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Exhibit 10.1</w:t>
      </w:r>
    </w:p>
    <w:p>
      <w:pPr>
        <w:spacing w:after="0" w:line="200" w:lineRule="exact"/>
        <w:rPr>
          <w:sz w:val="20"/>
          <w:szCs w:val="20"/>
          <w:color w:val="auto"/>
        </w:rPr>
      </w:pPr>
    </w:p>
    <w:p>
      <w:pPr>
        <w:spacing w:after="0" w:line="260"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18"/>
          <w:szCs w:val="18"/>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Bank Services Agreement Cover Page</w:t>
      </w:r>
    </w:p>
    <w:p>
      <w:pPr>
        <w:spacing w:after="0" w:line="109" w:lineRule="exact"/>
        <w:rPr>
          <w:sz w:val="20"/>
          <w:szCs w:val="20"/>
          <w:color w:val="auto"/>
        </w:rPr>
      </w:pPr>
    </w:p>
    <w:p>
      <w:pPr>
        <w:ind w:right="540"/>
        <w:spacing w:after="0" w:line="235" w:lineRule="auto"/>
        <w:rPr>
          <w:sz w:val="20"/>
          <w:szCs w:val="20"/>
          <w:color w:val="auto"/>
        </w:rPr>
      </w:pPr>
      <w:r>
        <w:rPr>
          <w:rFonts w:ascii="Calibri" w:cs="Calibri" w:eastAsia="Calibri" w:hAnsi="Calibri"/>
          <w:sz w:val="18"/>
          <w:szCs w:val="18"/>
          <w:color w:val="auto"/>
        </w:rPr>
        <w:t>This Bank Services Agreement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is entered into as of the 13th day of July, 2020 (“</w:t>
      </w:r>
      <w:r>
        <w:rPr>
          <w:rFonts w:ascii="Calibri" w:cs="Calibri" w:eastAsia="Calibri" w:hAnsi="Calibri"/>
          <w:sz w:val="18"/>
          <w:szCs w:val="18"/>
          <w:u w:val="single" w:color="auto"/>
          <w:color w:val="auto"/>
        </w:rPr>
        <w:t>Efectve Date</w:t>
      </w:r>
      <w:r>
        <w:rPr>
          <w:rFonts w:ascii="Calibri" w:cs="Calibri" w:eastAsia="Calibri" w:hAnsi="Calibri"/>
          <w:sz w:val="18"/>
          <w:szCs w:val="18"/>
          <w:color w:val="auto"/>
        </w:rPr>
        <w:t>”) by and between Evolve Bank &amp; Trust, an Arkansas state bank, (“</w:t>
      </w:r>
      <w:r>
        <w:rPr>
          <w:rFonts w:ascii="Calibri" w:cs="Calibri" w:eastAsia="Calibri" w:hAnsi="Calibri"/>
          <w:sz w:val="18"/>
          <w:szCs w:val="18"/>
          <w:u w:val="single" w:color="auto"/>
          <w:color w:val="auto"/>
        </w:rPr>
        <w:t>Bank</w:t>
      </w:r>
      <w:r>
        <w:rPr>
          <w:rFonts w:ascii="Calibri" w:cs="Calibri" w:eastAsia="Calibri" w:hAnsi="Calibri"/>
          <w:sz w:val="18"/>
          <w:szCs w:val="18"/>
          <w:color w:val="auto"/>
        </w:rPr>
        <w:t>”) and Dave Inc., a Delaware corporaton (“</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or “</w:t>
      </w:r>
      <w:r>
        <w:rPr>
          <w:rFonts w:ascii="Calibri" w:cs="Calibri" w:eastAsia="Calibri" w:hAnsi="Calibri"/>
          <w:sz w:val="18"/>
          <w:szCs w:val="18"/>
          <w:u w:val="single" w:color="auto"/>
          <w:color w:val="auto"/>
        </w:rPr>
        <w:t>Program Manager</w:t>
      </w:r>
      <w:r>
        <w:rPr>
          <w:rFonts w:ascii="Calibri" w:cs="Calibri" w:eastAsia="Calibri" w:hAnsi="Calibri"/>
          <w:sz w:val="18"/>
          <w:szCs w:val="18"/>
          <w:color w:val="auto"/>
        </w:rPr>
        <w:t>”). For purposes of this Agreement, Bank and Company each will be referred to individually as a “</w:t>
      </w:r>
      <w:r>
        <w:rPr>
          <w:rFonts w:ascii="Calibri" w:cs="Calibri" w:eastAsia="Calibri" w:hAnsi="Calibri"/>
          <w:sz w:val="18"/>
          <w:szCs w:val="18"/>
          <w:u w:val="single" w:color="auto"/>
          <w:color w:val="auto"/>
        </w:rPr>
        <w:t>Party</w:t>
      </w:r>
      <w:r>
        <w:rPr>
          <w:rFonts w:ascii="Calibri" w:cs="Calibri" w:eastAsia="Calibri" w:hAnsi="Calibri"/>
          <w:sz w:val="18"/>
          <w:szCs w:val="18"/>
          <w:color w:val="auto"/>
        </w:rPr>
        <w:t>” and together as the “</w:t>
      </w:r>
      <w:r>
        <w:rPr>
          <w:rFonts w:ascii="Calibri" w:cs="Calibri" w:eastAsia="Calibri" w:hAnsi="Calibri"/>
          <w:sz w:val="18"/>
          <w:szCs w:val="18"/>
          <w:u w:val="single" w:color="auto"/>
          <w:color w:val="auto"/>
        </w:rPr>
        <w:t>Partes</w:t>
      </w:r>
      <w:r>
        <w:rPr>
          <w:rFonts w:ascii="Calibri" w:cs="Calibri" w:eastAsia="Calibri" w:hAnsi="Calibri"/>
          <w:sz w:val="18"/>
          <w:szCs w:val="18"/>
          <w:color w:val="auto"/>
        </w:rPr>
        <w: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Notces: Notces required under this Agreement shall be delivered pursuant to Secton 30, and addressed as set forth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00" w:type="dxa"/>
            <w:vAlign w:val="bottom"/>
            <w:gridSpan w:val="2"/>
          </w:tcPr>
          <w:p>
            <w:pPr>
              <w:spacing w:after="0"/>
              <w:rPr>
                <w:sz w:val="20"/>
                <w:szCs w:val="20"/>
                <w:color w:val="auto"/>
              </w:rPr>
            </w:pPr>
            <w:r>
              <w:rPr>
                <w:rFonts w:ascii="Calibri" w:cs="Calibri" w:eastAsia="Calibri" w:hAnsi="Calibri"/>
                <w:sz w:val="18"/>
                <w:szCs w:val="18"/>
                <w:color w:val="auto"/>
              </w:rPr>
              <w:t>If to Bank:</w:t>
            </w:r>
          </w:p>
        </w:tc>
        <w:tc>
          <w:tcPr>
            <w:tcW w:w="3060" w:type="dxa"/>
            <w:vAlign w:val="bottom"/>
          </w:tcPr>
          <w:p>
            <w:pPr>
              <w:ind w:left="20"/>
              <w:spacing w:after="0"/>
              <w:rPr>
                <w:sz w:val="20"/>
                <w:szCs w:val="20"/>
                <w:color w:val="auto"/>
              </w:rPr>
            </w:pPr>
            <w:r>
              <w:rPr>
                <w:rFonts w:ascii="Calibri" w:cs="Calibri" w:eastAsia="Calibri" w:hAnsi="Calibri"/>
                <w:sz w:val="18"/>
                <w:szCs w:val="18"/>
                <w:color w:val="auto"/>
              </w:rPr>
              <w:t>If to Company:</w:t>
            </w:r>
          </w:p>
        </w:tc>
      </w:tr>
      <w:tr>
        <w:trPr>
          <w:trHeight w:val="20"/>
        </w:trPr>
        <w:tc>
          <w:tcPr>
            <w:tcW w:w="6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334"/>
        </w:trPr>
        <w:tc>
          <w:tcPr>
            <w:tcW w:w="2200" w:type="dxa"/>
            <w:vAlign w:val="bottom"/>
            <w:gridSpan w:val="2"/>
          </w:tcPr>
          <w:p>
            <w:pPr>
              <w:spacing w:after="0"/>
              <w:rPr>
                <w:sz w:val="20"/>
                <w:szCs w:val="20"/>
                <w:color w:val="auto"/>
              </w:rPr>
            </w:pPr>
            <w:r>
              <w:rPr>
                <w:rFonts w:ascii="Calibri" w:cs="Calibri" w:eastAsia="Calibri" w:hAnsi="Calibri"/>
                <w:sz w:val="18"/>
                <w:szCs w:val="18"/>
                <w:color w:val="auto"/>
              </w:rPr>
              <w:t>Evolve Bank &amp; Trust</w:t>
            </w:r>
          </w:p>
        </w:tc>
        <w:tc>
          <w:tcPr>
            <w:tcW w:w="3060" w:type="dxa"/>
            <w:vAlign w:val="bottom"/>
          </w:tcPr>
          <w:p>
            <w:pPr>
              <w:ind w:left="340"/>
              <w:spacing w:after="0"/>
              <w:rPr>
                <w:sz w:val="20"/>
                <w:szCs w:val="20"/>
                <w:color w:val="auto"/>
              </w:rPr>
            </w:pPr>
            <w:r>
              <w:rPr>
                <w:rFonts w:ascii="Calibri" w:cs="Calibri" w:eastAsia="Calibri" w:hAnsi="Calibri"/>
                <w:sz w:val="18"/>
                <w:szCs w:val="18"/>
                <w:color w:val="auto"/>
              </w:rPr>
              <w:t>Dave Inc.</w:t>
            </w:r>
          </w:p>
        </w:tc>
      </w:tr>
      <w:tr>
        <w:trPr>
          <w:trHeight w:val="216"/>
        </w:trPr>
        <w:tc>
          <w:tcPr>
            <w:tcW w:w="2200" w:type="dxa"/>
            <w:vAlign w:val="bottom"/>
            <w:gridSpan w:val="2"/>
          </w:tcPr>
          <w:p>
            <w:pPr>
              <w:spacing w:after="0" w:line="216" w:lineRule="exact"/>
              <w:rPr>
                <w:sz w:val="20"/>
                <w:szCs w:val="20"/>
                <w:color w:val="auto"/>
              </w:rPr>
            </w:pPr>
            <w:r>
              <w:rPr>
                <w:rFonts w:ascii="Calibri" w:cs="Calibri" w:eastAsia="Calibri" w:hAnsi="Calibri"/>
                <w:sz w:val="18"/>
                <w:szCs w:val="18"/>
                <w:color w:val="auto"/>
                <w:w w:val="97"/>
              </w:rPr>
              <w:t>6070 Poplar Avenue, Suite 100</w:t>
            </w:r>
          </w:p>
        </w:tc>
        <w:tc>
          <w:tcPr>
            <w:tcW w:w="3060" w:type="dxa"/>
            <w:vAlign w:val="bottom"/>
          </w:tcPr>
          <w:p>
            <w:pPr>
              <w:ind w:left="980"/>
              <w:spacing w:after="0" w:line="216" w:lineRule="exact"/>
              <w:rPr>
                <w:sz w:val="20"/>
                <w:szCs w:val="20"/>
                <w:color w:val="auto"/>
              </w:rPr>
            </w:pPr>
            <w:r>
              <w:rPr>
                <w:rFonts w:ascii="Calibri" w:cs="Calibri" w:eastAsia="Calibri" w:hAnsi="Calibri"/>
                <w:sz w:val="18"/>
                <w:szCs w:val="18"/>
                <w:color w:val="auto"/>
              </w:rPr>
              <w:t>1265 S. Cochran Avenue</w:t>
            </w:r>
          </w:p>
        </w:tc>
      </w:tr>
      <w:tr>
        <w:trPr>
          <w:trHeight w:val="216"/>
        </w:trPr>
        <w:tc>
          <w:tcPr>
            <w:tcW w:w="2200" w:type="dxa"/>
            <w:vAlign w:val="bottom"/>
            <w:gridSpan w:val="2"/>
          </w:tcPr>
          <w:p>
            <w:pPr>
              <w:spacing w:after="0" w:line="216" w:lineRule="exact"/>
              <w:rPr>
                <w:sz w:val="20"/>
                <w:szCs w:val="20"/>
                <w:color w:val="auto"/>
              </w:rPr>
            </w:pPr>
            <w:r>
              <w:rPr>
                <w:rFonts w:ascii="Calibri" w:cs="Calibri" w:eastAsia="Calibri" w:hAnsi="Calibri"/>
                <w:sz w:val="18"/>
                <w:szCs w:val="18"/>
                <w:color w:val="auto"/>
              </w:rPr>
              <w:t>Memphis, Tennessee 38119</w:t>
            </w:r>
          </w:p>
        </w:tc>
        <w:tc>
          <w:tcPr>
            <w:tcW w:w="3060" w:type="dxa"/>
            <w:vAlign w:val="bottom"/>
          </w:tcPr>
          <w:p>
            <w:pPr>
              <w:ind w:left="980"/>
              <w:spacing w:after="0" w:line="216" w:lineRule="exact"/>
              <w:rPr>
                <w:sz w:val="20"/>
                <w:szCs w:val="20"/>
                <w:color w:val="auto"/>
              </w:rPr>
            </w:pPr>
            <w:r>
              <w:rPr>
                <w:rFonts w:ascii="Calibri" w:cs="Calibri" w:eastAsia="Calibri" w:hAnsi="Calibri"/>
                <w:sz w:val="18"/>
                <w:szCs w:val="18"/>
                <w:color w:val="auto"/>
                <w:w w:val="96"/>
              </w:rPr>
              <w:t>Los Angeles, California 90019</w:t>
            </w:r>
          </w:p>
        </w:tc>
      </w:tr>
      <w:tr>
        <w:trPr>
          <w:trHeight w:val="216"/>
        </w:trPr>
        <w:tc>
          <w:tcPr>
            <w:tcW w:w="2200" w:type="dxa"/>
            <w:vAlign w:val="bottom"/>
            <w:gridSpan w:val="2"/>
          </w:tcPr>
          <w:p>
            <w:pPr>
              <w:spacing w:after="0" w:line="216" w:lineRule="exact"/>
              <w:rPr>
                <w:sz w:val="20"/>
                <w:szCs w:val="20"/>
                <w:color w:val="auto"/>
              </w:rPr>
            </w:pPr>
            <w:r>
              <w:rPr>
                <w:rFonts w:ascii="Calibri" w:cs="Calibri" w:eastAsia="Calibri" w:hAnsi="Calibri"/>
                <w:sz w:val="18"/>
                <w:szCs w:val="18"/>
                <w:color w:val="auto"/>
              </w:rPr>
              <w:t>Atenton: Legal Department</w:t>
            </w:r>
          </w:p>
        </w:tc>
        <w:tc>
          <w:tcPr>
            <w:tcW w:w="3060" w:type="dxa"/>
            <w:vAlign w:val="bottom"/>
          </w:tcPr>
          <w:p>
            <w:pPr>
              <w:ind w:left="980"/>
              <w:spacing w:after="0" w:line="216" w:lineRule="exact"/>
              <w:rPr>
                <w:sz w:val="20"/>
                <w:szCs w:val="20"/>
                <w:color w:val="auto"/>
              </w:rPr>
            </w:pPr>
            <w:r>
              <w:rPr>
                <w:rFonts w:ascii="Calibri" w:cs="Calibri" w:eastAsia="Calibri" w:hAnsi="Calibri"/>
                <w:sz w:val="18"/>
                <w:szCs w:val="18"/>
                <w:color w:val="auto"/>
              </w:rPr>
              <w:t>Atenton: Legal</w:t>
            </w:r>
          </w:p>
        </w:tc>
      </w:tr>
    </w:tbl>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1A1A1A"/>
        </w:rPr>
        <w:t>Program Manager Reserve Account/Amount</w:t>
      </w:r>
      <w:r>
        <w:rPr>
          <w:rFonts w:ascii="Calibri" w:cs="Calibri" w:eastAsia="Calibri" w:hAnsi="Calibri"/>
          <w:sz w:val="18"/>
          <w:szCs w:val="18"/>
          <w:color w:val="1A1A1A"/>
        </w:rPr>
        <w: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1A1A1A"/>
        </w:rPr>
        <w:t xml:space="preserve">Company shall maintain an interest bearing deposit account at Bank which holds the reserve amounts deposited by Company pursuant to this Secton (“Program Manager Reserve Account”). </w:t>
      </w:r>
      <w:r>
        <w:rPr>
          <w:rFonts w:ascii="Calibri" w:cs="Calibri" w:eastAsia="Calibri" w:hAnsi="Calibri"/>
          <w:sz w:val="18"/>
          <w:szCs w:val="18"/>
          <w:color w:val="000000"/>
        </w:rPr>
        <w:t>Company shall deposit an amount equal to the Inital Reserve Requirement as found on the Enterprise Fee Schedule</w:t>
      </w:r>
      <w:r>
        <w:rPr>
          <w:rFonts w:ascii="Calibri" w:cs="Calibri" w:eastAsia="Calibri" w:hAnsi="Calibri"/>
          <w:sz w:val="18"/>
          <w:szCs w:val="18"/>
          <w:color w:val="1A1A1A"/>
        </w:rPr>
        <w:t xml:space="preserve"> </w:t>
      </w:r>
      <w:r>
        <w:rPr>
          <w:rFonts w:ascii="Calibri" w:cs="Calibri" w:eastAsia="Calibri" w:hAnsi="Calibri"/>
          <w:sz w:val="18"/>
          <w:szCs w:val="18"/>
          <w:color w:val="000000"/>
        </w:rPr>
        <w:t xml:space="preserve">on or before the Efectve Date and shall maintain such amount in the Program Manager Reserve Account for the frst three (3) full months following the Efectve Date (the “Inital Reserve Requirement”). Upon the three-month anniversary of the Efectve Date, Company shall ensure the </w:t>
      </w:r>
      <w:r>
        <w:rPr>
          <w:rFonts w:ascii="Calibri" w:cs="Calibri" w:eastAsia="Calibri" w:hAnsi="Calibri"/>
          <w:sz w:val="18"/>
          <w:szCs w:val="18"/>
          <w:color w:val="1A1A1A"/>
        </w:rPr>
        <w:t>Program Manager</w:t>
      </w:r>
      <w:r>
        <w:rPr>
          <w:rFonts w:ascii="Calibri" w:cs="Calibri" w:eastAsia="Calibri" w:hAnsi="Calibri"/>
          <w:sz w:val="18"/>
          <w:szCs w:val="18"/>
          <w:color w:val="000000"/>
        </w:rPr>
        <w:t xml:space="preserve"> Reserve Account maintains a balance equal to [**] (the “Reserve Amount”). Subject to the Inital Reserve Requirement and the prior notce as set forth below, the Reserve Account shall be reassessed and adjusted every month based on (i) and (ii) in the immediately preceding sentences; provided, however, if any Regulatory Authority with jurisdicton over Bank notfes Bank that the Reserve Amount is inadequate to cover the risks associated with the Program, Bank shall provide notce to Program Manager of the Regulatory Authority's fnding and of the Reserve amount that will be a sufcient reserve to satsfy the Regulatory Authority, and such amount shall be the new Reserve Amount. Negatve Outcomes means the amount of ACH Return, provisional credits (net any provisional credits that are returned to Bank), and chargebacks (net any chargebacks that are returned to Bank), in each case that result in a debit to the FBO Account (as referenced as EB&amp;T FBO Dave Inc Users account) or the Program Manager Reserve Account (provided, for clarifcaton, that any individual debit shall only be counted once for purposes of determining the Program Manager Reserve Account balance, even if such debit is evident in more than one such account), plus the amount reasonably determined by Bank to ofset risks associated with any material breach of this Agreement or the Debit Card Issuing Agreement by Program Manager. Subject to the terms in the Program Manager Reserve Account Secton of the Debit Card Issuing Agreement, Bank may, deviate from this reserve calculaton and require a greater Reserve Amount. Bank will provide writen notce of the Reserve Amount within 30 days afer the end of each month. </w:t>
      </w:r>
      <w:r>
        <w:rPr>
          <w:rFonts w:ascii="Calibri" w:cs="Calibri" w:eastAsia="Calibri" w:hAnsi="Calibri"/>
          <w:sz w:val="18"/>
          <w:szCs w:val="18"/>
          <w:color w:val="1A1A1A"/>
        </w:rPr>
        <w:t>In the event the actual balance in Program Manager Reserve Account is less than the Reserve Amount and the defciency is not cured</w:t>
      </w:r>
      <w:r>
        <w:rPr>
          <w:rFonts w:ascii="Calibri" w:cs="Calibri" w:eastAsia="Calibri" w:hAnsi="Calibri"/>
          <w:sz w:val="18"/>
          <w:szCs w:val="18"/>
          <w:color w:val="000000"/>
        </w:rPr>
        <w:t xml:space="preserve"> </w:t>
      </w:r>
      <w:r>
        <w:rPr>
          <w:rFonts w:ascii="Calibri" w:cs="Calibri" w:eastAsia="Calibri" w:hAnsi="Calibri"/>
          <w:sz w:val="18"/>
          <w:szCs w:val="18"/>
          <w:color w:val="1A1A1A"/>
        </w:rPr>
        <w:t>within two (2) Business Days afer notce from Bank to Company, then Bank shall have the right to terminate the Program and this Agreement at no liability to Bank.</w:t>
      </w:r>
    </w:p>
    <w:p>
      <w:pPr>
        <w:spacing w:after="0" w:line="123" w:lineRule="exact"/>
        <w:rPr>
          <w:sz w:val="20"/>
          <w:szCs w:val="20"/>
          <w:color w:val="auto"/>
        </w:rPr>
      </w:pPr>
    </w:p>
    <w:p>
      <w:pPr>
        <w:jc w:val="both"/>
        <w:ind w:firstLine="53"/>
        <w:spacing w:after="0" w:line="235" w:lineRule="auto"/>
        <w:rPr>
          <w:sz w:val="20"/>
          <w:szCs w:val="20"/>
          <w:color w:val="auto"/>
        </w:rPr>
      </w:pPr>
      <w:r>
        <w:rPr>
          <w:rFonts w:ascii="Calibri" w:cs="Calibri" w:eastAsia="Calibri" w:hAnsi="Calibri"/>
          <w:sz w:val="18"/>
          <w:szCs w:val="18"/>
          <w:color w:val="1A1A1A"/>
        </w:rPr>
        <w:t>To secure Company’s obligatons under this Agreement, Company hereby grants Bank a frst priority security interest in the Program Manager Reserve Account and the funds therein or proceeds thereof, and agrees that Bank has control of the Program Manager Reserve Account for purposes of the Uniform Commercial Code, Artcle 9-314. Company further agrees to take such steps as Bank may reasonably require to perfect or protect such frst priority security interest. Bank shall have all of the rights and remedies of a secured party under Applicable Law with respect to the Program Manager Reserve Account and the funds therein or proceeds thereof, and shall be enttled to exercise those rights and remedies in its discreton upon a default by Company of any provision of this Agreement. Without limitng the forgoing, Bank may, without prior notce, exercise a right of set-of against the Program Manager Reserve Account for amounts due under this Agreement and exercise all other rights and remedies provided in this Agreement or the Uniform Commercial Code. Company agrees that it will maintain the lien against the Program Manager Reserve Account in favor of Bank and agrees that it will not grant any other party an interest in the Program Manager Reserve Account. Company authorizes Bank to withdraw funds from the Program Manager Reserve Account to cover any amounts due to it under this Agreement, including losses incurred by in connecton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80"/>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2" w:name="page63"/>
    <w:bookmarkEnd w:id="62"/>
    <w:p>
      <w:pPr>
        <w:spacing w:after="0"/>
        <w:rPr>
          <w:sz w:val="20"/>
          <w:szCs w:val="20"/>
          <w:color w:val="auto"/>
        </w:rPr>
      </w:pPr>
      <w:r>
        <w:rPr>
          <w:rFonts w:ascii="Calibri" w:cs="Calibri" w:eastAsia="Calibri" w:hAnsi="Calibri"/>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IN WITNESS WHEREOF</w:t>
      </w:r>
      <w:r>
        <w:rPr>
          <w:rFonts w:ascii="Calibri" w:cs="Calibri" w:eastAsia="Calibri" w:hAnsi="Calibri"/>
          <w:sz w:val="17"/>
          <w:szCs w:val="17"/>
          <w:color w:val="auto"/>
        </w:rPr>
        <w:t>, this Agreement is executed by the Partes’ authorized ofcers or representatves and shall be efectve as of the date below.</w:t>
      </w:r>
    </w:p>
    <w:p>
      <w:pPr>
        <w:sectPr>
          <w:pgSz w:w="11900" w:h="16838" w:orient="portrait"/>
          <w:cols w:equalWidth="0" w:num="1">
            <w:col w:w="10980"/>
          </w:cols>
          <w:pgMar w:left="320" w:top="1427" w:right="599" w:bottom="1440" w:gutter="0" w:footer="0" w:header="0"/>
        </w:sectPr>
      </w:pPr>
    </w:p>
    <w:p>
      <w:pPr>
        <w:spacing w:after="0" w:line="33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Bank</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Evolve Bank &amp; Trust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Company</w:t>
      </w:r>
      <w:r>
        <w:rPr>
          <w:rFonts w:ascii="Calibri" w:cs="Calibri" w:eastAsia="Calibri" w:hAnsi="Calibri"/>
          <w:sz w:val="17"/>
          <w:szCs w:val="17"/>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Calibri" w:cs="Calibri" w:eastAsia="Calibri" w:hAnsi="Calibri"/>
          <w:sz w:val="17"/>
          <w:szCs w:val="17"/>
          <w:b w:val="1"/>
          <w:bCs w:val="1"/>
          <w:color w:val="auto"/>
        </w:rPr>
        <w:t>Dave Inc.</w:t>
      </w:r>
    </w:p>
    <w:p>
      <w:pPr>
        <w:spacing w:after="0" w:line="200" w:lineRule="exact"/>
        <w:rPr>
          <w:sz w:val="20"/>
          <w:szCs w:val="20"/>
          <w:color w:val="auto"/>
        </w:rPr>
      </w:pPr>
    </w:p>
    <w:p>
      <w:pPr>
        <w:sectPr>
          <w:pgSz w:w="11900" w:h="16838" w:orient="portrait"/>
          <w:cols w:equalWidth="0" w:num="4">
            <w:col w:w="420" w:space="40"/>
            <w:col w:w="1440" w:space="640"/>
            <w:col w:w="740" w:space="40"/>
            <w:col w:w="7660"/>
          </w:cols>
          <w:pgMar w:left="320" w:top="1427" w:right="59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color w:val="auto"/>
        </w:rPr>
        <w:t>By: /S/ Scot Lenoir</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Name: Scot Lenoir</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color w:val="auto"/>
        </w:rPr>
        <w:t>Title: Chairman</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Date: 7/14/2020</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By: /S/ Jason Wilk</w:t>
      </w:r>
    </w:p>
    <w:p>
      <w:pPr>
        <w:spacing w:after="0" w:line="145"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Name: Jason Wilk</w:t>
      </w:r>
    </w:p>
    <w:p>
      <w:pPr>
        <w:spacing w:after="0" w:line="145" w:lineRule="exact"/>
        <w:rPr>
          <w:sz w:val="20"/>
          <w:szCs w:val="20"/>
          <w:color w:val="auto"/>
        </w:rPr>
      </w:pPr>
    </w:p>
    <w:p>
      <w:pPr>
        <w:ind w:left="320"/>
        <w:spacing w:after="0"/>
        <w:rPr>
          <w:sz w:val="20"/>
          <w:szCs w:val="20"/>
          <w:color w:val="auto"/>
        </w:rPr>
      </w:pPr>
      <w:r>
        <w:rPr>
          <w:rFonts w:ascii="Calibri" w:cs="Calibri" w:eastAsia="Calibri" w:hAnsi="Calibri"/>
          <w:sz w:val="18"/>
          <w:szCs w:val="18"/>
          <w:color w:val="auto"/>
        </w:rPr>
        <w:t>Title: CEO</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Date: 7/13/2020</w:t>
      </w:r>
    </w:p>
    <w:p>
      <w:pPr>
        <w:spacing w:after="0" w:line="1" w:lineRule="exact"/>
        <w:rPr>
          <w:sz w:val="20"/>
          <w:szCs w:val="20"/>
          <w:color w:val="auto"/>
        </w:rPr>
      </w:pPr>
    </w:p>
    <w:p>
      <w:pPr>
        <w:sectPr>
          <w:pgSz w:w="11900" w:h="16838" w:orient="portrait"/>
          <w:cols w:equalWidth="0" w:num="2">
            <w:col w:w="1360" w:space="240"/>
            <w:col w:w="9380"/>
          </w:cols>
          <w:pgMar w:left="320" w:top="1427" w:right="599" w:bottom="1440" w:gutter="0" w:footer="0" w:header="0"/>
          <w:type w:val="continuous"/>
        </w:sectPr>
      </w:pPr>
    </w:p>
    <w:p>
      <w:pPr>
        <w:jc w:val="right"/>
        <w:spacing w:after="0" w:line="235" w:lineRule="auto"/>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27" w:right="599" w:bottom="1440" w:gutter="0" w:footer="0" w:header="0"/>
          <w:type w:val="continuous"/>
        </w:sectPr>
      </w:pPr>
    </w:p>
    <w:bookmarkStart w:id="63" w:name="page64"/>
    <w:bookmarkEnd w:id="63"/>
    <w:p>
      <w:pPr>
        <w:jc w:val="center"/>
        <w:spacing w:after="0"/>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BANK SERVICES AGREEMENT</w:t>
      </w:r>
    </w:p>
    <w:p>
      <w:pPr>
        <w:spacing w:after="0" w:line="217"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WHEREAS, Bank is a depository insttuton and state member bank of the Federal Reserve, with its deposits insured by the Federal Deposit Insurance Corporaton (“</w:t>
      </w:r>
      <w:r>
        <w:rPr>
          <w:rFonts w:ascii="Calibri" w:cs="Calibri" w:eastAsia="Calibri" w:hAnsi="Calibri"/>
          <w:sz w:val="18"/>
          <w:szCs w:val="18"/>
          <w:u w:val="single" w:color="auto"/>
          <w:color w:val="auto"/>
        </w:rPr>
        <w:t>FDIC</w:t>
      </w:r>
      <w:r>
        <w:rPr>
          <w:rFonts w:ascii="Calibri" w:cs="Calibri" w:eastAsia="Calibri" w:hAnsi="Calibri"/>
          <w:sz w:val="18"/>
          <w:szCs w:val="18"/>
          <w:color w:val="auto"/>
        </w:rPr>
        <w:t>”); and</w:t>
      </w:r>
    </w:p>
    <w:p>
      <w:pPr>
        <w:spacing w:after="0" w:line="21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WHEREAS, Bank is a member of the Natonal Automated Clearing House Associaton (“</w:t>
      </w:r>
      <w:r>
        <w:rPr>
          <w:rFonts w:ascii="Calibri" w:cs="Calibri" w:eastAsia="Calibri" w:hAnsi="Calibri"/>
          <w:sz w:val="18"/>
          <w:szCs w:val="18"/>
          <w:u w:val="single" w:color="auto"/>
          <w:color w:val="auto"/>
        </w:rPr>
        <w:t>NACHA</w:t>
      </w:r>
      <w:r>
        <w:rPr>
          <w:rFonts w:ascii="Calibri" w:cs="Calibri" w:eastAsia="Calibri" w:hAnsi="Calibri"/>
          <w:sz w:val="18"/>
          <w:szCs w:val="18"/>
          <w:color w:val="auto"/>
        </w:rPr>
        <w:t>”) and is in the business, among other things, of originatng and receiving ACH Entries and establishing and maintaining deposit accounts in connecton therewith; and</w:t>
      </w:r>
    </w:p>
    <w:p>
      <w:pPr>
        <w:spacing w:after="0" w:line="21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WHEREAS, Bank and Company have entered into that certain Debit Card Issuing Agreement, dated as of the Efectve Date hereof, in order for Company to support Bank’s issuance of certain debit cards used to access Deposit Accounts (the “Debit Card Issuing Agreement”); and</w:t>
      </w:r>
    </w:p>
    <w:p>
      <w:pPr>
        <w:spacing w:after="0" w:line="21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WHEREAS, the Partes desire to establish a program under which the Partes will ofer Customers access to Deposit Accounts, issued and maintained by Bank, into which such Customers can deposit funds and access such funds using a Card (as defned in the Debit Card Issuing Agreement) issued pursuant to the Debit Card Issuing Agreement, as more fully described in Schedule A (the “</w:t>
      </w:r>
      <w:r>
        <w:rPr>
          <w:rFonts w:ascii="Calibri" w:cs="Calibri" w:eastAsia="Calibri" w:hAnsi="Calibri"/>
          <w:sz w:val="18"/>
          <w:szCs w:val="18"/>
          <w:u w:val="single" w:color="auto"/>
          <w:color w:val="auto"/>
        </w:rPr>
        <w:t>Program</w:t>
      </w:r>
      <w:r>
        <w:rPr>
          <w:rFonts w:ascii="Calibri" w:cs="Calibri" w:eastAsia="Calibri" w:hAnsi="Calibri"/>
          <w:sz w:val="18"/>
          <w:szCs w:val="18"/>
          <w:color w:val="auto"/>
        </w:rPr>
        <w:t>”); and</w:t>
      </w:r>
    </w:p>
    <w:p>
      <w:pPr>
        <w:spacing w:after="0" w:line="214"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WHEREAS, Bank agrees to establish the accounts for the Program pursuant to the terms and conditons set forth herein; and</w:t>
      </w:r>
    </w:p>
    <w:p>
      <w:pPr>
        <w:spacing w:after="0" w:line="212" w:lineRule="exact"/>
        <w:rPr>
          <w:sz w:val="20"/>
          <w:szCs w:val="20"/>
          <w:color w:val="auto"/>
        </w:rPr>
      </w:pPr>
    </w:p>
    <w:p>
      <w:pPr>
        <w:ind w:left="760"/>
        <w:spacing w:after="0"/>
        <w:rPr>
          <w:sz w:val="20"/>
          <w:szCs w:val="20"/>
          <w:color w:val="auto"/>
        </w:rPr>
      </w:pPr>
      <w:r>
        <w:rPr>
          <w:rFonts w:ascii="Calibri" w:cs="Calibri" w:eastAsia="Calibri" w:hAnsi="Calibri"/>
          <w:sz w:val="18"/>
          <w:szCs w:val="18"/>
          <w:color w:val="auto"/>
        </w:rPr>
        <w:t>WHEREAS, the Partes wish to establish the terms and conditons to provide and receive certain services from each other in connecton with the</w:t>
      </w:r>
    </w:p>
    <w:p>
      <w:pPr>
        <w:spacing w:after="0" w:line="235" w:lineRule="auto"/>
        <w:rPr>
          <w:sz w:val="20"/>
          <w:szCs w:val="20"/>
          <w:color w:val="auto"/>
        </w:rPr>
      </w:pPr>
      <w:r>
        <w:rPr>
          <w:rFonts w:ascii="Calibri" w:cs="Calibri" w:eastAsia="Calibri" w:hAnsi="Calibri"/>
          <w:sz w:val="18"/>
          <w:szCs w:val="18"/>
          <w:color w:val="auto"/>
        </w:rPr>
        <w:t>Program.</w:t>
      </w:r>
    </w:p>
    <w:p>
      <w:pPr>
        <w:spacing w:after="0" w:line="21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18"/>
          <w:szCs w:val="18"/>
          <w:color w:val="auto"/>
        </w:rPr>
        <w:t>NOW, THEREFORE, in consideraton of the mutual covenants and conditons hereinafer set forth, the receipt and sufciency of which is acknowledged, the Partes hereto, intending to be legally bound, agree as follows:</w:t>
      </w:r>
    </w:p>
    <w:p>
      <w:pPr>
        <w:spacing w:after="0" w:line="218" w:lineRule="exact"/>
        <w:rPr>
          <w:sz w:val="20"/>
          <w:szCs w:val="20"/>
          <w:color w:val="auto"/>
        </w:rPr>
      </w:pPr>
    </w:p>
    <w:p>
      <w:pPr>
        <w:ind w:left="760" w:hanging="752"/>
        <w:spacing w:after="0" w:line="235" w:lineRule="auto"/>
        <w:tabs>
          <w:tab w:leader="none" w:pos="760" w:val="left"/>
        </w:tabs>
        <w:numPr>
          <w:ilvl w:val="0"/>
          <w:numId w:val="20"/>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Defnitons</w:t>
      </w:r>
      <w:r>
        <w:rPr>
          <w:rFonts w:ascii="Calibri" w:cs="Calibri" w:eastAsia="Calibri" w:hAnsi="Calibri"/>
          <w:sz w:val="18"/>
          <w:szCs w:val="18"/>
          <w:color w:val="auto"/>
        </w:rPr>
        <w:t>. Except as otherwise specifcally indicated in this Secton 1 or elsewhere in this Agreement, capitalized terms used in this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shall have the meanings set forth in the NACHA Rules (as defned below):</w:t>
      </w:r>
    </w:p>
    <w:p>
      <w:pPr>
        <w:spacing w:after="0" w:line="212" w:lineRule="exact"/>
        <w:rPr>
          <w:rFonts w:ascii="Calibri" w:cs="Calibri" w:eastAsia="Calibri" w:hAnsi="Calibri"/>
          <w:sz w:val="18"/>
          <w:szCs w:val="18"/>
          <w:b w:val="1"/>
          <w:bCs w:val="1"/>
          <w:u w:val="single" w:color="auto"/>
          <w:color w:val="auto"/>
        </w:rPr>
      </w:pPr>
    </w:p>
    <w:p>
      <w:pPr>
        <w:ind w:left="1500" w:hanging="743"/>
        <w:spacing w:after="0"/>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ACH Operator</w:t>
      </w:r>
      <w:r>
        <w:rPr>
          <w:rFonts w:ascii="Calibri" w:cs="Calibri" w:eastAsia="Calibri" w:hAnsi="Calibri"/>
          <w:sz w:val="18"/>
          <w:szCs w:val="18"/>
          <w:color w:val="auto"/>
        </w:rPr>
        <w:t>” shall have the meaning as defned in the NACHA Rules.</w:t>
      </w:r>
    </w:p>
    <w:p>
      <w:pPr>
        <w:spacing w:after="0" w:line="217" w:lineRule="exact"/>
        <w:rPr>
          <w:rFonts w:ascii="Calibri" w:cs="Calibri" w:eastAsia="Calibri" w:hAnsi="Calibri"/>
          <w:sz w:val="18"/>
          <w:szCs w:val="18"/>
          <w:u w:val="single" w:color="auto"/>
          <w:color w:val="auto"/>
        </w:rPr>
      </w:pPr>
    </w:p>
    <w:p>
      <w:pPr>
        <w:ind w:left="1500" w:hanging="743"/>
        <w:spacing w:after="0" w:line="235" w:lineRule="auto"/>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Account Policies</w:t>
      </w:r>
      <w:r>
        <w:rPr>
          <w:rFonts w:ascii="Calibri" w:cs="Calibri" w:eastAsia="Calibri" w:hAnsi="Calibri"/>
          <w:sz w:val="18"/>
          <w:szCs w:val="18"/>
          <w:color w:val="auto"/>
        </w:rPr>
        <w:t xml:space="preserve"> or </w:t>
      </w:r>
      <w:r>
        <w:rPr>
          <w:rFonts w:ascii="Calibri" w:cs="Calibri" w:eastAsia="Calibri" w:hAnsi="Calibri"/>
          <w:sz w:val="18"/>
          <w:szCs w:val="18"/>
          <w:u w:val="single" w:color="auto"/>
          <w:color w:val="auto"/>
        </w:rPr>
        <w:t>Account Policy</w:t>
      </w:r>
      <w:r>
        <w:rPr>
          <w:rFonts w:ascii="Calibri" w:cs="Calibri" w:eastAsia="Calibri" w:hAnsi="Calibri"/>
          <w:sz w:val="18"/>
          <w:szCs w:val="18"/>
          <w:color w:val="auto"/>
        </w:rPr>
        <w:t>” means the Program Manager’s compliance policies and procedures, as submited to and approved by Bank.</w:t>
      </w:r>
    </w:p>
    <w:p>
      <w:pPr>
        <w:spacing w:after="0" w:line="212" w:lineRule="exact"/>
        <w:rPr>
          <w:rFonts w:ascii="Calibri" w:cs="Calibri" w:eastAsia="Calibri" w:hAnsi="Calibri"/>
          <w:sz w:val="18"/>
          <w:szCs w:val="18"/>
          <w:u w:val="single" w:color="auto"/>
          <w:color w:val="auto"/>
        </w:rPr>
      </w:pPr>
    </w:p>
    <w:p>
      <w:pPr>
        <w:ind w:left="1500" w:hanging="743"/>
        <w:spacing w:after="0"/>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Agent</w:t>
      </w:r>
      <w:r>
        <w:rPr>
          <w:rFonts w:ascii="Calibri" w:cs="Calibri" w:eastAsia="Calibri" w:hAnsi="Calibri"/>
          <w:sz w:val="18"/>
          <w:szCs w:val="18"/>
          <w:color w:val="auto"/>
        </w:rPr>
        <w:t>” means any third party service provider, processor, subcontractor or agent used by Company in connecton with the Program.</w:t>
      </w:r>
    </w:p>
    <w:p>
      <w:pPr>
        <w:spacing w:after="0" w:line="212" w:lineRule="exact"/>
        <w:rPr>
          <w:rFonts w:ascii="Calibri" w:cs="Calibri" w:eastAsia="Calibri" w:hAnsi="Calibri"/>
          <w:sz w:val="18"/>
          <w:szCs w:val="18"/>
          <w:u w:val="single" w:color="auto"/>
          <w:color w:val="auto"/>
        </w:rPr>
      </w:pPr>
    </w:p>
    <w:p>
      <w:pPr>
        <w:ind w:left="1500" w:hanging="743"/>
        <w:spacing w:after="0"/>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Aggregated De-Identfed Data</w:t>
      </w:r>
      <w:r>
        <w:rPr>
          <w:rFonts w:ascii="Calibri" w:cs="Calibri" w:eastAsia="Calibri" w:hAnsi="Calibri"/>
          <w:sz w:val="18"/>
          <w:szCs w:val="18"/>
          <w:color w:val="auto"/>
        </w:rPr>
        <w:t>” has the meaning provided in Secton 14(c).</w:t>
      </w:r>
    </w:p>
    <w:p>
      <w:pPr>
        <w:spacing w:after="0" w:line="212" w:lineRule="exact"/>
        <w:rPr>
          <w:rFonts w:ascii="Calibri" w:cs="Calibri" w:eastAsia="Calibri" w:hAnsi="Calibri"/>
          <w:sz w:val="18"/>
          <w:szCs w:val="18"/>
          <w:u w:val="single" w:color="auto"/>
          <w:color w:val="auto"/>
        </w:rPr>
      </w:pPr>
    </w:p>
    <w:p>
      <w:pPr>
        <w:ind w:left="1500" w:hanging="743"/>
        <w:spacing w:after="0"/>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shall have the meaning provided in the Preamble.</w:t>
      </w:r>
    </w:p>
    <w:p>
      <w:pPr>
        <w:spacing w:after="0" w:line="217" w:lineRule="exact"/>
        <w:rPr>
          <w:rFonts w:ascii="Calibri" w:cs="Calibri" w:eastAsia="Calibri" w:hAnsi="Calibri"/>
          <w:sz w:val="18"/>
          <w:szCs w:val="18"/>
          <w:u w:val="single" w:color="auto"/>
          <w:color w:val="auto"/>
        </w:rPr>
      </w:pPr>
    </w:p>
    <w:p>
      <w:pPr>
        <w:jc w:val="both"/>
        <w:ind w:left="1500" w:hanging="743"/>
        <w:spacing w:after="0" w:line="235" w:lineRule="auto"/>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Applicable Law</w:t>
      </w:r>
      <w:r>
        <w:rPr>
          <w:rFonts w:ascii="Calibri" w:cs="Calibri" w:eastAsia="Calibri" w:hAnsi="Calibri"/>
          <w:sz w:val="18"/>
          <w:szCs w:val="18"/>
          <w:color w:val="auto"/>
        </w:rPr>
        <w:t>” means any federal, state and local statutes, rules, regulatons, regulatory guidelines and judicial or administratve interpretatons related to this Agreement, the Services, Program and/or the Program services, as well as any rules or requirements established by the FDIC, Federal Reserve Board, Arkansas State Bank Department, Tennessee Department of Financial Insttutons, the Equal Credit Opportunity Act and Regulaton B, FACT Act, any laws and regulatons regulatng unfair, deceptve and abusive acts or practces, all ant-money laundering laws and regulatons, including the Bank Secrecy Act as amended by the USA PATRIOT ACT of 2001 and regulatons administered by the U.S. Department of Treasury’s OFAC, the Gramm-Leach-Bliley Act, Uniform Commercial Code as in efect in the State of New York and laws on bank branching.</w:t>
      </w:r>
    </w:p>
    <w:p>
      <w:pPr>
        <w:spacing w:after="0" w:line="217" w:lineRule="exact"/>
        <w:rPr>
          <w:rFonts w:ascii="Calibri" w:cs="Calibri" w:eastAsia="Calibri" w:hAnsi="Calibri"/>
          <w:sz w:val="18"/>
          <w:szCs w:val="18"/>
          <w:u w:val="single" w:color="auto"/>
          <w:color w:val="auto"/>
        </w:rPr>
      </w:pPr>
    </w:p>
    <w:p>
      <w:pPr>
        <w:ind w:left="1500" w:hanging="743"/>
        <w:spacing w:after="0"/>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Applicant</w:t>
      </w:r>
      <w:r>
        <w:rPr>
          <w:rFonts w:ascii="Calibri" w:cs="Calibri" w:eastAsia="Calibri" w:hAnsi="Calibri"/>
          <w:sz w:val="18"/>
          <w:szCs w:val="18"/>
          <w:color w:val="auto"/>
        </w:rPr>
        <w:t>” means a consumer who submits an Applicaton or other request for a Deposit Account.</w:t>
      </w:r>
    </w:p>
    <w:p>
      <w:pPr>
        <w:spacing w:after="0" w:line="212" w:lineRule="exact"/>
        <w:rPr>
          <w:rFonts w:ascii="Calibri" w:cs="Calibri" w:eastAsia="Calibri" w:hAnsi="Calibri"/>
          <w:sz w:val="18"/>
          <w:szCs w:val="18"/>
          <w:u w:val="single" w:color="auto"/>
          <w:color w:val="auto"/>
        </w:rPr>
      </w:pPr>
    </w:p>
    <w:p>
      <w:pPr>
        <w:ind w:left="1500" w:hanging="743"/>
        <w:spacing w:after="0"/>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Applicaton</w:t>
      </w:r>
      <w:r>
        <w:rPr>
          <w:rFonts w:ascii="Calibri" w:cs="Calibri" w:eastAsia="Calibri" w:hAnsi="Calibri"/>
          <w:sz w:val="18"/>
          <w:szCs w:val="18"/>
          <w:color w:val="auto"/>
        </w:rPr>
        <w:t>” means the acton or document by which a consumer requests and applies for a Deposit Account from Bank.</w:t>
      </w:r>
    </w:p>
    <w:p>
      <w:pPr>
        <w:spacing w:after="0" w:line="217" w:lineRule="exact"/>
        <w:rPr>
          <w:rFonts w:ascii="Calibri" w:cs="Calibri" w:eastAsia="Calibri" w:hAnsi="Calibri"/>
          <w:sz w:val="18"/>
          <w:szCs w:val="18"/>
          <w:u w:val="single" w:color="auto"/>
          <w:color w:val="auto"/>
        </w:rPr>
      </w:pPr>
    </w:p>
    <w:p>
      <w:pPr>
        <w:jc w:val="both"/>
        <w:ind w:left="1500" w:hanging="743"/>
        <w:spacing w:after="0" w:line="235" w:lineRule="auto"/>
        <w:tabs>
          <w:tab w:leader="none" w:pos="1500" w:val="left"/>
        </w:tabs>
        <w:numPr>
          <w:ilvl w:val="1"/>
          <w:numId w:val="2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Applicaton Processing</w:t>
      </w:r>
      <w:r>
        <w:rPr>
          <w:rFonts w:ascii="Calibri" w:cs="Calibri" w:eastAsia="Calibri" w:hAnsi="Calibri"/>
          <w:sz w:val="18"/>
          <w:szCs w:val="18"/>
          <w:color w:val="auto"/>
        </w:rPr>
        <w:t>” means those services necessary to establish and support a Deposit Account in accordance with Applicable Law. Such services shall include but are not be limited to: applicaton of the Account Policy to incoming Applicatons, OFAC and ant-money laundering screening, customer service, statement and disclosure preparaton and issuance, regulatory compliance, security and fraud control, and actvity reportng.</w:t>
      </w:r>
    </w:p>
    <w:p>
      <w:pPr>
        <w:spacing w:after="0" w:line="215" w:lineRule="exact"/>
        <w:rPr>
          <w:sz w:val="20"/>
          <w:szCs w:val="20"/>
          <w:color w:val="auto"/>
        </w:rPr>
      </w:pPr>
    </w:p>
    <w:p>
      <w:pPr>
        <w:ind w:left="10880"/>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465455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64" w:name="page65"/>
    <w:bookmarkEnd w:id="64"/>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Calibri" w:cs="Calibri" w:eastAsia="Calibri" w:hAnsi="Calibri"/>
          <w:sz w:val="18"/>
          <w:szCs w:val="18"/>
          <w:u w:val="single" w:color="auto"/>
          <w:color w:val="auto"/>
        </w:rPr>
        <w:t>Auditng Party</w:t>
      </w:r>
      <w:r>
        <w:rPr>
          <w:rFonts w:ascii="Calibri" w:cs="Calibri" w:eastAsia="Calibri" w:hAnsi="Calibri"/>
          <w:sz w:val="18"/>
          <w:szCs w:val="18"/>
          <w:color w:val="auto"/>
        </w:rPr>
        <w:t>” has the meaning provided in Secton 8(d)(i).</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Bank</w:t>
      </w:r>
      <w:r>
        <w:rPr>
          <w:rFonts w:ascii="Calibri" w:cs="Calibri" w:eastAsia="Calibri" w:hAnsi="Calibri"/>
          <w:sz w:val="18"/>
          <w:szCs w:val="18"/>
          <w:color w:val="auto"/>
        </w:rPr>
        <w:t>” shall have the meaning provided in the Preamble.</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Bank Marks</w:t>
      </w:r>
      <w:r>
        <w:rPr>
          <w:rFonts w:ascii="Calibri" w:cs="Calibri" w:eastAsia="Calibri" w:hAnsi="Calibri"/>
          <w:sz w:val="18"/>
          <w:szCs w:val="18"/>
          <w:color w:val="auto"/>
        </w:rPr>
        <w:t>” has the meaning provided in Secton 15(a).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Bank Systems</w:t>
      </w:r>
      <w:r>
        <w:rPr>
          <w:rFonts w:ascii="Calibri" w:cs="Calibri" w:eastAsia="Calibri" w:hAnsi="Calibri"/>
          <w:sz w:val="18"/>
          <w:szCs w:val="18"/>
          <w:color w:val="auto"/>
        </w:rPr>
        <w:t>” has the meaning provided in Secton 29.</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Breach Indemnitee</w:t>
      </w:r>
      <w:r>
        <w:rPr>
          <w:rFonts w:ascii="Calibri" w:cs="Calibri" w:eastAsia="Calibri" w:hAnsi="Calibri"/>
          <w:sz w:val="18"/>
          <w:szCs w:val="18"/>
          <w:color w:val="auto"/>
        </w:rPr>
        <w:t>” has the meaning provided in Secton 11(f).</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Breached Party</w:t>
      </w:r>
      <w:r>
        <w:rPr>
          <w:rFonts w:ascii="Calibri" w:cs="Calibri" w:eastAsia="Calibri" w:hAnsi="Calibri"/>
          <w:sz w:val="18"/>
          <w:szCs w:val="18"/>
          <w:color w:val="auto"/>
        </w:rPr>
        <w:t>” has the meaning provided in Secton 11 (c)(i).</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BSA/AML/OFAC Program</w:t>
      </w:r>
      <w:r>
        <w:rPr>
          <w:rFonts w:ascii="Calibri" w:cs="Calibri" w:eastAsia="Calibri" w:hAnsi="Calibri"/>
          <w:sz w:val="18"/>
          <w:szCs w:val="18"/>
          <w:color w:val="auto"/>
        </w:rPr>
        <w:t>” has the meaning provided in Secton 8(a).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Business Day</w:t>
      </w:r>
      <w:r>
        <w:rPr>
          <w:rFonts w:ascii="Calibri" w:cs="Calibri" w:eastAsia="Calibri" w:hAnsi="Calibri"/>
          <w:sz w:val="18"/>
          <w:szCs w:val="18"/>
          <w:color w:val="auto"/>
        </w:rPr>
        <w:t>” means Monday through Friday, excluding federal banking holidays.</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Calculaton Date</w:t>
      </w:r>
      <w:r>
        <w:rPr>
          <w:rFonts w:ascii="Calibri" w:cs="Calibri" w:eastAsia="Calibri" w:hAnsi="Calibri"/>
          <w:sz w:val="18"/>
          <w:szCs w:val="18"/>
          <w:color w:val="auto"/>
        </w:rPr>
        <w:t>” has the meaning provided in Secton 8(h).</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CFPB</w:t>
      </w:r>
      <w:r>
        <w:rPr>
          <w:rFonts w:ascii="Calibri" w:cs="Calibri" w:eastAsia="Calibri" w:hAnsi="Calibri"/>
          <w:sz w:val="18"/>
          <w:szCs w:val="18"/>
          <w:color w:val="auto"/>
        </w:rPr>
        <w:t>” means Consumer Financial Protecton Bureau.</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Company</w:t>
      </w:r>
      <w:r>
        <w:rPr>
          <w:rFonts w:ascii="Calibri" w:cs="Calibri" w:eastAsia="Calibri" w:hAnsi="Calibri"/>
          <w:sz w:val="18"/>
          <w:szCs w:val="18"/>
          <w:color w:val="auto"/>
        </w:rPr>
        <w:t>” or “</w:t>
      </w:r>
      <w:r>
        <w:rPr>
          <w:rFonts w:ascii="Calibri" w:cs="Calibri" w:eastAsia="Calibri" w:hAnsi="Calibri"/>
          <w:sz w:val="18"/>
          <w:szCs w:val="18"/>
          <w:u w:val="single" w:color="auto"/>
          <w:color w:val="auto"/>
        </w:rPr>
        <w:t>Program Manager</w:t>
      </w:r>
      <w:r>
        <w:rPr>
          <w:rFonts w:ascii="Calibri" w:cs="Calibri" w:eastAsia="Calibri" w:hAnsi="Calibri"/>
          <w:sz w:val="18"/>
          <w:szCs w:val="18"/>
          <w:color w:val="auto"/>
        </w:rPr>
        <w:t>” has the meaning provided in the preamble.</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Company Marks</w:t>
      </w:r>
      <w:r>
        <w:rPr>
          <w:rFonts w:ascii="Calibri" w:cs="Calibri" w:eastAsia="Calibri" w:hAnsi="Calibri"/>
          <w:sz w:val="18"/>
          <w:szCs w:val="18"/>
          <w:color w:val="auto"/>
        </w:rPr>
        <w:t>” has the meaning provided in Secton 15(b).</w:t>
      </w:r>
    </w:p>
    <w:p>
      <w:pPr>
        <w:spacing w:after="0" w:line="217"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Confdental Informaton</w:t>
      </w:r>
      <w:r>
        <w:rPr>
          <w:rFonts w:ascii="Calibri" w:cs="Calibri" w:eastAsia="Calibri" w:hAnsi="Calibri"/>
          <w:sz w:val="18"/>
          <w:szCs w:val="18"/>
          <w:color w:val="auto"/>
        </w:rPr>
        <w:t>” means any and all informaton that is disclosed by one Party to the other Party and that relates to a Party’s business or the Partes’ business relatonship hereunder, including informaton concerning fnances, products, services, customers and suppliers. Confdental Informaton shall not include informaton which (i) is in or comes into the public domain without breach of this Agreement by the receiving Party; (ii) was in the possession of the receiving Party prior to receipt from the disclosing Party and was not acquired by the receiving Party from the disclosing Party under an obligaton of confdentality or nonuse; (iii) is acquired by the receiving Party from a third party not under an obligaton of confdentality or nonuse to the disclosing Party; or (iv) is independently developed by the receiving Party without use of any Confdental Informaton of the disclosing Party.</w:t>
      </w:r>
    </w:p>
    <w:p>
      <w:pPr>
        <w:spacing w:after="0" w:line="217"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Customer</w:t>
      </w:r>
      <w:r>
        <w:rPr>
          <w:rFonts w:ascii="Calibri" w:cs="Calibri" w:eastAsia="Calibri" w:hAnsi="Calibri"/>
          <w:sz w:val="18"/>
          <w:szCs w:val="18"/>
          <w:color w:val="auto"/>
        </w:rPr>
        <w:t>” has the meaning provided in Schedule 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Cure Period”</w:t>
      </w:r>
      <w:r>
        <w:rPr>
          <w:rFonts w:ascii="Calibri" w:cs="Calibri" w:eastAsia="Calibri" w:hAnsi="Calibri"/>
          <w:sz w:val="18"/>
          <w:szCs w:val="18"/>
          <w:color w:val="auto"/>
        </w:rPr>
        <w:t xml:space="preserve"> has the meaning provided in Secton 16(b).</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Deposit Account</w:t>
      </w:r>
      <w:r>
        <w:rPr>
          <w:rFonts w:ascii="Calibri" w:cs="Calibri" w:eastAsia="Calibri" w:hAnsi="Calibri"/>
          <w:sz w:val="18"/>
          <w:szCs w:val="18"/>
          <w:color w:val="auto"/>
        </w:rPr>
        <w:t>” has the meaning provided in Schedule 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Deposit Account Agreement</w:t>
      </w:r>
      <w:r>
        <w:rPr>
          <w:rFonts w:ascii="Calibri" w:cs="Calibri" w:eastAsia="Calibri" w:hAnsi="Calibri"/>
          <w:sz w:val="18"/>
          <w:szCs w:val="18"/>
          <w:color w:val="auto"/>
        </w:rPr>
        <w:t>” means the agreement between Customer and Bank governing the Deposit Account.</w:t>
      </w:r>
    </w:p>
    <w:p>
      <w:pPr>
        <w:spacing w:after="0" w:line="217" w:lineRule="exact"/>
        <w:rPr>
          <w:sz w:val="20"/>
          <w:szCs w:val="20"/>
          <w:color w:val="auto"/>
        </w:rPr>
      </w:pPr>
    </w:p>
    <w:p>
      <w:pPr>
        <w:jc w:val="both"/>
        <w:ind w:left="743" w:hanging="743"/>
        <w:spacing w:after="0" w:line="235" w:lineRule="auto"/>
        <w:tabs>
          <w:tab w:leader="none" w:pos="743" w:val="left"/>
        </w:tabs>
        <w:numPr>
          <w:ilvl w:val="0"/>
          <w:numId w:val="22"/>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Depositor Informaton</w:t>
      </w:r>
      <w:r>
        <w:rPr>
          <w:rFonts w:ascii="Calibri" w:cs="Calibri" w:eastAsia="Calibri" w:hAnsi="Calibri"/>
          <w:sz w:val="18"/>
          <w:szCs w:val="18"/>
          <w:color w:val="auto"/>
        </w:rPr>
        <w:t>” means all informaton, whether personally identfable or in aggregate, that is submited and/or obtained by Bank about a Deposit Account or a Deposit Account applicaton (whether or not completed), including demographic data, and transacton data.</w:t>
      </w:r>
    </w:p>
    <w:p>
      <w:pPr>
        <w:spacing w:after="0" w:line="218" w:lineRule="exact"/>
        <w:rPr>
          <w:rFonts w:ascii="Calibri" w:cs="Calibri" w:eastAsia="Calibri" w:hAnsi="Calibri"/>
          <w:sz w:val="18"/>
          <w:szCs w:val="18"/>
          <w:u w:val="single" w:color="auto"/>
          <w:color w:val="auto"/>
        </w:rPr>
      </w:pPr>
    </w:p>
    <w:p>
      <w:pPr>
        <w:ind w:left="743" w:hanging="743"/>
        <w:spacing w:after="0" w:line="235" w:lineRule="auto"/>
        <w:tabs>
          <w:tab w:leader="none" w:pos="743" w:val="left"/>
        </w:tabs>
        <w:numPr>
          <w:ilvl w:val="0"/>
          <w:numId w:val="22"/>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Deposits</w:t>
      </w:r>
      <w:r>
        <w:rPr>
          <w:rFonts w:ascii="Calibri" w:cs="Calibri" w:eastAsia="Calibri" w:hAnsi="Calibri"/>
          <w:sz w:val="18"/>
          <w:szCs w:val="18"/>
          <w:color w:val="auto"/>
        </w:rPr>
        <w:t>” means generally an unpaid balance of money received or held by Bank for the beneft of Customers in the Deposit Account, as further defned by 12 U.S.C. 1813(l) as amended and FDIC Rules.</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2"/>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Efectve Date</w:t>
      </w:r>
      <w:r>
        <w:rPr>
          <w:rFonts w:ascii="Calibri" w:cs="Calibri" w:eastAsia="Calibri" w:hAnsi="Calibri"/>
          <w:sz w:val="18"/>
          <w:szCs w:val="18"/>
          <w:color w:val="auto"/>
        </w:rPr>
        <w:t>” means the date frst writen above.</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2"/>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Entry</w:t>
      </w:r>
      <w:r>
        <w:rPr>
          <w:rFonts w:ascii="Calibri" w:cs="Calibri" w:eastAsia="Calibri" w:hAnsi="Calibri"/>
          <w:sz w:val="18"/>
          <w:szCs w:val="18"/>
          <w:color w:val="auto"/>
        </w:rPr>
        <w:t>” shall have the meaning as defned in the NACHA Rules.</w:t>
      </w:r>
    </w:p>
    <w:p>
      <w:pPr>
        <w:spacing w:after="0" w:line="217"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22"/>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Exposure Setlement Limits</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means the maximum daily exposure limit set by the Bank in writng on debit Entries submited under this Agreement, excluding all transactons relatng to credit Entries, Wire Services or deposits held in any Deposit Account, equal to [**] multplied by the then-current Reserve Amount, or such other amount agreed to by the Partes.</w:t>
      </w:r>
    </w:p>
    <w:p>
      <w:pPr>
        <w:spacing w:after="0" w:line="214" w:lineRule="exact"/>
        <w:rPr>
          <w:sz w:val="20"/>
          <w:szCs w:val="20"/>
          <w:color w:val="auto"/>
        </w:rPr>
      </w:pPr>
    </w:p>
    <w:p>
      <w:pPr>
        <w:ind w:left="743" w:hanging="743"/>
        <w:spacing w:after="0"/>
        <w:tabs>
          <w:tab w:leader="none" w:pos="743" w:val="left"/>
        </w:tabs>
        <w:numPr>
          <w:ilvl w:val="0"/>
          <w:numId w:val="23"/>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FBO Account</w:t>
      </w:r>
      <w:r>
        <w:rPr>
          <w:rFonts w:ascii="Calibri" w:cs="Calibri" w:eastAsia="Calibri" w:hAnsi="Calibri"/>
          <w:sz w:val="18"/>
          <w:szCs w:val="18"/>
          <w:color w:val="auto"/>
        </w:rPr>
        <w:t>” has the meaning provided in Schedule A.</w:t>
      </w:r>
    </w:p>
    <w:p>
      <w:pPr>
        <w:spacing w:after="0" w:line="212" w:lineRule="exact"/>
        <w:rPr>
          <w:sz w:val="20"/>
          <w:szCs w:val="20"/>
          <w:color w:val="auto"/>
        </w:rPr>
      </w:pPr>
    </w:p>
    <w:p>
      <w:pPr>
        <w:ind w:left="743" w:hanging="743"/>
        <w:spacing w:after="0"/>
        <w:tabs>
          <w:tab w:leader="none" w:pos="743" w:val="left"/>
        </w:tabs>
        <w:numPr>
          <w:ilvl w:val="0"/>
          <w:numId w:val="24"/>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FDIC</w:t>
      </w:r>
      <w:r>
        <w:rPr>
          <w:rFonts w:ascii="Calibri" w:cs="Calibri" w:eastAsia="Calibri" w:hAnsi="Calibri"/>
          <w:sz w:val="18"/>
          <w:szCs w:val="18"/>
          <w:color w:val="auto"/>
        </w:rPr>
        <w:t>” means Federal Deposit Insurance Corporaton.</w:t>
      </w:r>
    </w:p>
    <w:p>
      <w:pPr>
        <w:spacing w:after="0" w:line="212"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8" w:right="339" w:bottom="1440" w:gutter="0" w:footer="0" w:header="0"/>
        </w:sectPr>
      </w:pPr>
    </w:p>
    <w:bookmarkStart w:id="65" w:name="page66"/>
    <w:bookmarkEnd w:id="65"/>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Calibri" w:cs="Calibri" w:eastAsia="Calibri" w:hAnsi="Calibri"/>
          <w:sz w:val="18"/>
          <w:szCs w:val="18"/>
          <w:u w:val="single" w:color="auto"/>
          <w:color w:val="auto"/>
        </w:rPr>
        <w:t>FDIC Insurance</w:t>
      </w:r>
      <w:r>
        <w:rPr>
          <w:rFonts w:ascii="Calibri" w:cs="Calibri" w:eastAsia="Calibri" w:hAnsi="Calibri"/>
          <w:sz w:val="18"/>
          <w:szCs w:val="18"/>
          <w:color w:val="auto"/>
        </w:rPr>
        <w:t>” means the insurance of Bank’s deposits by the FDIC.</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Force Majeure Event</w:t>
      </w:r>
      <w:r>
        <w:rPr>
          <w:rFonts w:ascii="Calibri" w:cs="Calibri" w:eastAsia="Calibri" w:hAnsi="Calibri"/>
          <w:sz w:val="18"/>
          <w:szCs w:val="18"/>
          <w:color w:val="auto"/>
        </w:rPr>
        <w:t>” has the meaning provided in Secton 17.</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Inital Term</w:t>
      </w:r>
      <w:r>
        <w:rPr>
          <w:rFonts w:ascii="Calibri" w:cs="Calibri" w:eastAsia="Calibri" w:hAnsi="Calibri"/>
          <w:sz w:val="18"/>
          <w:szCs w:val="18"/>
          <w:color w:val="auto"/>
        </w:rPr>
        <w:t>” has the meaning provided in Secton 16(a).</w:t>
      </w:r>
    </w:p>
    <w:p>
      <w:pPr>
        <w:spacing w:after="0" w:line="217" w:lineRule="exact"/>
        <w:rPr>
          <w:rFonts w:ascii="Calibri" w:cs="Calibri" w:eastAsia="Calibri" w:hAnsi="Calibri"/>
          <w:sz w:val="18"/>
          <w:szCs w:val="18"/>
          <w:u w:val="single" w:color="auto"/>
          <w:color w:val="auto"/>
        </w:rPr>
      </w:pPr>
    </w:p>
    <w:p>
      <w:pPr>
        <w:ind w:left="743" w:hanging="743"/>
        <w:spacing w:after="0" w:line="235" w:lineRule="auto"/>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Insolvent</w:t>
      </w:r>
      <w:r>
        <w:rPr>
          <w:rFonts w:ascii="Calibri" w:cs="Calibri" w:eastAsia="Calibri" w:hAnsi="Calibri"/>
          <w:sz w:val="18"/>
          <w:szCs w:val="18"/>
          <w:color w:val="auto"/>
        </w:rPr>
        <w:t>” means the failure to pay debts in the ordinary course of business, the inability to pay its debts as they come due or the conditon whereby the sum of an entty’s debts is greater than the sum of its assets.</w:t>
      </w:r>
    </w:p>
    <w:p>
      <w:pPr>
        <w:spacing w:after="0" w:line="217"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Intellectual Property</w:t>
      </w:r>
      <w:r>
        <w:rPr>
          <w:rFonts w:ascii="Calibri" w:cs="Calibri" w:eastAsia="Calibri" w:hAnsi="Calibri"/>
          <w:sz w:val="18"/>
          <w:szCs w:val="18"/>
          <w:color w:val="auto"/>
        </w:rPr>
        <w:t>” means (i) inventons, improvements, patents (including all reissues, contnuatons, contnuatons-in-part, revisions, extensions, and reexaminatons thereof) and patent applicatons, (ii) trademarks, service marks, trade names and trade dress, together with the goodwill associated therewith, (iii) works of authorship and copyrights, including copyrights in computer sofware, databases and television programming and all rights related thereto, (iv) confdental and proprietary informaton, including trade secrets and know how, (v) processes, methods, procedures and materials, (vi) data, databases and informaton, (vii) sofware, tools and machine-readable texts and fles, (viii) literary work or other work of authorship, including documentaton, reports, drawings, charts, graphics, and other writen documentaton, together with all copyrights and moral rights, (ix) all other proprietary rights, and (x) all registratons and applicatons for registraton and other intellectual property rights in or appurtenant to the foregoing items described in clauses (i) through (ix) above.</w:t>
      </w:r>
    </w:p>
    <w:p>
      <w:pPr>
        <w:spacing w:after="0" w:line="223"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Marketng Actvites</w:t>
      </w:r>
      <w:r>
        <w:rPr>
          <w:rFonts w:ascii="Calibri" w:cs="Calibri" w:eastAsia="Calibri" w:hAnsi="Calibri"/>
          <w:sz w:val="18"/>
          <w:szCs w:val="18"/>
          <w:color w:val="auto"/>
        </w:rPr>
        <w:t>” means all advertsing media of any kind or nature, in whole or in part, including without limitaton, catalogs, email solicitaton messages, published advertsing (such as newspaper and magazine advertsements), SMS text messaging, Internet media, blogs, tweet posts, banner ads, RSS feeds, telemarketng scripts, television or radio advertsements, frequently asked questons, promotng, advertsing and/or marketng the Program or Deposit Account.</w:t>
      </w:r>
    </w:p>
    <w:p>
      <w:pPr>
        <w:spacing w:after="0" w:line="219" w:lineRule="exact"/>
        <w:rPr>
          <w:rFonts w:ascii="Calibri" w:cs="Calibri" w:eastAsia="Calibri" w:hAnsi="Calibri"/>
          <w:sz w:val="18"/>
          <w:szCs w:val="18"/>
          <w:u w:val="single" w:color="auto"/>
          <w:color w:val="auto"/>
        </w:rPr>
      </w:pPr>
    </w:p>
    <w:p>
      <w:pPr>
        <w:ind w:left="743" w:hanging="743"/>
        <w:spacing w:after="0" w:line="235" w:lineRule="auto"/>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Marketng Materials</w:t>
      </w:r>
      <w:r>
        <w:rPr>
          <w:rFonts w:ascii="Calibri" w:cs="Calibri" w:eastAsia="Calibri" w:hAnsi="Calibri"/>
          <w:sz w:val="18"/>
          <w:szCs w:val="18"/>
          <w:color w:val="auto"/>
        </w:rPr>
        <w:t>” means categories of marketng messages intended to market the Program or Deposit Account or to generate demand for the originaton of Deposit Accounts from a targeted populaton delivered through various Marketng Actvites.</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Membership</w:t>
      </w:r>
      <w:r>
        <w:rPr>
          <w:rFonts w:ascii="Calibri" w:cs="Calibri" w:eastAsia="Calibri" w:hAnsi="Calibri"/>
          <w:sz w:val="18"/>
          <w:szCs w:val="18"/>
          <w:color w:val="auto"/>
        </w:rPr>
        <w:t>” means collectvely Network Membership and Bank’s status as a member bank in the FDIC.</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NACHA</w:t>
      </w:r>
      <w:r>
        <w:rPr>
          <w:rFonts w:ascii="Calibri" w:cs="Calibri" w:eastAsia="Calibri" w:hAnsi="Calibri"/>
          <w:sz w:val="18"/>
          <w:szCs w:val="18"/>
          <w:color w:val="auto"/>
        </w:rPr>
        <w:t>” has the meaning provided in the preamble.</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NACHA Rules</w:t>
      </w:r>
      <w:r>
        <w:rPr>
          <w:rFonts w:ascii="Calibri" w:cs="Calibri" w:eastAsia="Calibri" w:hAnsi="Calibri"/>
          <w:sz w:val="18"/>
          <w:szCs w:val="18"/>
          <w:color w:val="auto"/>
        </w:rPr>
        <w:t>” means the rules and regulatons provided by NACHA.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Network Membership</w:t>
      </w:r>
      <w:r>
        <w:rPr>
          <w:rFonts w:ascii="Calibri" w:cs="Calibri" w:eastAsia="Calibri" w:hAnsi="Calibri"/>
          <w:sz w:val="18"/>
          <w:szCs w:val="18"/>
          <w:color w:val="auto"/>
        </w:rPr>
        <w:t>” means the membership of Bank in NACHA and any other applicable Network.</w:t>
      </w:r>
    </w:p>
    <w:p>
      <w:pPr>
        <w:spacing w:after="0" w:line="212" w:lineRule="exact"/>
        <w:rPr>
          <w:rFonts w:ascii="Calibri" w:cs="Calibri" w:eastAsia="Calibri" w:hAnsi="Calibri"/>
          <w:sz w:val="18"/>
          <w:szCs w:val="18"/>
          <w:u w:val="single" w:color="auto"/>
          <w:color w:val="auto"/>
        </w:rPr>
      </w:pPr>
    </w:p>
    <w:p>
      <w:pPr>
        <w:ind w:left="783" w:hanging="783"/>
        <w:spacing w:after="0"/>
        <w:tabs>
          <w:tab w:leader="none" w:pos="783" w:val="left"/>
        </w:tabs>
        <w:numPr>
          <w:ilvl w:val="0"/>
          <w:numId w:val="25"/>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NOC</w:t>
      </w:r>
      <w:r>
        <w:rPr>
          <w:rFonts w:ascii="Calibri" w:cs="Calibri" w:eastAsia="Calibri" w:hAnsi="Calibri"/>
          <w:sz w:val="18"/>
          <w:szCs w:val="18"/>
          <w:color w:val="auto"/>
        </w:rPr>
        <w:t>” has the meaning provided in 10(i).</w:t>
      </w:r>
    </w:p>
    <w:p>
      <w:pPr>
        <w:spacing w:after="0" w:line="212" w:lineRule="exact"/>
        <w:rPr>
          <w:sz w:val="20"/>
          <w:szCs w:val="20"/>
          <w:color w:val="auto"/>
        </w:rPr>
      </w:pPr>
    </w:p>
    <w:p>
      <w:pPr>
        <w:ind w:left="743" w:hanging="743"/>
        <w:spacing w:after="0"/>
        <w:tabs>
          <w:tab w:leader="none" w:pos="743" w:val="left"/>
        </w:tabs>
        <w:numPr>
          <w:ilvl w:val="0"/>
          <w:numId w:val="26"/>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On-Us Entry</w:t>
      </w:r>
      <w:r>
        <w:rPr>
          <w:rFonts w:ascii="Calibri" w:cs="Calibri" w:eastAsia="Calibri" w:hAnsi="Calibri"/>
          <w:sz w:val="18"/>
          <w:szCs w:val="18"/>
          <w:color w:val="auto"/>
        </w:rPr>
        <w:t>” has the meaning provided in Secton 10(c).</w:t>
      </w:r>
    </w:p>
    <w:p>
      <w:pPr>
        <w:spacing w:after="0" w:line="212" w:lineRule="exact"/>
        <w:rPr>
          <w:sz w:val="20"/>
          <w:szCs w:val="20"/>
          <w:color w:val="auto"/>
        </w:rPr>
      </w:pPr>
    </w:p>
    <w:p>
      <w:pPr>
        <w:ind w:left="743" w:hanging="743"/>
        <w:spacing w:after="0"/>
        <w:tabs>
          <w:tab w:leader="none" w:pos="743"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OFAC</w:t>
      </w:r>
      <w:r>
        <w:rPr>
          <w:rFonts w:ascii="Calibri" w:cs="Calibri" w:eastAsia="Calibri" w:hAnsi="Calibri"/>
          <w:sz w:val="18"/>
          <w:szCs w:val="18"/>
          <w:color w:val="auto"/>
        </w:rPr>
        <w:t>” means Ofce of Foreign Asset Controls.</w:t>
      </w:r>
    </w:p>
    <w:p>
      <w:pPr>
        <w:spacing w:after="0" w:line="217" w:lineRule="exact"/>
        <w:rPr>
          <w:rFonts w:ascii="Calibri" w:cs="Calibri" w:eastAsia="Calibri" w:hAnsi="Calibri"/>
          <w:sz w:val="18"/>
          <w:szCs w:val="18"/>
          <w:u w:val="single" w:color="auto"/>
          <w:color w:val="auto"/>
        </w:rPr>
      </w:pPr>
    </w:p>
    <w:p>
      <w:pPr>
        <w:ind w:left="743" w:hanging="743"/>
        <w:spacing w:after="0" w:line="235" w:lineRule="auto"/>
        <w:tabs>
          <w:tab w:leader="none" w:pos="743"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Originaton Services</w:t>
      </w:r>
      <w:r>
        <w:rPr>
          <w:rFonts w:ascii="Calibri" w:cs="Calibri" w:eastAsia="Calibri" w:hAnsi="Calibri"/>
          <w:sz w:val="18"/>
          <w:szCs w:val="18"/>
          <w:color w:val="auto"/>
        </w:rPr>
        <w:t>” mean Bank’s transmission of any credit Entry, debit Entry or Nonmonetary Entry to a Receiver’s account at an RDFI as more partcularly set forth in this Agreement.</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Originator</w:t>
      </w:r>
      <w:r>
        <w:rPr>
          <w:rFonts w:ascii="Calibri" w:cs="Calibri" w:eastAsia="Calibri" w:hAnsi="Calibri"/>
          <w:sz w:val="18"/>
          <w:szCs w:val="18"/>
          <w:color w:val="auto"/>
        </w:rPr>
        <w:t>” shall have the meaning as defned in the NACHA Rules.</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Party</w:t>
      </w:r>
      <w:r>
        <w:rPr>
          <w:rFonts w:ascii="Calibri" w:cs="Calibri" w:eastAsia="Calibri" w:hAnsi="Calibri"/>
          <w:sz w:val="18"/>
          <w:szCs w:val="18"/>
          <w:color w:val="auto"/>
        </w:rPr>
        <w:t>” and “</w:t>
      </w:r>
      <w:r>
        <w:rPr>
          <w:rFonts w:ascii="Calibri" w:cs="Calibri" w:eastAsia="Calibri" w:hAnsi="Calibri"/>
          <w:sz w:val="18"/>
          <w:szCs w:val="18"/>
          <w:u w:val="single" w:color="auto"/>
          <w:color w:val="auto"/>
        </w:rPr>
        <w:t>Partes</w:t>
      </w:r>
      <w:r>
        <w:rPr>
          <w:rFonts w:ascii="Calibri" w:cs="Calibri" w:eastAsia="Calibri" w:hAnsi="Calibri"/>
          <w:sz w:val="18"/>
          <w:szCs w:val="18"/>
          <w:color w:val="auto"/>
        </w:rPr>
        <w:t>” have the meaning provided in the preamble.</w:t>
      </w:r>
    </w:p>
    <w:p>
      <w:pPr>
        <w:spacing w:after="0" w:line="217" w:lineRule="exact"/>
        <w:rPr>
          <w:rFonts w:ascii="Calibri" w:cs="Calibri" w:eastAsia="Calibri" w:hAnsi="Calibri"/>
          <w:sz w:val="18"/>
          <w:szCs w:val="18"/>
          <w:u w:val="single" w:color="auto"/>
          <w:color w:val="auto"/>
        </w:rPr>
      </w:pPr>
    </w:p>
    <w:p>
      <w:pPr>
        <w:ind w:left="743" w:hanging="743"/>
        <w:spacing w:after="0" w:line="235" w:lineRule="auto"/>
        <w:tabs>
          <w:tab w:leader="none" w:pos="743"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Person</w:t>
      </w:r>
      <w:r>
        <w:rPr>
          <w:rFonts w:ascii="Calibri" w:cs="Calibri" w:eastAsia="Calibri" w:hAnsi="Calibri"/>
          <w:sz w:val="18"/>
          <w:szCs w:val="18"/>
          <w:color w:val="auto"/>
        </w:rPr>
        <w:t>” means any natural or legal person, including any individual, corporaton, partnership, limited liability company, trust or unincorporated associaton, or other entty.</w:t>
      </w:r>
    </w:p>
    <w:p>
      <w:pPr>
        <w:spacing w:after="0" w:line="217" w:lineRule="exact"/>
        <w:rPr>
          <w:rFonts w:ascii="Calibri" w:cs="Calibri" w:eastAsia="Calibri" w:hAnsi="Calibri"/>
          <w:sz w:val="18"/>
          <w:szCs w:val="18"/>
          <w:u w:val="single" w:color="auto"/>
          <w:color w:val="auto"/>
        </w:rPr>
      </w:pPr>
    </w:p>
    <w:p>
      <w:pPr>
        <w:ind w:left="743" w:hanging="743"/>
        <w:spacing w:after="0" w:line="235" w:lineRule="auto"/>
        <w:tabs>
          <w:tab w:leader="none" w:pos="743" w:val="left"/>
        </w:tabs>
        <w:numPr>
          <w:ilvl w:val="0"/>
          <w:numId w:val="27"/>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Principal</w:t>
      </w:r>
      <w:r>
        <w:rPr>
          <w:rFonts w:ascii="Calibri" w:cs="Calibri" w:eastAsia="Calibri" w:hAnsi="Calibri"/>
          <w:sz w:val="18"/>
          <w:szCs w:val="18"/>
          <w:color w:val="auto"/>
        </w:rPr>
        <w:t>” means any Person directly or indirectly owning ten percent (10%) or more of Company, and any executve ofcer or director of Company.</w:t>
      </w:r>
    </w:p>
    <w:p>
      <w:pPr>
        <w:spacing w:after="0" w:line="213" w:lineRule="exact"/>
        <w:rPr>
          <w:sz w:val="20"/>
          <w:szCs w:val="20"/>
          <w:color w:val="auto"/>
        </w:rPr>
      </w:pPr>
    </w:p>
    <w:p>
      <w:pPr>
        <w:ind w:left="743" w:hanging="743"/>
        <w:spacing w:after="0"/>
        <w:tabs>
          <w:tab w:leader="none" w:pos="743" w:val="left"/>
        </w:tabs>
        <w:numPr>
          <w:ilvl w:val="0"/>
          <w:numId w:val="28"/>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Program Manager Reserve Account</w:t>
      </w:r>
      <w:r>
        <w:rPr>
          <w:rFonts w:ascii="Calibri" w:cs="Calibri" w:eastAsia="Calibri" w:hAnsi="Calibri"/>
          <w:sz w:val="18"/>
          <w:szCs w:val="18"/>
          <w:color w:val="auto"/>
        </w:rPr>
        <w:t>” has the meaning provided in Secton 8(h).</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8"/>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Program Materials</w:t>
      </w:r>
      <w:r>
        <w:rPr>
          <w:rFonts w:ascii="Calibri" w:cs="Calibri" w:eastAsia="Calibri" w:hAnsi="Calibri"/>
          <w:sz w:val="18"/>
          <w:szCs w:val="18"/>
          <w:color w:val="auto"/>
        </w:rPr>
        <w:t>” shall have the meaning provided in Secton 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-292735</wp:posOffset>
            </wp:positionV>
            <wp:extent cx="254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92"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464820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98" w:right="339" w:bottom="1440" w:gutter="0" w:footer="0" w:header="0"/>
        </w:sectPr>
      </w:pPr>
    </w:p>
    <w:bookmarkStart w:id="66" w:name="page67"/>
    <w:bookmarkEnd w:id="66"/>
    <w:p>
      <w:pPr>
        <w:ind w:left="743" w:hanging="743"/>
        <w:spacing w:after="0" w:line="235" w:lineRule="auto"/>
        <w:tabs>
          <w:tab w:leader="none" w:pos="743"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Calibri" w:cs="Calibri" w:eastAsia="Calibri" w:hAnsi="Calibri"/>
          <w:sz w:val="18"/>
          <w:szCs w:val="18"/>
          <w:u w:val="single" w:color="auto"/>
          <w:color w:val="auto"/>
        </w:rPr>
        <w:t>Program Start Date</w:t>
      </w:r>
      <w:r>
        <w:rPr>
          <w:rFonts w:ascii="Calibri" w:cs="Calibri" w:eastAsia="Calibri" w:hAnsi="Calibri"/>
          <w:sz w:val="18"/>
          <w:szCs w:val="18"/>
          <w:color w:val="auto"/>
        </w:rPr>
        <w:t>” means the date the frst Deposit Account is established by a Customer following the commercial launch of the Program.</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Qualifying Change</w:t>
      </w:r>
      <w:r>
        <w:rPr>
          <w:rFonts w:ascii="Calibri" w:cs="Calibri" w:eastAsia="Calibri" w:hAnsi="Calibri"/>
          <w:sz w:val="18"/>
          <w:szCs w:val="18"/>
          <w:color w:val="auto"/>
        </w:rPr>
        <w:t>” shall have the meaning provided in Secton 5(c).</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29"/>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RDFI</w:t>
      </w:r>
      <w:r>
        <w:rPr>
          <w:rFonts w:ascii="Calibri" w:cs="Calibri" w:eastAsia="Calibri" w:hAnsi="Calibri"/>
          <w:sz w:val="18"/>
          <w:szCs w:val="18"/>
          <w:color w:val="auto"/>
        </w:rPr>
        <w:t>” shall have the meaning as defned in the NACHA Rules.</w:t>
      </w:r>
    </w:p>
    <w:p>
      <w:pPr>
        <w:spacing w:after="0" w:line="212" w:lineRule="exact"/>
        <w:rPr>
          <w:sz w:val="20"/>
          <w:szCs w:val="20"/>
          <w:color w:val="auto"/>
        </w:rPr>
      </w:pPr>
    </w:p>
    <w:p>
      <w:pPr>
        <w:ind w:left="743" w:hanging="743"/>
        <w:spacing w:after="0"/>
        <w:tabs>
          <w:tab w:leader="none" w:pos="743" w:val="left"/>
        </w:tabs>
        <w:numPr>
          <w:ilvl w:val="0"/>
          <w:numId w:val="30"/>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Receiver</w:t>
      </w:r>
      <w:r>
        <w:rPr>
          <w:rFonts w:ascii="Calibri" w:cs="Calibri" w:eastAsia="Calibri" w:hAnsi="Calibri"/>
          <w:sz w:val="18"/>
          <w:szCs w:val="18"/>
          <w:color w:val="auto"/>
        </w:rPr>
        <w:t>” shall have the meaning as defned in the NACHA Rules.</w:t>
      </w:r>
    </w:p>
    <w:p>
      <w:pPr>
        <w:spacing w:after="0" w:line="217" w:lineRule="exact"/>
        <w:rPr>
          <w:sz w:val="20"/>
          <w:szCs w:val="20"/>
          <w:color w:val="auto"/>
        </w:rPr>
      </w:pPr>
    </w:p>
    <w:p>
      <w:pPr>
        <w:jc w:val="both"/>
        <w:ind w:left="743" w:hanging="743"/>
        <w:spacing w:after="0" w:line="235" w:lineRule="auto"/>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Records</w:t>
      </w:r>
      <w:r>
        <w:rPr>
          <w:rFonts w:ascii="Calibri" w:cs="Calibri" w:eastAsia="Calibri" w:hAnsi="Calibri"/>
          <w:sz w:val="18"/>
          <w:szCs w:val="18"/>
          <w:color w:val="auto"/>
        </w:rPr>
        <w:t>” means any Deposit Account Agreements, Applicatons, change-of-terms notces, Deposit Account fles, credit bureau reports, copies of notces, transacton data, records or other documentaton (including computer tapes, magnetc or electronic fles, and informaton in any other format) related to the Deposit Accounts or the Program.</w:t>
      </w:r>
    </w:p>
    <w:p>
      <w:pPr>
        <w:spacing w:after="0" w:line="218" w:lineRule="exact"/>
        <w:rPr>
          <w:rFonts w:ascii="Calibri" w:cs="Calibri" w:eastAsia="Calibri" w:hAnsi="Calibri"/>
          <w:sz w:val="18"/>
          <w:szCs w:val="18"/>
          <w:u w:val="single" w:color="auto"/>
          <w:color w:val="auto"/>
        </w:rPr>
      </w:pPr>
    </w:p>
    <w:p>
      <w:pPr>
        <w:ind w:left="743" w:right="20" w:hanging="743"/>
        <w:spacing w:after="0" w:line="235" w:lineRule="auto"/>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Regulatory Authority</w:t>
      </w:r>
      <w:r>
        <w:rPr>
          <w:rFonts w:ascii="Calibri" w:cs="Calibri" w:eastAsia="Calibri" w:hAnsi="Calibri"/>
          <w:sz w:val="18"/>
          <w:szCs w:val="18"/>
          <w:color w:val="auto"/>
        </w:rPr>
        <w:t>” means any federal, state or local regulatory agency or other governmental agency or authority having jurisdicton over Bank or Company, including, but not limited to, the CFPB and FDIC.</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Regulatory Communicaton</w:t>
      </w:r>
      <w:r>
        <w:rPr>
          <w:rFonts w:ascii="Calibri" w:cs="Calibri" w:eastAsia="Calibri" w:hAnsi="Calibri"/>
          <w:sz w:val="18"/>
          <w:szCs w:val="18"/>
          <w:color w:val="auto"/>
        </w:rPr>
        <w:t>” has the meaning provided in Secton 8(f)(ii).</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Renewal Term</w:t>
      </w:r>
      <w:r>
        <w:rPr>
          <w:rFonts w:ascii="Calibri" w:cs="Calibri" w:eastAsia="Calibri" w:hAnsi="Calibri"/>
          <w:sz w:val="18"/>
          <w:szCs w:val="18"/>
          <w:color w:val="auto"/>
        </w:rPr>
        <w:t>” has the meaning provided in Secton 16(a).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Reserve Amount</w:t>
      </w:r>
      <w:r>
        <w:rPr>
          <w:rFonts w:ascii="Calibri" w:cs="Calibri" w:eastAsia="Calibri" w:hAnsi="Calibri"/>
          <w:sz w:val="18"/>
          <w:szCs w:val="18"/>
          <w:color w:val="auto"/>
        </w:rPr>
        <w:t>” has the meaning set forth on the Cover Page of this Agreement.</w:t>
      </w:r>
    </w:p>
    <w:p>
      <w:pPr>
        <w:spacing w:after="0" w:line="217"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Rules</w:t>
      </w:r>
      <w:r>
        <w:rPr>
          <w:rFonts w:ascii="Calibri" w:cs="Calibri" w:eastAsia="Calibri" w:hAnsi="Calibri"/>
          <w:sz w:val="18"/>
          <w:szCs w:val="18"/>
          <w:color w:val="auto"/>
        </w:rPr>
        <w:t>” means any and all applicable federal, state, local or organizatonal rules applicable to each Party in connecton with its actvites contemplated by this Agreement, including rules promulgated by the Board of Governors of the Federal Reserve or the FDIC, Visa rules, Mastercard rules, network rules and NACHA rules.</w:t>
      </w:r>
    </w:p>
    <w:p>
      <w:pPr>
        <w:spacing w:after="0" w:line="213"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SAR</w:t>
      </w:r>
      <w:r>
        <w:rPr>
          <w:rFonts w:ascii="Calibri" w:cs="Calibri" w:eastAsia="Calibri" w:hAnsi="Calibri"/>
          <w:sz w:val="18"/>
          <w:szCs w:val="18"/>
          <w:color w:val="auto"/>
        </w:rPr>
        <w:t>” has the meaning provided in Secton 8(g).</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SEC</w:t>
      </w:r>
      <w:r>
        <w:rPr>
          <w:rFonts w:ascii="Calibri" w:cs="Calibri" w:eastAsia="Calibri" w:hAnsi="Calibri"/>
          <w:sz w:val="18"/>
          <w:szCs w:val="18"/>
          <w:color w:val="auto"/>
        </w:rPr>
        <w:t>” has the meaning provided in Secton 14(d).</w:t>
      </w:r>
    </w:p>
    <w:p>
      <w:pPr>
        <w:spacing w:after="0" w:line="217"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Security Breach</w:t>
      </w:r>
      <w:r>
        <w:rPr>
          <w:rFonts w:ascii="Calibri" w:cs="Calibri" w:eastAsia="Calibri" w:hAnsi="Calibri"/>
          <w:sz w:val="18"/>
          <w:szCs w:val="18"/>
          <w:color w:val="auto"/>
        </w:rPr>
        <w:t>” means (i) any act or omission that materially compromises either the security, confdentality or integrity of data or the physical, technical, administratve or organizatonal safeguards put in place by a Party or a third-party service provider that relate to the protecton of the security, confdentality or integrity of data relatng to the Program, or (ii) receipt of a complaint in relaton to the privacy and data security practces of a Party or a third-party service provider or a breach or alleged breach of this Agreement relatng to such privacy and data security practces. Without limitng the foregoing, a material compromise shall include any unauthorized access to, unauthorized disclosure of or unauthorized acquisiton of nonpublic personal informaton.</w:t>
      </w:r>
    </w:p>
    <w:p>
      <w:pPr>
        <w:spacing w:after="0" w:line="221"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Security Program</w:t>
      </w:r>
      <w:r>
        <w:rPr>
          <w:rFonts w:ascii="Calibri" w:cs="Calibri" w:eastAsia="Calibri" w:hAnsi="Calibri"/>
          <w:sz w:val="18"/>
          <w:szCs w:val="18"/>
          <w:color w:val="auto"/>
        </w:rPr>
        <w:t>” means a comprehensive, writen informaton security program that contains appropriate administratve, technical and physical safeguards designed to (i) protect the security, confdentality and integrity of nonpublic personal informaton; (ii) ensure against any antcipated threats or hazards to the security and integrity of nonpublic personal informaton; (iii) protect against unauthorized access to or use of nonpublic personal informaton that could result in substantal harm or inconvenience to any Customer, potental Customer or any Applicant; and (iv) ensure the proper disposal of nonpublic personal informaton.</w:t>
      </w:r>
    </w:p>
    <w:p>
      <w:pPr>
        <w:spacing w:after="0" w:line="215"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Services</w:t>
      </w:r>
      <w:r>
        <w:rPr>
          <w:rFonts w:ascii="Calibri" w:cs="Calibri" w:eastAsia="Calibri" w:hAnsi="Calibri"/>
          <w:sz w:val="18"/>
          <w:szCs w:val="18"/>
          <w:color w:val="auto"/>
        </w:rPr>
        <w:t>” has the meaning provided in Schedule A.</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Specifcatons</w:t>
      </w:r>
      <w:r>
        <w:rPr>
          <w:rFonts w:ascii="Calibri" w:cs="Calibri" w:eastAsia="Calibri" w:hAnsi="Calibri"/>
          <w:sz w:val="18"/>
          <w:szCs w:val="18"/>
          <w:color w:val="auto"/>
        </w:rPr>
        <w:t>” has the meaning provided in Secton 29.</w:t>
      </w:r>
    </w:p>
    <w:p>
      <w:pPr>
        <w:spacing w:after="0" w:line="217"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31"/>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Substantve Change</w:t>
      </w:r>
      <w:r>
        <w:rPr>
          <w:rFonts w:ascii="Calibri" w:cs="Calibri" w:eastAsia="Calibri" w:hAnsi="Calibri"/>
          <w:sz w:val="18"/>
          <w:szCs w:val="18"/>
          <w:color w:val="auto"/>
        </w:rPr>
        <w:t>” means a change to the Marketng Actvites; a change to the categories of the Marketng Materials; a material, non-administratve or non-ministerial change to the content of any Marketng Materials; any items required by Applicable Law; or requirements identfed by Bank in good faith as necessary due to safety and soundness or reputatonal concerns.</w:t>
      </w:r>
    </w:p>
    <w:p>
      <w:pPr>
        <w:spacing w:after="0" w:line="214" w:lineRule="exact"/>
        <w:rPr>
          <w:sz w:val="20"/>
          <w:szCs w:val="20"/>
          <w:color w:val="auto"/>
        </w:rPr>
      </w:pPr>
    </w:p>
    <w:p>
      <w:pPr>
        <w:ind w:left="743" w:hanging="743"/>
        <w:spacing w:after="0"/>
        <w:tabs>
          <w:tab w:leader="none" w:pos="743" w:val="left"/>
        </w:tabs>
        <w:numPr>
          <w:ilvl w:val="0"/>
          <w:numId w:val="32"/>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Successor Bank</w:t>
      </w:r>
      <w:r>
        <w:rPr>
          <w:rFonts w:ascii="Calibri" w:cs="Calibri" w:eastAsia="Calibri" w:hAnsi="Calibri"/>
          <w:sz w:val="18"/>
          <w:szCs w:val="18"/>
          <w:color w:val="auto"/>
        </w:rPr>
        <w:t>” has the meaning provided in Secton 16(i).</w:t>
      </w:r>
    </w:p>
    <w:p>
      <w:pPr>
        <w:spacing w:after="0" w:line="212" w:lineRule="exact"/>
        <w:rPr>
          <w:sz w:val="20"/>
          <w:szCs w:val="20"/>
          <w:color w:val="auto"/>
        </w:rPr>
      </w:pPr>
    </w:p>
    <w:p>
      <w:pPr>
        <w:ind w:left="743" w:hanging="743"/>
        <w:spacing w:after="0"/>
        <w:tabs>
          <w:tab w:leader="none" w:pos="743" w:val="left"/>
        </w:tabs>
        <w:numPr>
          <w:ilvl w:val="0"/>
          <w:numId w:val="33"/>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Term</w:t>
      </w:r>
      <w:r>
        <w:rPr>
          <w:rFonts w:ascii="Calibri" w:cs="Calibri" w:eastAsia="Calibri" w:hAnsi="Calibri"/>
          <w:sz w:val="18"/>
          <w:szCs w:val="18"/>
          <w:color w:val="auto"/>
        </w:rPr>
        <w:t>” means the period commencing on the Efectve Date and terminatng as set forth in Secton 16(a) hereof.</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33"/>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Third Party Sender</w:t>
      </w:r>
      <w:r>
        <w:rPr>
          <w:rFonts w:ascii="Calibri" w:cs="Calibri" w:eastAsia="Calibri" w:hAnsi="Calibri"/>
          <w:sz w:val="18"/>
          <w:szCs w:val="18"/>
          <w:color w:val="auto"/>
        </w:rPr>
        <w:t>” shall have the meaning as defned in the NACHA Rules.</w:t>
      </w:r>
    </w:p>
    <w:p>
      <w:pPr>
        <w:spacing w:after="0" w:line="212"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67" w:name="page68"/>
    <w:bookmarkEnd w:id="67"/>
    <w:p>
      <w:pPr>
        <w:ind w:left="1492" w:hanging="743"/>
        <w:spacing w:after="0"/>
        <w:tabs>
          <w:tab w:leader="none" w:pos="1492" w:val="left"/>
        </w:tabs>
        <w:numPr>
          <w:ilvl w:val="1"/>
          <w:numId w:val="34"/>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Calibri" w:cs="Calibri" w:eastAsia="Calibri" w:hAnsi="Calibri"/>
          <w:sz w:val="18"/>
          <w:szCs w:val="18"/>
          <w:u w:val="single" w:color="auto"/>
          <w:color w:val="auto"/>
        </w:rPr>
        <w:t>Transfer</w:t>
      </w:r>
      <w:r>
        <w:rPr>
          <w:rFonts w:ascii="Calibri" w:cs="Calibri" w:eastAsia="Calibri" w:hAnsi="Calibri"/>
          <w:sz w:val="18"/>
          <w:szCs w:val="18"/>
          <w:color w:val="auto"/>
        </w:rPr>
        <w:t>” has the meaning provided in Secton 16(i).</w:t>
      </w:r>
    </w:p>
    <w:p>
      <w:pPr>
        <w:spacing w:after="0" w:line="212"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34"/>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Transiton Plan</w:t>
      </w:r>
      <w:r>
        <w:rPr>
          <w:rFonts w:ascii="Calibri" w:cs="Calibri" w:eastAsia="Calibri" w:hAnsi="Calibri"/>
          <w:sz w:val="18"/>
          <w:szCs w:val="18"/>
          <w:color w:val="auto"/>
        </w:rPr>
        <w:t>” has the meaning provided in Secton 16(i).</w:t>
      </w:r>
    </w:p>
    <w:p>
      <w:pPr>
        <w:spacing w:after="0" w:line="212"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34"/>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Transiton Period</w:t>
      </w:r>
      <w:r>
        <w:rPr>
          <w:rFonts w:ascii="Calibri" w:cs="Calibri" w:eastAsia="Calibri" w:hAnsi="Calibri"/>
          <w:sz w:val="18"/>
          <w:szCs w:val="18"/>
          <w:color w:val="auto"/>
        </w:rPr>
        <w:t>” has the meaning provided in Secton 16(i).</w:t>
      </w:r>
    </w:p>
    <w:p>
      <w:pPr>
        <w:spacing w:after="0" w:line="212"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34"/>
        </w:numPr>
        <w:rPr>
          <w:rFonts w:ascii="Calibri" w:cs="Calibri" w:eastAsia="Calibri" w:hAnsi="Calibri"/>
          <w:sz w:val="18"/>
          <w:szCs w:val="18"/>
          <w:u w:val="single" w:color="auto"/>
          <w:color w:val="auto"/>
        </w:rPr>
      </w:pPr>
      <w:r>
        <w:rPr>
          <w:rFonts w:ascii="Calibri" w:cs="Calibri" w:eastAsia="Calibri" w:hAnsi="Calibri"/>
          <w:sz w:val="18"/>
          <w:szCs w:val="18"/>
          <w:color w:val="auto"/>
        </w:rPr>
        <w:t>“</w:t>
      </w:r>
      <w:r>
        <w:rPr>
          <w:rFonts w:ascii="Calibri" w:cs="Calibri" w:eastAsia="Calibri" w:hAnsi="Calibri"/>
          <w:sz w:val="18"/>
          <w:szCs w:val="18"/>
          <w:u w:val="single" w:color="auto"/>
          <w:color w:val="auto"/>
        </w:rPr>
        <w:t>Wind Down</w:t>
      </w:r>
      <w:r>
        <w:rPr>
          <w:rFonts w:ascii="Calibri" w:cs="Calibri" w:eastAsia="Calibri" w:hAnsi="Calibri"/>
          <w:sz w:val="18"/>
          <w:szCs w:val="18"/>
          <w:color w:val="auto"/>
        </w:rPr>
        <w:t>” has the meaning provided in Secton 16(i).</w:t>
      </w:r>
    </w:p>
    <w:p>
      <w:pPr>
        <w:spacing w:after="0" w:line="217" w:lineRule="exact"/>
        <w:rPr>
          <w:rFonts w:ascii="Calibri" w:cs="Calibri" w:eastAsia="Calibri" w:hAnsi="Calibri"/>
          <w:sz w:val="18"/>
          <w:szCs w:val="18"/>
          <w:u w:val="single" w:color="auto"/>
          <w:color w:val="auto"/>
        </w:rPr>
      </w:pPr>
    </w:p>
    <w:p>
      <w:pPr>
        <w:ind w:left="752" w:right="20" w:hanging="752"/>
        <w:spacing w:after="0" w:line="235" w:lineRule="auto"/>
        <w:tabs>
          <w:tab w:leader="none" w:pos="752" w:val="left"/>
        </w:tabs>
        <w:numPr>
          <w:ilvl w:val="0"/>
          <w:numId w:val="35"/>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The Program</w:t>
      </w:r>
      <w:r>
        <w:rPr>
          <w:rFonts w:ascii="Calibri" w:cs="Calibri" w:eastAsia="Calibri" w:hAnsi="Calibri"/>
          <w:sz w:val="18"/>
          <w:szCs w:val="18"/>
          <w:color w:val="auto"/>
        </w:rPr>
        <w:t>. Beginning on the Efectve Date, the Partes agree to launch the Program on the terms and conditons provided for in this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as further described in Schedule A.</w:t>
      </w:r>
    </w:p>
    <w:p>
      <w:pPr>
        <w:spacing w:after="0" w:line="212" w:lineRule="exact"/>
        <w:rPr>
          <w:rFonts w:ascii="Calibri" w:cs="Calibri" w:eastAsia="Calibri" w:hAnsi="Calibri"/>
          <w:sz w:val="18"/>
          <w:szCs w:val="18"/>
          <w:b w:val="1"/>
          <w:bCs w:val="1"/>
          <w:u w:val="single" w:color="auto"/>
          <w:color w:val="auto"/>
        </w:rPr>
      </w:pPr>
    </w:p>
    <w:p>
      <w:pPr>
        <w:ind w:left="752" w:hanging="752"/>
        <w:spacing w:after="0"/>
        <w:tabs>
          <w:tab w:leader="none" w:pos="752" w:val="left"/>
        </w:tabs>
        <w:numPr>
          <w:ilvl w:val="0"/>
          <w:numId w:val="35"/>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Party Representatons and Warrantes</w:t>
      </w:r>
      <w:r>
        <w:rPr>
          <w:rFonts w:ascii="Calibri" w:cs="Calibri" w:eastAsia="Calibri" w:hAnsi="Calibri"/>
          <w:sz w:val="18"/>
          <w:szCs w:val="18"/>
          <w:color w:val="auto"/>
        </w:rPr>
        <w:t>. Each Party represents and warrants to the other Party as follows:</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35"/>
        </w:numPr>
        <w:rPr>
          <w:rFonts w:ascii="Calibri" w:cs="Calibri" w:eastAsia="Calibri" w:hAnsi="Calibri"/>
          <w:sz w:val="18"/>
          <w:szCs w:val="18"/>
          <w:u w:val="single" w:color="auto"/>
          <w:color w:val="auto"/>
        </w:rPr>
      </w:pPr>
      <w:r>
        <w:rPr>
          <w:rFonts w:ascii="Calibri" w:cs="Calibri" w:eastAsia="Calibri" w:hAnsi="Calibri"/>
          <w:sz w:val="18"/>
          <w:szCs w:val="18"/>
          <w:color w:val="auto"/>
        </w:rPr>
        <w:t>Such Party is duly organized, validly existng and in good standing under the laws of the state of jurisdicton of its formaton and has full corporate power and authority to execute, deliver, and perform its obligatons under this Agreement; the executon, delivery and performance of this Agreement has been duly authorized, and is not in confict with and does not violate the terms of the charter or bylaws of the Party and will not result in a breach of or consttute a default under, or require any consent under, any indenture, loan or agreement to which the Party is a party;</w:t>
      </w:r>
    </w:p>
    <w:p>
      <w:pPr>
        <w:spacing w:after="0" w:line="215"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35"/>
        </w:numPr>
        <w:rPr>
          <w:rFonts w:ascii="Calibri" w:cs="Calibri" w:eastAsia="Calibri" w:hAnsi="Calibri"/>
          <w:sz w:val="18"/>
          <w:szCs w:val="18"/>
          <w:u w:val="single" w:color="auto"/>
          <w:color w:val="auto"/>
        </w:rPr>
      </w:pPr>
      <w:r>
        <w:rPr>
          <w:rFonts w:ascii="Calibri" w:cs="Calibri" w:eastAsia="Calibri" w:hAnsi="Calibri"/>
          <w:sz w:val="18"/>
          <w:szCs w:val="18"/>
          <w:color w:val="auto"/>
        </w:rPr>
        <w:t>Such Party is not Insolvent;</w:t>
      </w:r>
    </w:p>
    <w:p>
      <w:pPr>
        <w:spacing w:after="0" w:line="21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35"/>
        </w:numPr>
        <w:rPr>
          <w:rFonts w:ascii="Calibri" w:cs="Calibri" w:eastAsia="Calibri" w:hAnsi="Calibri"/>
          <w:sz w:val="18"/>
          <w:szCs w:val="18"/>
          <w:u w:val="single" w:color="auto"/>
          <w:color w:val="auto"/>
        </w:rPr>
      </w:pPr>
      <w:r>
        <w:rPr>
          <w:rFonts w:ascii="Calibri" w:cs="Calibri" w:eastAsia="Calibri" w:hAnsi="Calibri"/>
          <w:sz w:val="18"/>
          <w:szCs w:val="18"/>
          <w:color w:val="auto"/>
        </w:rPr>
        <w:t>Except otherwise disclosed in writng prior to the Efectve Date, there are no proceedings or investgatons pending or, to the best knowledge of such Party, threatened against the Party (1) assertng the invalidity of this Agreement, (2) seeking to prevent the consummaton of any of the transactons contemplated by the Party pursuant to this Agreement, (3) seeking any determinaton or ruling that, in the reasonable judgment of the Party, would materially and adversely afect the performance by the Party of its obligatons under this Agreement, (4) seeking any determinaton or ruling that would materially and adversely afect the validity or enforceability of this Agreement, or (5) that would have a materially adverse on the Party’s operatons if resolved adversely to it;</w:t>
      </w:r>
    </w:p>
    <w:p>
      <w:pPr>
        <w:spacing w:after="0" w:line="221"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35"/>
        </w:numPr>
        <w:rPr>
          <w:rFonts w:ascii="Calibri" w:cs="Calibri" w:eastAsia="Calibri" w:hAnsi="Calibri"/>
          <w:sz w:val="18"/>
          <w:szCs w:val="18"/>
          <w:u w:val="single" w:color="auto"/>
          <w:color w:val="auto"/>
        </w:rPr>
      </w:pPr>
      <w:r>
        <w:rPr>
          <w:rFonts w:ascii="Calibri" w:cs="Calibri" w:eastAsia="Calibri" w:hAnsi="Calibri"/>
          <w:sz w:val="18"/>
          <w:szCs w:val="18"/>
          <w:color w:val="auto"/>
        </w:rPr>
        <w:t>All approvals, authorizatons, licenses, registratons, consents, and other actons, notces, and flings that may be required in connecton with the executon, delivery, and performance of this Agreement by such Party, have been obtained;</w:t>
      </w:r>
    </w:p>
    <w:p>
      <w:pPr>
        <w:spacing w:after="0" w:line="212"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35"/>
        </w:numPr>
        <w:rPr>
          <w:rFonts w:ascii="Calibri" w:cs="Calibri" w:eastAsia="Calibri" w:hAnsi="Calibri"/>
          <w:sz w:val="18"/>
          <w:szCs w:val="18"/>
          <w:u w:val="single" w:color="auto"/>
          <w:color w:val="auto"/>
        </w:rPr>
      </w:pPr>
      <w:r>
        <w:rPr>
          <w:rFonts w:ascii="Calibri" w:cs="Calibri" w:eastAsia="Calibri" w:hAnsi="Calibri"/>
          <w:sz w:val="18"/>
          <w:szCs w:val="18"/>
          <w:color w:val="auto"/>
        </w:rPr>
        <w:t>The executon, delivery and performance of this Agreement by such Party complies with all Applicable Laws; and</w:t>
      </w:r>
    </w:p>
    <w:p>
      <w:pPr>
        <w:spacing w:after="0" w:line="217" w:lineRule="exact"/>
        <w:rPr>
          <w:rFonts w:ascii="Calibri" w:cs="Calibri" w:eastAsia="Calibri" w:hAnsi="Calibri"/>
          <w:sz w:val="18"/>
          <w:szCs w:val="18"/>
          <w:u w:val="single" w:color="auto"/>
          <w:color w:val="auto"/>
        </w:rPr>
      </w:pPr>
    </w:p>
    <w:p>
      <w:pPr>
        <w:jc w:val="both"/>
        <w:ind w:left="1492" w:hanging="743"/>
        <w:spacing w:after="0" w:line="251" w:lineRule="auto"/>
        <w:tabs>
          <w:tab w:leader="none" w:pos="1492" w:val="left"/>
        </w:tabs>
        <w:numPr>
          <w:ilvl w:val="1"/>
          <w:numId w:val="35"/>
        </w:numPr>
        <w:rPr>
          <w:rFonts w:ascii="Calibri" w:cs="Calibri" w:eastAsia="Calibri" w:hAnsi="Calibri"/>
          <w:sz w:val="17"/>
          <w:szCs w:val="17"/>
          <w:u w:val="single" w:color="auto"/>
          <w:color w:val="auto"/>
        </w:rPr>
      </w:pPr>
      <w:r>
        <w:rPr>
          <w:rFonts w:ascii="Calibri" w:cs="Calibri" w:eastAsia="Calibri" w:hAnsi="Calibri"/>
          <w:sz w:val="17"/>
          <w:szCs w:val="17"/>
          <w:color w:val="auto"/>
        </w:rPr>
        <w:t>When executed and delivered, this Agreement consttutes a legal, valid, and binding obligaton of such Party, enforceable against such Party in accordance with its terms, except: (1) as such enforceability may be limited by applicable bankruptcy, insolvency, reorganizaton, moratorium, receivership, conservatorship or other similar laws now or hereafer in efect, including the rights and obligatons of receivers and conservators under 12 U.S.C. §§ 1821 (d) and (e), which may afect the enforcement of creditors’ rights in general, and (2) as such enforceability may be limited by general principles of equity (whether considered in a suit at law or in equity).</w:t>
      </w:r>
    </w:p>
    <w:p>
      <w:pPr>
        <w:spacing w:after="0" w:line="210" w:lineRule="exact"/>
        <w:rPr>
          <w:rFonts w:ascii="Calibri" w:cs="Calibri" w:eastAsia="Calibri" w:hAnsi="Calibri"/>
          <w:sz w:val="17"/>
          <w:szCs w:val="17"/>
          <w:u w:val="single" w:color="auto"/>
          <w:color w:val="auto"/>
        </w:rPr>
      </w:pPr>
    </w:p>
    <w:p>
      <w:pPr>
        <w:jc w:val="both"/>
        <w:ind w:left="1492" w:hanging="743"/>
        <w:spacing w:after="0" w:line="235" w:lineRule="auto"/>
        <w:tabs>
          <w:tab w:leader="none" w:pos="1492" w:val="left"/>
        </w:tabs>
        <w:numPr>
          <w:ilvl w:val="1"/>
          <w:numId w:val="35"/>
        </w:numPr>
        <w:rPr>
          <w:rFonts w:ascii="Calibri" w:cs="Calibri" w:eastAsia="Calibri" w:hAnsi="Calibri"/>
          <w:sz w:val="18"/>
          <w:szCs w:val="18"/>
          <w:u w:val="single" w:color="auto"/>
          <w:color w:val="auto"/>
        </w:rPr>
      </w:pPr>
      <w:r>
        <w:rPr>
          <w:rFonts w:ascii="Calibri" w:cs="Calibri" w:eastAsia="Calibri" w:hAnsi="Calibri"/>
          <w:sz w:val="18"/>
          <w:szCs w:val="18"/>
          <w:color w:val="auto"/>
        </w:rPr>
        <w:t>Except as otherwise disclosed to the other Party, neither Company nor Bank, to the actual knowledge of Company’s or Bank’s executve ofcers, any Principal of Company or Bank, has been subject to the following as of the date of this Agreement: (1) any criminal convicton (except minor trafc ofenses and other pety ofenses), (2) Federal or state tax lien, (3) administratve or enforcement proceedings commenced by the Securites and Exchange Commission, any state securites authority, Federal Trade Commission, or any Regulatory Authority, or (4) restraining order, decree, injuncton, or judgment entered in any proceeding or lawsuit alleging fraud or deceptve practce on the part of Company, the Bank or any Principal thereof. Each Party further agrees to notfy the other Party within two (2) Business Days upon the occurrence of any event contemplated by this paragraph.</w:t>
      </w:r>
    </w:p>
    <w:p>
      <w:pPr>
        <w:spacing w:after="0" w:line="221" w:lineRule="exact"/>
        <w:rPr>
          <w:rFonts w:ascii="Calibri" w:cs="Calibri" w:eastAsia="Calibri" w:hAnsi="Calibri"/>
          <w:sz w:val="18"/>
          <w:szCs w:val="18"/>
          <w:u w:val="single" w:color="auto"/>
          <w:color w:val="auto"/>
        </w:rPr>
      </w:pPr>
    </w:p>
    <w:p>
      <w:pPr>
        <w:jc w:val="both"/>
        <w:ind w:left="752" w:hanging="752"/>
        <w:spacing w:after="0" w:line="252" w:lineRule="auto"/>
        <w:tabs>
          <w:tab w:leader="none" w:pos="752" w:val="left"/>
        </w:tabs>
        <w:numPr>
          <w:ilvl w:val="0"/>
          <w:numId w:val="35"/>
        </w:numPr>
        <w:rPr>
          <w:rFonts w:ascii="Calibri" w:cs="Calibri" w:eastAsia="Calibri" w:hAnsi="Calibri"/>
          <w:sz w:val="17"/>
          <w:szCs w:val="17"/>
          <w:b w:val="1"/>
          <w:bCs w:val="1"/>
          <w:u w:val="single" w:color="auto"/>
          <w:color w:val="auto"/>
        </w:rPr>
      </w:pPr>
      <w:r>
        <w:rPr>
          <w:rFonts w:ascii="Calibri" w:cs="Calibri" w:eastAsia="Calibri" w:hAnsi="Calibri"/>
          <w:sz w:val="17"/>
          <w:szCs w:val="17"/>
          <w:b w:val="1"/>
          <w:bCs w:val="1"/>
          <w:u w:val="single" w:color="auto"/>
          <w:color w:val="auto"/>
        </w:rPr>
        <w:t>Grant of Right</w:t>
      </w:r>
      <w:r>
        <w:rPr>
          <w:rFonts w:ascii="Calibri" w:cs="Calibri" w:eastAsia="Calibri" w:hAnsi="Calibri"/>
          <w:sz w:val="17"/>
          <w:szCs w:val="17"/>
          <w:color w:val="auto"/>
        </w:rPr>
        <w:t>. Subject to the terms and conditons of this Agreement, Bank hereby appoints Company as Bank’s limited agent solely for purposes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of marketng the Program, and performing such operatonal and customer support services hereunder to support the Program in accordance with the terms of this Agreement. Each Party shall execute and deliver or cause to be executed and delivered such further agreements and documents and take such other acton as the other Party may reasonably require to carry out the maters contemplated by this Agreement.</w:t>
      </w:r>
    </w:p>
    <w:p>
      <w:pPr>
        <w:spacing w:after="0" w:line="208" w:lineRule="exact"/>
        <w:rPr>
          <w:rFonts w:ascii="Calibri" w:cs="Calibri" w:eastAsia="Calibri" w:hAnsi="Calibri"/>
          <w:sz w:val="17"/>
          <w:szCs w:val="17"/>
          <w:b w:val="1"/>
          <w:bCs w:val="1"/>
          <w:u w:val="single" w:color="auto"/>
          <w:color w:val="auto"/>
        </w:rPr>
      </w:pPr>
    </w:p>
    <w:p>
      <w:pPr>
        <w:ind w:left="752" w:right="20" w:hanging="752"/>
        <w:spacing w:after="0" w:line="235" w:lineRule="auto"/>
        <w:tabs>
          <w:tab w:leader="none" w:pos="752" w:val="left"/>
        </w:tabs>
        <w:numPr>
          <w:ilvl w:val="0"/>
          <w:numId w:val="35"/>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Marketng Materials</w:t>
      </w:r>
      <w:r>
        <w:rPr>
          <w:rFonts w:ascii="Calibri" w:cs="Calibri" w:eastAsia="Calibri" w:hAnsi="Calibri"/>
          <w:sz w:val="18"/>
          <w:szCs w:val="18"/>
          <w:color w:val="auto"/>
        </w:rPr>
        <w:t>. Company may promote and market the Program using any form of Marketng Materials and Marketng Actvites determined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to be appropriate by Company, subject to Bank’s prior approval as set forth herein. Bank agrees that</w:t>
      </w:r>
    </w:p>
    <w:p>
      <w:pPr>
        <w:spacing w:after="0" w:line="213"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8" w:right="339" w:bottom="1440" w:gutter="0" w:footer="0" w:header="0"/>
        </w:sectPr>
      </w:pPr>
    </w:p>
    <w:bookmarkStart w:id="68" w:name="page69"/>
    <w:bookmarkEnd w:id="68"/>
    <w:p>
      <w:pPr>
        <w:jc w:val="both"/>
        <w:ind w:left="752"/>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Company may refer to Bank and the Program in Marketng Materials upon the conditon that the form of any references to Bank and/or the Program in any such Marketng Material is approved by Bank. All Marketng Materials must receive the prior writen approval of Bank, in accordance with the procedures set forth in this Secton 5.</w:t>
      </w:r>
    </w:p>
    <w:p>
      <w:pPr>
        <w:spacing w:after="0" w:line="219" w:lineRule="exact"/>
        <w:rPr>
          <w:sz w:val="20"/>
          <w:szCs w:val="20"/>
          <w:color w:val="auto"/>
        </w:rPr>
      </w:pPr>
    </w:p>
    <w:p>
      <w:pPr>
        <w:jc w:val="both"/>
        <w:ind w:left="1492" w:hanging="743"/>
        <w:spacing w:after="0" w:line="250" w:lineRule="auto"/>
        <w:tabs>
          <w:tab w:leader="none" w:pos="1492" w:val="left"/>
        </w:tabs>
        <w:numPr>
          <w:ilvl w:val="1"/>
          <w:numId w:val="36"/>
        </w:numPr>
        <w:rPr>
          <w:rFonts w:ascii="Calibri" w:cs="Calibri" w:eastAsia="Calibri" w:hAnsi="Calibri"/>
          <w:sz w:val="17"/>
          <w:szCs w:val="17"/>
          <w:u w:val="single" w:color="auto"/>
          <w:color w:val="auto"/>
        </w:rPr>
      </w:pPr>
      <w:r>
        <w:rPr>
          <w:rFonts w:ascii="Calibri" w:cs="Calibri" w:eastAsia="Calibri" w:hAnsi="Calibri"/>
          <w:sz w:val="17"/>
          <w:szCs w:val="17"/>
          <w:color w:val="auto"/>
        </w:rPr>
        <w:t>Prior to Company’s use of any Marketng Materials or conductng any Marketng Actvites, Bank shall have completed an inital review of the forms of Marketng Materials and Marketng Actvites proposed by Company and approved or rejected any such forms of Marketng Materials and Marketng Actvites that have been provided to Bank. Marketng Materials and Marketng Actvites will be considered approved and authorized by Bank once such approval and authorizaton are clearly communicated by Bank in writng or as otherwise set forth in this Secton 5(a), provided that Bank does not subsequently revoke its approval pursuant to the terms of Secton 6. Bank shall conduct its inital review and shall accept or reject such forms of Marketng Materials and/or Marketng Actvites provided by Company within fve (5) business days of Company having submited such Marketng Materials and Marketng Actvites to Bank at [**] for review; any such forms of Marketng Materials and/or Marketng Actvites not rejected, conditonally accepted with Bank’s comments or accepted within fve (5) business days shall be deemed approved (“Inital Review Process”). Should Bank conditonally accept with comments or otherwise request revisions to any forms of Marketng Materials and/or Marketng Actvites during Bank’s Inital Review Process and Company resubmits revised Marketng Materials and/or Marketng Actvites to Bank at [**], Bank shall accept or reject with specifc comments such revised Marketng Materials and/or Marketng Actvites within fve (5) business days of such resubmission; any such forms of Marketng Materials and/or Marketng Actvites not specifcally rejected or accepted within fve (5) business days shall be deemed approved (“Resubmit Review Process”). Should Bank conditonally accept with comments or otherwise request further revisions afer the Resubmit Review Process and Company resubmits revised Marketng Materials and/or Marketng Actvites to Bank at [**], Bank shall accept or reject with specifc comments such revised Marketng Materials and/or Marketng Actvites within two (2) business days of such resubmission; any such forms of Marketng Materials and/or Marketng Actvites not specifcally rejected or accepted within two (2) business days shall be deemed approved (“Final Review Process”).</w:t>
      </w:r>
    </w:p>
    <w:p>
      <w:pPr>
        <w:spacing w:after="0" w:line="213" w:lineRule="exact"/>
        <w:rPr>
          <w:rFonts w:ascii="Calibri" w:cs="Calibri" w:eastAsia="Calibri" w:hAnsi="Calibri"/>
          <w:sz w:val="17"/>
          <w:szCs w:val="17"/>
          <w:u w:val="single" w:color="auto"/>
          <w:color w:val="auto"/>
        </w:rPr>
      </w:pPr>
    </w:p>
    <w:p>
      <w:pPr>
        <w:jc w:val="both"/>
        <w:ind w:left="1492" w:hanging="743"/>
        <w:spacing w:after="0" w:line="235" w:lineRule="auto"/>
        <w:tabs>
          <w:tab w:leader="none" w:pos="1492" w:val="left"/>
        </w:tabs>
        <w:numPr>
          <w:ilvl w:val="1"/>
          <w:numId w:val="36"/>
        </w:numPr>
        <w:rPr>
          <w:rFonts w:ascii="Calibri" w:cs="Calibri" w:eastAsia="Calibri" w:hAnsi="Calibri"/>
          <w:sz w:val="18"/>
          <w:szCs w:val="18"/>
          <w:u w:val="single" w:color="auto"/>
          <w:color w:val="auto"/>
        </w:rPr>
      </w:pPr>
      <w:r>
        <w:rPr>
          <w:rFonts w:ascii="Calibri" w:cs="Calibri" w:eastAsia="Calibri" w:hAnsi="Calibri"/>
          <w:sz w:val="18"/>
          <w:szCs w:val="18"/>
          <w:color w:val="auto"/>
        </w:rPr>
        <w:t>Thereafer, Company shall make available for Bank’s prior review and approval all new forms of Marketng Materials and Marketng Actvites proposed by Company. Bank shall review and approve or reject any such forms of Marketng Materials and Marketng Actvites within: (i) for direct mail Marketng Materials, three (3) Business Days afer Bank’s receipt of such Marketng Materials; and (ii) for all other Marketng Materials or Marketng Actvites, fve (5) Business Days afer Bank’s receipt of such Marketng Materials or Marketng Actvites. Notwithstanding any tmeframes set forth in this Secton 5(b), Bank may require additonal tme for review and approval if Bank determines, in its sole discreton, that additonal regulatory review or approval is required. Bank shall notfy Company of the need for such review or approval and shall periodically inform Company of the status of such review or approval. Marketng Materials and Marketng Actvites will be approved and authorized by Bank once such approval and authorizaton are clearly communicated by Bank in writng to Company, provided that Bank does not subsequently revoke its approval pursuant to the terms of Secton 6.</w:t>
      </w:r>
    </w:p>
    <w:p>
      <w:pPr>
        <w:spacing w:after="0" w:line="224" w:lineRule="exact"/>
        <w:rPr>
          <w:rFonts w:ascii="Calibri" w:cs="Calibri" w:eastAsia="Calibri" w:hAnsi="Calibri"/>
          <w:sz w:val="18"/>
          <w:szCs w:val="18"/>
          <w:u w:val="single" w:color="auto"/>
          <w:color w:val="auto"/>
        </w:rPr>
      </w:pPr>
    </w:p>
    <w:p>
      <w:pPr>
        <w:jc w:val="both"/>
        <w:ind w:left="1492" w:hanging="743"/>
        <w:spacing w:after="0" w:line="251" w:lineRule="auto"/>
        <w:tabs>
          <w:tab w:leader="none" w:pos="1492" w:val="left"/>
        </w:tabs>
        <w:numPr>
          <w:ilvl w:val="1"/>
          <w:numId w:val="36"/>
        </w:numPr>
        <w:rPr>
          <w:rFonts w:ascii="Calibri" w:cs="Calibri" w:eastAsia="Calibri" w:hAnsi="Calibri"/>
          <w:sz w:val="17"/>
          <w:szCs w:val="17"/>
          <w:u w:val="single" w:color="auto"/>
          <w:color w:val="auto"/>
        </w:rPr>
      </w:pPr>
      <w:r>
        <w:rPr>
          <w:rFonts w:ascii="Calibri" w:cs="Calibri" w:eastAsia="Calibri" w:hAnsi="Calibri"/>
          <w:sz w:val="17"/>
          <w:szCs w:val="17"/>
          <w:color w:val="auto"/>
        </w:rPr>
        <w:t>Afer approval of the form of Marketng Materials or Marketng Actvites pursuant to Secton 5(a) or 5(b), and subject to Secton 6, Company may use such forms of Marketng Materials and Marketng Actvites, and need not seek further approval for use of such forms unless there is: (i) a Substantve Change in the Marketng Materials or Marketng Actvites, or (ii) a new ofering to be included in the Marketng Materials (each of the events in clauses (i) and (ii), a “</w:t>
      </w:r>
      <w:r>
        <w:rPr>
          <w:rFonts w:ascii="Calibri" w:cs="Calibri" w:eastAsia="Calibri" w:hAnsi="Calibri"/>
          <w:sz w:val="17"/>
          <w:szCs w:val="17"/>
          <w:u w:val="single" w:color="auto"/>
          <w:color w:val="auto"/>
        </w:rPr>
        <w:t>Qualifying Change</w:t>
      </w:r>
      <w:r>
        <w:rPr>
          <w:rFonts w:ascii="Calibri" w:cs="Calibri" w:eastAsia="Calibri" w:hAnsi="Calibri"/>
          <w:sz w:val="17"/>
          <w:szCs w:val="17"/>
          <w:color w:val="auto"/>
        </w:rPr>
        <w:t>”). In the event of a Qualifying Change, Company shall submit such forms of Marketng Materials and Marketng Actvites to Bank for review and approval in accordance with Secton 5(b).</w:t>
      </w:r>
    </w:p>
    <w:p>
      <w:pPr>
        <w:spacing w:after="0" w:line="210" w:lineRule="exact"/>
        <w:rPr>
          <w:rFonts w:ascii="Calibri" w:cs="Calibri" w:eastAsia="Calibri" w:hAnsi="Calibri"/>
          <w:sz w:val="17"/>
          <w:szCs w:val="17"/>
          <w:u w:val="single" w:color="auto"/>
          <w:color w:val="auto"/>
        </w:rPr>
      </w:pPr>
    </w:p>
    <w:p>
      <w:pPr>
        <w:jc w:val="both"/>
        <w:ind w:left="1492" w:hanging="743"/>
        <w:spacing w:after="0" w:line="235" w:lineRule="auto"/>
        <w:tabs>
          <w:tab w:leader="none" w:pos="1492" w:val="left"/>
        </w:tabs>
        <w:numPr>
          <w:ilvl w:val="1"/>
          <w:numId w:val="36"/>
        </w:numPr>
        <w:rPr>
          <w:rFonts w:ascii="Calibri" w:cs="Calibri" w:eastAsia="Calibri" w:hAnsi="Calibri"/>
          <w:sz w:val="18"/>
          <w:szCs w:val="18"/>
          <w:u w:val="single" w:color="auto"/>
          <w:color w:val="auto"/>
        </w:rPr>
      </w:pPr>
      <w:r>
        <w:rPr>
          <w:rFonts w:ascii="Calibri" w:cs="Calibri" w:eastAsia="Calibri" w:hAnsi="Calibri"/>
          <w:sz w:val="18"/>
          <w:szCs w:val="18"/>
          <w:color w:val="auto"/>
        </w:rPr>
        <w:t>Bank may request up to four (4) periodic reviews of the Marketng Materials and Marketng Actvites then being used by Company in each calendar year, provided, however, that Bank may request additonal reviews of the Marketng Materials and Marketng Actvites if required by a Regulatory Authority or if Bank determines, in its sole discreton, that Company is in, or is likely in, breach of any provision of this Agreement or Applicable Law. Bank and Company shall cooperate to determine the form, format, frequency and tming of such reviews to minimize expense and disrupton.</w:t>
      </w:r>
    </w:p>
    <w:p>
      <w:pPr>
        <w:spacing w:after="0" w:line="220"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36"/>
        </w:numPr>
        <w:rPr>
          <w:rFonts w:ascii="Calibri" w:cs="Calibri" w:eastAsia="Calibri" w:hAnsi="Calibri"/>
          <w:sz w:val="18"/>
          <w:szCs w:val="18"/>
          <w:u w:val="single" w:color="auto"/>
          <w:color w:val="auto"/>
        </w:rPr>
      </w:pPr>
      <w:r>
        <w:rPr>
          <w:rFonts w:ascii="Calibri" w:cs="Calibri" w:eastAsia="Calibri" w:hAnsi="Calibri"/>
          <w:sz w:val="18"/>
          <w:szCs w:val="18"/>
          <w:color w:val="auto"/>
        </w:rPr>
        <w:t>Company shall be liable for all claims arising from the use by Company or Agents actng on Company’s behalf of any Marketng Materials or Marketng Actvites. Company shall ensure that all Marketng Materials and Marketng Actvites shall comply with Applicable Law, shall be accurate in all respects and shall not be misleading; provided that Company may rely on the accuracy of informaton included in the Marketng Materials and/or Marketng Actvites provided by Bank. Nothing herein shall serve to undermine Company’s indemnifcaton obligatons under this Agreement.</w:t>
      </w:r>
    </w:p>
    <w:p>
      <w:pPr>
        <w:spacing w:after="0" w:line="215"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37"/>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Changes to Marketng Materials and Marketng Actvites</w:t>
      </w:r>
      <w:r>
        <w:rPr>
          <w:rFonts w:ascii="Calibri" w:cs="Calibri" w:eastAsia="Calibri" w:hAnsi="Calibri"/>
          <w:sz w:val="18"/>
          <w:szCs w:val="18"/>
          <w:color w:val="auto"/>
        </w:rPr>
        <w:t>.</w:t>
      </w:r>
    </w:p>
    <w:p>
      <w:pPr>
        <w:spacing w:after="0" w:line="212"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69" w:name="page70"/>
    <w:bookmarkEnd w:id="69"/>
    <w:p>
      <w:pPr>
        <w:jc w:val="both"/>
        <w:ind w:left="1492" w:hanging="743"/>
        <w:spacing w:after="0" w:line="235" w:lineRule="auto"/>
        <w:tabs>
          <w:tab w:leader="none" w:pos="1492" w:val="left"/>
        </w:tabs>
        <w:numPr>
          <w:ilvl w:val="1"/>
          <w:numId w:val="38"/>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Changes to Marketng Materials and Marketng Actvites, including a determinaton that any Marketng Materials or Marketng Actvites are no longer authorized, may be made upon the request of either Party subject to the prior writen consent of the other Party, which consent shall not be unreasonably withheld or delayed; provided, however, that Bank may change Marketng Materials or Marketng Actvites or determine that any Marketng Materials or Marketng Actvites are no longer authorized upon writen notce to Company to the extent that such change or determinaton is required by Applicable Law or Regulatory Authority or necessitated in Bank’s reasonable determinaton by safety and soundness or reputatonal concerns. Unless such changes are required sooner by Applicable Law or a Regulatory Authority, upon Company’s receipt of writen notce from Bank of any changes to the Marketng Materials or Marketng Actvites or a determinaton that any Marketng Materials or Marketng Actvites are no longer authorized, Company shall implement such change or determinaton as soon as commercially practcable but in no event later than thirty (30) days (or earlier if required by Applicable Law or Regulatory Authority) from Company’s receipt of notce of such change or determinaton.</w:t>
      </w:r>
    </w:p>
    <w:p>
      <w:pPr>
        <w:spacing w:after="0" w:line="224"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38"/>
        </w:numPr>
        <w:rPr>
          <w:rFonts w:ascii="Calibri" w:cs="Calibri" w:eastAsia="Calibri" w:hAnsi="Calibri"/>
          <w:sz w:val="18"/>
          <w:szCs w:val="18"/>
          <w:u w:val="single" w:color="auto"/>
          <w:color w:val="auto"/>
        </w:rPr>
      </w:pPr>
      <w:r>
        <w:rPr>
          <w:rFonts w:ascii="Calibri" w:cs="Calibri" w:eastAsia="Calibri" w:hAnsi="Calibri"/>
          <w:sz w:val="18"/>
          <w:szCs w:val="18"/>
          <w:color w:val="auto"/>
        </w:rPr>
        <w:t>Bank may change the Marketng Materials or Marketng Actvites previously approved by Bank or determine that any Marketng Materials or Marketng Actvites previously approved by Bank are no longer authorized upon writen notce provided to Company only to the extent that such change is required by Applicable Law or a Regulatory Authority or necessitated in Bank’s reasonable determinaton by safety and soundness concerns. Unless such changes are required sooner by Applicable Law or a Regulatory Authority, upon Company’s receipt of writen notce from Bank of any changes to the Marketng Materials or Marketng Actvites or a determinaton that any Marketng Materials or Marketng Actvites are no longer authorized, Company shall implement such change or determinaton as soon as commercially practcable but in no event later than thirty (30) days (or earlier if required by Applicable Law or Regulatory Authority) from Company’s receipt of notce of such change or determinaton.</w:t>
      </w:r>
    </w:p>
    <w:p>
      <w:pPr>
        <w:spacing w:after="0" w:line="217"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39"/>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Deposit Account Materials and Opening</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50" w:lineRule="auto"/>
        <w:tabs>
          <w:tab w:leader="none" w:pos="1492" w:val="left"/>
        </w:tabs>
        <w:numPr>
          <w:ilvl w:val="1"/>
          <w:numId w:val="39"/>
        </w:numPr>
        <w:rPr>
          <w:rFonts w:ascii="Calibri" w:cs="Calibri" w:eastAsia="Calibri" w:hAnsi="Calibri"/>
          <w:sz w:val="17"/>
          <w:szCs w:val="17"/>
          <w:u w:val="single" w:color="auto"/>
          <w:color w:val="auto"/>
        </w:rPr>
      </w:pPr>
      <w:r>
        <w:rPr>
          <w:rFonts w:ascii="Calibri" w:cs="Calibri" w:eastAsia="Calibri" w:hAnsi="Calibri"/>
          <w:sz w:val="17"/>
          <w:szCs w:val="17"/>
          <w:color w:val="auto"/>
        </w:rPr>
        <w:t>Company shall be responsible for the development, producton and distributon of all documents, terms and procedures necessary and proper to administer the Program (the “</w:t>
      </w:r>
      <w:r>
        <w:rPr>
          <w:rFonts w:ascii="Calibri" w:cs="Calibri" w:eastAsia="Calibri" w:hAnsi="Calibri"/>
          <w:sz w:val="17"/>
          <w:szCs w:val="17"/>
          <w:u w:val="single" w:color="auto"/>
          <w:color w:val="auto"/>
        </w:rPr>
        <w:t>Program Materials</w:t>
      </w:r>
      <w:r>
        <w:rPr>
          <w:rFonts w:ascii="Calibri" w:cs="Calibri" w:eastAsia="Calibri" w:hAnsi="Calibri"/>
          <w:sz w:val="17"/>
          <w:szCs w:val="17"/>
          <w:color w:val="auto"/>
        </w:rPr>
        <w:t>”). Program Materials shall comply in all respects with Applicable Law. Prior to the formal launch of the Program, Bank shall provide Company with an Account Policy, which Company shall comply with in marketng, servicing, approving and managing Deposit Accounts. The Account Policy is considered Program Materials. For the avoidance of doubt, except as otherwise expressly set forth in this Agreement, Company shall be responsible for all liability associated with Deposit Accounts, including fraud and error resoluton liability, even if such Deposit Account was approved in compliance with the Account Policy. Within ten (10) Business Days of the Efectve Date, Company shall provide a form Deposit Account Agreement, form Applicaton and its privacy policy, all of which are considered Program Materials to be used in connecton with the Program, to Bank for its approval. The Partes acknowledge that each Deposit Account Agreement and all other documents referring to Deposit Account shall identfy Bank as the depository insttuton. The Deposit Account Agreement shall further provide, as appropriate, that it is governed by Tennessee and federal law. Any changes to the Program Materials must be approved in advance by Bank.</w:t>
      </w:r>
    </w:p>
    <w:p>
      <w:pPr>
        <w:spacing w:after="0" w:line="214" w:lineRule="exact"/>
        <w:rPr>
          <w:rFonts w:ascii="Calibri" w:cs="Calibri" w:eastAsia="Calibri" w:hAnsi="Calibri"/>
          <w:sz w:val="17"/>
          <w:szCs w:val="17"/>
          <w:u w:val="single" w:color="auto"/>
          <w:color w:val="auto"/>
        </w:rPr>
      </w:pPr>
    </w:p>
    <w:p>
      <w:pPr>
        <w:jc w:val="both"/>
        <w:ind w:left="1492" w:hanging="743"/>
        <w:spacing w:after="0" w:line="235" w:lineRule="auto"/>
        <w:tabs>
          <w:tab w:leader="none" w:pos="1492" w:val="left"/>
        </w:tabs>
        <w:numPr>
          <w:ilvl w:val="1"/>
          <w:numId w:val="39"/>
        </w:numPr>
        <w:rPr>
          <w:rFonts w:ascii="Calibri" w:cs="Calibri" w:eastAsia="Calibri" w:hAnsi="Calibri"/>
          <w:sz w:val="18"/>
          <w:szCs w:val="18"/>
          <w:u w:val="single" w:color="auto"/>
          <w:color w:val="auto"/>
        </w:rPr>
      </w:pPr>
      <w:r>
        <w:rPr>
          <w:rFonts w:ascii="Calibri" w:cs="Calibri" w:eastAsia="Calibri" w:hAnsi="Calibri"/>
          <w:sz w:val="18"/>
          <w:szCs w:val="18"/>
          <w:color w:val="auto"/>
        </w:rPr>
        <w:t>Company shall solicit Applicatons from Applicants and shall perform Applicaton Processing on behalf of Bank to determine whether the Applicant meets the eligibility criteria set forth in the Account Policy. Company shall respond to all inquiries from Applicants and from Bank regarding the Applicaton Processing. Company shall conduct Applicaton Processing for each Applicant who requests a Deposit Account and shall approve on behalf of Bank only the requests of Applicants who meet the eligibility criteria set forth in the Account Policy. Without limitng any other provision of this Agreement, in performing its obligatons under this Secton 7 and its other obligatons under this Agreement, Company shall comply with Applicable Law and Bank’s policies and procedures, as provided to Company by Bank from tme to tme.</w:t>
      </w:r>
    </w:p>
    <w:p>
      <w:pPr>
        <w:spacing w:after="0" w:line="221"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39"/>
        </w:numPr>
        <w:rPr>
          <w:rFonts w:ascii="Calibri" w:cs="Calibri" w:eastAsia="Calibri" w:hAnsi="Calibri"/>
          <w:sz w:val="18"/>
          <w:szCs w:val="18"/>
          <w:u w:val="single" w:color="auto"/>
          <w:color w:val="auto"/>
        </w:rPr>
      </w:pPr>
      <w:r>
        <w:rPr>
          <w:rFonts w:ascii="Calibri" w:cs="Calibri" w:eastAsia="Calibri" w:hAnsi="Calibri"/>
          <w:sz w:val="18"/>
          <w:szCs w:val="18"/>
          <w:color w:val="auto"/>
        </w:rPr>
        <w:t>Subject to the terms of this Agreement and Applicable Law, including those on bank branching, Bank may establish Deposit Accounts for Applicants who meet the eligibility criteria set forth in the Account Policy and who accept the Deposit Account ofer. Company acknowledges that Bank is under no obligaton to establish a Deposit Account for any Applicant. Notwithstanding anything to the contrary, Bank may, in its sole discreton, reject or decline to establish a Deposit Account if Bank determines to establish a Deposit Account would consttute an unsafe or unsound banking practce, pose undue reputatonal or fnancial risk to Bank or violate Applicable Law.</w:t>
      </w:r>
    </w:p>
    <w:p>
      <w:pPr>
        <w:spacing w:after="0" w:line="221"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39"/>
        </w:numPr>
        <w:rPr>
          <w:rFonts w:ascii="Calibri" w:cs="Calibri" w:eastAsia="Calibri" w:hAnsi="Calibri"/>
          <w:sz w:val="18"/>
          <w:szCs w:val="18"/>
          <w:u w:val="single" w:color="auto"/>
          <w:color w:val="auto"/>
        </w:rPr>
      </w:pPr>
      <w:r>
        <w:rPr>
          <w:rFonts w:ascii="Calibri" w:cs="Calibri" w:eastAsia="Calibri" w:hAnsi="Calibri"/>
          <w:sz w:val="18"/>
          <w:szCs w:val="18"/>
          <w:color w:val="auto"/>
        </w:rPr>
        <w:t>Pursuant to procedures mutually agreed to by the Partes, Company shall deliver all notces required by Applicable Law to Applicants who do not meet the Account Policy criteria or are otherwise denied an Account under the Program. All notces shall be delivered in form, content and tming in accordance with Applicable Law.</w:t>
      </w:r>
    </w:p>
    <w:p>
      <w:pPr>
        <w:spacing w:after="0" w:line="214"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70" w:name="page71"/>
    <w:bookmarkEnd w:id="70"/>
    <w:p>
      <w:pPr>
        <w:jc w:val="both"/>
        <w:ind w:left="1492" w:hanging="743"/>
        <w:spacing w:after="0" w:line="235" w:lineRule="auto"/>
        <w:tabs>
          <w:tab w:leader="none" w:pos="1492" w:val="left"/>
        </w:tabs>
        <w:numPr>
          <w:ilvl w:val="1"/>
          <w:numId w:val="40"/>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Company shall deliver to Applicants the Deposit Account Agreements, Bank’s and Company’s privacy notces and any other Program Materials required to be delivered to Applicants and shall obtain appropriate signatures or other authorizaton from Applicants and any third party required by Bank to open on a Deposit Account, and take all other actons necessary for Bank to open a Deposit Account, all in accordance with Applicable Law.</w:t>
      </w:r>
    </w:p>
    <w:p>
      <w:pPr>
        <w:spacing w:after="0" w:line="219" w:lineRule="exact"/>
        <w:rPr>
          <w:rFonts w:ascii="Calibri" w:cs="Calibri" w:eastAsia="Calibri" w:hAnsi="Calibri"/>
          <w:sz w:val="18"/>
          <w:szCs w:val="18"/>
          <w:u w:val="single" w:color="auto"/>
          <w:color w:val="auto"/>
        </w:rPr>
      </w:pPr>
    </w:p>
    <w:p>
      <w:pPr>
        <w:jc w:val="both"/>
        <w:ind w:left="1492" w:hanging="743"/>
        <w:spacing w:after="0" w:line="250" w:lineRule="auto"/>
        <w:tabs>
          <w:tab w:leader="none" w:pos="1492" w:val="left"/>
        </w:tabs>
        <w:numPr>
          <w:ilvl w:val="1"/>
          <w:numId w:val="40"/>
        </w:numPr>
        <w:rPr>
          <w:rFonts w:ascii="Calibri" w:cs="Calibri" w:eastAsia="Calibri" w:hAnsi="Calibri"/>
          <w:sz w:val="17"/>
          <w:szCs w:val="17"/>
          <w:u w:val="single" w:color="auto"/>
          <w:color w:val="auto"/>
        </w:rPr>
      </w:pPr>
      <w:r>
        <w:rPr>
          <w:rFonts w:ascii="Calibri" w:cs="Calibri" w:eastAsia="Calibri" w:hAnsi="Calibri"/>
          <w:sz w:val="17"/>
          <w:szCs w:val="17"/>
          <w:color w:val="auto"/>
        </w:rPr>
        <w:t>Company shall be responsible for providing all Applicaton Services and any other services contemplated herein in accordance with Applicable Law, and in a manner that is consistent with the data security standards set forth in Secton 11 (Data Security) of this Agreement and shall maintain all Records related to Deposit Accounts in accordance with Applicable Law. Company will be responsible for costs, if any, associated with administering the Deposit Accounts in accordance with this Agreement as set forth on Schedule B hereto. Company shall be responsible for receiving, investgatng and responding to any Customer dispute or error allegaton concerning any Deposit Account; provided, Bank shall reasonably cooperate with Company in investgatng and resolving any dispute. The Partes shall mutually agree upon procedures for resolving any errors alleged by a Customer in connecton with a Deposit Account. Bank and Company will cooperate to develop procedures regarding the referral of a Customer claim, complaint, dispute or request for informaton. Bank will promptly, but in no event later than one (1) business day, refer to Company, or its Critcal Service Provider designated by Company, any Customer or Applicant who contacts Bank concerning complaints, disputes or errors related to a Deposit Account.</w:t>
      </w:r>
    </w:p>
    <w:p>
      <w:pPr>
        <w:spacing w:after="0" w:line="214" w:lineRule="exact"/>
        <w:rPr>
          <w:rFonts w:ascii="Calibri" w:cs="Calibri" w:eastAsia="Calibri" w:hAnsi="Calibri"/>
          <w:sz w:val="17"/>
          <w:szCs w:val="17"/>
          <w:u w:val="single" w:color="auto"/>
          <w:color w:val="auto"/>
        </w:rPr>
      </w:pPr>
    </w:p>
    <w:p>
      <w:pPr>
        <w:jc w:val="both"/>
        <w:ind w:left="1492" w:hanging="743"/>
        <w:spacing w:after="0" w:line="251" w:lineRule="auto"/>
        <w:tabs>
          <w:tab w:leader="none" w:pos="1492" w:val="left"/>
        </w:tabs>
        <w:numPr>
          <w:ilvl w:val="1"/>
          <w:numId w:val="40"/>
        </w:numPr>
        <w:rPr>
          <w:rFonts w:ascii="Calibri" w:cs="Calibri" w:eastAsia="Calibri" w:hAnsi="Calibri"/>
          <w:sz w:val="17"/>
          <w:szCs w:val="17"/>
          <w:u w:val="single" w:color="auto"/>
          <w:color w:val="auto"/>
        </w:rPr>
      </w:pPr>
      <w:r>
        <w:rPr>
          <w:rFonts w:ascii="Calibri" w:cs="Calibri" w:eastAsia="Calibri" w:hAnsi="Calibri"/>
          <w:sz w:val="17"/>
          <w:szCs w:val="17"/>
          <w:color w:val="auto"/>
        </w:rPr>
        <w:t>Company will administer the Deposit Accounts and will be responsible for supervising and managing all daily funds fow processes, including ensuring all balances in Deposit Accounts are accurate and fully funded by deposits placed with the Bank by Customers in connecton with such Deposit Accounts. Company will be responsible for ensuring that the balance in each Deposit Account will be at all tmes appropriately funded by deposits placed at Bank by the Customer associated with such Deposit Account in an amount that is no less than 100% of the total amount of currency represented as actve and available to Customers of the current day’s Deposit Account balance. Company will be responsible for overseeing and managing such funding. Company shall be responsible and liable for any failure</w:t>
      </w:r>
    </w:p>
    <w:p>
      <w:pPr>
        <w:spacing w:after="0" w:line="20" w:lineRule="exact"/>
        <w:rPr>
          <w:rFonts w:ascii="Calibri" w:cs="Calibri" w:eastAsia="Calibri" w:hAnsi="Calibri"/>
          <w:sz w:val="17"/>
          <w:szCs w:val="17"/>
          <w:u w:val="single" w:color="auto"/>
          <w:color w:val="auto"/>
        </w:rPr>
      </w:pPr>
    </w:p>
    <w:p>
      <w:pPr>
        <w:jc w:val="both"/>
        <w:ind w:left="1492"/>
        <w:spacing w:after="0" w:line="235" w:lineRule="auto"/>
        <w:rPr>
          <w:rFonts w:ascii="Calibri" w:cs="Calibri" w:eastAsia="Calibri" w:hAnsi="Calibri"/>
          <w:sz w:val="17"/>
          <w:szCs w:val="17"/>
          <w:u w:val="single" w:color="auto"/>
          <w:color w:val="auto"/>
        </w:rPr>
      </w:pPr>
      <w:r>
        <w:rPr>
          <w:rFonts w:ascii="Calibri" w:cs="Calibri" w:eastAsia="Calibri" w:hAnsi="Calibri"/>
          <w:sz w:val="18"/>
          <w:szCs w:val="18"/>
          <w:color w:val="auto"/>
        </w:rPr>
        <w:t>of the Deposit Account to be fully funded not caused by Bank’s negligent actons or omissions, or its agents, assigns, or third party contractors (excluding Company or its agents, or third party contractors). In the event of any such failure, Bank may ofset any defcient funds from the Program Manager Reserve Account or, upon Bank’s request, Company shall, within one (1) Business Days afer receiving notce of such request, fully fund any shortall in the Deposit Account.</w:t>
      </w:r>
    </w:p>
    <w:p>
      <w:pPr>
        <w:spacing w:after="0" w:line="219" w:lineRule="exact"/>
        <w:rPr>
          <w:rFonts w:ascii="Calibri" w:cs="Calibri" w:eastAsia="Calibri" w:hAnsi="Calibri"/>
          <w:sz w:val="17"/>
          <w:szCs w:val="17"/>
          <w:u w:val="single" w:color="auto"/>
          <w:color w:val="auto"/>
        </w:rPr>
      </w:pPr>
    </w:p>
    <w:p>
      <w:pPr>
        <w:jc w:val="both"/>
        <w:ind w:left="1492" w:hanging="743"/>
        <w:spacing w:after="0" w:line="235" w:lineRule="auto"/>
        <w:tabs>
          <w:tab w:leader="none" w:pos="1492" w:val="left"/>
        </w:tabs>
        <w:numPr>
          <w:ilvl w:val="1"/>
          <w:numId w:val="40"/>
        </w:numPr>
        <w:rPr>
          <w:rFonts w:ascii="Calibri" w:cs="Calibri" w:eastAsia="Calibri" w:hAnsi="Calibri"/>
          <w:sz w:val="18"/>
          <w:szCs w:val="18"/>
          <w:u w:val="single" w:color="auto"/>
          <w:color w:val="auto"/>
        </w:rPr>
      </w:pPr>
      <w:r>
        <w:rPr>
          <w:rFonts w:ascii="Calibri" w:cs="Calibri" w:eastAsia="Calibri" w:hAnsi="Calibri"/>
          <w:sz w:val="18"/>
          <w:szCs w:val="18"/>
          <w:color w:val="auto"/>
        </w:rPr>
        <w:t>Company shall perform its obligatons described in this Agreement, and deliver any other customer communicatons to Applicants and Customers as necessary to carry on the Program, in accordance with Applicable Law, all at Company’s own cost. Subject to Schedule B, Company shall pay all third-party costs associated with Deposit Account processing and establishment.</w:t>
      </w:r>
    </w:p>
    <w:p>
      <w:pPr>
        <w:spacing w:after="0" w:line="213"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41"/>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Company’s Obligatons</w:t>
      </w:r>
      <w:r>
        <w:rPr>
          <w:rFonts w:ascii="Calibri" w:cs="Calibri" w:eastAsia="Calibri" w:hAnsi="Calibri"/>
          <w:sz w:val="18"/>
          <w:szCs w:val="18"/>
          <w:color w:val="auto"/>
        </w:rPr>
        <w:t>. In additon to such other dutes and obligatons as are set forth in this Agreement, the Company shall:</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41"/>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BSA/AML</w:t>
      </w:r>
      <w:r>
        <w:rPr>
          <w:rFonts w:ascii="Calibri" w:cs="Calibri" w:eastAsia="Calibri" w:hAnsi="Calibri"/>
          <w:sz w:val="18"/>
          <w:szCs w:val="18"/>
          <w:color w:val="auto"/>
        </w:rPr>
        <w:t>. Be responsible for developing, administering and maintaining an ant-money laundering and OFAC compliance program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compliant with Applicable Law, including any ant-money laundering requirements applicable to Bank, and approved by Bank (the “</w:t>
      </w:r>
      <w:r>
        <w:rPr>
          <w:rFonts w:ascii="Calibri" w:cs="Calibri" w:eastAsia="Calibri" w:hAnsi="Calibri"/>
          <w:sz w:val="18"/>
          <w:szCs w:val="18"/>
          <w:u w:val="single" w:color="auto"/>
          <w:color w:val="auto"/>
        </w:rPr>
        <w:t>BSA/AML/OFAC Program</w:t>
      </w:r>
      <w:r>
        <w:rPr>
          <w:rFonts w:ascii="Calibri" w:cs="Calibri" w:eastAsia="Calibri" w:hAnsi="Calibri"/>
          <w:sz w:val="18"/>
          <w:szCs w:val="18"/>
          <w:color w:val="auto"/>
        </w:rPr>
        <w:t>”), and shall be liable for any failure of its BSA/AML/OFAC Program in connecton with the Program or Services. The BSA/AML/OFAC Program must, at a minimum, include a system of internal controls to ensure ongoing compliance and annual independent testng of the BSA/AML/OFAC Program, including testng for compliance with Applicable Law, designatng an ant-money laundering compliance ofcer responsible for managing ant-money laundering compliance and the BSA/AML/OFAC Program, and providing appropriate and ongoing training for Company personnel. Company shall have an independent third party approved by Bank perform at least once per year an audit of the BSA/AML/OFAC Program and Company’s compliance with its obligatons hereunder. Company shall provide to Bank a copy of the audit report and Bank shall treat such audit report as Company’s Confdental Informaton under this Agreement. Company shall promptly address any exceptons noted in such audit report with the development and implementaton of a correctve acton plan by Company’s management, such correctve acton plan to be approved by Bank.</w:t>
      </w:r>
    </w:p>
    <w:p>
      <w:pPr>
        <w:spacing w:after="0" w:line="225"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1"/>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OFAC</w:t>
      </w:r>
      <w:r>
        <w:rPr>
          <w:rFonts w:ascii="Calibri" w:cs="Calibri" w:eastAsia="Calibri" w:hAnsi="Calibri"/>
          <w:sz w:val="18"/>
          <w:szCs w:val="18"/>
          <w:color w:val="auto"/>
        </w:rPr>
        <w:t>. Comply with all regulatons of OFAC, including: (i) ensuring that all Customers are screened as required by Applicable Law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BSA/AML/OFAC Program, and (ii) complying with all OFAC and Bank directves regarding the prohibiton or rejecton of unlicensed trade and fnancial transactons with OFAC specifed countries, enttes and individuals in connecton with the Program.</w:t>
      </w:r>
    </w:p>
    <w:p>
      <w:pPr>
        <w:spacing w:after="0" w:line="218"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41"/>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Sofware Services</w:t>
      </w:r>
      <w:r>
        <w:rPr>
          <w:rFonts w:ascii="Calibri" w:cs="Calibri" w:eastAsia="Calibri" w:hAnsi="Calibri"/>
          <w:sz w:val="18"/>
          <w:szCs w:val="18"/>
          <w:color w:val="auto"/>
        </w:rPr>
        <w:t>. Maintain sofware services necessary to (i) maintain Records for transacton authorizatons, including Originaton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Services as required by Applicable Law, any payment network rules, including NACHA Rules,</w:t>
      </w:r>
    </w:p>
    <w:p>
      <w:pPr>
        <w:spacing w:after="0" w:line="213"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71" w:name="page72"/>
    <w:bookmarkEnd w:id="71"/>
    <w:p>
      <w:pPr>
        <w:jc w:val="both"/>
        <w:ind w:left="743"/>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or Bank; and (ii) provide Bank access to the sofware services, including an administratve dashboard necessary to view, edit, and manage Customers (including Depositor Informaton), Deposit Account balances and transactons, reserves, including Company reserves with Bank, and compliance informaton related to ant-money laundering laws and requirements, and any other informaton in possession of or readily available to Company or its service providers required by Bank in order for Bank to provide Services under this Agreement. Company may provide the sofware services contemplated herein and any other data required to be provided to Bank in connecton with a Deposit Account or Services using the applicaton programming interface ofered by Bank approved vendors and partners. A default of an agreement with such vendor or partner shall consttute a material breach of this Agreement.</w:t>
      </w:r>
    </w:p>
    <w:p>
      <w:pPr>
        <w:spacing w:after="0" w:line="217" w:lineRule="exact"/>
        <w:rPr>
          <w:sz w:val="20"/>
          <w:szCs w:val="20"/>
          <w:color w:val="auto"/>
        </w:rPr>
      </w:pPr>
    </w:p>
    <w:p>
      <w:pPr>
        <w:ind w:left="743" w:hanging="743"/>
        <w:spacing w:after="0"/>
        <w:tabs>
          <w:tab w:leader="none" w:pos="743" w:val="left"/>
        </w:tabs>
        <w:numPr>
          <w:ilvl w:val="0"/>
          <w:numId w:val="42"/>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Bank and Regulatory Audits</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jc w:val="both"/>
        <w:ind w:left="1503" w:hanging="755"/>
        <w:spacing w:after="0" w:line="250" w:lineRule="auto"/>
        <w:tabs>
          <w:tab w:leader="none" w:pos="1503" w:val="left"/>
        </w:tabs>
        <w:numPr>
          <w:ilvl w:val="1"/>
          <w:numId w:val="42"/>
        </w:numPr>
        <w:rPr>
          <w:rFonts w:ascii="Calibri" w:cs="Calibri" w:eastAsia="Calibri" w:hAnsi="Calibri"/>
          <w:sz w:val="17"/>
          <w:szCs w:val="17"/>
          <w:color w:val="auto"/>
        </w:rPr>
      </w:pPr>
      <w:r>
        <w:rPr>
          <w:rFonts w:ascii="Calibri" w:cs="Calibri" w:eastAsia="Calibri" w:hAnsi="Calibri"/>
          <w:sz w:val="17"/>
          <w:szCs w:val="17"/>
          <w:color w:val="auto"/>
        </w:rPr>
        <w:t>Company agrees that Bank, its authorized representatves and agents, and any Regulatory Authority (collectvely the “</w:t>
      </w:r>
      <w:r>
        <w:rPr>
          <w:rFonts w:ascii="Calibri" w:cs="Calibri" w:eastAsia="Calibri" w:hAnsi="Calibri"/>
          <w:sz w:val="17"/>
          <w:szCs w:val="17"/>
          <w:u w:val="single" w:color="auto"/>
          <w:color w:val="auto"/>
        </w:rPr>
        <w:t>Auditng</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Party</w:t>
      </w:r>
      <w:r>
        <w:rPr>
          <w:rFonts w:ascii="Calibri" w:cs="Calibri" w:eastAsia="Calibri" w:hAnsi="Calibri"/>
          <w:sz w:val="17"/>
          <w:szCs w:val="17"/>
          <w:color w:val="auto"/>
        </w:rPr>
        <w:t>”) shall have the right, at any tme during normal business hours and upon reasonable prior writen notce, or at any other tme required by a Regulatory Authority, to inspect, audit and examine all of Company’s facilites, Records, books, accounts, data, reports, papers and computer Records relatng to the actvites contemplated by this Agreement or to Deposit Accounts, including, but not limited to, fnancial Records and reports, any Security Program employed by Company to protect the Depositor Informaton to which Company may have access, associated audit reports, and test results or equivalent measures taken by Company to ensure that the security programs meet the requirements imposed with respect to third party vendors by the Regulatory Authorites or to otherwise ensure Company’s compliance with Applicable Law pertaining to the Program and/or the terms of this Agreement. Company shall make all requested documentaton and facilites available to the Auditng Party for the purpose of conductng such inspectons and audits, and the Auditng Party shall have the right to make copies and abstracts of any Records and documentaton pertaining to the subject mater of this Agreement.</w:t>
      </w:r>
    </w:p>
    <w:p>
      <w:pPr>
        <w:spacing w:after="0" w:line="214" w:lineRule="exact"/>
        <w:rPr>
          <w:rFonts w:ascii="Calibri" w:cs="Calibri" w:eastAsia="Calibri" w:hAnsi="Calibri"/>
          <w:sz w:val="17"/>
          <w:szCs w:val="17"/>
          <w:color w:val="auto"/>
        </w:rPr>
      </w:pPr>
    </w:p>
    <w:p>
      <w:pPr>
        <w:jc w:val="both"/>
        <w:ind w:left="1503" w:hanging="755"/>
        <w:spacing w:after="0" w:line="235" w:lineRule="auto"/>
        <w:tabs>
          <w:tab w:leader="none" w:pos="1503"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Company agrees to cooperate with any examinaton, inquiry, audit, informaton request, document or record request, site visit or the like, which may be required by any Regulatory Authority with audit examinaton or supervisory authority over Bank, to the fullest extent requested by such Regulatory Authority or Bank. Company shall also provide such other informaton as Bank or a Regulatory Authority may request with respect to the fnancial conditon of Company and such other commercially reasonable informaton as Bank may request from tme to tme with respect to any third party who has contracted with Company to perform Services in connect with this Agreement.</w:t>
      </w:r>
    </w:p>
    <w:p>
      <w:pPr>
        <w:spacing w:after="0" w:line="221" w:lineRule="exact"/>
        <w:rPr>
          <w:rFonts w:ascii="Calibri" w:cs="Calibri" w:eastAsia="Calibri" w:hAnsi="Calibri"/>
          <w:sz w:val="18"/>
          <w:szCs w:val="18"/>
          <w:color w:val="auto"/>
        </w:rPr>
      </w:pPr>
    </w:p>
    <w:p>
      <w:pPr>
        <w:ind w:left="1503" w:hanging="755"/>
        <w:spacing w:after="0" w:line="235" w:lineRule="auto"/>
        <w:tabs>
          <w:tab w:leader="none" w:pos="1503"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All informaton provided by Company or the resultng work product under this Secton 8(d) to Bank shall be considered Confdental Informaton of Company.</w:t>
      </w:r>
    </w:p>
    <w:p>
      <w:pPr>
        <w:spacing w:after="0" w:line="217" w:lineRule="exact"/>
        <w:rPr>
          <w:rFonts w:ascii="Calibri" w:cs="Calibri" w:eastAsia="Calibri" w:hAnsi="Calibri"/>
          <w:sz w:val="18"/>
          <w:szCs w:val="18"/>
          <w:color w:val="auto"/>
        </w:rPr>
      </w:pPr>
    </w:p>
    <w:p>
      <w:pPr>
        <w:ind w:left="743" w:right="20" w:hanging="743"/>
        <w:spacing w:after="0" w:line="235" w:lineRule="auto"/>
        <w:tabs>
          <w:tab w:leader="none" w:pos="743" w:val="left"/>
        </w:tabs>
        <w:numPr>
          <w:ilvl w:val="0"/>
          <w:numId w:val="42"/>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Company Compliance With Law and Policies</w:t>
      </w:r>
      <w:r>
        <w:rPr>
          <w:rFonts w:ascii="Calibri" w:cs="Calibri" w:eastAsia="Calibri" w:hAnsi="Calibri"/>
          <w:sz w:val="18"/>
          <w:szCs w:val="18"/>
          <w:color w:val="auto"/>
        </w:rPr>
        <w:t>. At all tmes, Company, in performing its dutes and obligatons under this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shall comply with all Applicable Law and Bank’s writen policies provided to Company.</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42"/>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Notce of Actons; Regulatory Communicatons</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ind w:left="1503" w:hanging="755"/>
        <w:spacing w:after="0"/>
        <w:tabs>
          <w:tab w:leader="none" w:pos="1503" w:val="left"/>
        </w:tabs>
        <w:numPr>
          <w:ilvl w:val="1"/>
          <w:numId w:val="42"/>
        </w:numPr>
        <w:rPr>
          <w:rFonts w:ascii="Calibri" w:cs="Calibri" w:eastAsia="Calibri" w:hAnsi="Calibri"/>
          <w:sz w:val="17"/>
          <w:szCs w:val="17"/>
          <w:color w:val="auto"/>
        </w:rPr>
      </w:pPr>
      <w:r>
        <w:rPr>
          <w:rFonts w:ascii="Calibri" w:cs="Calibri" w:eastAsia="Calibri" w:hAnsi="Calibri"/>
          <w:sz w:val="17"/>
          <w:szCs w:val="17"/>
          <w:color w:val="auto"/>
        </w:rPr>
        <w:t>(a)  Each Party shall, to the extent not prohibited by Applicable Law, notfy the other, promptly, but in no event later than fve</w:t>
      </w:r>
    </w:p>
    <w:p>
      <w:pPr>
        <w:spacing w:after="0" w:line="8" w:lineRule="exact"/>
        <w:rPr>
          <w:rFonts w:ascii="Calibri" w:cs="Calibri" w:eastAsia="Calibri" w:hAnsi="Calibri"/>
          <w:sz w:val="17"/>
          <w:szCs w:val="17"/>
          <w:color w:val="auto"/>
        </w:rPr>
      </w:pPr>
    </w:p>
    <w:p>
      <w:pPr>
        <w:jc w:val="both"/>
        <w:ind w:left="1503" w:hanging="6"/>
        <w:spacing w:after="0" w:line="235" w:lineRule="auto"/>
        <w:tabs>
          <w:tab w:leader="none" w:pos="1758" w:val="left"/>
        </w:tabs>
        <w:numPr>
          <w:ilvl w:val="2"/>
          <w:numId w:val="42"/>
        </w:numPr>
        <w:rPr>
          <w:rFonts w:ascii="Calibri" w:cs="Calibri" w:eastAsia="Calibri" w:hAnsi="Calibri"/>
          <w:sz w:val="18"/>
          <w:szCs w:val="18"/>
          <w:color w:val="auto"/>
        </w:rPr>
      </w:pPr>
      <w:r>
        <w:rPr>
          <w:rFonts w:ascii="Calibri" w:cs="Calibri" w:eastAsia="Calibri" w:hAnsi="Calibri"/>
          <w:sz w:val="18"/>
          <w:szCs w:val="18"/>
          <w:color w:val="auto"/>
        </w:rPr>
        <w:t>Business Days afer becoming aware, of any actual or threatened litgaton, investgaton, proceeding, or judicial, tax or administratve acton by any Regulatory Authority, state atorney general or any other Person which, if resolved adversely to it, would reasonably be expected to materially adversely afect such Party’s contnuing operatons, its indemnity obligatons under this Agreement, or its ability to perform its obligatons under this Agreement or the Program, and each Party shall provide the other Party with all related documentaton thereof, unless such Party is prohibited from sharing any such notce or documentaton. Each Party shall cooperate in good faith and provide such assistance, at the other Party’s request, to permit the other Party to promptly resolve or address any such actons.</w:t>
      </w:r>
    </w:p>
    <w:p>
      <w:pPr>
        <w:spacing w:after="0" w:line="221"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42"/>
        </w:numPr>
        <w:rPr>
          <w:rFonts w:ascii="Calibri" w:cs="Calibri" w:eastAsia="Calibri" w:hAnsi="Calibri"/>
          <w:sz w:val="18"/>
          <w:szCs w:val="18"/>
          <w:color w:val="auto"/>
        </w:rPr>
      </w:pPr>
      <w:r>
        <w:rPr>
          <w:rFonts w:ascii="Calibri" w:cs="Calibri" w:eastAsia="Calibri" w:hAnsi="Calibri"/>
          <w:sz w:val="18"/>
          <w:szCs w:val="18"/>
          <w:color w:val="auto"/>
        </w:rPr>
        <w:t>Each Party shall, to the extent not prohibited by Applicable Law and the actons or requirements of a Regulatory Authority, provide the other Party with notce and copies of any material communicatons from any Regulatory Authority regarding any mater which, if resolved adversely to it, would reasonably be expected to materially adversely afect the Program (each, a “</w:t>
      </w:r>
      <w:r>
        <w:rPr>
          <w:rFonts w:ascii="Calibri" w:cs="Calibri" w:eastAsia="Calibri" w:hAnsi="Calibri"/>
          <w:sz w:val="18"/>
          <w:szCs w:val="18"/>
          <w:u w:val="single" w:color="auto"/>
          <w:color w:val="auto"/>
        </w:rPr>
        <w:t>Regulatory Communicaton</w:t>
      </w:r>
      <w:r>
        <w:rPr>
          <w:rFonts w:ascii="Calibri" w:cs="Calibri" w:eastAsia="Calibri" w:hAnsi="Calibri"/>
          <w:sz w:val="18"/>
          <w:szCs w:val="18"/>
          <w:color w:val="auto"/>
        </w:rPr>
        <w:t>”) received by such Party within fve (5) Business Days of receipt of such Regulatory Communicaton. For any Regulatory Communicaton to any Regulatory Authority with examinaton authority over Bank and for which a response from either Party is required or in either Party’s reasonable judgment is prudent, the Partes shall</w:t>
      </w:r>
    </w:p>
    <w:p>
      <w:pPr>
        <w:spacing w:after="0" w:line="216"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72" w:name="page73"/>
    <w:bookmarkEnd w:id="72"/>
    <w:p>
      <w:pPr>
        <w:jc w:val="both"/>
        <w:ind w:left="1503"/>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coordinate and cooperate on the response, provided, however, Bank shall have the fnal authority to approve the actual response to a Regulatory Authority with direct supervision over the Bank. Bank agrees to provide such actual response to Company promptly afer providing such response to the applicable Regulatory Authority, if allowable under such Regulatory Authority or Applicable Law.</w:t>
      </w:r>
    </w:p>
    <w:p>
      <w:pPr>
        <w:spacing w:after="0" w:line="219" w:lineRule="exact"/>
        <w:rPr>
          <w:sz w:val="20"/>
          <w:szCs w:val="20"/>
          <w:color w:val="auto"/>
        </w:rPr>
      </w:pPr>
    </w:p>
    <w:p>
      <w:pPr>
        <w:jc w:val="both"/>
        <w:ind w:left="743" w:hanging="743"/>
        <w:spacing w:after="0" w:line="235" w:lineRule="auto"/>
        <w:tabs>
          <w:tab w:leader="none" w:pos="743" w:val="left"/>
        </w:tabs>
        <w:numPr>
          <w:ilvl w:val="0"/>
          <w:numId w:val="43"/>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Fraud and Risk Management</w:t>
      </w:r>
      <w:r>
        <w:rPr>
          <w:rFonts w:ascii="Calibri" w:cs="Calibri" w:eastAsia="Calibri" w:hAnsi="Calibri"/>
          <w:sz w:val="18"/>
          <w:szCs w:val="18"/>
          <w:color w:val="auto"/>
        </w:rPr>
        <w:t>. Company agrees that it is fnancially and operatonally responsible for all compromised Deposit Accounts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other than fraud losses due to Bank’s gross negligence or willful misconduct hereunder; it being understood, however, Bank has no duty to monitor any Deposit Account actvity, including monitoring for fraudulent transactons. Company shall adopt and implement a fraud monitoring practces and controls, and Company will bear the risk of and is responsible for all fraud losses, unauthorized transactons and errors (as defned by Regulaton E) other than fraud losses due to Bank’s gross negligence or willful misconduct hereunder. Company shall reimburse Bank for any losses it incurs in connecton with a Deposit Account due to fraud, an unauthorized transacton or an error (as defned by Regulaton E) or any other losses associated with the Deposit Account. Company shall promptly report to Bank any informaton necessary for Bank to investgate, make a determinaton and be able to fle a suspicious actvity report (“</w:t>
      </w:r>
      <w:r>
        <w:rPr>
          <w:rFonts w:ascii="Calibri" w:cs="Calibri" w:eastAsia="Calibri" w:hAnsi="Calibri"/>
          <w:sz w:val="18"/>
          <w:szCs w:val="18"/>
          <w:u w:val="single" w:color="auto"/>
          <w:color w:val="auto"/>
        </w:rPr>
        <w:t>SAR</w:t>
      </w:r>
      <w:r>
        <w:rPr>
          <w:rFonts w:ascii="Calibri" w:cs="Calibri" w:eastAsia="Calibri" w:hAnsi="Calibri"/>
          <w:sz w:val="18"/>
          <w:szCs w:val="18"/>
          <w:color w:val="auto"/>
        </w:rPr>
        <w:t>”) with the Financial Crimes Enforcement Network. The Partes acknowledge that the contents of a SAR and the fact that Bank has fled a SAR are strictly confdental under Applicable Law. Company further agrees to promptly provide to Bank any informaton it may deem necessary to resolve any complaints of fraudulent Deposit Account actvity.</w:t>
      </w:r>
    </w:p>
    <w:p>
      <w:pPr>
        <w:spacing w:after="0" w:line="225"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3"/>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Program Manager Reserve Account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shall maintain a deposit account at Bank which holds the Reserve Amount deposited 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(“Program Manager Reserve Account”) in accordance with the terms set forth on the Cover Page of this Agreement. Company shall ensure the Program Manager Reserve Account shall at all tmes maintain a balance equal to the Reserve Amount.</w:t>
      </w:r>
    </w:p>
    <w:p>
      <w:pPr>
        <w:spacing w:after="0" w:line="218"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3"/>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Prohibited Changes and Notce of Change</w:t>
      </w:r>
      <w:r>
        <w:rPr>
          <w:rFonts w:ascii="Calibri" w:cs="Calibri" w:eastAsia="Calibri" w:hAnsi="Calibri"/>
          <w:sz w:val="18"/>
          <w:szCs w:val="18"/>
          <w:color w:val="auto"/>
        </w:rPr>
        <w:t>. Company shall (a) not change in the name or form of business organizaton of Party without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approval from Bank, such approval not to be unreasonably held; and (b) provide notce to Bank of any material adverse change in Company’s fnancial conditon or operatons that might materially and adversely afect its ability to perform its obligatons under this Agreement.</w:t>
      </w:r>
    </w:p>
    <w:p>
      <w:pPr>
        <w:spacing w:after="0" w:line="214"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43"/>
        </w:numPr>
        <w:rPr>
          <w:rFonts w:ascii="Calibri" w:cs="Calibri" w:eastAsia="Calibri" w:hAnsi="Calibri"/>
          <w:sz w:val="18"/>
          <w:szCs w:val="18"/>
          <w:u w:val="single" w:color="auto"/>
          <w:color w:val="auto"/>
        </w:rPr>
      </w:pPr>
      <w:r>
        <w:rPr>
          <w:rFonts w:ascii="Calibri" w:cs="Calibri" w:eastAsia="Calibri" w:hAnsi="Calibri"/>
          <w:sz w:val="18"/>
          <w:szCs w:val="18"/>
          <w:color w:val="auto"/>
        </w:rPr>
        <w:t>Annual Statements and Audits.</w:t>
      </w:r>
    </w:p>
    <w:p>
      <w:pPr>
        <w:spacing w:after="0" w:line="217" w:lineRule="exact"/>
        <w:rPr>
          <w:rFonts w:ascii="Calibri" w:cs="Calibri" w:eastAsia="Calibri" w:hAnsi="Calibri"/>
          <w:sz w:val="18"/>
          <w:szCs w:val="18"/>
          <w:u w:val="single" w:color="auto"/>
          <w:color w:val="auto"/>
        </w:rPr>
      </w:pPr>
    </w:p>
    <w:p>
      <w:pPr>
        <w:jc w:val="both"/>
        <w:ind w:left="1503" w:hanging="755"/>
        <w:spacing w:after="0" w:line="250" w:lineRule="auto"/>
        <w:tabs>
          <w:tab w:leader="none" w:pos="1503" w:val="left"/>
        </w:tabs>
        <w:numPr>
          <w:ilvl w:val="1"/>
          <w:numId w:val="43"/>
        </w:numPr>
        <w:rPr>
          <w:rFonts w:ascii="Calibri" w:cs="Calibri" w:eastAsia="Calibri" w:hAnsi="Calibri"/>
          <w:sz w:val="17"/>
          <w:szCs w:val="17"/>
          <w:color w:val="auto"/>
        </w:rPr>
      </w:pPr>
      <w:r>
        <w:rPr>
          <w:rFonts w:ascii="Calibri" w:cs="Calibri" w:eastAsia="Calibri" w:hAnsi="Calibri"/>
          <w:sz w:val="17"/>
          <w:szCs w:val="17"/>
          <w:color w:val="auto"/>
        </w:rPr>
        <w:t>During the Term of this Agreement, Company will provide Bank with unaudited quarterly fnancial statements within forty-fve (45) days following the end of each calendar quarter, which shall include, at a minimum, a balance sheet, income statement and cash fow statement, debt covenant calculatons (if applicable), amount of any guaranteed loans and current loss rates on guaranteed loans (if applicable) in such detail reasonably acceptable to Bank and certfed by Company’s Treasurer or Chief Financial Ofcer, and audited annual fnancial statements within one hundred eighty (180) days afer the end of Company’s fscal year, which shall include, at a minimum, a balance sheet, income statement, and cash fow statement, debt covenant calculatons (if applicable), amount of any guaranteed loans and current loss rates on guaranteed loans (if applicable) and notes to fnancial statements in such detail customary for such fnancial statements and prepared by an independent certfed public accountant in accordance with generally accepted accountng principles consistently applied.</w:t>
      </w:r>
    </w:p>
    <w:p>
      <w:pPr>
        <w:spacing w:after="0" w:line="214" w:lineRule="exact"/>
        <w:rPr>
          <w:rFonts w:ascii="Calibri" w:cs="Calibri" w:eastAsia="Calibri" w:hAnsi="Calibri"/>
          <w:sz w:val="17"/>
          <w:szCs w:val="17"/>
          <w:color w:val="auto"/>
        </w:rPr>
      </w:pPr>
    </w:p>
    <w:p>
      <w:pPr>
        <w:jc w:val="both"/>
        <w:ind w:left="1503" w:hanging="755"/>
        <w:spacing w:after="0" w:line="250" w:lineRule="auto"/>
        <w:tabs>
          <w:tab w:leader="none" w:pos="1503" w:val="left"/>
        </w:tabs>
        <w:numPr>
          <w:ilvl w:val="1"/>
          <w:numId w:val="43"/>
        </w:numPr>
        <w:rPr>
          <w:rFonts w:ascii="Calibri" w:cs="Calibri" w:eastAsia="Calibri" w:hAnsi="Calibri"/>
          <w:sz w:val="17"/>
          <w:szCs w:val="17"/>
          <w:color w:val="auto"/>
        </w:rPr>
      </w:pPr>
      <w:r>
        <w:rPr>
          <w:rFonts w:ascii="Calibri" w:cs="Calibri" w:eastAsia="Calibri" w:hAnsi="Calibri"/>
          <w:sz w:val="17"/>
          <w:szCs w:val="17"/>
          <w:color w:val="auto"/>
        </w:rPr>
        <w:t>At least annually, Company will have a certfed independent public accountng frm or another independent third party reasonably acceptable to Bank: (i)(a) conduct a review or assessment and provide a full atestaton, review or report under SSAE 16 (Statement on Standards for Atestaton Engagements No. 16) SOC (Service Organizaton Control) 1 Type II or SOC 2 Type II; (b) a replacement for one of the foregoing approved by Bank; or (c) other third party reviews and reports reasonably acceptable to Bank, in each case, of all key systems and operatonal controls used in connecton with any Confdental Informaton or Depositor Informaton; and (ii) conduct and provide a full report of an independent network and applicaton penetraton test. Each of these atestatons, reviews, reports and tests will be for a scope approved by Bank in its reasonable discreton. Company will provide all fndings from these atestatons, reviews and tests to Bank upon receipt from the third party. Company will (x) implement all material recommendatons set forth in such atestatons, reviews, reports and any other reasonable recommendatons made by Bank arising out of Bank’s analysis of such reviews and (y) upon Bank’s request, provide Bank with the status of the implementaton. If Company fails to conduct the required reviews and assessments and provide the required reports set forth in clauses (i) and (ii) above, as determined by Bank, Bank may perform its own reviews and assessments, and Company will promptly reimburse Company for all reasonable costs associated with its eforts.</w:t>
      </w:r>
    </w:p>
    <w:p>
      <w:pPr>
        <w:spacing w:after="0" w:line="209"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73" w:name="page74"/>
    <w:bookmarkEnd w:id="73"/>
    <w:p>
      <w:pPr>
        <w:jc w:val="both"/>
        <w:ind w:left="1492" w:hanging="743"/>
        <w:spacing w:after="0" w:line="235" w:lineRule="auto"/>
        <w:tabs>
          <w:tab w:leader="none" w:pos="1492" w:val="left"/>
        </w:tabs>
        <w:numPr>
          <w:ilvl w:val="1"/>
          <w:numId w:val="44"/>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True and Correct Informaton</w:t>
      </w:r>
      <w:r>
        <w:rPr>
          <w:rFonts w:ascii="Calibri" w:cs="Calibri" w:eastAsia="Calibri" w:hAnsi="Calibri"/>
          <w:sz w:val="18"/>
          <w:szCs w:val="18"/>
          <w:color w:val="auto"/>
        </w:rPr>
        <w:t>. Company covenants that all informaton furnished by it to Bank for purposes of or in connecton with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shall be, to the best of Company’s knowledge, as of the date provided, true, correct and complete in all material respects and does not omit any material fact necessary to make the informaton so furnished not misleading. Except as disclosed to Bank, there is no fact known to Company (including threatened or pending litgaton) that is reasonably likely to materially and adversely afect the fnancial conditon, business, property, or prospects of Company.</w:t>
      </w:r>
    </w:p>
    <w:p>
      <w:pPr>
        <w:spacing w:after="0" w:line="215"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45"/>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Bank’s Obligatons</w:t>
      </w:r>
      <w:r>
        <w:rPr>
          <w:rFonts w:ascii="Calibri" w:cs="Calibri" w:eastAsia="Calibri" w:hAnsi="Calibri"/>
          <w:sz w:val="18"/>
          <w:szCs w:val="18"/>
          <w:color w:val="auto"/>
        </w:rPr>
        <w:t>. In additon to such other dutes and obligatons as are set forth in this Agreement, the Bank shall:</w:t>
      </w:r>
    </w:p>
    <w:p>
      <w:pPr>
        <w:spacing w:after="0" w:line="217" w:lineRule="exact"/>
        <w:rPr>
          <w:rFonts w:ascii="Calibri" w:cs="Calibri" w:eastAsia="Calibri" w:hAnsi="Calibri"/>
          <w:sz w:val="18"/>
          <w:szCs w:val="18"/>
          <w:b w:val="1"/>
          <w:bCs w:val="1"/>
          <w:u w:val="single" w:color="auto"/>
          <w:color w:val="auto"/>
        </w:rPr>
      </w:pPr>
    </w:p>
    <w:p>
      <w:pPr>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Membership</w:t>
      </w:r>
      <w:r>
        <w:rPr>
          <w:rFonts w:ascii="Calibri" w:cs="Calibri" w:eastAsia="Calibri" w:hAnsi="Calibri"/>
          <w:sz w:val="18"/>
          <w:szCs w:val="18"/>
          <w:color w:val="auto"/>
        </w:rPr>
        <w:t>. At its sole expense, maintain its Membership in good standing and shall tmely pay all fees, dues and assessments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associated with such Membership.</w:t>
      </w:r>
    </w:p>
    <w:p>
      <w:pPr>
        <w:spacing w:after="0" w:line="21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Escheatment</w:t>
      </w:r>
      <w:r>
        <w:rPr>
          <w:rFonts w:ascii="Calibri" w:cs="Calibri" w:eastAsia="Calibri" w:hAnsi="Calibri"/>
          <w:sz w:val="18"/>
          <w:szCs w:val="18"/>
          <w:color w:val="auto"/>
        </w:rPr>
        <w:t>. Bank shall be responsible for the handling of any Deposits that consttute unclaimed, abandoned or similar property under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Applicable based upon the records maintained by Company. Company shall provide such reports and notces that may be reasonably requested by Bank from tme to tme.</w:t>
      </w:r>
    </w:p>
    <w:p>
      <w:pPr>
        <w:spacing w:after="0" w:line="218"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FBO Account</w:t>
      </w:r>
      <w:r>
        <w:rPr>
          <w:rFonts w:ascii="Calibri" w:cs="Calibri" w:eastAsia="Calibri" w:hAnsi="Calibri"/>
          <w:sz w:val="18"/>
          <w:szCs w:val="18"/>
          <w:color w:val="auto"/>
        </w:rPr>
        <w:t>. (i) Establish and maintain the FBO Account in compliance with Applicable Law and in accordance with this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including Schedule A; and (ii) Bank shall provide Company view-only access to the FBO Account to enable Company to provide the Services to Customers under this Agreement.</w:t>
      </w:r>
    </w:p>
    <w:p>
      <w:pPr>
        <w:spacing w:after="0" w:line="218"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Deposit Account Issuance</w:t>
      </w:r>
      <w:r>
        <w:rPr>
          <w:rFonts w:ascii="Calibri" w:cs="Calibri" w:eastAsia="Calibri" w:hAnsi="Calibri"/>
          <w:sz w:val="18"/>
          <w:szCs w:val="18"/>
          <w:color w:val="auto"/>
        </w:rPr>
        <w:t>. Issue and maintain a Deposit Account to each Customer in compliance with Applicable Law and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accordance with the Deposit Account Agreement and this Agreement, including Schedule A.</w:t>
      </w:r>
    </w:p>
    <w:p>
      <w:pPr>
        <w:spacing w:after="0" w:line="217"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FDIC Insurance</w:t>
      </w:r>
      <w:r>
        <w:rPr>
          <w:rFonts w:ascii="Calibri" w:cs="Calibri" w:eastAsia="Calibri" w:hAnsi="Calibri"/>
          <w:sz w:val="18"/>
          <w:szCs w:val="18"/>
          <w:color w:val="auto"/>
        </w:rPr>
        <w:t>. Issue and maintain the Deposits in Deposit Accounts in order to ensure the Deposits are insured by the FDIC up to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standard maximum deposit insurance amount per Customer, per FDIC-insured bank and per ownership category.</w:t>
      </w:r>
    </w:p>
    <w:p>
      <w:pPr>
        <w:spacing w:after="0" w:line="217"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Originaton Services, Generally</w:t>
      </w:r>
      <w:r>
        <w:rPr>
          <w:rFonts w:ascii="Calibri" w:cs="Calibri" w:eastAsia="Calibri" w:hAnsi="Calibri"/>
          <w:sz w:val="18"/>
          <w:szCs w:val="18"/>
          <w:color w:val="auto"/>
        </w:rPr>
        <w:t>. Provide Company with Originaton Services for Customer transacton services as more fully described in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Secton 10 (Originaton Services);</w:t>
      </w:r>
    </w:p>
    <w:p>
      <w:pPr>
        <w:spacing w:after="0" w:line="212"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Reserved</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Bank Oversight</w:t>
      </w:r>
      <w:r>
        <w:rPr>
          <w:rFonts w:ascii="Calibri" w:cs="Calibri" w:eastAsia="Calibri" w:hAnsi="Calibri"/>
          <w:sz w:val="18"/>
          <w:szCs w:val="18"/>
          <w:color w:val="auto"/>
        </w:rPr>
        <w:t>. Have, at all tmes, the right to control, oversee and audit (as set forth in this Agreement) Company’s use of the Services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to ensure that Company’s performance of the Services complies with Applicable Law and Bank’s policies.</w:t>
      </w:r>
    </w:p>
    <w:p>
      <w:pPr>
        <w:spacing w:after="0" w:line="217"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Bank Compliance With Law and Policies</w:t>
      </w:r>
      <w:r>
        <w:rPr>
          <w:rFonts w:ascii="Calibri" w:cs="Calibri" w:eastAsia="Calibri" w:hAnsi="Calibri"/>
          <w:sz w:val="18"/>
          <w:szCs w:val="18"/>
          <w:color w:val="auto"/>
        </w:rPr>
        <w:t>. Comply, at all tmes, in performing its dutes and obligatons under this Agreement, with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Applicable Law and Bank’s policies.</w:t>
      </w:r>
    </w:p>
    <w:p>
      <w:pPr>
        <w:spacing w:after="0" w:line="21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Notces of Changes</w:t>
      </w:r>
      <w:r>
        <w:rPr>
          <w:rFonts w:ascii="Calibri" w:cs="Calibri" w:eastAsia="Calibri" w:hAnsi="Calibri"/>
          <w:sz w:val="18"/>
          <w:szCs w:val="18"/>
          <w:color w:val="auto"/>
        </w:rPr>
        <w:t>. Unless such notce is prohibited by Applicable Law or the actons or requirements of a Regulatory Authority, Bank</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shall notfy Company as far as reasonably possible in advance of: (a) any change in the name or form of business organizaton of Bank or change in the locaton of its chief executve ofce; or (b) any material adverse change in Bank’s fnancial conditon or operatons that might materially and adversely afect Bank’s ability to perform its obligatons under this Agreement.</w:t>
      </w:r>
    </w:p>
    <w:p>
      <w:pPr>
        <w:spacing w:after="0" w:line="219"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Notce of Proceedings</w:t>
      </w:r>
      <w:r>
        <w:rPr>
          <w:rFonts w:ascii="Calibri" w:cs="Calibri" w:eastAsia="Calibri" w:hAnsi="Calibri"/>
          <w:sz w:val="18"/>
          <w:szCs w:val="18"/>
          <w:color w:val="auto"/>
        </w:rPr>
        <w:t>. Unless such notce is prohibited by Applicable Law or the actons or requirements of a Regulatory Authority,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Bank shall promptly notfy Company of any acton, suit, litgaton, proceeding, facts and circumstances, and of all tax defciencies and other proceedings before governmental bodies or ofcials (i) afectng the Program or this Agreement, (ii) that might give rise to any indemnifcaton obligaton pursuant to this Agreement or (iii) that might materially and adversely afect Bank’s ability to perform its obligatons under this Agreement.</w:t>
      </w:r>
    </w:p>
    <w:p>
      <w:pPr>
        <w:spacing w:after="0" w:line="220"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Bank’s Business</w:t>
      </w:r>
      <w:r>
        <w:rPr>
          <w:rFonts w:ascii="Calibri" w:cs="Calibri" w:eastAsia="Calibri" w:hAnsi="Calibri"/>
          <w:sz w:val="18"/>
          <w:szCs w:val="18"/>
          <w:color w:val="auto"/>
        </w:rPr>
        <w:t>. Bank shall do or cause to be done all things necessary to preserve and keep in full force and efect its corporate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existence and to comply with all requirements of this Agreement. Bank shall use reasonable eforts to remain a well-capitalized insttuton, as defned under the prompt correctve actons provisions of the Federal Deposit Insurance Act, 12 U.S.C. § 1831o and 12 C.F.R. Part 6.</w:t>
      </w:r>
    </w:p>
    <w:p>
      <w:pPr>
        <w:spacing w:after="0" w:line="219"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True and Correct Informaton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Bank covenants that all informaton furnished by Bank to Company for purposes of or in connecton with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this Agreement shall be, to the best of Bank’s knowledge, as of the date provided, true and correct in all material respects and does not omit any material fact necessary to make the informaton so furnished not misleading. Except as disclosed to Company, there is no fact known to Bank (including threatened or pending</w:t>
      </w:r>
    </w:p>
    <w:p>
      <w:pPr>
        <w:spacing w:after="0" w:line="215"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74" w:name="page75"/>
    <w:bookmarkEnd w:id="74"/>
    <w:p>
      <w:pPr>
        <w:ind w:left="1492"/>
        <w:spacing w:after="0"/>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litgaton) that is reasonably likely to materially and adversely afect the fnancial conditon, business, property, or prospects of Bank.</w:t>
      </w:r>
    </w:p>
    <w:p>
      <w:pPr>
        <w:spacing w:after="0" w:line="212" w:lineRule="exact"/>
        <w:rPr>
          <w:sz w:val="20"/>
          <w:szCs w:val="20"/>
          <w:color w:val="auto"/>
        </w:rPr>
      </w:pPr>
    </w:p>
    <w:p>
      <w:pPr>
        <w:ind w:left="752" w:hanging="752"/>
        <w:spacing w:after="0"/>
        <w:tabs>
          <w:tab w:leader="none" w:pos="752" w:val="left"/>
        </w:tabs>
        <w:numPr>
          <w:ilvl w:val="0"/>
          <w:numId w:val="46"/>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Originaton Services</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4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Transmital of Entries by Company</w:t>
      </w:r>
      <w:r>
        <w:rPr>
          <w:rFonts w:ascii="Calibri" w:cs="Calibri" w:eastAsia="Calibri" w:hAnsi="Calibri"/>
          <w:sz w:val="18"/>
          <w:szCs w:val="18"/>
          <w:color w:val="auto"/>
        </w:rPr>
        <w:t>. Company shall (i) submit Entries to Bank in compliance with the NACHA Rules; (ii) not submit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Bank on any day Entries in a total dollar amount that exceeds the Exposure Setlement Limits (if any); and (iii) prior to such Entry submission, ensure all debit or credit authorizatons have been provided as required by the NACHA Rules and Applicable Laws and are otherwise formated and comply with any other requirements set out in the NACHA Rules. Subject to Bank’s prior approval, Company may contract with third partes for services, but shall nevertheless retain all liabilites of an Originator or Receiver as set forth in the NACHA Rules.</w:t>
      </w:r>
    </w:p>
    <w:p>
      <w:pPr>
        <w:spacing w:after="0" w:line="221"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Processing, Transmital and Setlement by Bank</w:t>
      </w:r>
      <w:r>
        <w:rPr>
          <w:rFonts w:ascii="Calibri" w:cs="Calibri" w:eastAsia="Calibri" w:hAnsi="Calibri"/>
          <w:sz w:val="18"/>
          <w:szCs w:val="18"/>
          <w:color w:val="auto"/>
        </w:rPr>
        <w:t>. Except as provided in Secton 10(c) (On-Us Entries) and Secton 10(d) (Rejecton of</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Entries), Bank shall (i) process Entries received from Company to conform with the fle specifcatons set forth in the NACHA Rules, (ii) transmit such Entries as an ODFI to the ACH Operator, and (iii) setle for such Entries as provided in the NACHA Rules. For purposes of this Agreement, Entries shall be deemed received by Bank, in the case of transmital by tape, when received by Bank, and in the case of electronic transmission, when the transmission (and compliance with any related security procedures provided for herein) is completed. If such requirements are not met, Bank shall use reasonable eforts to transmit such Entries to the ACH Operator by the next deadline of the ACH Operator.</w:t>
      </w:r>
    </w:p>
    <w:p>
      <w:pPr>
        <w:spacing w:after="0" w:line="221"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On-Us Entries</w:t>
      </w:r>
      <w:r>
        <w:rPr>
          <w:rFonts w:ascii="Calibri" w:cs="Calibri" w:eastAsia="Calibri" w:hAnsi="Calibri"/>
          <w:sz w:val="18"/>
          <w:szCs w:val="18"/>
          <w:color w:val="auto"/>
        </w:rPr>
        <w:t>. Except as provided in Secton 10(d) (Rejecton of Entries), in the case of an Entry received for credit to an account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maintained with Bank (“</w:t>
      </w:r>
      <w:r>
        <w:rPr>
          <w:rFonts w:ascii="Calibri" w:cs="Calibri" w:eastAsia="Calibri" w:hAnsi="Calibri"/>
          <w:sz w:val="18"/>
          <w:szCs w:val="18"/>
          <w:u w:val="single" w:color="auto"/>
          <w:color w:val="auto"/>
        </w:rPr>
        <w:t>On-Us Entry</w:t>
      </w:r>
      <w:r>
        <w:rPr>
          <w:rFonts w:ascii="Calibri" w:cs="Calibri" w:eastAsia="Calibri" w:hAnsi="Calibri"/>
          <w:sz w:val="18"/>
          <w:szCs w:val="18"/>
          <w:color w:val="auto"/>
        </w:rPr>
        <w:t>”), Bank shall credit the Receiver’s account in the amount of such Entry on the Efectve Entry Date contained in such Entry, provided the requirements set forth in clauses (i) and (ii) of Secton 10(a) are met. If either of those requirements is not met, Bank shall use reasonable eforts to credit the Receiver’s account in the amount of such Entry no later than the next Business Day following such Efectve Entry Date.</w:t>
      </w:r>
    </w:p>
    <w:p>
      <w:pPr>
        <w:spacing w:after="0" w:line="220"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Rejecton of Entries</w:t>
      </w:r>
      <w:r>
        <w:rPr>
          <w:rFonts w:ascii="Calibri" w:cs="Calibri" w:eastAsia="Calibri" w:hAnsi="Calibri"/>
          <w:sz w:val="18"/>
          <w:szCs w:val="18"/>
          <w:color w:val="auto"/>
        </w:rPr>
        <w:t>. Bank may reject any Entry that does not comply with the requirements of Secton 10(a) (Transmital of Entries 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or Secton 11(a) (Company Data Security Obligatons) or that contains an Efectve Entry Date more than two (2) Business Days afer the Business Day such Entry is received by Bank. Bank may reject an On-Us Entry for any reason for which an Entry may be returned under the NACHA Rules. Bank may reject any Entry if Company does not adhere to its Security Program. Bank shall notfy Company by email or electronic transmission of such rejecton no later than the Business Day such Entry would otherwise have been transmited by Bank to the ACH Operator or, in the case of an On-Us Entry, its Efectve Entry Date. Notces of rejecton shall be efectve when given. Bank shall have no liability to Company by reason of the rejecton of any such Entry or the fact that such notces are not given at an earlier tme than that provided for herein. In the event that any Entries are rejected by the ACH Operator for any reason, it shall be the responsibility of Company to remake such Entries. Should the File be rejected due to an error caused by Bank, Bank shall be responsible for remaking the File. In such a case, Company will supply sufcient informaton to allow Bank to recreate the Entries for up to fve (5) Business Days afer midnight of the Setlement Date.</w:t>
      </w:r>
    </w:p>
    <w:p>
      <w:pPr>
        <w:spacing w:after="0" w:line="225"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4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Cancellaton or Amendment by Company</w:t>
      </w:r>
      <w:r>
        <w:rPr>
          <w:rFonts w:ascii="Calibri" w:cs="Calibri" w:eastAsia="Calibri" w:hAnsi="Calibri"/>
          <w:sz w:val="18"/>
          <w:szCs w:val="18"/>
          <w:color w:val="auto"/>
        </w:rPr>
        <w:t>. Company shall have no right to cancel or amend any Entry afer its receipt by Bank.</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However, Company can make amendments or cancel an ACH batch Entry if the Entry is stll “pending” in Bank’s internet banking service. If a Company request for cancellaton or amendment complies with the procedures for canceling or amending Entry Data, Bank shall use reasonable eforts to act upon such a request by Company prior to transmitng the Entry to the ACH Operator or, in the case of an On-Us Entry, prior to creditng or debitng a Receiver’s account, but shall have no liability if such cancellaton or amendment is not afected. Company shall reimburse Bank for any expenses, losses or damages Bank may incur in efectng or atemptng to afect Company’s request for the cancellaton or amendment of an Entry.</w:t>
      </w:r>
    </w:p>
    <w:p>
      <w:pPr>
        <w:spacing w:after="0" w:line="221" w:lineRule="exact"/>
        <w:rPr>
          <w:rFonts w:ascii="Calibri" w:cs="Calibri" w:eastAsia="Calibri" w:hAnsi="Calibri"/>
          <w:sz w:val="18"/>
          <w:szCs w:val="18"/>
          <w:u w:val="single" w:color="auto"/>
          <w:color w:val="auto"/>
        </w:rPr>
      </w:pPr>
    </w:p>
    <w:p>
      <w:pPr>
        <w:jc w:val="both"/>
        <w:ind w:left="1492" w:hanging="743"/>
        <w:spacing w:after="0" w:line="251" w:lineRule="auto"/>
        <w:tabs>
          <w:tab w:leader="none" w:pos="1492" w:val="left"/>
        </w:tabs>
        <w:numPr>
          <w:ilvl w:val="1"/>
          <w:numId w:val="46"/>
        </w:numPr>
        <w:rPr>
          <w:rFonts w:ascii="Calibri" w:cs="Calibri" w:eastAsia="Calibri" w:hAnsi="Calibri"/>
          <w:sz w:val="17"/>
          <w:szCs w:val="17"/>
          <w:u w:val="single" w:color="auto"/>
          <w:color w:val="auto"/>
        </w:rPr>
      </w:pPr>
      <w:r>
        <w:rPr>
          <w:rFonts w:ascii="Calibri" w:cs="Calibri" w:eastAsia="Calibri" w:hAnsi="Calibri"/>
          <w:sz w:val="17"/>
          <w:szCs w:val="17"/>
          <w:b w:val="1"/>
          <w:bCs w:val="1"/>
          <w:u w:val="single" w:color="auto"/>
          <w:color w:val="auto"/>
        </w:rPr>
        <w:t>Error Detecton</w:t>
      </w:r>
      <w:r>
        <w:rPr>
          <w:rFonts w:ascii="Calibri" w:cs="Calibri" w:eastAsia="Calibri" w:hAnsi="Calibri"/>
          <w:sz w:val="17"/>
          <w:szCs w:val="17"/>
          <w:color w:val="auto"/>
        </w:rPr>
        <w:t>. Bank has no obligaton to discover and shall not be liable to Company for errors made by Company, including errors</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made by Company in identfying the Receiver, or an Intermediary or RDFI, or for errors made by Company in the amount of an Entry or for errors in Setlement Dates. Bank shall likewise have no duty to discover and shall not be liable for duplicate Entries issued by Company. Notwithstanding the foregoing, if Company discovers that any Entry it has initated was in error, it shall notfy Bank of such error. In the event that Company makes an error or issues a duplicate Entry, Company shall reimburse Bank for any loss, damages or expenses, incurred by Bank as result of the error or issuance of duplicate Entries. Bank and Company shall cooperate to resolve, using commercially reasonable eforts, any errors or issues related to Entries within one (1) business day or as soon as reasonably practcable.</w:t>
      </w:r>
    </w:p>
    <w:p>
      <w:pPr>
        <w:spacing w:after="0" w:line="204"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8" w:right="339" w:bottom="1440" w:gutter="0" w:footer="0" w:header="0"/>
        </w:sectPr>
      </w:pPr>
    </w:p>
    <w:bookmarkStart w:id="75" w:name="page76"/>
    <w:bookmarkEnd w:id="75"/>
    <w:p>
      <w:pPr>
        <w:jc w:val="both"/>
        <w:ind w:left="743" w:hanging="743"/>
        <w:spacing w:after="0" w:line="235" w:lineRule="auto"/>
        <w:tabs>
          <w:tab w:leader="none" w:pos="743" w:val="left"/>
        </w:tabs>
        <w:numPr>
          <w:ilvl w:val="0"/>
          <w:numId w:val="4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5800" cy="3771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Prohibited Transactons</w:t>
      </w:r>
      <w:r>
        <w:rPr>
          <w:rFonts w:ascii="Calibri" w:cs="Calibri" w:eastAsia="Calibri" w:hAnsi="Calibri"/>
          <w:sz w:val="18"/>
          <w:szCs w:val="18"/>
          <w:color w:val="auto"/>
        </w:rPr>
        <w:t>. Company shall not use or atempt to use the Services (i) to engage in any illegal purpose or actvity or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violate any Applicable Law, rule or regulaton; (ii) to breach any contract or agreement by which Company is bound; (iii) to engage in any internet or online gambling transacton, whether or not gambling is legal in any applicable jurisdicton; or (iv) to engage in any transacton or actvity that is not specifcally authorized and permited by this Agreement. Bank may decline to execute any transacton or actvity that Bank believes violates the terms of this Agreement.</w:t>
      </w:r>
    </w:p>
    <w:p>
      <w:pPr>
        <w:spacing w:after="0" w:line="220" w:lineRule="exact"/>
        <w:rPr>
          <w:rFonts w:ascii="Calibri" w:cs="Calibri" w:eastAsia="Calibri" w:hAnsi="Calibri"/>
          <w:sz w:val="18"/>
          <w:szCs w:val="18"/>
          <w:u w:val="single" w:color="auto"/>
          <w:color w:val="auto"/>
        </w:rPr>
      </w:pPr>
    </w:p>
    <w:p>
      <w:pPr>
        <w:jc w:val="both"/>
        <w:ind w:left="743" w:hanging="743"/>
        <w:spacing w:after="0" w:line="251" w:lineRule="auto"/>
        <w:tabs>
          <w:tab w:leader="none" w:pos="743" w:val="left"/>
        </w:tabs>
        <w:numPr>
          <w:ilvl w:val="0"/>
          <w:numId w:val="47"/>
        </w:numPr>
        <w:rPr>
          <w:rFonts w:ascii="Calibri" w:cs="Calibri" w:eastAsia="Calibri" w:hAnsi="Calibri"/>
          <w:sz w:val="17"/>
          <w:szCs w:val="17"/>
          <w:u w:val="single" w:color="auto"/>
          <w:color w:val="auto"/>
        </w:rPr>
      </w:pPr>
      <w:r>
        <w:rPr>
          <w:rFonts w:ascii="Calibri" w:cs="Calibri" w:eastAsia="Calibri" w:hAnsi="Calibri"/>
          <w:sz w:val="17"/>
          <w:szCs w:val="17"/>
          <w:b w:val="1"/>
          <w:bCs w:val="1"/>
          <w:u w:val="single" w:color="auto"/>
          <w:color w:val="auto"/>
        </w:rPr>
        <w:t>Notce of Returned Entries</w:t>
      </w:r>
      <w:r>
        <w:rPr>
          <w:rFonts w:ascii="Calibri" w:cs="Calibri" w:eastAsia="Calibri" w:hAnsi="Calibri"/>
          <w:sz w:val="17"/>
          <w:szCs w:val="17"/>
          <w:color w:val="auto"/>
        </w:rPr>
        <w:t>. Bank shall notfy Company by email or online notfcaton of the receipt of a returned or changed Entry from</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ACH Operator no later than one (1) Business Day afer the Business Day of such receipt. Except for an Entry retransmited by Company in accordance with the requirements of Secton 10(a) (Transmital of Entries by Company), Bank shall have no obligaton to retransmit a returned Entry to the ACH Operator if Bank complied with the terms of this Agreement with respect to the original Entry. Upon receipt of a return of Debit Entry with a return reason code of RO7 (authorizaton revoked) or R10 (customer advises unauthorized), Company will cease transmission of said transactons untl a new authorizaton has been signed by the consumer (RO7-authorizaton revoked) or untl correctons have been made or an authorizaton has been obtained (R10-customer advises unauthorized).</w:t>
      </w:r>
    </w:p>
    <w:p>
      <w:pPr>
        <w:spacing w:after="0" w:line="208" w:lineRule="exact"/>
        <w:rPr>
          <w:rFonts w:ascii="Calibri" w:cs="Calibri" w:eastAsia="Calibri" w:hAnsi="Calibri"/>
          <w:sz w:val="17"/>
          <w:szCs w:val="17"/>
          <w:u w:val="single" w:color="auto"/>
          <w:color w:val="auto"/>
        </w:rPr>
      </w:pPr>
    </w:p>
    <w:p>
      <w:pPr>
        <w:jc w:val="both"/>
        <w:ind w:left="743" w:hanging="743"/>
        <w:spacing w:after="0" w:line="235" w:lineRule="auto"/>
        <w:tabs>
          <w:tab w:leader="none" w:pos="743" w:val="left"/>
        </w:tabs>
        <w:numPr>
          <w:ilvl w:val="0"/>
          <w:numId w:val="4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Inconsistency of Name and Account Number</w:t>
      </w:r>
      <w:r>
        <w:rPr>
          <w:rFonts w:ascii="Calibri" w:cs="Calibri" w:eastAsia="Calibri" w:hAnsi="Calibri"/>
          <w:sz w:val="18"/>
          <w:szCs w:val="18"/>
          <w:color w:val="auto"/>
        </w:rPr>
        <w:t>. The Company acknowledges and agrees that, if an Entry describes the Receiver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inconsistently by name and account number, payment of the Entry transmited by Bank to the RDFI may be made by the RDFI (or by Bank in the case of an On-Us Entry) on the basis of the account number supplied by the Company, even if it identfes a person diferent from the named Receiver, and that the Company’s obligaton to pay the amount of the Entry to Bank is not excused in such circumstances. Company is liable for and must setle with Bank for any Entry initated by Company that identfes the Receiver by account or identfying number or by name and account or identfying number.</w:t>
      </w:r>
    </w:p>
    <w:p>
      <w:pPr>
        <w:spacing w:after="0" w:line="221"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Payment for Credit Entries and Returned Debit Entries</w:t>
      </w:r>
      <w:r>
        <w:rPr>
          <w:rFonts w:ascii="Calibri" w:cs="Calibri" w:eastAsia="Calibri" w:hAnsi="Calibri"/>
          <w:sz w:val="18"/>
          <w:szCs w:val="18"/>
          <w:color w:val="auto"/>
        </w:rPr>
        <w:t>. Notwithstanding anything to the contrary, Company agrees to pay Bank for all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credit Entries issued by Company, Customer(s), or credit Entries otherwise made efectve against Company. Company shall make payment at such tme on the date of transmital by Bank of such credit Entries as Bank, in its discreton, may determine (“Payment Date”), and the amount of each On-Us Entry at such tme on the Efectve Entry Date of such credit Entry as Bank, in its discreton, may determine. Company shall pay Bank for the amount of each debit Entry returned by an RDFI or debit Entry dishonored by Bank. Payment shall be made by Company to Bank in any manner specifed by Bank. Notwithstanding the foregoing, Bank is hereby authorized to charge the account(s) held by Bank for Company or any other Company designated account as payment for credit Entries issued by Company or returned or dishonored debit Entries. In the event that the such accounts does not have sufcient available funds on the Payment Date, Bank is hereby authorized to charge any account maintained by Company with Bank as payment for credit Entries issued by Company or returned or dishonored debit Entries. Company shall maintain sufcient collected funds in Company’s account(s) to setle for the credit Entries on the Payment Date. In the event that no Company account has collected funds sufcient on the Payment Date to cover the total amount of all Entries to be paid on such Payment Date, Bank may take any of the following actons: (i) refuse to process all Entries, in which event Bank shall inform Company that Bank suspended processing of the Entries, whereupon Bank shall have no liability to Company or any third-party as a result thereof, or (ii) process all credit Entries. In the event Bank elects to process credit Entries initated by Company, the total amount of the insufciency advanced by Bank on behalf of Company shall be immediately due and payable by Company to Bank without any further demand from Bank. If Bank elects to pay Company’s account in the overdraf on any one or more occasions, it shall not be considered a waiver of Bank’s rights to refuse to do so at any other tme nor shall it be an agreement by Bank to pay other items in the overdraf.</w:t>
      </w:r>
    </w:p>
    <w:p>
      <w:pPr>
        <w:spacing w:after="0" w:line="231"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Notfcatons of Change</w:t>
      </w:r>
      <w:r>
        <w:rPr>
          <w:rFonts w:ascii="Calibri" w:cs="Calibri" w:eastAsia="Calibri" w:hAnsi="Calibri"/>
          <w:sz w:val="18"/>
          <w:szCs w:val="18"/>
          <w:color w:val="auto"/>
        </w:rPr>
        <w:t>. Bank shall notfy Company of all Notfcaton of Change (“</w:t>
      </w:r>
      <w:r>
        <w:rPr>
          <w:rFonts w:ascii="Calibri" w:cs="Calibri" w:eastAsia="Calibri" w:hAnsi="Calibri"/>
          <w:sz w:val="18"/>
          <w:szCs w:val="18"/>
          <w:u w:val="single" w:color="auto"/>
          <w:color w:val="auto"/>
        </w:rPr>
        <w:t>NOC</w:t>
      </w:r>
      <w:r>
        <w:rPr>
          <w:rFonts w:ascii="Calibri" w:cs="Calibri" w:eastAsia="Calibri" w:hAnsi="Calibri"/>
          <w:sz w:val="18"/>
          <w:szCs w:val="18"/>
          <w:color w:val="auto"/>
        </w:rPr>
        <w:t>”) Entries received by Bank relatng to Entries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transmited by Company by electronic transmission no later than one (1) Business Day afer receipt thereof. It is the responsibility of Company to make the requested changes within six (6) Business Days or prior to the initaton of the next live Entry, whichever is later with the following exceptons: (a) the Originator may choose, at its discreton, to make the changes specifed in any NOC or corrected NOC relatng to ARC, BOC, POP, RCK, XCK and single Entry TEL or WEB, (b) in the case of CIE and credit WEB Entries, the ODFI or Third-Party Service Provider is responsible for making the changes and (c) for an NOC in response to a Prenotfcaton Entry, the Originator must make the changes prior to originatng a subsequent Entry if the ODFI receives the NOC by opening of business on the second Business Day following the setlement date of the Prenotfcaton Entry.</w:t>
      </w:r>
    </w:p>
    <w:p>
      <w:pPr>
        <w:spacing w:after="0" w:line="222"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Electronic Debit Entries</w:t>
      </w:r>
      <w:r>
        <w:rPr>
          <w:rFonts w:ascii="Calibri" w:cs="Calibri" w:eastAsia="Calibri" w:hAnsi="Calibri"/>
          <w:sz w:val="18"/>
          <w:szCs w:val="18"/>
          <w:color w:val="auto"/>
        </w:rPr>
        <w:t>. Provisions may be made for holding accounts to be maintained for postng of any return Debit Items received,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as stated elsewhere within this Agreement and the NACHA Rules. Company will promptly provide immediately available funds to indemnify Bank if any Debit Items are rejected afer Bank has permited</w:t>
      </w:r>
    </w:p>
    <w:p>
      <w:pPr>
        <w:spacing w:after="0" w:line="214"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76" w:name="page77"/>
    <w:bookmarkEnd w:id="76"/>
    <w:p>
      <w:pPr>
        <w:ind w:left="743"/>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Company to withdraw immediately available funds, should funds not be available in the Program Manager Reserve Account to cover the amount of the rejected or returned Entries.</w:t>
      </w:r>
    </w:p>
    <w:p>
      <w:pPr>
        <w:spacing w:after="0" w:line="218" w:lineRule="exact"/>
        <w:rPr>
          <w:sz w:val="20"/>
          <w:szCs w:val="20"/>
          <w:color w:val="auto"/>
        </w:rPr>
      </w:pPr>
    </w:p>
    <w:p>
      <w:pPr>
        <w:jc w:val="both"/>
        <w:ind w:left="743" w:hanging="743"/>
        <w:spacing w:after="0" w:line="235" w:lineRule="auto"/>
        <w:tabs>
          <w:tab w:leader="none" w:pos="743" w:val="left"/>
        </w:tabs>
        <w:numPr>
          <w:ilvl w:val="0"/>
          <w:numId w:val="48"/>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ACH Audits</w:t>
      </w:r>
      <w:r>
        <w:rPr>
          <w:rFonts w:ascii="Calibri" w:cs="Calibri" w:eastAsia="Calibri" w:hAnsi="Calibri"/>
          <w:sz w:val="18"/>
          <w:szCs w:val="18"/>
          <w:color w:val="auto"/>
        </w:rPr>
        <w:t>. At least once per year, Company shall provide Bank with an ACH audit performed by a qualifed third party in accordance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with NACHA Rules. Bank shall treat such audit reports as Company’s Confdental Informaton under this Agreement. Any exceptons noted on the ACH audit reports will be promptly addressed with the development and implementaton of a correctve acton plan by Company’s management. The Company shall retain data on fle adequate to permit remaking of Entries for 365 days following the date of their transmital by Bank as provided here and shall provide such data to Bank upon its request.</w:t>
      </w:r>
    </w:p>
    <w:p>
      <w:pPr>
        <w:spacing w:after="0" w:line="220"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8"/>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Reserves and Exposure Setlement Limits</w:t>
      </w:r>
      <w:r>
        <w:rPr>
          <w:rFonts w:ascii="Calibri" w:cs="Calibri" w:eastAsia="Calibri" w:hAnsi="Calibri"/>
          <w:sz w:val="18"/>
          <w:szCs w:val="18"/>
          <w:color w:val="auto"/>
        </w:rPr>
        <w:t>. In the event Exposure Setlement Limit may be exceeded on a Business Day, Company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Bank will work diligently to resolve such defciency and update the Exposure Setlement Limit and/or Reserve Amount prior to the batch tme of the Business Day that the Exposure Setlement Limit otherwise would have been met or exceeded.</w:t>
      </w:r>
    </w:p>
    <w:p>
      <w:pPr>
        <w:spacing w:after="0" w:line="218" w:lineRule="exact"/>
        <w:rPr>
          <w:rFonts w:ascii="Calibri" w:cs="Calibri" w:eastAsia="Calibri" w:hAnsi="Calibri"/>
          <w:sz w:val="18"/>
          <w:szCs w:val="18"/>
          <w:u w:val="single" w:color="auto"/>
          <w:color w:val="auto"/>
        </w:rPr>
      </w:pPr>
    </w:p>
    <w:p>
      <w:pPr>
        <w:jc w:val="both"/>
        <w:ind w:left="743" w:hanging="743"/>
        <w:spacing w:after="0" w:line="235" w:lineRule="auto"/>
        <w:tabs>
          <w:tab w:leader="none" w:pos="743" w:val="left"/>
        </w:tabs>
        <w:numPr>
          <w:ilvl w:val="0"/>
          <w:numId w:val="48"/>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NACHA Rules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acknowledges receipt of a copy or has access to a copy of the NACHA Rules. A copy of the NACHA Rules 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available at www.achrulesonline.org. Company agrees to comply with and be bound by the NACHA Rules. In the event Company violates any of the applicable NACHA Rules and/or NACHA imposes a fne on Bank because of Company’s actons, Bank shall pass on the fne and any associated penaltes to Company. The Bank reserves the right to suspend Company, Originators and Third Party Senders for breach of the NACHA Rules or to terminate this Agreement pursuant to Secton 16 (Term and Terminaton) of this Agreement. The Bank reserves the right to audit the Originator and/or Third Party Senders compliance with this Agreement and with the NACHA Rules. Bank will provide reportng informaton to NACHA regarding Company if Company’s return rate for unauthorized Entries exceeds the Unauthorized Entry Return Rate Threshold, the Administratve Return Rate Level or Overall Return Rate Level as required by the NACHA Rules. NACHA, in its role of ensuring the safety, security, and viability of the ACH network has determined that certain single-use or limited-use consumer authorizatons have the potental to increase risk in the ACH system and compromise system efectveness by increasing the incidence of returned Entries. Therefore, Company hereby warrant to Bank that for each such ACH Entry submited for processing, Company have obtained all authorizatons from the Receiver as required by the Rules, by Regulaton E or other Applicable Law, and this Agreement. Company also makes the additonal warrantes to Bank that Bank makes to each RDFI and ACH Operator under the Rules for the respectve SEC codes for Entries originated by Company. In additon to any other dutes, responsibilites, warrantes, representatons and liabilites under this Agreement, for each and every Entry transmited by Company as a Third Party Sender (as defned by the NACHA Rules) to Bank, Company represents and warrants to Bank and agrees that Company shall: (i) perform all of the dutes, including, but not limited to, the duty to identfy Originators and, upon request of Bank, provide the identty of the Originators to Bank; (ii) assume all of the responsibilites, including, but not limited to, the responsibilites of ODFIs and Originators; (iii) make all of the warrantes, including, but not limited to, the warrantes of ODFIs and the warranty that Originators have agreed to assume the responsibilites of Originators under the NACHA Rules; (iv) make all of the representatons required under NACHA Rules; (v) use a unique company identfer in the ACH transacton for each Originator; (vi) not transact in a business prohibited by Bank; and (vii) assume all of the liabilites, including, but not limited to, liability for indemnifcaton for failure of an Originator to perform its obligatons as an Originator or a Third-Party Sender in accordance with the NACHA Rules.</w:t>
      </w:r>
    </w:p>
    <w:p>
      <w:pPr>
        <w:spacing w:after="0" w:line="230"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48"/>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Security Procedures</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jc w:val="both"/>
        <w:ind w:left="1503" w:hanging="380"/>
        <w:spacing w:after="0" w:line="251" w:lineRule="auto"/>
        <w:tabs>
          <w:tab w:leader="none" w:pos="1503" w:val="left"/>
        </w:tabs>
        <w:numPr>
          <w:ilvl w:val="1"/>
          <w:numId w:val="48"/>
        </w:numPr>
        <w:rPr>
          <w:rFonts w:ascii="Calibri" w:cs="Calibri" w:eastAsia="Calibri" w:hAnsi="Calibri"/>
          <w:sz w:val="17"/>
          <w:szCs w:val="17"/>
          <w:color w:val="auto"/>
        </w:rPr>
      </w:pPr>
      <w:r>
        <w:rPr>
          <w:rFonts w:ascii="Calibri" w:cs="Calibri" w:eastAsia="Calibri" w:hAnsi="Calibri"/>
          <w:sz w:val="17"/>
          <w:szCs w:val="17"/>
          <w:color w:val="auto"/>
        </w:rPr>
        <w:t>The Company and Bank shall comply with the Security Procedures with respect to Entries transmited by the Company to Bank and payment orders submited to Bank. The Company acknowledges that the purpose of such Security Procedures is to verify authentcity and not to detect an error in the transmission or content of an Entry or payment order. No Security Procedures have been agreed upon between Bank and the Company for the detecton of any such error and Company shall be solely responsible for any transmission errors. If Company believes or suspects that any such informaton or instructons have been known or accessed by unauthorized persons, Company agrees to notfy Bank within one (1) Business Days, followed by writen confrmaton. The occurrence of unauthorized access will not afect any transfers made in compliance with the Security Procedures prior to receipt of such notfcaton and within a reasonable tme period to prevent unauthorized transfers.</w:t>
      </w:r>
    </w:p>
    <w:p>
      <w:pPr>
        <w:spacing w:after="0" w:line="207" w:lineRule="exact"/>
        <w:rPr>
          <w:rFonts w:ascii="Calibri" w:cs="Calibri" w:eastAsia="Calibri" w:hAnsi="Calibri"/>
          <w:sz w:val="17"/>
          <w:szCs w:val="17"/>
          <w:color w:val="auto"/>
        </w:rPr>
      </w:pPr>
    </w:p>
    <w:p>
      <w:pPr>
        <w:ind w:left="1503" w:right="20" w:hanging="380"/>
        <w:spacing w:after="0" w:line="235" w:lineRule="auto"/>
        <w:tabs>
          <w:tab w:leader="none" w:pos="1503" w:val="left"/>
        </w:tabs>
        <w:numPr>
          <w:ilvl w:val="1"/>
          <w:numId w:val="48"/>
        </w:numPr>
        <w:rPr>
          <w:rFonts w:ascii="Calibri" w:cs="Calibri" w:eastAsia="Calibri" w:hAnsi="Calibri"/>
          <w:sz w:val="18"/>
          <w:szCs w:val="18"/>
          <w:color w:val="auto"/>
        </w:rPr>
      </w:pPr>
      <w:r>
        <w:rPr>
          <w:rFonts w:ascii="Calibri" w:cs="Calibri" w:eastAsia="Calibri" w:hAnsi="Calibri"/>
          <w:sz w:val="18"/>
          <w:szCs w:val="18"/>
          <w:color w:val="auto"/>
        </w:rPr>
        <w:t>Additonally, Company warrants that no individual will be allowed to initate transfers in the absence of proper supervision and safeguards, and agrees to take reasonable steps to maintain the confdentality of Security Procedures and any passwords, codes, security devices and related instructons provided by Bank in connecton with the Security Procedures. If Company believes or suspects that any such</w:t>
      </w:r>
    </w:p>
    <w:p>
      <w:pPr>
        <w:spacing w:after="0" w:line="215"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464820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77" w:name="page78"/>
    <w:bookmarkEnd w:id="77"/>
    <w:p>
      <w:pPr>
        <w:jc w:val="both"/>
        <w:ind w:left="2252" w:right="80"/>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informaton or instructons are accessed by unauthorized persons, Company will notfy Bank immediately followed by writen confrmaton. The occurrence of unauthorized access will not afect any transfers made in good faith by Bank prior to receipt of notfcaton and within a reasonable tme period to prevent unauthorized transfers.</w:t>
      </w:r>
    </w:p>
    <w:p>
      <w:pPr>
        <w:spacing w:after="0" w:line="219" w:lineRule="exact"/>
        <w:rPr>
          <w:sz w:val="20"/>
          <w:szCs w:val="20"/>
          <w:color w:val="auto"/>
        </w:rPr>
      </w:pPr>
    </w:p>
    <w:p>
      <w:pPr>
        <w:ind w:left="2252" w:right="40" w:hanging="380"/>
        <w:spacing w:after="0" w:line="235" w:lineRule="auto"/>
        <w:tabs>
          <w:tab w:leader="none" w:pos="2252"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If an Entry (or a request for cancellaton or amendment of an Entry) or payment order (or a request for cancellaton or amendment of a payment order) received by Bank purports to have been transmited or authorized by the Company, it will be deemed efectve as the Company’s Entry (or request) or payment order and the Company shall be obligated to pay Bank the amount of such Entry (or request) or payment order or request) even though the Entry (or request) or payment order (or request) was not authorized by the Company, provided Bank acted in compliance with the Security Procedures. If signature comparison is to be used as a part of the Security Procedure, Bank shall be deemed to have complied with that part of such procedure if it compares the signature accompanying a fle of Entries (or request) or payment order (or request) with the signature of an authorized representatve of the Company and, on the basis of such comparison, reasonably believes the signature to be that of such authorized representatve.</w:t>
      </w:r>
    </w:p>
    <w:p>
      <w:pPr>
        <w:spacing w:after="0" w:line="223" w:lineRule="exact"/>
        <w:rPr>
          <w:rFonts w:ascii="Calibri" w:cs="Calibri" w:eastAsia="Calibri" w:hAnsi="Calibri"/>
          <w:sz w:val="18"/>
          <w:szCs w:val="18"/>
          <w:color w:val="auto"/>
        </w:rPr>
      </w:pPr>
    </w:p>
    <w:p>
      <w:pPr>
        <w:ind w:left="2252" w:right="200" w:hanging="380"/>
        <w:spacing w:after="0" w:line="235" w:lineRule="auto"/>
        <w:tabs>
          <w:tab w:leader="none" w:pos="2252"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If an Entry (or request for cancellaton or amendment of an Entry) or payment order (or request for cancellaton or amendment of a payment order) received by Bank was transmited or authorized by the Company, the Company shall be obligated to pay the amount of the Entry or payment order as provided herein, whether or not Bank complied with the Security Procedures and whether or not that Entry or payment order was erroneous in any respect or that error would have been detected if Bank had complied with such Security Procedures.</w:t>
      </w:r>
    </w:p>
    <w:p>
      <w:pPr>
        <w:spacing w:after="0" w:line="220" w:lineRule="exact"/>
        <w:rPr>
          <w:rFonts w:ascii="Calibri" w:cs="Calibri" w:eastAsia="Calibri" w:hAnsi="Calibri"/>
          <w:sz w:val="18"/>
          <w:szCs w:val="18"/>
          <w:color w:val="auto"/>
        </w:rPr>
      </w:pPr>
    </w:p>
    <w:p>
      <w:pPr>
        <w:ind w:left="2252" w:hanging="380"/>
        <w:spacing w:after="0" w:line="235" w:lineRule="auto"/>
        <w:tabs>
          <w:tab w:leader="none" w:pos="2252"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In the event of a breach of the Security Procedure, Company agrees to provide reasonable assistance to Bank in determining the manner and source of the breach. Such assistance shall include, but shall not be limited to, providing Bank or Bank’s agent access to Company’s hard drive, storage media and devices, systems and any other equipment or device that was used in breach of the Security Procedure. Company further agrees to provide to Bank any analysis of such equipment, device, or sofware or any report of such analysis performed by Company, Company’s Agents, law enforcement agencies, or any other third party. Failure of Company to provide assistance to Bank within ffeen (15) business days afer receipt by Company from Bank of a reasonable request for assistance specifying in detail the nature of the assistance required shall be an admission by Company that the breach of the Security Procedure was caused by a person who obtained access to transmitng facilites of Company or who obtained informaton facilitatng the breach of the Security Procedure from Company and not from a source controlled by Bank.</w:t>
      </w:r>
    </w:p>
    <w:p>
      <w:pPr>
        <w:spacing w:after="0" w:line="220" w:lineRule="exact"/>
        <w:rPr>
          <w:sz w:val="20"/>
          <w:szCs w:val="20"/>
          <w:color w:val="auto"/>
        </w:rPr>
      </w:pPr>
    </w:p>
    <w:p>
      <w:pPr>
        <w:ind w:left="752" w:hanging="752"/>
        <w:spacing w:after="0"/>
        <w:tabs>
          <w:tab w:leader="none" w:pos="752" w:val="left"/>
        </w:tabs>
        <w:numPr>
          <w:ilvl w:val="0"/>
          <w:numId w:val="50"/>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Data Security</w:t>
      </w:r>
      <w:r>
        <w:rPr>
          <w:rFonts w:ascii="Calibri" w:cs="Calibri" w:eastAsia="Calibri" w:hAnsi="Calibri"/>
          <w:sz w:val="18"/>
          <w:szCs w:val="18"/>
          <w:color w:val="auto"/>
        </w:rPr>
        <w:t>.</w:t>
      </w:r>
    </w:p>
    <w:p>
      <w:pPr>
        <w:spacing w:after="0" w:line="212" w:lineRule="exact"/>
        <w:rPr>
          <w:rFonts w:ascii="Calibri" w:cs="Calibri" w:eastAsia="Calibri" w:hAnsi="Calibri"/>
          <w:sz w:val="18"/>
          <w:szCs w:val="18"/>
          <w:b w:val="1"/>
          <w:bCs w:val="1"/>
          <w:u w:val="single" w:color="auto"/>
          <w:color w:val="auto"/>
        </w:rPr>
      </w:pPr>
    </w:p>
    <w:p>
      <w:pPr>
        <w:ind w:left="1492" w:hanging="743"/>
        <w:spacing w:after="0"/>
        <w:tabs>
          <w:tab w:leader="none" w:pos="1492" w:val="left"/>
        </w:tabs>
        <w:numPr>
          <w:ilvl w:val="1"/>
          <w:numId w:val="50"/>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Company Data Security Obligatons</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jc w:val="both"/>
        <w:ind w:left="2252" w:hanging="755"/>
        <w:spacing w:after="0" w:line="235" w:lineRule="auto"/>
        <w:tabs>
          <w:tab w:leader="none" w:pos="2252" w:val="left"/>
        </w:tabs>
        <w:numPr>
          <w:ilvl w:val="2"/>
          <w:numId w:val="50"/>
        </w:numPr>
        <w:rPr>
          <w:rFonts w:ascii="Calibri" w:cs="Calibri" w:eastAsia="Calibri" w:hAnsi="Calibri"/>
          <w:sz w:val="18"/>
          <w:szCs w:val="18"/>
          <w:color w:val="auto"/>
        </w:rPr>
      </w:pPr>
      <w:r>
        <w:rPr>
          <w:rFonts w:ascii="Calibri" w:cs="Calibri" w:eastAsia="Calibri" w:hAnsi="Calibri"/>
          <w:sz w:val="18"/>
          <w:szCs w:val="18"/>
          <w:color w:val="auto"/>
        </w:rPr>
        <w:t>Company represents and warrants that its creaton, collecton, receipt, access, use, storage, disposal and disclosure of Depositor Informaton does and will comply with all applicable federal and state privacy and data protecton laws, as well as all other applicable regulatons and directves. At a minimum, pursuant to NACHA Rules, Company must use 128 bit RC4 encrypton technology for the entry and transmission of Entries.</w:t>
      </w:r>
    </w:p>
    <w:p>
      <w:pPr>
        <w:spacing w:after="0" w:line="219" w:lineRule="exact"/>
        <w:rPr>
          <w:rFonts w:ascii="Calibri" w:cs="Calibri" w:eastAsia="Calibri" w:hAnsi="Calibri"/>
          <w:sz w:val="18"/>
          <w:szCs w:val="18"/>
          <w:color w:val="auto"/>
        </w:rPr>
      </w:pPr>
    </w:p>
    <w:p>
      <w:pPr>
        <w:jc w:val="both"/>
        <w:ind w:left="2252" w:hanging="755"/>
        <w:spacing w:after="0" w:line="235" w:lineRule="auto"/>
        <w:tabs>
          <w:tab w:leader="none" w:pos="2252" w:val="left"/>
        </w:tabs>
        <w:numPr>
          <w:ilvl w:val="2"/>
          <w:numId w:val="50"/>
        </w:numPr>
        <w:rPr>
          <w:rFonts w:ascii="Calibri" w:cs="Calibri" w:eastAsia="Calibri" w:hAnsi="Calibri"/>
          <w:sz w:val="18"/>
          <w:szCs w:val="18"/>
          <w:color w:val="auto"/>
        </w:rPr>
      </w:pPr>
      <w:r>
        <w:rPr>
          <w:rFonts w:ascii="Calibri" w:cs="Calibri" w:eastAsia="Calibri" w:hAnsi="Calibri"/>
          <w:sz w:val="18"/>
          <w:szCs w:val="18"/>
          <w:color w:val="auto"/>
        </w:rPr>
        <w:t>Without limitng Company’s obligatons under Secton 11(a)(i), Company shall implement administratve, physical and technical safeguards to ensure Depositor Informaton is protected from unauthorized access, acquisiton, or disclosure, destructon, alteraton, accidental loss, misuse, or damage that are no less rigorous than accepted industry practces, and shall ensure that all such safeguards, including the manner in which Depositor Informaton is created, collected, accessed, received, used, stored, processed, disposed of and disclosed, comply with applicable data protecton and privacy laws, as well as the terms and conditons of this Agreement.</w:t>
      </w:r>
    </w:p>
    <w:p>
      <w:pPr>
        <w:spacing w:after="0" w:line="221" w:lineRule="exact"/>
        <w:rPr>
          <w:rFonts w:ascii="Calibri" w:cs="Calibri" w:eastAsia="Calibri" w:hAnsi="Calibri"/>
          <w:sz w:val="18"/>
          <w:szCs w:val="18"/>
          <w:color w:val="auto"/>
        </w:rPr>
      </w:pPr>
    </w:p>
    <w:p>
      <w:pPr>
        <w:jc w:val="both"/>
        <w:ind w:left="2252" w:hanging="755"/>
        <w:spacing w:after="0" w:line="235" w:lineRule="auto"/>
        <w:tabs>
          <w:tab w:leader="none" w:pos="2252" w:val="left"/>
        </w:tabs>
        <w:numPr>
          <w:ilvl w:val="2"/>
          <w:numId w:val="50"/>
        </w:numPr>
        <w:rPr>
          <w:rFonts w:ascii="Calibri" w:cs="Calibri" w:eastAsia="Calibri" w:hAnsi="Calibri"/>
          <w:sz w:val="18"/>
          <w:szCs w:val="18"/>
          <w:color w:val="auto"/>
        </w:rPr>
      </w:pPr>
      <w:r>
        <w:rPr>
          <w:rFonts w:ascii="Calibri" w:cs="Calibri" w:eastAsia="Calibri" w:hAnsi="Calibri"/>
          <w:sz w:val="18"/>
          <w:szCs w:val="18"/>
          <w:color w:val="auto"/>
        </w:rPr>
        <w:t>At least once per year, Company shall conduct a site audit of the informaton technology and informaton security controls for all facilites used in complying with its obligatons under this Agreement, including obtaining a network-level vulnerability assessment performed by a recognized third-party audit frm based on recognized industry best practces.</w:t>
      </w:r>
    </w:p>
    <w:p>
      <w:pPr>
        <w:spacing w:after="0" w:line="214"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78" w:name="page79"/>
    <w:bookmarkEnd w:id="78"/>
    <w:p>
      <w:pPr>
        <w:jc w:val="both"/>
        <w:ind w:left="743" w:hanging="743"/>
        <w:spacing w:after="0" w:line="235" w:lineRule="auto"/>
        <w:tabs>
          <w:tab w:leader="none" w:pos="743" w:val="left"/>
        </w:tabs>
        <w:numPr>
          <w:ilvl w:val="0"/>
          <w:numId w:val="51"/>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Security Program</w:t>
      </w:r>
      <w:r>
        <w:rPr>
          <w:rFonts w:ascii="Calibri" w:cs="Calibri" w:eastAsia="Calibri" w:hAnsi="Calibri"/>
          <w:sz w:val="18"/>
          <w:szCs w:val="18"/>
          <w:color w:val="auto"/>
        </w:rPr>
        <w:t>. Each Party shall, and shall require its third-party service providers that receive Depositor Informaton, “Nonpublic</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Personal Informaton” or “Personally Identfable Financial Informaton” (as defned in Sectons 1016.3(p) and (q) respectvely of the Consumer Financial Protecton Bureau rules on Privacy of Consumer Informaton published at 12 CFR Chapter X) to establish and maintain a Security Program as long as it stores Depositor Informaton, Nonpublic Personal Informaton or Personally Identfable Financial Informaton. At all tmes during and afer the Term and any Transiton Period, (i) each Party shall use at least the same degree of care in protectng such informaton against unauthorized disclosure as it accords to its other confdental Customer informaton, but in no event less than the industry standard of care for fnancial insttutons and (ii) the Security Program shall comply with all informaton and data security requirements of each Network and Applicable Law. Within 30 days of Bank’s writen request, Company shall provide to Bank a summary of Company’s writen Security Program, and thereafer upon Bank’s request will provide updates on the status of such Security Program. Each Party’s Security Program shall be Confdental Informaton of such Party.</w:t>
      </w:r>
    </w:p>
    <w:p>
      <w:pPr>
        <w:spacing w:after="0" w:line="219"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51"/>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Security Breach Procedures</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jc w:val="both"/>
        <w:ind w:left="1503" w:hanging="755"/>
        <w:spacing w:after="0" w:line="235" w:lineRule="auto"/>
        <w:tabs>
          <w:tab w:leader="none" w:pos="1503"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Each Party shall notfy the other Party of a Security Breach as soon as practcable, but no later than forty eight (48) hours afer the Breached Party becomes aware of any Security Breach. The Party with a Security Breach shall be referred herein as the “</w:t>
      </w:r>
      <w:r>
        <w:rPr>
          <w:rFonts w:ascii="Calibri" w:cs="Calibri" w:eastAsia="Calibri" w:hAnsi="Calibri"/>
          <w:sz w:val="18"/>
          <w:szCs w:val="18"/>
          <w:u w:val="single" w:color="auto"/>
          <w:color w:val="auto"/>
        </w:rPr>
        <w:t>Breached Party</w:t>
      </w:r>
      <w:r>
        <w:rPr>
          <w:rFonts w:ascii="Calibri" w:cs="Calibri" w:eastAsia="Calibri" w:hAnsi="Calibri"/>
          <w:sz w:val="18"/>
          <w:szCs w:val="18"/>
          <w:color w:val="auto"/>
        </w:rPr>
        <w:t>.”</w:t>
      </w:r>
    </w:p>
    <w:p>
      <w:pPr>
        <w:spacing w:after="0" w:line="218"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Immediately following notfcaton under Secton 11(c)(i) above of a Security Breach, the Partes shall coordinate with each other to investgate the Security Breach. The Breached Party agrees to fully cooperate with the other Party in handling the mater, including: (i) assistng with any investgaton; (ii) providing the other Party with physical access to the facilites and operatons afected; (iii) facilitatng interviews with the Breached Party’s employees and others involved in the mater; and (iv) making available all relevant Records, logs, fles, data reportng and other materials required to comply with Applicable Law, regulaton, industry standards or as otherwise reasonably required by the other Party.</w:t>
      </w:r>
    </w:p>
    <w:p>
      <w:pPr>
        <w:spacing w:after="0" w:line="221"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The Breached Party shall at its own expense use best eforts to immediately contain and remedy any Security Breach and prevent any further Security Breach, including taking any and all acton necessary to comply with applicable privacy rights, laws, regulatons and standards. The Breached Party shall reimburse the other Party for all actual reasonable costs incurred by the other Party in responding to, and mitgatng damages caused by, any Security Breach, including all costs of notce and/or remediaton pursuant to Secton 11(c)(iv).</w:t>
      </w:r>
    </w:p>
    <w:p>
      <w:pPr>
        <w:spacing w:after="0" w:line="220" w:lineRule="exact"/>
        <w:rPr>
          <w:rFonts w:ascii="Calibri" w:cs="Calibri" w:eastAsia="Calibri" w:hAnsi="Calibri"/>
          <w:sz w:val="18"/>
          <w:szCs w:val="18"/>
          <w:color w:val="auto"/>
        </w:rPr>
      </w:pPr>
    </w:p>
    <w:p>
      <w:pPr>
        <w:jc w:val="both"/>
        <w:ind w:left="1503" w:hanging="755"/>
        <w:spacing w:after="0" w:line="251" w:lineRule="auto"/>
        <w:tabs>
          <w:tab w:leader="none" w:pos="1503" w:val="left"/>
        </w:tabs>
        <w:numPr>
          <w:ilvl w:val="1"/>
          <w:numId w:val="51"/>
        </w:numPr>
        <w:rPr>
          <w:rFonts w:ascii="Calibri" w:cs="Calibri" w:eastAsia="Calibri" w:hAnsi="Calibri"/>
          <w:sz w:val="17"/>
          <w:szCs w:val="17"/>
          <w:color w:val="auto"/>
        </w:rPr>
      </w:pPr>
      <w:r>
        <w:rPr>
          <w:rFonts w:ascii="Calibri" w:cs="Calibri" w:eastAsia="Calibri" w:hAnsi="Calibri"/>
          <w:sz w:val="17"/>
          <w:szCs w:val="17"/>
          <w:color w:val="auto"/>
        </w:rPr>
        <w:t>Except as otherwise required by Applicable Law, contract, or at the request of any Regulatory Authority, the Breached Party agrees that it shall not inform any third party of any Security Breach without frst obtaining the other Party’s prior consent, other than to inform a complainant that the mater has been forwarded to the other Party’s legal counsel or as may be required by Applicable Law. The Partes will work together promptly and in good faith to determine (i) whether notce of the Security Breach is to be provided to any individuals, regulators, law enforcement agencies, consumer reportng agencies or others as required by law or regulaton, or otherwise in other Party’s discreton; (ii) the contents of such notce, and (iii) whether any type of remediaton may be ofered to afected persons, and the nature and extent of any such remediaton.</w:t>
      </w:r>
    </w:p>
    <w:p>
      <w:pPr>
        <w:spacing w:after="0" w:line="208" w:lineRule="exact"/>
        <w:rPr>
          <w:rFonts w:ascii="Calibri" w:cs="Calibri" w:eastAsia="Calibri" w:hAnsi="Calibri"/>
          <w:sz w:val="17"/>
          <w:szCs w:val="17"/>
          <w:color w:val="auto"/>
        </w:rPr>
      </w:pPr>
    </w:p>
    <w:p>
      <w:pPr>
        <w:ind w:left="1503" w:hanging="755"/>
        <w:spacing w:after="0" w:line="235" w:lineRule="auto"/>
        <w:tabs>
          <w:tab w:leader="none" w:pos="1503"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The Breached Party agrees to maintain and preserve all documents, records and other data related to any Security Breach for the term of this Agreement and two years thereafer or as otherwise required by Applicable Law.</w:t>
      </w:r>
    </w:p>
    <w:p>
      <w:pPr>
        <w:spacing w:after="0" w:line="217" w:lineRule="exact"/>
        <w:rPr>
          <w:rFonts w:ascii="Calibri" w:cs="Calibri" w:eastAsia="Calibri" w:hAnsi="Calibri"/>
          <w:sz w:val="18"/>
          <w:szCs w:val="18"/>
          <w:color w:val="auto"/>
        </w:rPr>
      </w:pPr>
    </w:p>
    <w:p>
      <w:pPr>
        <w:ind w:left="1503" w:right="20" w:hanging="755"/>
        <w:spacing w:after="0" w:line="235" w:lineRule="auto"/>
        <w:tabs>
          <w:tab w:leader="none" w:pos="1503" w:val="left"/>
        </w:tabs>
        <w:numPr>
          <w:ilvl w:val="1"/>
          <w:numId w:val="51"/>
        </w:numPr>
        <w:rPr>
          <w:rFonts w:ascii="Calibri" w:cs="Calibri" w:eastAsia="Calibri" w:hAnsi="Calibri"/>
          <w:sz w:val="18"/>
          <w:szCs w:val="18"/>
          <w:color w:val="auto"/>
        </w:rPr>
      </w:pPr>
      <w:r>
        <w:rPr>
          <w:rFonts w:ascii="Calibri" w:cs="Calibri" w:eastAsia="Calibri" w:hAnsi="Calibri"/>
          <w:sz w:val="18"/>
          <w:szCs w:val="18"/>
          <w:color w:val="auto"/>
        </w:rPr>
        <w:t>In the event of any Security Breach, Breached Party shall promptly use its best eforts to prevent a recurrence of any such Security Breach.</w:t>
      </w:r>
    </w:p>
    <w:p>
      <w:pPr>
        <w:spacing w:after="0" w:line="217" w:lineRule="exact"/>
        <w:rPr>
          <w:rFonts w:ascii="Calibri" w:cs="Calibri" w:eastAsia="Calibri" w:hAnsi="Calibri"/>
          <w:sz w:val="18"/>
          <w:szCs w:val="18"/>
          <w:color w:val="auto"/>
        </w:rPr>
      </w:pPr>
    </w:p>
    <w:p>
      <w:pPr>
        <w:jc w:val="both"/>
        <w:ind w:left="743" w:hanging="743"/>
        <w:spacing w:after="0" w:line="235" w:lineRule="auto"/>
        <w:tabs>
          <w:tab w:leader="none" w:pos="743" w:val="left"/>
        </w:tabs>
        <w:numPr>
          <w:ilvl w:val="0"/>
          <w:numId w:val="51"/>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Equitable Relief</w:t>
      </w:r>
      <w:r>
        <w:rPr>
          <w:rFonts w:ascii="Calibri" w:cs="Calibri" w:eastAsia="Calibri" w:hAnsi="Calibri"/>
          <w:sz w:val="18"/>
          <w:szCs w:val="18"/>
          <w:color w:val="auto"/>
        </w:rPr>
        <w:t>. Breached Party acknowledges that any breach of its covenants or obligatons set forth in this Secton 11 may cause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other Party irreparable harm for which monetary damages would not be adequate compensaton and agrees that, in the event of such breach or threatened breach, the other Party is enttled to seek equitable relief, including a restraining order, injunctve relief, specifc performance, and any other relief that may be available from any court, in additon to any other remedy to which the other Party may be enttled at law or in equity. Such remedies shall not be deemed to be exclusive but shall be in additon to all other remedies available at law or in equity, subject to any express exclusions or limitatons in this Agreement to the contrary.</w:t>
      </w:r>
    </w:p>
    <w:p>
      <w:pPr>
        <w:spacing w:after="0" w:line="216"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79" w:name="page80"/>
    <w:bookmarkEnd w:id="79"/>
    <w:p>
      <w:pPr>
        <w:ind w:left="1492" w:hanging="743"/>
        <w:spacing w:after="0" w:line="235" w:lineRule="auto"/>
        <w:tabs>
          <w:tab w:leader="none" w:pos="1492" w:val="left"/>
        </w:tabs>
        <w:numPr>
          <w:ilvl w:val="1"/>
          <w:numId w:val="52"/>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Material Breach</w:t>
      </w:r>
      <w:r>
        <w:rPr>
          <w:rFonts w:ascii="Calibri" w:cs="Calibri" w:eastAsia="Calibri" w:hAnsi="Calibri"/>
          <w:sz w:val="18"/>
          <w:szCs w:val="18"/>
          <w:color w:val="auto"/>
        </w:rPr>
        <w:t>. The Breached Party’s failure to comply with any of the provisions of this Secton 11 is a material breach of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w:t>
      </w:r>
    </w:p>
    <w:p>
      <w:pPr>
        <w:spacing w:after="0" w:line="217" w:lineRule="exact"/>
        <w:rPr>
          <w:rFonts w:ascii="Calibri" w:cs="Calibri" w:eastAsia="Calibri" w:hAnsi="Calibri"/>
          <w:sz w:val="18"/>
          <w:szCs w:val="18"/>
          <w:u w:val="single" w:color="auto"/>
          <w:color w:val="auto"/>
        </w:rPr>
      </w:pPr>
    </w:p>
    <w:p>
      <w:pPr>
        <w:jc w:val="both"/>
        <w:ind w:left="752" w:hanging="752"/>
        <w:spacing w:after="0" w:line="235" w:lineRule="auto"/>
        <w:tabs>
          <w:tab w:leader="none" w:pos="752" w:val="left"/>
        </w:tabs>
        <w:numPr>
          <w:ilvl w:val="0"/>
          <w:numId w:val="53"/>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Disaster Recovery, Business Resumpton and Contngency Plans</w:t>
      </w:r>
      <w:r>
        <w:rPr>
          <w:rFonts w:ascii="Calibri" w:cs="Calibri" w:eastAsia="Calibri" w:hAnsi="Calibri"/>
          <w:sz w:val="18"/>
          <w:szCs w:val="18"/>
          <w:color w:val="auto"/>
        </w:rPr>
        <w:t>. At all tmes during the Term and any wind-down or transiton period, each Party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shall prepare and maintain disaster recovery, business resumpton and contngency plans appropriate for the nature and scope of the actvites of, and the obligatons to be performed by, such Party. Each Party shall ensure that its plans are sufcient to enable such Party to promptly resume, without giving efect to the force majeure provisions of Secton 17 of this Agreement, the performance of its obligatons hereunder in the event of a natural disaster, destructon of facilites or operatons, utlity or communicaton failures or similar interrupton in operatons and shall ensure that all material records, including any personal or business data, are backed up in a manner sufcient to survive any disaster or business interrupton. Each Party shall periodically, and no less than annually, test its respectve disaster recovery, business resumpton and contngency plans as may be appropriate and prudent in light of the nature and scope of its obligatons hereunder.</w:t>
      </w:r>
    </w:p>
    <w:p>
      <w:pPr>
        <w:spacing w:after="0" w:line="222" w:lineRule="exact"/>
        <w:rPr>
          <w:rFonts w:ascii="Calibri" w:cs="Calibri" w:eastAsia="Calibri" w:hAnsi="Calibri"/>
          <w:sz w:val="18"/>
          <w:szCs w:val="18"/>
          <w:b w:val="1"/>
          <w:bCs w:val="1"/>
          <w:u w:val="single" w:color="auto"/>
          <w:color w:val="auto"/>
        </w:rPr>
      </w:pPr>
    </w:p>
    <w:p>
      <w:pPr>
        <w:ind w:left="752" w:hanging="752"/>
        <w:spacing w:after="0" w:line="235" w:lineRule="auto"/>
        <w:tabs>
          <w:tab w:leader="none" w:pos="752" w:val="left"/>
        </w:tabs>
        <w:numPr>
          <w:ilvl w:val="0"/>
          <w:numId w:val="53"/>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Compensaton</w:t>
      </w:r>
      <w:r>
        <w:rPr>
          <w:rFonts w:ascii="Calibri" w:cs="Calibri" w:eastAsia="Calibri" w:hAnsi="Calibri"/>
          <w:sz w:val="18"/>
          <w:szCs w:val="18"/>
          <w:color w:val="auto"/>
        </w:rPr>
        <w:t>. In consideraton of performing their respectve obligatons in connecton with the Program, the Partes will receive the amounts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provided in Schedule B.</w:t>
      </w:r>
    </w:p>
    <w:p>
      <w:pPr>
        <w:spacing w:after="0" w:line="212" w:lineRule="exact"/>
        <w:rPr>
          <w:rFonts w:ascii="Calibri" w:cs="Calibri" w:eastAsia="Calibri" w:hAnsi="Calibri"/>
          <w:sz w:val="18"/>
          <w:szCs w:val="18"/>
          <w:b w:val="1"/>
          <w:bCs w:val="1"/>
          <w:u w:val="single" w:color="auto"/>
          <w:color w:val="auto"/>
        </w:rPr>
      </w:pPr>
    </w:p>
    <w:p>
      <w:pPr>
        <w:ind w:left="752" w:hanging="752"/>
        <w:spacing w:after="0"/>
        <w:tabs>
          <w:tab w:leader="none" w:pos="752" w:val="left"/>
        </w:tabs>
        <w:numPr>
          <w:ilvl w:val="0"/>
          <w:numId w:val="53"/>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Confdentality</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53"/>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Obligatons of Nondisclosure and Nonuse</w:t>
      </w:r>
      <w:r>
        <w:rPr>
          <w:rFonts w:ascii="Calibri" w:cs="Calibri" w:eastAsia="Calibri" w:hAnsi="Calibri"/>
          <w:sz w:val="18"/>
          <w:szCs w:val="18"/>
          <w:color w:val="auto"/>
        </w:rPr>
        <w:t>. Unless otherwise agreed to in advance, in writng, by the disclosing Party or except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expressly permited by this Agreement, the receiving Party will not, except as required by law or court order, use Confdental Informaton of the disclosing Party or disclose it to any third party.</w:t>
      </w:r>
    </w:p>
    <w:p>
      <w:pPr>
        <w:spacing w:after="0" w:line="218" w:lineRule="exact"/>
        <w:rPr>
          <w:rFonts w:ascii="Calibri" w:cs="Calibri" w:eastAsia="Calibri" w:hAnsi="Calibri"/>
          <w:sz w:val="18"/>
          <w:szCs w:val="18"/>
          <w:u w:val="single" w:color="auto"/>
          <w:color w:val="auto"/>
        </w:rPr>
      </w:pPr>
    </w:p>
    <w:p>
      <w:pPr>
        <w:jc w:val="both"/>
        <w:ind w:left="1492"/>
        <w:spacing w:after="0" w:line="252" w:lineRule="auto"/>
        <w:rPr>
          <w:rFonts w:ascii="Calibri" w:cs="Calibri" w:eastAsia="Calibri" w:hAnsi="Calibri"/>
          <w:sz w:val="18"/>
          <w:szCs w:val="18"/>
          <w:u w:val="single" w:color="auto"/>
          <w:color w:val="auto"/>
        </w:rPr>
      </w:pPr>
      <w:r>
        <w:rPr>
          <w:rFonts w:ascii="Calibri" w:cs="Calibri" w:eastAsia="Calibri" w:hAnsi="Calibri"/>
          <w:sz w:val="17"/>
          <w:szCs w:val="17"/>
          <w:color w:val="auto"/>
        </w:rPr>
        <w:t>The receiving Party may disclose Confdental Informaton of the disclosing Party only to those of its employees or contractors who need to know such informaton. In additon, prior to any disclosure of such Confdental Informaton to any such employee or contractor, such employee or contractor shall be made aware of the confdental nature of the Confdental Informaton and shall execute, or shall already be bound by, a nondisclosure agreement containing terms and conditons consistent with the terms and conditons of this Agreement.</w:t>
      </w:r>
    </w:p>
    <w:p>
      <w:pPr>
        <w:spacing w:after="0" w:line="208" w:lineRule="exact"/>
        <w:rPr>
          <w:rFonts w:ascii="Calibri" w:cs="Calibri" w:eastAsia="Calibri" w:hAnsi="Calibri"/>
          <w:sz w:val="18"/>
          <w:szCs w:val="18"/>
          <w:u w:val="single" w:color="auto"/>
          <w:color w:val="auto"/>
        </w:rPr>
      </w:pPr>
    </w:p>
    <w:p>
      <w:pPr>
        <w:ind w:left="1492"/>
        <w:spacing w:after="0" w:line="235" w:lineRule="auto"/>
        <w:rPr>
          <w:rFonts w:ascii="Calibri" w:cs="Calibri" w:eastAsia="Calibri" w:hAnsi="Calibri"/>
          <w:sz w:val="18"/>
          <w:szCs w:val="18"/>
          <w:u w:val="single" w:color="auto"/>
          <w:color w:val="auto"/>
        </w:rPr>
      </w:pPr>
      <w:r>
        <w:rPr>
          <w:rFonts w:ascii="Calibri" w:cs="Calibri" w:eastAsia="Calibri" w:hAnsi="Calibri"/>
          <w:sz w:val="18"/>
          <w:szCs w:val="18"/>
          <w:color w:val="auto"/>
        </w:rPr>
        <w:t>In any event, the receiving Party shall be responsible for any breach of the terms and conditons of this Agreement by any of its employees or contractors.</w:t>
      </w:r>
    </w:p>
    <w:p>
      <w:pPr>
        <w:spacing w:after="0" w:line="217" w:lineRule="exact"/>
        <w:rPr>
          <w:rFonts w:ascii="Calibri" w:cs="Calibri" w:eastAsia="Calibri" w:hAnsi="Calibri"/>
          <w:sz w:val="18"/>
          <w:szCs w:val="18"/>
          <w:u w:val="single" w:color="auto"/>
          <w:color w:val="auto"/>
        </w:rPr>
      </w:pPr>
    </w:p>
    <w:p>
      <w:pPr>
        <w:jc w:val="both"/>
        <w:ind w:left="1492"/>
        <w:spacing w:after="0" w:line="235" w:lineRule="auto"/>
        <w:rPr>
          <w:rFonts w:ascii="Calibri" w:cs="Calibri" w:eastAsia="Calibri" w:hAnsi="Calibri"/>
          <w:sz w:val="18"/>
          <w:szCs w:val="18"/>
          <w:u w:val="single" w:color="auto"/>
          <w:color w:val="auto"/>
        </w:rPr>
      </w:pPr>
      <w:r>
        <w:rPr>
          <w:rFonts w:ascii="Calibri" w:cs="Calibri" w:eastAsia="Calibri" w:hAnsi="Calibri"/>
          <w:sz w:val="18"/>
          <w:szCs w:val="18"/>
          <w:color w:val="auto"/>
        </w:rPr>
        <w:t>The receiving Party shall use the same degree of care to avoid disclosure of the disclosing Party’s Confdental Informaton as the receiving Party employs with respect to its own Confdental Informaton of like importance, but not less than a reasonable degree of care.</w:t>
      </w:r>
    </w:p>
    <w:p>
      <w:pPr>
        <w:spacing w:after="0" w:line="218"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53"/>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Return of Confdental Informaton</w:t>
      </w:r>
      <w:r>
        <w:rPr>
          <w:rFonts w:ascii="Calibri" w:cs="Calibri" w:eastAsia="Calibri" w:hAnsi="Calibri"/>
          <w:sz w:val="18"/>
          <w:szCs w:val="18"/>
          <w:color w:val="auto"/>
        </w:rPr>
        <w:t>. Upon the terminaton or expiraton of this Agreement for any reason, or upon the disclosing Party’s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earlier request, the receiving Party will deliver to the disclosing Party all of the disclosing Party’s property or Confdental Informaton in tangible form that the receiving Party may have in its possession or control. The receiving Party may retain one copy of the Confdental Informaton in its legal fles.</w:t>
      </w:r>
    </w:p>
    <w:p>
      <w:pPr>
        <w:spacing w:after="0" w:line="219"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53"/>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Depositor Informaton</w:t>
      </w:r>
      <w:r>
        <w:rPr>
          <w:rFonts w:ascii="Calibri" w:cs="Calibri" w:eastAsia="Calibri" w:hAnsi="Calibri"/>
          <w:sz w:val="18"/>
          <w:szCs w:val="18"/>
          <w:color w:val="auto"/>
        </w:rPr>
        <w:t>. Company acknowledges and agrees that “Non Public Personal Informaton” and “Personally Identfable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Financial Informaton” (as each term defned in Sectons 1016.3(p) and (q) respectvely of the Consumer Financial Protecton Bureau rules on Privacy of Consumer Informaton published at 12 CFR Chapter X) and Depositor Informaton about Bank’s customers and Customers (but excluding transacton data to the extent such informaton is not Non Public Personal Informaton and Personally Identfable Financial Informaton) shall be considered as confdental and proprietary informaton of Bank, and shall not be disclosed to or shared with any third party without prior writen consent of Bank or the Customer, except as necessary or useful for Company to exercise its rights or perform its obligatons hereunder and in compliance with the terms of this Agreement and Bank’s privacy policy. Bank hereby grants Company a nonexclusive, transferrable, worldwide right and license to use Depositor Informaton to exercise its rights and perform its obligatons under this Agreement. Except as provided in, and subject to the limitatons stated herein, Company will not compile, use, sell or otherwise distribute any lists of Bank’s customers/Customers nor use the names, account numbers or any other Nonpublic Personal Informaton and Personally Identfable Financial Informaton about customers, Applicants or Customers to compile, use, sell or distribute lists or data for use by Company, subsidiaries or afliates, or by any third partes without the prior writen consent of Bank, which may not unreasonably withheld or delayed. Each Party will instruct its relevant employees, agents and contractors as to the confdentality of the Nonpublic Personal Informaton and Personally Identfable Financial Informaton and will not disclose any such Nonpublic Personal Informaton or Personally Identfable Financial Informaton to any third party or entty, except as necessary or useful to exercise its rights or perform its obligatons hereunder and in compliance with this Agreement. Each Party also agrees that any disseminaton of the</w:t>
      </w:r>
    </w:p>
    <w:p>
      <w:pPr>
        <w:spacing w:after="0" w:line="226"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0" w:name="page81"/>
    <w:bookmarkEnd w:id="80"/>
    <w:p>
      <w:pPr>
        <w:jc w:val="both"/>
        <w:ind w:left="1492"/>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aforementoned confdental Nonpublic Informaton or Personally Identfable Financial Informaton within its own business entty and to agents and contractors shall be restricted to “a need to know basis” for the purpose of performance hereunder. Subject to Secton 16(h) (ii), all obligatons under this Secton 14 and undertakings relatng to Nonpublic Personal Informaton and Personally Identfable Financial Informaton shall survive the expiraton or terminaton of this Agreement for whatever reason.</w:t>
      </w:r>
    </w:p>
    <w:p>
      <w:pPr>
        <w:spacing w:after="0" w:line="219" w:lineRule="exact"/>
        <w:rPr>
          <w:sz w:val="20"/>
          <w:szCs w:val="20"/>
          <w:color w:val="auto"/>
        </w:rPr>
      </w:pPr>
    </w:p>
    <w:p>
      <w:pPr>
        <w:jc w:val="both"/>
        <w:ind w:left="1492"/>
        <w:spacing w:after="0" w:line="235" w:lineRule="auto"/>
        <w:rPr>
          <w:sz w:val="20"/>
          <w:szCs w:val="20"/>
          <w:color w:val="auto"/>
        </w:rPr>
      </w:pPr>
      <w:r>
        <w:rPr>
          <w:rFonts w:ascii="Calibri" w:cs="Calibri" w:eastAsia="Calibri" w:hAnsi="Calibri"/>
          <w:sz w:val="18"/>
          <w:szCs w:val="18"/>
          <w:color w:val="auto"/>
        </w:rPr>
        <w:t>All Aggregated De-Identfed Data will be owned by Company, and Bank acknowledges that Company may use, store, analyze and disclose the Aggregated De-Identfed Data (i) for its own internal, statstcal and trend analysis, (ii) to develop and improve its products and Services, and (iii) to create and distribute data, reports and other materials regarding access and use of the Program. For clarity, nothing in this Secton 14 gives Company the right to publicly identfy Bank as the source of any Aggregated De-Identfed Data without Bank’s prior writen approval. “</w:t>
      </w:r>
      <w:r>
        <w:rPr>
          <w:rFonts w:ascii="Calibri" w:cs="Calibri" w:eastAsia="Calibri" w:hAnsi="Calibri"/>
          <w:sz w:val="18"/>
          <w:szCs w:val="18"/>
          <w:u w:val="single" w:color="auto"/>
          <w:color w:val="auto"/>
        </w:rPr>
        <w:t>Aggregated De-Identfed Data</w:t>
      </w:r>
      <w:r>
        <w:rPr>
          <w:rFonts w:ascii="Calibri" w:cs="Calibri" w:eastAsia="Calibri" w:hAnsi="Calibri"/>
          <w:sz w:val="18"/>
          <w:szCs w:val="18"/>
          <w:color w:val="auto"/>
        </w:rPr>
        <w:t>” means Depositor Informaton and Customer informaton aggregated by Company with other data such that the resultng data does not contain any informaton, Non Public Personal Informaton and Personally Identfable Financial Informaton, identfable or atributable to Bank or any natural Person.</w:t>
      </w:r>
    </w:p>
    <w:p>
      <w:pPr>
        <w:spacing w:after="0" w:line="222" w:lineRule="exact"/>
        <w:rPr>
          <w:sz w:val="20"/>
          <w:szCs w:val="20"/>
          <w:color w:val="auto"/>
        </w:rPr>
      </w:pPr>
    </w:p>
    <w:p>
      <w:pPr>
        <w:jc w:val="both"/>
        <w:ind w:left="1492"/>
        <w:spacing w:after="0" w:line="235" w:lineRule="auto"/>
        <w:rPr>
          <w:sz w:val="20"/>
          <w:szCs w:val="20"/>
          <w:color w:val="auto"/>
        </w:rPr>
      </w:pPr>
      <w:r>
        <w:rPr>
          <w:rFonts w:ascii="Calibri" w:cs="Calibri" w:eastAsia="Calibri" w:hAnsi="Calibri"/>
          <w:sz w:val="18"/>
          <w:szCs w:val="18"/>
          <w:color w:val="auto"/>
        </w:rPr>
        <w:t>Bank acknowledges that Company owns all Deposit Account-related transacton data that does not consttute Nonpublic Personal Informaton and Personally Identfable Financial Informaton, including both informaton that is: (i) provided or made available by Company under this Agreement, or (ii) generated through the Program which is derived from such data. For clarity, nothing in this Agreement will afect either Party’s rights with respect to informaton or data already in such Party’s possession or control or developed or collected by such Party outside the scope of this Agreement.</w:t>
      </w:r>
    </w:p>
    <w:p>
      <w:pPr>
        <w:spacing w:after="0" w:line="220" w:lineRule="exact"/>
        <w:rPr>
          <w:sz w:val="20"/>
          <w:szCs w:val="20"/>
          <w:color w:val="auto"/>
        </w:rPr>
      </w:pPr>
    </w:p>
    <w:p>
      <w:pPr>
        <w:jc w:val="both"/>
        <w:ind w:left="1492" w:hanging="743"/>
        <w:spacing w:after="0" w:line="235" w:lineRule="auto"/>
        <w:tabs>
          <w:tab w:leader="none" w:pos="1492" w:val="left"/>
        </w:tabs>
        <w:numPr>
          <w:ilvl w:val="1"/>
          <w:numId w:val="54"/>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Disclosures in Securites Filings</w:t>
      </w:r>
      <w:r>
        <w:rPr>
          <w:rFonts w:ascii="Calibri" w:cs="Calibri" w:eastAsia="Calibri" w:hAnsi="Calibri"/>
          <w:sz w:val="18"/>
          <w:szCs w:val="18"/>
          <w:color w:val="auto"/>
        </w:rPr>
        <w:t>. Company shall not fle the Agreement (including any addendum, schedule, supplement or atachment),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or any future amendment or supplement hereto, with the U.S. Securites and Exchange Commission (the “</w:t>
      </w:r>
      <w:r>
        <w:rPr>
          <w:rFonts w:ascii="Calibri" w:cs="Calibri" w:eastAsia="Calibri" w:hAnsi="Calibri"/>
          <w:sz w:val="18"/>
          <w:szCs w:val="18"/>
          <w:u w:val="single" w:color="auto"/>
          <w:color w:val="auto"/>
        </w:rPr>
        <w:t>SEC</w:t>
      </w:r>
      <w:r>
        <w:rPr>
          <w:rFonts w:ascii="Calibri" w:cs="Calibri" w:eastAsia="Calibri" w:hAnsi="Calibri"/>
          <w:sz w:val="18"/>
          <w:szCs w:val="18"/>
          <w:color w:val="auto"/>
        </w:rPr>
        <w:t>”) unless such fling is required under Item 601 of Regulaton S-K. In the event that Company determines that the Agreement (or amendment or supplement) must be fled with the SEC under Regulaton S-K, Company shall take all actons necessary to obtain confdental treatment of all exhibits, addenda, schedules, supplements and atachments (including all pricing atachments) and to the extent possible, the Agreement, in accordance with Rule 406 under the Securites Act of 1933. Specifcally, and without limitaton, Company shall omit all exhibits, addenda, schedules, supplements and atachments (including all pricing atachments) from the material fled with the SEC and, in lieu thereof, shall indicate in the material fled that the Confdental Informaton has been so omited and fled separately with the SEC. Company shall fle all exhibits, addenda, schedules, supplements and atachments (including all pricing atachments) so as to maintain the confdentality of the documents, and shall fle an applicaton making an objecton to the disclosure of these materials. If the SEC denies the applicaton, Company will seek review of the decision under Rule 431.</w:t>
      </w:r>
    </w:p>
    <w:p>
      <w:pPr>
        <w:spacing w:after="0" w:line="225"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54"/>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Other Relatonships with Depositors</w:t>
      </w:r>
      <w:r>
        <w:rPr>
          <w:rFonts w:ascii="Calibri" w:cs="Calibri" w:eastAsia="Calibri" w:hAnsi="Calibri"/>
          <w:sz w:val="18"/>
          <w:szCs w:val="18"/>
          <w:color w:val="auto"/>
        </w:rPr>
        <w:t>. Subject to Applicable Law, Bank’s privacy policy and consistent with the Deposit Account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Company, at its own expense, shall have the right to solicit Applicants and/or Customers with optonal oferings of general merchandise and services from Company and others, including Bank-approved ancillary products and services, and to use Applicant and/or Depositor Informaton for purposes permited by Applicable Law, Bank’s privacy policy and the Deposit Account Agreement. Company shall notfy Bank of its intent to make any such ofers and shall obtain the prior writen approval of Bank, which may be withheld for any reason and may be conditoned on the Partes entering into a mutually agreeable revenue sharing program regarding the ofers.</w:t>
      </w:r>
    </w:p>
    <w:p>
      <w:pPr>
        <w:spacing w:after="0" w:line="221" w:lineRule="exact"/>
        <w:rPr>
          <w:rFonts w:ascii="Calibri" w:cs="Calibri" w:eastAsia="Calibri" w:hAnsi="Calibri"/>
          <w:sz w:val="18"/>
          <w:szCs w:val="18"/>
          <w:u w:val="single" w:color="auto"/>
          <w:color w:val="auto"/>
        </w:rPr>
      </w:pPr>
    </w:p>
    <w:p>
      <w:pPr>
        <w:jc w:val="both"/>
        <w:ind w:left="1492"/>
        <w:spacing w:after="0" w:line="235" w:lineRule="auto"/>
        <w:rPr>
          <w:rFonts w:ascii="Calibri" w:cs="Calibri" w:eastAsia="Calibri" w:hAnsi="Calibri"/>
          <w:sz w:val="18"/>
          <w:szCs w:val="18"/>
          <w:u w:val="single" w:color="auto"/>
          <w:color w:val="auto"/>
        </w:rPr>
      </w:pPr>
      <w:r>
        <w:rPr>
          <w:rFonts w:ascii="Calibri" w:cs="Calibri" w:eastAsia="Calibri" w:hAnsi="Calibri"/>
          <w:sz w:val="18"/>
          <w:szCs w:val="18"/>
          <w:color w:val="auto"/>
        </w:rPr>
        <w:t>Subject to the rights and restrictons in the California Consumer Privacy Act of 2018 (CCPA), Bank may at all tmes make solicitatons for goods and services to the general public, which may include one or more Applicants or Customers; provided that Bank does not (i) target such solicitatons to specifc Applicants and/or Customers, or (ii) use or permit a third party to use any list of Applicants and/or Customers in connecton with such solicitatons; and Bank shall not be obligated to redact the names of Applicants and/or Customers from marketng lists acquired from third partes (e.g., magazine subscripton lists) that Bank uses for solicitatons. Bank may at all tmes and without restricton: ofer credit, debit, prepaid and other electronic payment services or sponsor other program managers or companies who are ofering credit, debit, prepaid or other electronic payment services.</w:t>
      </w:r>
    </w:p>
    <w:p>
      <w:pPr>
        <w:spacing w:after="0" w:line="217"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55"/>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Proprietary Materials</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55"/>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Bank Marks</w:t>
      </w:r>
      <w:r>
        <w:rPr>
          <w:rFonts w:ascii="Calibri" w:cs="Calibri" w:eastAsia="Calibri" w:hAnsi="Calibri"/>
          <w:sz w:val="18"/>
          <w:szCs w:val="18"/>
          <w:color w:val="auto"/>
        </w:rPr>
        <w:t>. Bank hereby grants to Company a nonexclusive, nontransferable, revocable limited license to use and reproduce the name,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logo and specifed trademarks of Bank (“</w:t>
      </w:r>
      <w:r>
        <w:rPr>
          <w:rFonts w:ascii="Calibri" w:cs="Calibri" w:eastAsia="Calibri" w:hAnsi="Calibri"/>
          <w:sz w:val="18"/>
          <w:szCs w:val="18"/>
          <w:u w:val="single" w:color="auto"/>
          <w:color w:val="auto"/>
        </w:rPr>
        <w:t>Bank Marks</w:t>
      </w:r>
      <w:r>
        <w:rPr>
          <w:rFonts w:ascii="Calibri" w:cs="Calibri" w:eastAsia="Calibri" w:hAnsi="Calibri"/>
          <w:sz w:val="18"/>
          <w:szCs w:val="18"/>
          <w:color w:val="auto"/>
        </w:rPr>
        <w:t>”), which Bank has made available to Company, solely in connecton with the Program or as required under the Rules, provided that any such use shall require the prior writen approval of Bank, such approval not to be unreasonably withheld or delayed and consistent</w:t>
      </w:r>
    </w:p>
    <w:p>
      <w:pPr>
        <w:spacing w:after="0" w:line="215"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1" w:name="page82"/>
    <w:bookmarkEnd w:id="81"/>
    <w:p>
      <w:pPr>
        <w:ind w:left="1492"/>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with any Bank usage guidelines. If such approval is granted, Company may utlize such Bank Marks subject to Bank’s prior approval of such materials. This use terminates upon terminaton of this Agreement and the Transiton Period.</w:t>
      </w:r>
    </w:p>
    <w:p>
      <w:pPr>
        <w:spacing w:after="0" w:line="218" w:lineRule="exact"/>
        <w:rPr>
          <w:sz w:val="20"/>
          <w:szCs w:val="20"/>
          <w:color w:val="auto"/>
        </w:rPr>
      </w:pPr>
    </w:p>
    <w:p>
      <w:pPr>
        <w:jc w:val="both"/>
        <w:ind w:left="1492" w:hanging="743"/>
        <w:spacing w:after="0" w:line="235" w:lineRule="auto"/>
        <w:tabs>
          <w:tab w:leader="none" w:pos="1492" w:val="left"/>
        </w:tabs>
        <w:numPr>
          <w:ilvl w:val="1"/>
          <w:numId w:val="5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Company Marks</w:t>
      </w:r>
      <w:r>
        <w:rPr>
          <w:rFonts w:ascii="Calibri" w:cs="Calibri" w:eastAsia="Calibri" w:hAnsi="Calibri"/>
          <w:sz w:val="18"/>
          <w:szCs w:val="18"/>
          <w:color w:val="auto"/>
        </w:rPr>
        <w:t>. Company grants to Bank a nonexclusive, nontransferable, revocable limited license to use and reproduce the name,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logo and specifed trademarks of Company (“</w:t>
      </w:r>
      <w:r>
        <w:rPr>
          <w:rFonts w:ascii="Calibri" w:cs="Calibri" w:eastAsia="Calibri" w:hAnsi="Calibri"/>
          <w:sz w:val="18"/>
          <w:szCs w:val="18"/>
          <w:u w:val="single" w:color="auto"/>
          <w:color w:val="auto"/>
        </w:rPr>
        <w:t>Company Marks</w:t>
      </w:r>
      <w:r>
        <w:rPr>
          <w:rFonts w:ascii="Calibri" w:cs="Calibri" w:eastAsia="Calibri" w:hAnsi="Calibri"/>
          <w:sz w:val="18"/>
          <w:szCs w:val="18"/>
          <w:color w:val="auto"/>
        </w:rPr>
        <w:t>”), which Company has made available to Bank, solely in connecton with the Program or as required under the Rules, provided that any such use shall require the prior writen approval of Company, such approval not to be unreasonably withheld or delayed and consistent with any Company usage guidelines. If such approval is granted, Bank may utlize such Company Marks subject to Company’s prior approval of such materials. This use terminates upon terminaton of this Agreement and the Transiton Period.</w:t>
      </w:r>
    </w:p>
    <w:p>
      <w:pPr>
        <w:spacing w:after="0" w:line="221"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56"/>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Reservaton of Intellectual Property Rights</w:t>
      </w:r>
      <w:r>
        <w:rPr>
          <w:rFonts w:ascii="Calibri" w:cs="Calibri" w:eastAsia="Calibri" w:hAnsi="Calibri"/>
          <w:sz w:val="18"/>
          <w:szCs w:val="18"/>
          <w:color w:val="auto"/>
        </w:rPr>
        <w:t>. Each Party acknowledges and agrees that the other Party shall retain all right, ttle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interest in and to all Intellectual Property that is developed, established, used or otherwise created by the other Part related to the Program, including mobile applicatons, underwritng algorithms, form of applicatons and Deposit Account Agreements. Program materials, marketng materials and the Party’s Confdental Informaton. Nothing in this Agreement shall be construed as grantng either Party a license to use in any way the Intellectual Property of the other Party, except as provided in Secton 15(a) and 15(b). Neither Party shall take any acton that interferes with the Intellectual Property of the other Party or atempt to copyright or patent any part of the Intellectual Property of the other Party or atempt to register any trademark, service mark, trade name, or company name which is identcal or confusingly similar to other Company Marks or Bank Marks respectvely.</w:t>
      </w:r>
    </w:p>
    <w:p>
      <w:pPr>
        <w:spacing w:after="0" w:line="217"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57"/>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Term and Terminaton</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5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General</w:t>
      </w:r>
      <w:r>
        <w:rPr>
          <w:rFonts w:ascii="Calibri" w:cs="Calibri" w:eastAsia="Calibri" w:hAnsi="Calibri"/>
          <w:sz w:val="18"/>
          <w:szCs w:val="18"/>
          <w:color w:val="auto"/>
        </w:rPr>
        <w:t>. This Agreement will take efect on the Efectve Date and contnue untl the second anniversary of the Efectve Date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t>
      </w:r>
      <w:r>
        <w:rPr>
          <w:rFonts w:ascii="Calibri" w:cs="Calibri" w:eastAsia="Calibri" w:hAnsi="Calibri"/>
          <w:sz w:val="18"/>
          <w:szCs w:val="18"/>
          <w:u w:val="single" w:color="auto"/>
          <w:color w:val="auto"/>
        </w:rPr>
        <w:t>Inital Term</w:t>
      </w:r>
      <w:r>
        <w:rPr>
          <w:rFonts w:ascii="Calibri" w:cs="Calibri" w:eastAsia="Calibri" w:hAnsi="Calibri"/>
          <w:sz w:val="18"/>
          <w:szCs w:val="18"/>
          <w:color w:val="auto"/>
        </w:rPr>
        <w:t>”) and will renew automatcally for successive additonal terms of one (1) year each (each a “</w:t>
      </w:r>
      <w:r>
        <w:rPr>
          <w:rFonts w:ascii="Calibri" w:cs="Calibri" w:eastAsia="Calibri" w:hAnsi="Calibri"/>
          <w:sz w:val="18"/>
          <w:szCs w:val="18"/>
          <w:u w:val="single" w:color="auto"/>
          <w:color w:val="auto"/>
        </w:rPr>
        <w:t>Renewal Term</w:t>
      </w:r>
      <w:r>
        <w:rPr>
          <w:rFonts w:ascii="Calibri" w:cs="Calibri" w:eastAsia="Calibri" w:hAnsi="Calibri"/>
          <w:sz w:val="18"/>
          <w:szCs w:val="18"/>
          <w:color w:val="auto"/>
        </w:rPr>
        <w:t>”), unless Company notfes Bank of nonrenewal at least one hundred eighty (180) days prior to the end of the Inital Term or any Renewal Term or Bank notfes Company of nonrenewal at least one-hundred-eighty (180) days prior to the end of the Inital Term or any Renewal Term (together, the “</w:t>
      </w:r>
      <w:r>
        <w:rPr>
          <w:rFonts w:ascii="Calibri" w:cs="Calibri" w:eastAsia="Calibri" w:hAnsi="Calibri"/>
          <w:sz w:val="18"/>
          <w:szCs w:val="18"/>
          <w:u w:val="single" w:color="auto"/>
          <w:color w:val="auto"/>
        </w:rPr>
        <w:t>Term</w:t>
      </w:r>
      <w:r>
        <w:rPr>
          <w:rFonts w:ascii="Calibri" w:cs="Calibri" w:eastAsia="Calibri" w:hAnsi="Calibri"/>
          <w:sz w:val="18"/>
          <w:szCs w:val="18"/>
          <w:color w:val="auto"/>
        </w:rPr>
        <w:t>”).</w:t>
      </w:r>
    </w:p>
    <w:p>
      <w:pPr>
        <w:spacing w:after="0" w:line="220" w:lineRule="exact"/>
        <w:rPr>
          <w:rFonts w:ascii="Calibri" w:cs="Calibri" w:eastAsia="Calibri" w:hAnsi="Calibri"/>
          <w:sz w:val="18"/>
          <w:szCs w:val="18"/>
          <w:u w:val="single" w:color="auto"/>
          <w:color w:val="auto"/>
        </w:rPr>
      </w:pPr>
    </w:p>
    <w:p>
      <w:pPr>
        <w:jc w:val="both"/>
        <w:ind w:left="1492" w:hanging="743"/>
        <w:spacing w:after="0" w:line="250" w:lineRule="auto"/>
        <w:tabs>
          <w:tab w:leader="none" w:pos="1492" w:val="left"/>
        </w:tabs>
        <w:numPr>
          <w:ilvl w:val="1"/>
          <w:numId w:val="57"/>
        </w:numPr>
        <w:rPr>
          <w:rFonts w:ascii="Calibri" w:cs="Calibri" w:eastAsia="Calibri" w:hAnsi="Calibri"/>
          <w:sz w:val="17"/>
          <w:szCs w:val="17"/>
          <w:u w:val="single" w:color="auto"/>
          <w:color w:val="auto"/>
        </w:rPr>
      </w:pPr>
      <w:r>
        <w:rPr>
          <w:rFonts w:ascii="Calibri" w:cs="Calibri" w:eastAsia="Calibri" w:hAnsi="Calibri"/>
          <w:sz w:val="17"/>
          <w:szCs w:val="17"/>
          <w:b w:val="1"/>
          <w:bCs w:val="1"/>
          <w:u w:val="single" w:color="auto"/>
          <w:color w:val="auto"/>
        </w:rPr>
        <w:t>Material Breach</w:t>
      </w:r>
      <w:r>
        <w:rPr>
          <w:rFonts w:ascii="Calibri" w:cs="Calibri" w:eastAsia="Calibri" w:hAnsi="Calibri"/>
          <w:sz w:val="17"/>
          <w:szCs w:val="17"/>
          <w:color w:val="auto"/>
        </w:rPr>
        <w:t>. Except as otherwise provided in this Agreement, if either Party materially breaches a material term of this Agreement,</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the nonbreaching Party may terminate this Agreement by giving writen notce to the breaching Party. This notce will: (1) describe the material breach; and (2) state the Party’s intenton to terminate this Agreement. If the breaching Party does not cure or substantally cure its material breach within ffeen (15) Business Days (or a shorter period if required by Applicable Law) afer receipt of notce as described in this Secton 16(b) (the “</w:t>
      </w:r>
      <w:r>
        <w:rPr>
          <w:rFonts w:ascii="Calibri" w:cs="Calibri" w:eastAsia="Calibri" w:hAnsi="Calibri"/>
          <w:sz w:val="17"/>
          <w:szCs w:val="17"/>
          <w:u w:val="single" w:color="auto"/>
          <w:color w:val="auto"/>
        </w:rPr>
        <w:t>Cure Period</w:t>
      </w:r>
      <w:r>
        <w:rPr>
          <w:rFonts w:ascii="Calibri" w:cs="Calibri" w:eastAsia="Calibri" w:hAnsi="Calibri"/>
          <w:sz w:val="17"/>
          <w:szCs w:val="17"/>
          <w:color w:val="auto"/>
        </w:rPr>
        <w:t>”), then the nonbreaching Party may immediately terminate this Agreement by giving notce at any tme following the end of such Cure Period; provided, however, that if such breach by Company is not capable of being cured or substantally cured within such ffeen (15) Business Day period, then the tme period for curing or substantally curing such breach may be extended by Bank in its sole discreton so long as Company contnues to diligently pursue such cure using commercially reasonable eforts. Neither Party will be held in breach for failure to perform under this Agreement if such failure is due to compliance with Applicable Law. In additon to the terminaton rights set forth herein, Bank may terminate this Agreement without liability if Company materially breaches this Agreement on three (3) or more separate occasions within twelve (12) consecutve months.</w:t>
      </w:r>
    </w:p>
    <w:p>
      <w:pPr>
        <w:spacing w:after="0" w:line="209" w:lineRule="exact"/>
        <w:rPr>
          <w:rFonts w:ascii="Calibri" w:cs="Calibri" w:eastAsia="Calibri" w:hAnsi="Calibri"/>
          <w:sz w:val="17"/>
          <w:szCs w:val="17"/>
          <w:u w:val="single" w:color="auto"/>
          <w:color w:val="auto"/>
        </w:rPr>
      </w:pPr>
    </w:p>
    <w:p>
      <w:pPr>
        <w:ind w:left="1492" w:hanging="743"/>
        <w:spacing w:after="0"/>
        <w:tabs>
          <w:tab w:leader="none" w:pos="1492" w:val="left"/>
        </w:tabs>
        <w:numPr>
          <w:ilvl w:val="1"/>
          <w:numId w:val="5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Cross Default</w:t>
      </w:r>
      <w:r>
        <w:rPr>
          <w:rFonts w:ascii="Calibri" w:cs="Calibri" w:eastAsia="Calibri" w:hAnsi="Calibri"/>
          <w:sz w:val="18"/>
          <w:szCs w:val="18"/>
          <w:color w:val="auto"/>
        </w:rPr>
        <w:t>. This Agreement will terminate upon the terminaton of the Debit Card Issuing Agreement.</w:t>
      </w:r>
    </w:p>
    <w:p>
      <w:pPr>
        <w:spacing w:after="0" w:line="217"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57"/>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Force Majeure; Change in Applicable Law</w:t>
      </w:r>
      <w:r>
        <w:rPr>
          <w:rFonts w:ascii="Calibri" w:cs="Calibri" w:eastAsia="Calibri" w:hAnsi="Calibri"/>
          <w:sz w:val="18"/>
          <w:szCs w:val="18"/>
          <w:color w:val="auto"/>
        </w:rPr>
        <w:t>. Either Party may terminate this Agreement as permited by Sectons 17 or 28, or upon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writen notce to the other Party if the other Party becomes Insolvent or bankrupt or becomes subject to a receivership proceeding.</w:t>
      </w:r>
    </w:p>
    <w:p>
      <w:pPr>
        <w:spacing w:after="0" w:line="21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57"/>
        </w:numPr>
        <w:rPr>
          <w:rFonts w:ascii="Calibri" w:cs="Calibri" w:eastAsia="Calibri" w:hAnsi="Calibri"/>
          <w:sz w:val="18"/>
          <w:szCs w:val="18"/>
          <w:u w:val="single" w:color="auto"/>
          <w:color w:val="auto"/>
        </w:rPr>
      </w:pPr>
      <w:r>
        <w:rPr>
          <w:rFonts w:ascii="Calibri" w:cs="Calibri" w:eastAsia="Calibri" w:hAnsi="Calibri"/>
          <w:sz w:val="18"/>
          <w:szCs w:val="18"/>
          <w:color w:val="auto"/>
        </w:rPr>
        <w:t>Either Party may terminate this Agreement upon ffeen (15) Business Days’ advance writen notce to the other Party of such intent to terminate if, at any tme during the Term of this Agreement, the other Party is conductng actvites that the terminatng Party reasonably determines are materially harmful to relatonships with its federal or state supervisory or law enforcement agencies; provided that the terminatng Party promptly notfes the other Party of such actvity, provides evidence of such actvity, and the other Party does not cure such actvity to the terminatng Party’s sole and reasonable satsfacton within ffeen (15) Business Days of notfcaton to the terminatng Party.</w:t>
      </w:r>
    </w:p>
    <w:p>
      <w:pPr>
        <w:spacing w:after="0" w:line="221"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57"/>
        </w:numPr>
        <w:rPr>
          <w:rFonts w:ascii="Calibri" w:cs="Calibri" w:eastAsia="Calibri" w:hAnsi="Calibri"/>
          <w:sz w:val="18"/>
          <w:szCs w:val="18"/>
          <w:u w:val="single" w:color="auto"/>
          <w:color w:val="auto"/>
        </w:rPr>
      </w:pPr>
      <w:r>
        <w:rPr>
          <w:rFonts w:ascii="Calibri" w:cs="Calibri" w:eastAsia="Calibri" w:hAnsi="Calibri"/>
          <w:sz w:val="18"/>
          <w:szCs w:val="18"/>
          <w:color w:val="auto"/>
        </w:rPr>
        <w:t>Either Party may immediately terminate this Agreement in the event of an act of fraud or willful misconduct of the other Party, and Bank may suspend services under this Agreement if Company fails to maintain Program Manager</w:t>
      </w:r>
    </w:p>
    <w:p>
      <w:pPr>
        <w:spacing w:after="0" w:line="213"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2" w:name="page83"/>
    <w:bookmarkEnd w:id="82"/>
    <w:p>
      <w:pPr>
        <w:ind w:left="743"/>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Reserve Account balances in accordance with Secton 8(h) and the terms set forth on page one of this Agreement, including any applicable cure period.</w:t>
      </w:r>
    </w:p>
    <w:p>
      <w:pPr>
        <w:spacing w:after="0" w:line="218" w:lineRule="exact"/>
        <w:rPr>
          <w:sz w:val="20"/>
          <w:szCs w:val="20"/>
          <w:color w:val="auto"/>
        </w:rPr>
      </w:pPr>
    </w:p>
    <w:p>
      <w:pPr>
        <w:ind w:left="743" w:hanging="743"/>
        <w:spacing w:after="0" w:line="235" w:lineRule="auto"/>
        <w:tabs>
          <w:tab w:leader="none" w:pos="743" w:val="left"/>
        </w:tabs>
        <w:numPr>
          <w:ilvl w:val="0"/>
          <w:numId w:val="58"/>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Regulatory Requirement</w:t>
      </w:r>
      <w:r>
        <w:rPr>
          <w:rFonts w:ascii="Calibri" w:cs="Calibri" w:eastAsia="Calibri" w:hAnsi="Calibri"/>
          <w:sz w:val="18"/>
          <w:szCs w:val="18"/>
          <w:color w:val="auto"/>
        </w:rPr>
        <w:t>. Either Party may terminate at any tme if required to do so by any authority with regulatory supervision over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Party or any Program.</w:t>
      </w:r>
    </w:p>
    <w:p>
      <w:pPr>
        <w:spacing w:after="0" w:line="212" w:lineRule="exact"/>
        <w:rPr>
          <w:rFonts w:ascii="Calibri" w:cs="Calibri" w:eastAsia="Calibri" w:hAnsi="Calibri"/>
          <w:sz w:val="18"/>
          <w:szCs w:val="18"/>
          <w:u w:val="single" w:color="auto"/>
          <w:color w:val="auto"/>
        </w:rPr>
      </w:pPr>
    </w:p>
    <w:p>
      <w:pPr>
        <w:ind w:left="743" w:hanging="743"/>
        <w:spacing w:after="0"/>
        <w:tabs>
          <w:tab w:leader="none" w:pos="743" w:val="left"/>
        </w:tabs>
        <w:numPr>
          <w:ilvl w:val="0"/>
          <w:numId w:val="58"/>
        </w:numPr>
        <w:rPr>
          <w:rFonts w:ascii="Calibri" w:cs="Calibri" w:eastAsia="Calibri" w:hAnsi="Calibri"/>
          <w:sz w:val="18"/>
          <w:szCs w:val="18"/>
          <w:u w:val="single" w:color="auto"/>
          <w:color w:val="auto"/>
        </w:rPr>
      </w:pPr>
      <w:r>
        <w:rPr>
          <w:rFonts w:ascii="Calibri" w:cs="Calibri" w:eastAsia="Calibri" w:hAnsi="Calibri"/>
          <w:sz w:val="18"/>
          <w:szCs w:val="18"/>
          <w:b w:val="1"/>
          <w:bCs w:val="1"/>
          <w:u w:val="single" w:color="auto"/>
          <w:color w:val="auto"/>
        </w:rPr>
        <w:t>Efect of Terminaton and Transiton</w:t>
      </w:r>
      <w:r>
        <w:rPr>
          <w:rFonts w:ascii="Calibri" w:cs="Calibri" w:eastAsia="Calibri" w:hAnsi="Calibri"/>
          <w:sz w:val="18"/>
          <w:szCs w:val="18"/>
          <w:color w:val="auto"/>
        </w:rPr>
        <w:t>.</w:t>
      </w:r>
    </w:p>
    <w:p>
      <w:pPr>
        <w:spacing w:after="0" w:line="217" w:lineRule="exact"/>
        <w:rPr>
          <w:rFonts w:ascii="Calibri" w:cs="Calibri" w:eastAsia="Calibri" w:hAnsi="Calibri"/>
          <w:sz w:val="18"/>
          <w:szCs w:val="18"/>
          <w:u w:val="single" w:color="auto"/>
          <w:color w:val="auto"/>
        </w:rPr>
      </w:pPr>
    </w:p>
    <w:p>
      <w:pPr>
        <w:jc w:val="both"/>
        <w:ind w:left="1503" w:hanging="755"/>
        <w:spacing w:after="0" w:line="235" w:lineRule="auto"/>
        <w:tabs>
          <w:tab w:leader="none" w:pos="1503"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The terminaton of this Agreement shall not terminate, afect or impair any rights, obligatons or liabilites of any Party that accrue prior to terminaton or with respect to the services occurring or arising prior to terminaton, or which, under this Agreement, contnue afer terminaton.</w:t>
      </w:r>
    </w:p>
    <w:p>
      <w:pPr>
        <w:spacing w:after="0" w:line="218"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Prior to terminaton or expiraton of this Agreement, Company may elect to transfer the Program and the Deposit Accounts and Deposits therein to an alternatve depository insttuton designated by Company (“</w:t>
      </w:r>
      <w:r>
        <w:rPr>
          <w:rFonts w:ascii="Calibri" w:cs="Calibri" w:eastAsia="Calibri" w:hAnsi="Calibri"/>
          <w:sz w:val="18"/>
          <w:szCs w:val="18"/>
          <w:u w:val="single" w:color="auto"/>
          <w:color w:val="auto"/>
        </w:rPr>
        <w:t>Successor Bank</w:t>
      </w:r>
      <w:r>
        <w:rPr>
          <w:rFonts w:ascii="Calibri" w:cs="Calibri" w:eastAsia="Calibri" w:hAnsi="Calibri"/>
          <w:sz w:val="18"/>
          <w:szCs w:val="18"/>
          <w:color w:val="auto"/>
        </w:rPr>
        <w:t>”) in accordance with Applicable Law (each, a “</w:t>
      </w:r>
      <w:r>
        <w:rPr>
          <w:rFonts w:ascii="Calibri" w:cs="Calibri" w:eastAsia="Calibri" w:hAnsi="Calibri"/>
          <w:sz w:val="18"/>
          <w:szCs w:val="18"/>
          <w:u w:val="single" w:color="auto"/>
          <w:color w:val="auto"/>
        </w:rPr>
        <w:t>Transfer</w:t>
      </w:r>
      <w:r>
        <w:rPr>
          <w:rFonts w:ascii="Calibri" w:cs="Calibri" w:eastAsia="Calibri" w:hAnsi="Calibri"/>
          <w:sz w:val="18"/>
          <w:szCs w:val="18"/>
          <w:color w:val="auto"/>
        </w:rPr>
        <w:t>”) or wind down the Program (“</w:t>
      </w:r>
      <w:r>
        <w:rPr>
          <w:rFonts w:ascii="Calibri" w:cs="Calibri" w:eastAsia="Calibri" w:hAnsi="Calibri"/>
          <w:sz w:val="18"/>
          <w:szCs w:val="18"/>
          <w:u w:val="single" w:color="auto"/>
          <w:color w:val="auto"/>
        </w:rPr>
        <w:t>Wind Down</w:t>
      </w:r>
      <w:r>
        <w:rPr>
          <w:rFonts w:ascii="Calibri" w:cs="Calibri" w:eastAsia="Calibri" w:hAnsi="Calibri"/>
          <w:sz w:val="18"/>
          <w:szCs w:val="18"/>
          <w:color w:val="auto"/>
        </w:rPr>
        <w:t>”) by providing writen notce of such electon. Each Party acknowledges that the main goals of a Transfer or Wind Down are, in order or priority, to: (A) beneft Customers by minimizing any possible burdens or confusion and (B) protect and enhance the names and reputatons of the Partes, both of whom have invested their names and reputatons in the Program. The Partes agree to cooperate in good faith to efectuate any Transfer or Wind Down in a commercially reasonable way as soon as reasonably possible to provide for a smooth and orderly transiton or Wind Down. Such cooperaton will include contnuing to provide the Services, Deposit Accounts and Customer service untl the Transfer or Wind Down is completed. Notwithstanding anything to the contrary, Bank is under no obligaton to Transfer Deposit Accounts or Deposits under this Secton during the contnuance of any event or circumstances that would give rise to Bank’s right to terminate this Agreement or if such assistance would violate any Applicable Law or any order or instructon of a Regulatory authority.</w:t>
      </w:r>
    </w:p>
    <w:p>
      <w:pPr>
        <w:spacing w:after="0" w:line="226"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In the event that Company elects a Transfer to a Successor Bank, Bank’s obligatons will include: (A) executng and delivering a mutually agreed upon transfer agreement; and (B) taking all other reasonable actons necessary to efectuate the Transfer to the Successor Bank, including the transfer of all Depositor Informaton described in Secton 14(c) . Company will ensure that all aspects of the Transfer in its control are accomplished in compliance with Applicable Law, including any required regulatory approvals. The Successor Bank may be required to fle a Bank Merger Act applicaton or other applicatons with respect to any Deposits related to the Deposit Accounts to the applicable regulatory authorites. Bank will reasonably cooperate in any such flings and related approval processes.</w:t>
      </w:r>
    </w:p>
    <w:p>
      <w:pPr>
        <w:spacing w:after="0" w:line="221"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As soon as reasonably practcable afer providing notce of a Transfer or Wind Down as provided in Secton 16(h)(ii), Company will provide to Bank in writng a proposed Transiton Plan detailing (A) whether the Program or certain Deposit Accounts will be transferred to a Successor Bank or wound down; (B) a proposed work plan; and (C) a proposed tme line, which will designate the date of the Transfer or completon of the Wind Down. The Partes will meet promptly thereafer to review such proposed plan and diligently work in good faith to promptly determine a mutually acceptable plan (“</w:t>
      </w:r>
      <w:r>
        <w:rPr>
          <w:rFonts w:ascii="Calibri" w:cs="Calibri" w:eastAsia="Calibri" w:hAnsi="Calibri"/>
          <w:sz w:val="18"/>
          <w:szCs w:val="18"/>
          <w:u w:val="single" w:color="auto"/>
          <w:color w:val="auto"/>
        </w:rPr>
        <w:t>Transiton Plan</w:t>
      </w:r>
      <w:r>
        <w:rPr>
          <w:rFonts w:ascii="Calibri" w:cs="Calibri" w:eastAsia="Calibri" w:hAnsi="Calibri"/>
          <w:sz w:val="18"/>
          <w:szCs w:val="18"/>
          <w:color w:val="auto"/>
        </w:rPr>
        <w:t>”). The Partes will use their best eforts to complete a Transiton or Wind Down within one-hundred-eighty (180) days afer Bank’s receipt of Company’s electon as provided in Secton 16(h)(ii); provided, however, that such tme period may be extended by mutual writen agreement of the Partes. The period of tme between such electon and completon of a Transfer or Wind Down is referred to in this Secton 16(g) as the “</w:t>
      </w:r>
      <w:r>
        <w:rPr>
          <w:rFonts w:ascii="Calibri" w:cs="Calibri" w:eastAsia="Calibri" w:hAnsi="Calibri"/>
          <w:sz w:val="18"/>
          <w:szCs w:val="18"/>
          <w:u w:val="single" w:color="auto"/>
          <w:color w:val="auto"/>
        </w:rPr>
        <w:t>Transiton Period</w:t>
      </w:r>
      <w:r>
        <w:rPr>
          <w:rFonts w:ascii="Calibri" w:cs="Calibri" w:eastAsia="Calibri" w:hAnsi="Calibri"/>
          <w:sz w:val="18"/>
          <w:szCs w:val="18"/>
          <w:color w:val="auto"/>
        </w:rPr>
        <w:t>.”</w:t>
      </w:r>
    </w:p>
    <w:p>
      <w:pPr>
        <w:spacing w:after="0" w:line="223"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Unless the Transiton Plan provides otherwise, during the Transiton Period, the Partes will contnue to be bound by and comply with the terms of this Agreement and perform all of their obligatons hereunder and will remain liable for their respectve representatons and warrantes, covenants, agreements and indemnifcaton obligatons under this Agreement.</w:t>
      </w:r>
    </w:p>
    <w:p>
      <w:pPr>
        <w:spacing w:after="0" w:line="218" w:lineRule="exact"/>
        <w:rPr>
          <w:rFonts w:ascii="Calibri" w:cs="Calibri" w:eastAsia="Calibri" w:hAnsi="Calibri"/>
          <w:sz w:val="18"/>
          <w:szCs w:val="18"/>
          <w:color w:val="auto"/>
        </w:rPr>
      </w:pPr>
    </w:p>
    <w:p>
      <w:pPr>
        <w:jc w:val="both"/>
        <w:ind w:left="1503" w:hanging="755"/>
        <w:spacing w:after="0" w:line="235" w:lineRule="auto"/>
        <w:tabs>
          <w:tab w:leader="none" w:pos="1503" w:val="left"/>
        </w:tabs>
        <w:numPr>
          <w:ilvl w:val="1"/>
          <w:numId w:val="58"/>
        </w:numPr>
        <w:rPr>
          <w:rFonts w:ascii="Calibri" w:cs="Calibri" w:eastAsia="Calibri" w:hAnsi="Calibri"/>
          <w:sz w:val="18"/>
          <w:szCs w:val="18"/>
          <w:color w:val="auto"/>
        </w:rPr>
      </w:pPr>
      <w:r>
        <w:rPr>
          <w:rFonts w:ascii="Calibri" w:cs="Calibri" w:eastAsia="Calibri" w:hAnsi="Calibri"/>
          <w:sz w:val="18"/>
          <w:szCs w:val="18"/>
          <w:color w:val="auto"/>
        </w:rPr>
        <w:t>In no event will either Party make any public statement or Customer communicaton regarding any Transfer or Wind Down without the express prior writen approval of the other Party, which approval will not be unreasonably withheld, conditoned or delayed. Notwithstanding the foregoing, each Party may communicate confdentally any Transfer or Wind Down to any subcontractor or other third party providing services related to the Program.</w:t>
      </w:r>
    </w:p>
    <w:p>
      <w:pPr>
        <w:spacing w:after="0" w:line="215" w:lineRule="exact"/>
        <w:rPr>
          <w:sz w:val="20"/>
          <w:szCs w:val="20"/>
          <w:color w:val="auto"/>
        </w:rPr>
      </w:pPr>
    </w:p>
    <w:p>
      <w:pPr>
        <w:ind w:left="10123"/>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465455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03" w:right="339" w:bottom="1440" w:gutter="0" w:footer="0" w:header="0"/>
        </w:sectPr>
      </w:pPr>
    </w:p>
    <w:bookmarkStart w:id="83" w:name="page84"/>
    <w:bookmarkEnd w:id="83"/>
    <w:p>
      <w:pPr>
        <w:jc w:val="both"/>
        <w:ind w:left="2252" w:hanging="755"/>
        <w:spacing w:after="0" w:line="235" w:lineRule="auto"/>
        <w:tabs>
          <w:tab w:leader="none" w:pos="2252" w:val="left"/>
        </w:tabs>
        <w:numPr>
          <w:ilvl w:val="2"/>
          <w:numId w:val="59"/>
        </w:numPr>
        <w:rPr>
          <w:rFonts w:ascii="Calibri" w:cs="Calibri" w:eastAsia="Calibri" w:hAnsi="Calibri"/>
          <w:sz w:val="18"/>
          <w:szCs w:val="18"/>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Subject to Secton 14(b), following terminaton or expiraton of this Agreement and expiraton of the Transiton Period, each Party will (A) return all property belonging to the other Party which is in its possession or control at the tme of expiraton of the Transiton Period and (B) discontnue using the other Party’s trademarks.</w:t>
      </w:r>
    </w:p>
    <w:p>
      <w:pPr>
        <w:spacing w:after="0" w:line="218" w:lineRule="exact"/>
        <w:rPr>
          <w:rFonts w:ascii="Calibri" w:cs="Calibri" w:eastAsia="Calibri" w:hAnsi="Calibri"/>
          <w:sz w:val="18"/>
          <w:szCs w:val="18"/>
          <w:color w:val="auto"/>
        </w:rPr>
      </w:pPr>
    </w:p>
    <w:p>
      <w:pPr>
        <w:ind w:left="2252" w:hanging="755"/>
        <w:spacing w:after="0" w:line="235" w:lineRule="auto"/>
        <w:tabs>
          <w:tab w:leader="none" w:pos="2252" w:val="left"/>
        </w:tabs>
        <w:numPr>
          <w:ilvl w:val="2"/>
          <w:numId w:val="59"/>
        </w:numPr>
        <w:rPr>
          <w:rFonts w:ascii="Calibri" w:cs="Calibri" w:eastAsia="Calibri" w:hAnsi="Calibri"/>
          <w:sz w:val="18"/>
          <w:szCs w:val="18"/>
          <w:color w:val="auto"/>
        </w:rPr>
      </w:pPr>
      <w:r>
        <w:rPr>
          <w:rFonts w:ascii="Calibri" w:cs="Calibri" w:eastAsia="Calibri" w:hAnsi="Calibri"/>
          <w:sz w:val="18"/>
          <w:szCs w:val="18"/>
          <w:color w:val="auto"/>
        </w:rPr>
        <w:t>Company shall be responsible for all costs, including reasonable atorneys’ fees, associated with any transiton contemplated herein, unless the Agreement is terminated by Company for cause pursuant to Secton 16(b) or (f).</w:t>
      </w:r>
    </w:p>
    <w:p>
      <w:pPr>
        <w:spacing w:after="0" w:line="217" w:lineRule="exact"/>
        <w:rPr>
          <w:rFonts w:ascii="Calibri" w:cs="Calibri" w:eastAsia="Calibri" w:hAnsi="Calibri"/>
          <w:sz w:val="18"/>
          <w:szCs w:val="18"/>
          <w:color w:val="auto"/>
        </w:rPr>
      </w:pPr>
    </w:p>
    <w:p>
      <w:pPr>
        <w:jc w:val="both"/>
        <w:ind w:left="2252" w:hanging="755"/>
        <w:spacing w:after="0" w:line="235" w:lineRule="auto"/>
        <w:tabs>
          <w:tab w:leader="none" w:pos="2252" w:val="left"/>
        </w:tabs>
        <w:numPr>
          <w:ilvl w:val="2"/>
          <w:numId w:val="59"/>
        </w:numPr>
        <w:rPr>
          <w:rFonts w:ascii="Calibri" w:cs="Calibri" w:eastAsia="Calibri" w:hAnsi="Calibri"/>
          <w:sz w:val="18"/>
          <w:szCs w:val="18"/>
          <w:color w:val="auto"/>
        </w:rPr>
      </w:pPr>
      <w:r>
        <w:rPr>
          <w:rFonts w:ascii="Calibri" w:cs="Calibri" w:eastAsia="Calibri" w:hAnsi="Calibri"/>
          <w:sz w:val="18"/>
          <w:szCs w:val="18"/>
          <w:color w:val="auto"/>
        </w:rPr>
        <w:t>Company shall maintain funds in the Program Manager Reserve Account equal to the Reserve Amount for a period of at least one-hundred-eighty (180) days afer the Transiton Period, and Bank will transfer to Company any amounts remaining in the Program Manager Reserve Account net of all payments due to Bank under this Agreement, including losses associated with Deposit Account fraud, no later than fve (5) Business Days afer the end of such period.</w:t>
      </w:r>
    </w:p>
    <w:p>
      <w:pPr>
        <w:spacing w:after="0" w:line="219" w:lineRule="exact"/>
        <w:rPr>
          <w:rFonts w:ascii="Calibri" w:cs="Calibri" w:eastAsia="Calibri" w:hAnsi="Calibri"/>
          <w:sz w:val="18"/>
          <w:szCs w:val="18"/>
          <w:color w:val="auto"/>
        </w:rPr>
      </w:pPr>
    </w:p>
    <w:p>
      <w:pPr>
        <w:jc w:val="both"/>
        <w:ind w:left="752" w:hanging="752"/>
        <w:spacing w:after="0" w:line="250" w:lineRule="auto"/>
        <w:tabs>
          <w:tab w:leader="none" w:pos="752" w:val="left"/>
        </w:tabs>
        <w:numPr>
          <w:ilvl w:val="0"/>
          <w:numId w:val="60"/>
        </w:numPr>
        <w:rPr>
          <w:rFonts w:ascii="Calibri" w:cs="Calibri" w:eastAsia="Calibri" w:hAnsi="Calibri"/>
          <w:sz w:val="17"/>
          <w:szCs w:val="17"/>
          <w:b w:val="1"/>
          <w:bCs w:val="1"/>
          <w:u w:val="single" w:color="auto"/>
          <w:color w:val="auto"/>
        </w:rPr>
      </w:pPr>
      <w:r>
        <w:rPr>
          <w:rFonts w:ascii="Calibri" w:cs="Calibri" w:eastAsia="Calibri" w:hAnsi="Calibri"/>
          <w:sz w:val="17"/>
          <w:szCs w:val="17"/>
          <w:b w:val="1"/>
          <w:bCs w:val="1"/>
          <w:u w:val="single" w:color="auto"/>
          <w:color w:val="auto"/>
        </w:rPr>
        <w:t>Force Majeure</w:t>
      </w:r>
      <w:r>
        <w:rPr>
          <w:rFonts w:ascii="Calibri" w:cs="Calibri" w:eastAsia="Calibri" w:hAnsi="Calibri"/>
          <w:sz w:val="17"/>
          <w:szCs w:val="17"/>
          <w:color w:val="auto"/>
        </w:rPr>
        <w:t>. If any Party will be unable to carry out the whole or any part of its obligatons under this Agreement by reason of a Force Majeure</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Event, then the performance of the obligatons under this Agreement of such Party as they are afected by such cause will be excused during the contnuance of the inability so caused, except that should such inability not be remedied within thirty (30) days afer the date of such cause, the Party not so afected may at any tme afer the expiraton of such thirty (30) day period, during the contnuance of such inability, terminate this Agreement on giving writen notce to the other Party. A “</w:t>
      </w:r>
      <w:r>
        <w:rPr>
          <w:rFonts w:ascii="Calibri" w:cs="Calibri" w:eastAsia="Calibri" w:hAnsi="Calibri"/>
          <w:sz w:val="17"/>
          <w:szCs w:val="17"/>
          <w:u w:val="single" w:color="auto"/>
          <w:color w:val="auto"/>
        </w:rPr>
        <w:t>Force Majeure Event</w:t>
      </w:r>
      <w:r>
        <w:rPr>
          <w:rFonts w:ascii="Calibri" w:cs="Calibri" w:eastAsia="Calibri" w:hAnsi="Calibri"/>
          <w:sz w:val="17"/>
          <w:szCs w:val="17"/>
          <w:color w:val="auto"/>
        </w:rPr>
        <w:t>” as used in this Agreement will mean an unantcipated event that is not reasonably within the control of the afected Party or its subcontractors (including acts of God, acts of governmental authorites, strikes, war, terrorist atacks, riot and any other causes of such nature), and which by exercise of reasonable due diligence, such afected Party or its subcontractors could not reasonably have been expected to avoid, overcome or obtain, or cause to be obtained, a commercially reasonable substtute therefore. No Party will be relieved of its obligatons hereunder if its failure of performance is due to removable or remediable causes which such Party fails to remove or remedy using commercially reasonable eforts within a reasonable tme period. Either Party rendered unable to fulfll any of its obligatons under this Agreement by reason of a Force Majeure Event will give prompt notce of such fact to the other Party, followed by writen confrmaton of notce, and will exercise due diligence to remove such inability with all reasonable dispatch.</w:t>
      </w:r>
    </w:p>
    <w:p>
      <w:pPr>
        <w:spacing w:after="0" w:line="209" w:lineRule="exact"/>
        <w:rPr>
          <w:rFonts w:ascii="Calibri" w:cs="Calibri" w:eastAsia="Calibri" w:hAnsi="Calibri"/>
          <w:sz w:val="17"/>
          <w:szCs w:val="17"/>
          <w:b w:val="1"/>
          <w:bCs w:val="1"/>
          <w:u w:val="single" w:color="auto"/>
          <w:color w:val="auto"/>
        </w:rPr>
      </w:pPr>
    </w:p>
    <w:p>
      <w:pPr>
        <w:ind w:left="752" w:hanging="752"/>
        <w:spacing w:after="0"/>
        <w:tabs>
          <w:tab w:leader="none" w:pos="752" w:val="left"/>
        </w:tabs>
        <w:numPr>
          <w:ilvl w:val="0"/>
          <w:numId w:val="60"/>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Disclaimers of Warrantes</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60"/>
        </w:numPr>
        <w:rPr>
          <w:rFonts w:ascii="Calibri" w:cs="Calibri" w:eastAsia="Calibri" w:hAnsi="Calibri"/>
          <w:sz w:val="18"/>
          <w:szCs w:val="18"/>
          <w:u w:val="single" w:color="auto"/>
          <w:color w:val="auto"/>
        </w:rPr>
      </w:pPr>
      <w:r>
        <w:rPr>
          <w:rFonts w:ascii="Calibri" w:cs="Calibri" w:eastAsia="Calibri" w:hAnsi="Calibri"/>
          <w:sz w:val="18"/>
          <w:szCs w:val="18"/>
          <w:color w:val="auto"/>
        </w:rPr>
        <w:t>EXCEPT AS OTHERWISE SET FORTH IN THIS AGREEMENT, EACH PARTY SPECIFICALLY DISCLAIMS ALL WARRANTIES OF ANY KIND, EXPRESS OR IMPLIED, ARISING OUT OF OR RELATED TO THIS AGREEMENT, INCLUDING ANY WARRANTY OF MERCHANTABILITY, OR FITNESS FOR A PARTICULAR PURPOSE, EACH OF WHICH IS HEREBY EXCLUDED BY BOTH PARTIES UNDER THIS AGREEMENT.</w:t>
      </w:r>
    </w:p>
    <w:p>
      <w:pPr>
        <w:spacing w:after="0" w:line="218"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60"/>
        </w:numPr>
        <w:rPr>
          <w:rFonts w:ascii="Calibri" w:cs="Calibri" w:eastAsia="Calibri" w:hAnsi="Calibri"/>
          <w:sz w:val="18"/>
          <w:szCs w:val="18"/>
          <w:u w:val="single" w:color="auto"/>
          <w:color w:val="auto"/>
        </w:rPr>
      </w:pPr>
      <w:r>
        <w:rPr>
          <w:rFonts w:ascii="Calibri" w:cs="Calibri" w:eastAsia="Calibri" w:hAnsi="Calibri"/>
          <w:sz w:val="18"/>
          <w:szCs w:val="18"/>
          <w:color w:val="auto"/>
        </w:rPr>
        <w:t>EXCEPT AS OTHERWISE SET FORTH IN THIS AGREEMENT, BANK’S SERVICES AND BANK SYSTEMS ARE PROVIDED “AS IS” AND “AS AVAILABLE,” WITHOUT ANY REPRESENTATION OF WARRANTY, WHETHER EXPRESSED, IMPLIED OR STATUTORY. USE OF BANK SOFTWARE SERVICES OR BANK SYSTEMS IS AT COMPANY’S OWN RISK. BANK DOES NOT WARRANT THE SERVICES OR BANK SYSTEMS WILL MEET COMPANY’S REQUIREMENTS, BE CONTINUOUS, UNINTERRUPTED, SECURE, TIMELY, OR ERROR-FREE, OR THAT DEFECTS WILL BE CORRECTED. BANK SHALL NOT BE RESPONSIBLE FOR ANY SOFTWARE SERVICE OR BANK SYSTEM INTERRUPTIONS OR SERVICE FAILURES THAT MAY AFFECT THE SERVICES OR COMPANY.</w:t>
      </w:r>
    </w:p>
    <w:p>
      <w:pPr>
        <w:spacing w:after="0" w:line="221"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60"/>
        </w:numPr>
        <w:rPr>
          <w:rFonts w:ascii="Calibri" w:cs="Calibri" w:eastAsia="Calibri" w:hAnsi="Calibri"/>
          <w:sz w:val="18"/>
          <w:szCs w:val="18"/>
          <w:u w:val="single" w:color="auto"/>
          <w:color w:val="auto"/>
        </w:rPr>
      </w:pPr>
      <w:r>
        <w:rPr>
          <w:rFonts w:ascii="Calibri" w:cs="Calibri" w:eastAsia="Calibri" w:hAnsi="Calibri"/>
          <w:sz w:val="18"/>
          <w:szCs w:val="18"/>
          <w:color w:val="auto"/>
        </w:rPr>
        <w:t>THIS DISCLAIMER OF WARRANTY, SECTION 18 (DISCLAIMER OF WARRANTIES), SHALL APPLY TO THE FULLEST EXTENT PERMITTED BY LAW IN THE APPLICABLE JURISDICTION.</w:t>
      </w:r>
    </w:p>
    <w:p>
      <w:pPr>
        <w:spacing w:after="0" w:line="212" w:lineRule="exact"/>
        <w:rPr>
          <w:rFonts w:ascii="Calibri" w:cs="Calibri" w:eastAsia="Calibri" w:hAnsi="Calibri"/>
          <w:sz w:val="18"/>
          <w:szCs w:val="18"/>
          <w:u w:val="single" w:color="auto"/>
          <w:color w:val="auto"/>
        </w:rPr>
      </w:pPr>
    </w:p>
    <w:p>
      <w:pPr>
        <w:ind w:left="752" w:hanging="752"/>
        <w:spacing w:after="0"/>
        <w:tabs>
          <w:tab w:leader="none" w:pos="752" w:val="left"/>
        </w:tabs>
        <w:numPr>
          <w:ilvl w:val="0"/>
          <w:numId w:val="60"/>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Limitaton of Liability</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60"/>
        </w:numPr>
        <w:rPr>
          <w:rFonts w:ascii="Calibri" w:cs="Calibri" w:eastAsia="Calibri" w:hAnsi="Calibri"/>
          <w:sz w:val="18"/>
          <w:szCs w:val="18"/>
          <w:u w:val="single" w:color="auto"/>
          <w:color w:val="auto"/>
        </w:rPr>
      </w:pPr>
      <w:r>
        <w:rPr>
          <w:rFonts w:ascii="Calibri" w:cs="Calibri" w:eastAsia="Calibri" w:hAnsi="Calibri"/>
          <w:sz w:val="18"/>
          <w:szCs w:val="18"/>
          <w:color w:val="auto"/>
        </w:rPr>
        <w:t>No Special Damages. No Party shall be liable to any other Party for any special, indirect, incidental, consequental, punitve or exemplary damages, including, but not limited to, lost profts, even if such Party has knowledge of the possibility of such damages; provided, however, that the limitatons set forth in this Secton 19 shall not apply to or in any way limit a claim that arises out of a Party’s gross negligence, willful misconduct or fraud and shall not apply to or in any way limit the obligatons of a Party to indemnify another Party for third party claims which are otherwise covered by the indemnity obligatons under this Agreement.</w:t>
      </w:r>
    </w:p>
    <w:p>
      <w:pPr>
        <w:spacing w:after="0" w:line="220"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60"/>
        </w:numPr>
        <w:rPr>
          <w:rFonts w:ascii="Calibri" w:cs="Calibri" w:eastAsia="Calibri" w:hAnsi="Calibri"/>
          <w:sz w:val="18"/>
          <w:szCs w:val="18"/>
          <w:u w:val="single" w:color="auto"/>
          <w:color w:val="auto"/>
        </w:rPr>
      </w:pPr>
      <w:r>
        <w:rPr>
          <w:rFonts w:ascii="Calibri" w:cs="Calibri" w:eastAsia="Calibri" w:hAnsi="Calibri"/>
          <w:sz w:val="18"/>
          <w:szCs w:val="18"/>
          <w:color w:val="auto"/>
        </w:rPr>
        <w:t>Subject to Secton 19(a), the maximum aggregate liability of Bank to Company for all claims arising out of or relatng to this Agreement, regardless of the form of any such claim, shall not exceed [**].</w:t>
      </w:r>
    </w:p>
    <w:p>
      <w:pPr>
        <w:spacing w:after="0" w:line="213"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4" w:name="page85"/>
    <w:bookmarkEnd w:id="84"/>
    <w:p>
      <w:pPr>
        <w:ind w:left="752" w:hanging="752"/>
        <w:spacing w:after="0"/>
        <w:tabs>
          <w:tab w:leader="none" w:pos="752" w:val="left"/>
        </w:tabs>
        <w:numPr>
          <w:ilvl w:val="0"/>
          <w:numId w:val="61"/>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Indemnifcaton</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61"/>
        </w:numPr>
        <w:rPr>
          <w:rFonts w:ascii="Calibri" w:cs="Calibri" w:eastAsia="Calibri" w:hAnsi="Calibri"/>
          <w:sz w:val="18"/>
          <w:szCs w:val="18"/>
          <w:u w:val="single" w:color="auto"/>
          <w:color w:val="auto"/>
        </w:rPr>
      </w:pPr>
      <w:r>
        <w:rPr>
          <w:rFonts w:ascii="Calibri" w:cs="Calibri" w:eastAsia="Calibri" w:hAnsi="Calibri"/>
          <w:sz w:val="18"/>
          <w:szCs w:val="18"/>
          <w:color w:val="auto"/>
        </w:rPr>
        <w:t>Bank agrees to indemnify and hold harmless Company and its afliates, and the ofcers, directors, members, employees, representatves, shareholders, Agents and atorneys of such enttes (the “</w:t>
      </w:r>
      <w:r>
        <w:rPr>
          <w:rFonts w:ascii="Calibri" w:cs="Calibri" w:eastAsia="Calibri" w:hAnsi="Calibri"/>
          <w:sz w:val="18"/>
          <w:szCs w:val="18"/>
          <w:u w:val="single" w:color="auto"/>
          <w:color w:val="auto"/>
        </w:rPr>
        <w:t>Company Indemnifed Partes</w:t>
      </w:r>
      <w:r>
        <w:rPr>
          <w:rFonts w:ascii="Calibri" w:cs="Calibri" w:eastAsia="Calibri" w:hAnsi="Calibri"/>
          <w:sz w:val="18"/>
          <w:szCs w:val="18"/>
          <w:color w:val="auto"/>
        </w:rPr>
        <w:t>”) from and against any and all third party claims, actons, liability, judgments, damages, costs and expenses, including reasonable atorneys’ fees (“</w:t>
      </w:r>
      <w:r>
        <w:rPr>
          <w:rFonts w:ascii="Calibri" w:cs="Calibri" w:eastAsia="Calibri" w:hAnsi="Calibri"/>
          <w:sz w:val="18"/>
          <w:szCs w:val="18"/>
          <w:u w:val="single" w:color="auto"/>
          <w:color w:val="auto"/>
        </w:rPr>
        <w:t>Losses</w:t>
      </w:r>
      <w:r>
        <w:rPr>
          <w:rFonts w:ascii="Calibri" w:cs="Calibri" w:eastAsia="Calibri" w:hAnsi="Calibri"/>
          <w:sz w:val="18"/>
          <w:szCs w:val="18"/>
          <w:color w:val="auto"/>
        </w:rPr>
        <w:t>”), that may arise from: (i) the gross negligence or willful misconduct of Bank or its agents or representatves (other than Company or its Agents or assigns) in connecton with Bank’s performance of its obligatons under this Agreement, (ii) material breaches of any of Bank’s obligatons or undertakings or representatons or warrantes under this Agreement (other than any breach resultng from Company’s performance of Company’s obligatons under this Agreement or the Debit Card Issuing Agreement) by Bank or its agents or representatves (other than Company or its Agents or assigns), or (iii) violaton by Bank or its agents or representatves (other than Company or its Agents or assigns) of any Applicable Law.</w:t>
      </w:r>
    </w:p>
    <w:p>
      <w:pPr>
        <w:spacing w:after="0" w:line="223"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61"/>
        </w:numPr>
        <w:rPr>
          <w:rFonts w:ascii="Calibri" w:cs="Calibri" w:eastAsia="Calibri" w:hAnsi="Calibri"/>
          <w:sz w:val="18"/>
          <w:szCs w:val="18"/>
          <w:u w:val="single" w:color="auto"/>
          <w:color w:val="auto"/>
        </w:rPr>
      </w:pPr>
      <w:r>
        <w:rPr>
          <w:rFonts w:ascii="Calibri" w:cs="Calibri" w:eastAsia="Calibri" w:hAnsi="Calibri"/>
          <w:sz w:val="18"/>
          <w:szCs w:val="18"/>
          <w:color w:val="auto"/>
        </w:rPr>
        <w:t>Company agrees to indemnify, defend and hold harmless Bank and its afliates, and the ofcers, directors, members, employees, representatves, shareholders, agents and atorneys of such enttes (the “Bank Indemnifed Partes”) from and against any and all Losses that may arise from: (i) the negligence or willful misconduct of Company, or its afliates, Agents or representatves (other than Bank or its agents or assigns (excluding Company)), in connecton with Company’s performance of its obligatons under this Agreement, (ii) breach of any of Company’s obligatons or undertakings or representatons or warrantes under this Agreement by Company or its afliates, Agents or representatves (other than Bank or its agents or assigns (excluding Company)), including any failure to perform any obligatons of Bank which Company has undertaken on behalf of Bank pursuant to this Agreement, (iii) violaton by Company, its afliates or its Agents or representatves (other than Bank or its agents or assigns (excluding Company)) of any Applicable Law; (iv) any fraudulent actvity related to an Deposit Account, including unauthorized use of the Deposit Account or FBO Account; (iv) any inquiry specifcally relatng to Company or its Agents or the Program by any law enforcement, regulatory, or administratve agency, whether local, state, or federal, or self-regulatory, including but not limited to a civil investgatve demand, subpoena, or any other formal or informal request for informaton or documents; (v) any fnes or assessments by a Regulatory Authority or NACHA based on the actons or omissions of Company; (vi) any Security Breach sufered by Company; or (vii) allegaton that Bank’s use of Company sofware or service(s) as contemplated hereunder infringes the Intellectual Property of a third party.</w:t>
      </w:r>
    </w:p>
    <w:p>
      <w:pPr>
        <w:spacing w:after="0" w:line="22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61"/>
        </w:numPr>
        <w:rPr>
          <w:rFonts w:ascii="Calibri" w:cs="Calibri" w:eastAsia="Calibri" w:hAnsi="Calibri"/>
          <w:sz w:val="18"/>
          <w:szCs w:val="18"/>
          <w:u w:val="single" w:color="auto"/>
          <w:color w:val="auto"/>
        </w:rPr>
      </w:pPr>
      <w:r>
        <w:rPr>
          <w:rFonts w:ascii="Calibri" w:cs="Calibri" w:eastAsia="Calibri" w:hAnsi="Calibri"/>
          <w:sz w:val="18"/>
          <w:szCs w:val="18"/>
          <w:color w:val="auto"/>
        </w:rPr>
        <w:t>Company Indemnifed Partes and Bank Indemnifed Partes are sometmes referred to herein as the “Indemnifed Partes”, and Company or Bank, as indemnitor hereunder, is sometmes referred to herein as the “Indemnifying Party”. Any Indemnifed Party seeking indemnifcaton hereunder shall promptly notfy the Indemnifying Party, in writng, of any notce of the asserton by any third party of any claim or of the commencement by any third party of any legal or regulatory proceeding, arbitraton or acton, or if the Indemnifed Party determines the existence of any such claim or the commencement by any third party of any such legal or regulatory proceeding, arbitraton or acton, whether or not the same shall have been asserted or initated, in any case with respect to which the Indemnifying Party is or may be obligated to provide indemnifcaton (an “</w:t>
      </w:r>
      <w:r>
        <w:rPr>
          <w:rFonts w:ascii="Calibri" w:cs="Calibri" w:eastAsia="Calibri" w:hAnsi="Calibri"/>
          <w:sz w:val="18"/>
          <w:szCs w:val="18"/>
          <w:u w:val="single" w:color="auto"/>
          <w:color w:val="auto"/>
        </w:rPr>
        <w:t>Indemnifable Claim</w:t>
      </w:r>
      <w:r>
        <w:rPr>
          <w:rFonts w:ascii="Calibri" w:cs="Calibri" w:eastAsia="Calibri" w:hAnsi="Calibri"/>
          <w:sz w:val="18"/>
          <w:szCs w:val="18"/>
          <w:color w:val="auto"/>
        </w:rPr>
        <w:t>”), specifying in reasonable detail the nature of the Loss, and, if known, the amount, or an estmate of the amount, of the Loss, provided that failure to promptly give such notce shall only limit the liability of the Indemnifying Party to the extent of the actual prejudice, if any, sufered by such Indemnifying Party as a result of such failure. The Indemnifed Party shall provide to the Indemnifying Party as promptly as practcable thereafer informaton and documentaton reasonably requested by such Indemnifying Party to defend against the claim asserted.</w:t>
      </w:r>
    </w:p>
    <w:p>
      <w:pPr>
        <w:spacing w:after="0" w:line="225"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61"/>
        </w:numPr>
        <w:rPr>
          <w:rFonts w:ascii="Calibri" w:cs="Calibri" w:eastAsia="Calibri" w:hAnsi="Calibri"/>
          <w:sz w:val="18"/>
          <w:szCs w:val="18"/>
          <w:u w:val="single" w:color="auto"/>
          <w:color w:val="auto"/>
        </w:rPr>
      </w:pPr>
      <w:r>
        <w:rPr>
          <w:rFonts w:ascii="Calibri" w:cs="Calibri" w:eastAsia="Calibri" w:hAnsi="Calibri"/>
          <w:sz w:val="18"/>
          <w:szCs w:val="18"/>
          <w:color w:val="auto"/>
        </w:rPr>
        <w:t>The Indemnifying Party shall have thirty (30) days afer receipt of any notfcaton of an Indemnifable Claim (a “Claim Notce”) to undertake, conduct and control, through counsel of its own choosing, and at its own expense, the setlement or defense thereof and the Indemnifed Party shall cooperate with the Indemnifying Party in connecton therewith if such cooperaton is so requested and the request is reasonable; provided that the Indemnifying Party shall hold the Indemnifed Party harmless from all its out-of-pocket expenses, including reasonable atorneys’ fees incurred in connecton with the Indemnifed Party’s cooperaton. If the Indemnifying Party assumes responsibility for the setlement or defense of any such claim, (i) the Indemnifying Party shall permit the Indemnifed Party to partcipate in such setlement or defense through counsel chosen by the Indemnifed Party (subject to the consent of the Indemnifying Party, which consent shall not be unreasonably withheld); provided that, other than in the event of a confict of interest requiring the retenton of separate counsel, the fees and expenses of such counsel shall not be borne by the Indemnifying Party; and (ii) the Indemnifying Party shall not setle any Indemnifable Claim without the Indemnifed Party’s consent, which involves anything other than the payment of money, including any admission by the Indemnifed Party. So long as the Indemnifying Party is vigorously contestng any such Indemnifable Claim in good faith, the Indemnifed Party shall not pay or setle such claim without the Indemnifying Party’s consent.</w:t>
      </w:r>
    </w:p>
    <w:p>
      <w:pPr>
        <w:spacing w:after="0" w:line="222"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8" w:right="339" w:bottom="1440" w:gutter="0" w:footer="0" w:header="0"/>
        </w:sectPr>
      </w:pPr>
    </w:p>
    <w:bookmarkStart w:id="85" w:name="page86"/>
    <w:bookmarkEnd w:id="85"/>
    <w:p>
      <w:pPr>
        <w:jc w:val="both"/>
        <w:ind w:left="1492" w:hanging="743"/>
        <w:spacing w:after="0" w:line="235" w:lineRule="auto"/>
        <w:tabs>
          <w:tab w:leader="none" w:pos="1492" w:val="left"/>
        </w:tabs>
        <w:numPr>
          <w:ilvl w:val="1"/>
          <w:numId w:val="62"/>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If the Indemnifying Party does not notfy the Indemnifed Party within thirty (30) days afer receipt of the Claim Notce that it elects to undertake the defense of the Indemnifable Claim described therein, or if the Indemnifying Party fails to contest vigorously any such Indemnifable Claim, the Indemnifed Party shall have the right, upon notce to the Indemnifying Party, to contest, setle or compromise the Indemnifable Claim in the exercise of its reasonable discreton; provided that the Indemnifed Party shall notfy the Indemnifying Party of any compromise or setlement of any such Indemnifable Claim. No acton taken by the Indemnifed Party pursuant to this Secton 20(e) shall deprive the Indemnifed Party of its rights to indemnifcaton pursuant to this Secton 20 (Indemnifcaton).</w:t>
      </w:r>
    </w:p>
    <w:p>
      <w:pPr>
        <w:spacing w:after="0" w:line="221" w:lineRule="exact"/>
        <w:rPr>
          <w:rFonts w:ascii="Calibri" w:cs="Calibri" w:eastAsia="Calibri" w:hAnsi="Calibri"/>
          <w:sz w:val="18"/>
          <w:szCs w:val="18"/>
          <w:u w:val="single" w:color="auto"/>
          <w:color w:val="auto"/>
        </w:rPr>
      </w:pPr>
    </w:p>
    <w:p>
      <w:pPr>
        <w:jc w:val="both"/>
        <w:ind w:left="752" w:hanging="752"/>
        <w:spacing w:after="0" w:line="235" w:lineRule="auto"/>
        <w:tabs>
          <w:tab w:leader="none" w:pos="752" w:val="left"/>
        </w:tabs>
        <w:numPr>
          <w:ilvl w:val="0"/>
          <w:numId w:val="63"/>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Independent Contractors</w:t>
      </w:r>
      <w:r>
        <w:rPr>
          <w:rFonts w:ascii="Calibri" w:cs="Calibri" w:eastAsia="Calibri" w:hAnsi="Calibri"/>
          <w:sz w:val="18"/>
          <w:szCs w:val="18"/>
          <w:color w:val="auto"/>
        </w:rPr>
        <w:t>. It is understood that both Partes hereto are independent contractors and engage in the operaton of their own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respectve businesses. Each Party shall be fully responsible for its own employees, servants and agents, and the employees, servants and agents of one Party shall not be deemed to be employees, servants and agents of the other Party for any purpose whatsoever.</w:t>
      </w:r>
    </w:p>
    <w:p>
      <w:pPr>
        <w:spacing w:after="0" w:line="218" w:lineRule="exact"/>
        <w:rPr>
          <w:rFonts w:ascii="Calibri" w:cs="Calibri" w:eastAsia="Calibri" w:hAnsi="Calibri"/>
          <w:sz w:val="18"/>
          <w:szCs w:val="18"/>
          <w:b w:val="1"/>
          <w:bCs w:val="1"/>
          <w:u w:val="single" w:color="auto"/>
          <w:color w:val="auto"/>
        </w:rPr>
      </w:pPr>
    </w:p>
    <w:p>
      <w:pPr>
        <w:jc w:val="both"/>
        <w:ind w:left="752" w:hanging="752"/>
        <w:spacing w:after="0" w:line="235" w:lineRule="auto"/>
        <w:tabs>
          <w:tab w:leader="none" w:pos="752" w:val="left"/>
        </w:tabs>
        <w:numPr>
          <w:ilvl w:val="0"/>
          <w:numId w:val="63"/>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Insurance</w:t>
      </w:r>
      <w:r>
        <w:rPr>
          <w:rFonts w:ascii="Calibri" w:cs="Calibri" w:eastAsia="Calibri" w:hAnsi="Calibri"/>
          <w:sz w:val="18"/>
          <w:szCs w:val="18"/>
          <w:color w:val="auto"/>
        </w:rPr>
        <w:t>. Company shall procure, pay for and maintain the minimum insurance coverage set forth below for the entre term of the Agreement.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All insurance coverage is subject to the approval of Bank and shall be issued by a fscally sound insurance carrier which maintains an A.M. Best Ratng of A- VII or beter. The General Liability policy shall name Bank as additonal insured on the General Liability policy:</w:t>
      </w:r>
    </w:p>
    <w:p>
      <w:pPr>
        <w:spacing w:after="0" w:line="213" w:lineRule="exact"/>
        <w:rPr>
          <w:rFonts w:ascii="Calibri" w:cs="Calibri" w:eastAsia="Calibri" w:hAnsi="Calibri"/>
          <w:sz w:val="18"/>
          <w:szCs w:val="18"/>
          <w:b w:val="1"/>
          <w:bCs w:val="1"/>
          <w:u w:val="single" w:color="auto"/>
          <w:color w:val="auto"/>
        </w:rPr>
      </w:pPr>
    </w:p>
    <w:p>
      <w:pPr>
        <w:ind w:left="1492" w:hanging="743"/>
        <w:spacing w:after="0"/>
        <w:tabs>
          <w:tab w:leader="none" w:pos="1492" w:val="left"/>
        </w:tabs>
        <w:numPr>
          <w:ilvl w:val="1"/>
          <w:numId w:val="63"/>
        </w:numPr>
        <w:rPr>
          <w:rFonts w:ascii="Calibri" w:cs="Calibri" w:eastAsia="Calibri" w:hAnsi="Calibri"/>
          <w:sz w:val="18"/>
          <w:szCs w:val="18"/>
          <w:u w:val="single" w:color="auto"/>
          <w:color w:val="auto"/>
        </w:rPr>
      </w:pPr>
      <w:r>
        <w:rPr>
          <w:rFonts w:ascii="Calibri" w:cs="Calibri" w:eastAsia="Calibri" w:hAnsi="Calibri"/>
          <w:sz w:val="18"/>
          <w:szCs w:val="18"/>
          <w:color w:val="auto"/>
        </w:rPr>
        <w:t>Workers’ Compensaton insurance providing coverage pursuant to statutory requirements.</w:t>
      </w:r>
    </w:p>
    <w:p>
      <w:pPr>
        <w:spacing w:after="0" w:line="21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63"/>
        </w:numPr>
        <w:rPr>
          <w:rFonts w:ascii="Calibri" w:cs="Calibri" w:eastAsia="Calibri" w:hAnsi="Calibri"/>
          <w:sz w:val="18"/>
          <w:szCs w:val="18"/>
          <w:u w:val="single" w:color="auto"/>
          <w:color w:val="auto"/>
        </w:rPr>
      </w:pPr>
      <w:r>
        <w:rPr>
          <w:rFonts w:ascii="Calibri" w:cs="Calibri" w:eastAsia="Calibri" w:hAnsi="Calibri"/>
          <w:sz w:val="18"/>
          <w:szCs w:val="18"/>
          <w:color w:val="auto"/>
        </w:rPr>
        <w:t>Commercial General Liability insurance with Completed Product and Operatons covering bodily injury, property damage, and including contractual liability coverage with a combined limit of [**] per occurrence and [**] general aggregate. The Commercial General Liability insurance policy shall name Bank as additonal insured but solely as it relates to insurable losses and expenses that result from Company’s actvites in the servicing of the Program. Such policy shall contain a waiver of subrogaton in favor of Bank.</w:t>
      </w:r>
    </w:p>
    <w:p>
      <w:pPr>
        <w:spacing w:after="0" w:line="219"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63"/>
        </w:numPr>
        <w:rPr>
          <w:rFonts w:ascii="Calibri" w:cs="Calibri" w:eastAsia="Calibri" w:hAnsi="Calibri"/>
          <w:sz w:val="18"/>
          <w:szCs w:val="18"/>
          <w:u w:val="single" w:color="auto"/>
          <w:color w:val="auto"/>
        </w:rPr>
      </w:pPr>
      <w:r>
        <w:rPr>
          <w:rFonts w:ascii="Calibri" w:cs="Calibri" w:eastAsia="Calibri" w:hAnsi="Calibri"/>
          <w:sz w:val="18"/>
          <w:szCs w:val="18"/>
          <w:color w:val="auto"/>
        </w:rPr>
        <w:t>Commercial Umbrella Liability insurance with per occurrence and aggregate limits of [**] with the liability insurance required under clauses (a) and (b) above scheduled as underlying.</w:t>
      </w:r>
    </w:p>
    <w:p>
      <w:pPr>
        <w:spacing w:after="0" w:line="217" w:lineRule="exact"/>
        <w:rPr>
          <w:rFonts w:ascii="Calibri" w:cs="Calibri" w:eastAsia="Calibri" w:hAnsi="Calibri"/>
          <w:sz w:val="18"/>
          <w:szCs w:val="18"/>
          <w:u w:val="single" w:color="auto"/>
          <w:color w:val="auto"/>
        </w:rPr>
      </w:pPr>
    </w:p>
    <w:p>
      <w:pPr>
        <w:jc w:val="both"/>
        <w:ind w:left="1492" w:hanging="743"/>
        <w:spacing w:after="0" w:line="235" w:lineRule="auto"/>
        <w:tabs>
          <w:tab w:leader="none" w:pos="1492" w:val="left"/>
        </w:tabs>
        <w:numPr>
          <w:ilvl w:val="1"/>
          <w:numId w:val="63"/>
        </w:numPr>
        <w:rPr>
          <w:rFonts w:ascii="Calibri" w:cs="Calibri" w:eastAsia="Calibri" w:hAnsi="Calibri"/>
          <w:sz w:val="18"/>
          <w:szCs w:val="18"/>
          <w:u w:val="single" w:color="auto"/>
          <w:color w:val="auto"/>
        </w:rPr>
      </w:pPr>
      <w:r>
        <w:rPr>
          <w:rFonts w:ascii="Calibri" w:cs="Calibri" w:eastAsia="Calibri" w:hAnsi="Calibri"/>
          <w:sz w:val="18"/>
          <w:szCs w:val="18"/>
          <w:color w:val="auto"/>
        </w:rPr>
        <w:t>Commercial Crime insurance covering Employee Thef and Computer Fraud with limits of [**] per loss for loss or damage arising out of fraudulent or dishonest acts commited by the employees of Company, actng alone or in collusion with others, including the property and funds of others in their possession, care, custody or control.</w:t>
      </w:r>
    </w:p>
    <w:p>
      <w:pPr>
        <w:spacing w:after="0" w:line="213"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63"/>
        </w:numPr>
        <w:rPr>
          <w:rFonts w:ascii="Calibri" w:cs="Calibri" w:eastAsia="Calibri" w:hAnsi="Calibri"/>
          <w:sz w:val="18"/>
          <w:szCs w:val="18"/>
          <w:u w:val="single" w:color="auto"/>
          <w:color w:val="auto"/>
        </w:rPr>
      </w:pPr>
      <w:r>
        <w:rPr>
          <w:rFonts w:ascii="Calibri" w:cs="Calibri" w:eastAsia="Calibri" w:hAnsi="Calibri"/>
          <w:sz w:val="18"/>
          <w:szCs w:val="18"/>
          <w:color w:val="auto"/>
        </w:rPr>
        <w:t>Technology Errors and Omissions Liability insurance in the amount of [**] per claim and aggregate.</w:t>
      </w:r>
    </w:p>
    <w:p>
      <w:pPr>
        <w:spacing w:after="0" w:line="217" w:lineRule="exact"/>
        <w:rPr>
          <w:sz w:val="20"/>
          <w:szCs w:val="20"/>
          <w:color w:val="auto"/>
        </w:rPr>
      </w:pPr>
    </w:p>
    <w:p>
      <w:pPr>
        <w:jc w:val="both"/>
        <w:ind w:left="752"/>
        <w:spacing w:after="0" w:line="235" w:lineRule="auto"/>
        <w:rPr>
          <w:sz w:val="20"/>
          <w:szCs w:val="20"/>
          <w:color w:val="auto"/>
        </w:rPr>
      </w:pPr>
      <w:r>
        <w:rPr>
          <w:rFonts w:ascii="Calibri" w:cs="Calibri" w:eastAsia="Calibri" w:hAnsi="Calibri"/>
          <w:sz w:val="18"/>
          <w:szCs w:val="18"/>
          <w:color w:val="auto"/>
        </w:rPr>
        <w:t>Company must furnish Bank with certfcates of insurance as evidence of the above insurance requirements prior to commencement of operatons under the Agreement. Such certfcates shall verify that Bank is named as additonal insured and the waiver of subrogaton in favor of Bank under the Commercial General Liability policy as required herein, and that in the event of a cancellaton or material change in coverage, Bank would be given thirty (30) days prior writen notce. In the event Company receives notce of cancellaton for any of the required policies, Company shall use commercially reasonable eforts to provide at least thirty (30) days prior notce of such event to Bank, unless the required coverage is immediately replaced by similar coverage in scope and limits. Failure of Company to provide or of Bank to request a certfcate of insurance shall not waive Company’s obligaton under this Agreement to maintain the insurance required herein. In the event Company fails to maintain the insurance set forth herein Bank shall have the right to terminate this Agreement immediately upon writen notce.</w:t>
      </w:r>
    </w:p>
    <w:p>
      <w:pPr>
        <w:spacing w:after="0" w:line="218" w:lineRule="exact"/>
        <w:rPr>
          <w:sz w:val="20"/>
          <w:szCs w:val="20"/>
          <w:color w:val="auto"/>
        </w:rPr>
      </w:pPr>
    </w:p>
    <w:p>
      <w:pPr>
        <w:ind w:left="752" w:hanging="752"/>
        <w:spacing w:after="0"/>
        <w:tabs>
          <w:tab w:leader="none" w:pos="752" w:val="left"/>
        </w:tabs>
        <w:numPr>
          <w:ilvl w:val="0"/>
          <w:numId w:val="64"/>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Subcontractors</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64"/>
        </w:numPr>
        <w:rPr>
          <w:rFonts w:ascii="Calibri" w:cs="Calibri" w:eastAsia="Calibri" w:hAnsi="Calibri"/>
          <w:sz w:val="18"/>
          <w:szCs w:val="18"/>
          <w:u w:val="single" w:color="auto"/>
          <w:color w:val="auto"/>
        </w:rPr>
      </w:pPr>
      <w:r>
        <w:rPr>
          <w:rFonts w:ascii="Calibri" w:cs="Calibri" w:eastAsia="Calibri" w:hAnsi="Calibri"/>
          <w:sz w:val="18"/>
          <w:szCs w:val="18"/>
          <w:color w:val="auto"/>
        </w:rPr>
        <w:t>Company may from tme to tme retain the services of one or more Agents to perform some of the services and obligatons Company has agreed to perform pursuant to this Agreement; provided, however, it must frst obtain Bank’s writen approval in the event such subcontractor is performing a Critcal Service (“</w:t>
      </w:r>
      <w:r>
        <w:rPr>
          <w:rFonts w:ascii="Calibri" w:cs="Calibri" w:eastAsia="Calibri" w:hAnsi="Calibri"/>
          <w:sz w:val="18"/>
          <w:szCs w:val="18"/>
          <w:u w:val="single" w:color="auto"/>
          <w:color w:val="auto"/>
        </w:rPr>
        <w:t>Critcal Service Provider</w:t>
      </w:r>
      <w:r>
        <w:rPr>
          <w:rFonts w:ascii="Calibri" w:cs="Calibri" w:eastAsia="Calibri" w:hAnsi="Calibri"/>
          <w:sz w:val="18"/>
          <w:szCs w:val="18"/>
          <w:color w:val="auto"/>
        </w:rPr>
        <w:t>”). “Critcal Services” shall mean services that (i) grants, permits or require a third party to access, store, transmit or process Depositor Informaton or Bank’s Confdental Informaton in connecton with a Program, (ii) involve signifcant bank functons or other actvites that could cause Bank to face signifcant risk if the third party fails to meet expectatons, (iii) could have signifcant Applicant, consumer or Customer impacts, (iv) require signifcant Bank investment in resources to implement the third-party relatonship and manage the risk, (v) could have a material impact on Bank operatons if the Bank has to fnd an alternate third party or if the outsourced actvity has to be brought in-house; or (vi) any other service determined by Bank to be critcal in its reasonable discreton.</w:t>
      </w:r>
    </w:p>
    <w:p>
      <w:pPr>
        <w:spacing w:after="0" w:line="219"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6" w:name="page87"/>
    <w:bookmarkEnd w:id="86"/>
    <w:p>
      <w:pPr>
        <w:jc w:val="both"/>
        <w:ind w:left="1492" w:hanging="743"/>
        <w:spacing w:after="0" w:line="235" w:lineRule="auto"/>
        <w:tabs>
          <w:tab w:leader="none" w:pos="1492" w:val="left"/>
        </w:tabs>
        <w:numPr>
          <w:ilvl w:val="1"/>
          <w:numId w:val="65"/>
        </w:numPr>
        <w:rPr>
          <w:rFonts w:ascii="Calibri" w:cs="Calibri" w:eastAsia="Calibri" w:hAnsi="Calibri"/>
          <w:sz w:val="18"/>
          <w:szCs w:val="18"/>
          <w:u w:val="single" w:color="auto"/>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Company shall be responsible for obtaining a writen agreement with all Agents for the rendering of such services and shall be responsible for all obligatons with each Agent. Such writen agreements shall be available to Bank for review upon its request. Bank may, in its sole discreton, require any writen agreement with a Critcal Service Provider to be amended or modifed to comply with Bank’s policies and procedures, Applicable Law, NACHA Rules, payment network rules or any instructon of Regulatory Authority. Bank may require Company to terminate or replace any Agent in the event Bank or a Regulatory Authority determines that such Agent’s performance violates Applicable Law or the terms of this Agreement. Company understands that it must inform Bank in writng regarding the use of any Critcal Service Provider so that Bank may complete a due diligence review of such Critcal Service Provider in compliance with Bank’s policies and procedures and Applicable Law, including, but not limited to, compliance with FFIEC guidance on Vendor and Third Party Management. Company shall be responsible for all costs and expenses, including reasonable atorneys’ fees, incurred by Bank in connecton with diligence of and approval of any Critcal Service Provider.</w:t>
      </w:r>
    </w:p>
    <w:p>
      <w:pPr>
        <w:spacing w:after="0" w:line="224" w:lineRule="exact"/>
        <w:rPr>
          <w:rFonts w:ascii="Calibri" w:cs="Calibri" w:eastAsia="Calibri" w:hAnsi="Calibri"/>
          <w:sz w:val="18"/>
          <w:szCs w:val="18"/>
          <w:u w:val="single" w:color="auto"/>
          <w:color w:val="auto"/>
        </w:rPr>
      </w:pPr>
    </w:p>
    <w:p>
      <w:pPr>
        <w:jc w:val="both"/>
        <w:ind w:left="1492" w:hanging="743"/>
        <w:spacing w:after="0" w:line="251" w:lineRule="auto"/>
        <w:tabs>
          <w:tab w:leader="none" w:pos="1492" w:val="left"/>
        </w:tabs>
        <w:numPr>
          <w:ilvl w:val="1"/>
          <w:numId w:val="65"/>
        </w:numPr>
        <w:rPr>
          <w:rFonts w:ascii="Calibri" w:cs="Calibri" w:eastAsia="Calibri" w:hAnsi="Calibri"/>
          <w:sz w:val="17"/>
          <w:szCs w:val="17"/>
          <w:u w:val="single" w:color="auto"/>
          <w:color w:val="auto"/>
        </w:rPr>
      </w:pPr>
      <w:r>
        <w:rPr>
          <w:rFonts w:ascii="Calibri" w:cs="Calibri" w:eastAsia="Calibri" w:hAnsi="Calibri"/>
          <w:sz w:val="17"/>
          <w:szCs w:val="17"/>
          <w:color w:val="auto"/>
        </w:rPr>
        <w:t>Company shall remain liable for any services performed by any and all Agents. Company shall include provisions in any agreement with a Critcal Service Provider requiring the Critcal Service Provider to allow Bank and any Regulatory Authority having jurisdicton over Bank to audit, inspect and review their facilites, personnel, fles and records insofar as they relate to Deposit Accounts or the Program. Any audit, inspecton or review as provided hereunder shall be on terms reasonably similar to the audit terms set forth in Secton 8. Company shall also use commercially reasonable eforts to include provisions in any new or existng agreement with any other Critcal Service Provider requiring the Critcal Service Provider to allow Bank and any Regulatory Authority having jurisdicton over Bank to audit, inspect and review their facilites, personnel, fles and records insofar as they relate to the Deposit Accounts or the Program.</w:t>
      </w:r>
    </w:p>
    <w:p>
      <w:pPr>
        <w:spacing w:after="0" w:line="208" w:lineRule="exact"/>
        <w:rPr>
          <w:rFonts w:ascii="Calibri" w:cs="Calibri" w:eastAsia="Calibri" w:hAnsi="Calibri"/>
          <w:sz w:val="17"/>
          <w:szCs w:val="17"/>
          <w:u w:val="single" w:color="auto"/>
          <w:color w:val="auto"/>
        </w:rPr>
      </w:pPr>
    </w:p>
    <w:p>
      <w:pPr>
        <w:ind w:left="752" w:hanging="752"/>
        <w:spacing w:after="0" w:line="235" w:lineRule="auto"/>
        <w:tabs>
          <w:tab w:leader="none" w:pos="752" w:val="left"/>
        </w:tabs>
        <w:numPr>
          <w:ilvl w:val="0"/>
          <w:numId w:val="66"/>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Nonexclusivity</w:t>
      </w:r>
      <w:r>
        <w:rPr>
          <w:rFonts w:ascii="Calibri" w:cs="Calibri" w:eastAsia="Calibri" w:hAnsi="Calibri"/>
          <w:sz w:val="18"/>
          <w:szCs w:val="18"/>
          <w:color w:val="auto"/>
        </w:rPr>
        <w:t>. Bank and Company agree that this Agreement is not intended to create an exclusive relatonship of any type between Bank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Bank and Company may each enter into similar arrangements with one or more third partes.</w:t>
      </w:r>
    </w:p>
    <w:p>
      <w:pPr>
        <w:spacing w:after="0" w:line="217" w:lineRule="exact"/>
        <w:rPr>
          <w:rFonts w:ascii="Calibri" w:cs="Calibri" w:eastAsia="Calibri" w:hAnsi="Calibri"/>
          <w:sz w:val="18"/>
          <w:szCs w:val="18"/>
          <w:b w:val="1"/>
          <w:bCs w:val="1"/>
          <w:u w:val="single" w:color="auto"/>
          <w:color w:val="auto"/>
        </w:rPr>
      </w:pPr>
    </w:p>
    <w:p>
      <w:pPr>
        <w:ind w:left="752" w:right="20" w:hanging="752"/>
        <w:spacing w:after="0" w:line="235" w:lineRule="auto"/>
        <w:tabs>
          <w:tab w:leader="none" w:pos="752" w:val="left"/>
        </w:tabs>
        <w:numPr>
          <w:ilvl w:val="0"/>
          <w:numId w:val="66"/>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Assignment</w:t>
      </w:r>
      <w:r>
        <w:rPr>
          <w:rFonts w:ascii="Calibri" w:cs="Calibri" w:eastAsia="Calibri" w:hAnsi="Calibri"/>
          <w:sz w:val="18"/>
          <w:szCs w:val="18"/>
          <w:color w:val="auto"/>
        </w:rPr>
        <w:t>. Except with respect to a Transiton Plan, no Party may, without writen approval of the other Party assign this Agreement or transfer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its interest or any part thereof under this Agreement to any third party.</w:t>
      </w:r>
    </w:p>
    <w:p>
      <w:pPr>
        <w:spacing w:after="0" w:line="217" w:lineRule="exact"/>
        <w:rPr>
          <w:rFonts w:ascii="Calibri" w:cs="Calibri" w:eastAsia="Calibri" w:hAnsi="Calibri"/>
          <w:sz w:val="18"/>
          <w:szCs w:val="18"/>
          <w:b w:val="1"/>
          <w:bCs w:val="1"/>
          <w:u w:val="single" w:color="auto"/>
          <w:color w:val="auto"/>
        </w:rPr>
      </w:pPr>
    </w:p>
    <w:p>
      <w:pPr>
        <w:jc w:val="both"/>
        <w:ind w:left="752" w:hanging="752"/>
        <w:spacing w:after="0" w:line="235" w:lineRule="auto"/>
        <w:tabs>
          <w:tab w:leader="none" w:pos="752" w:val="left"/>
        </w:tabs>
        <w:numPr>
          <w:ilvl w:val="0"/>
          <w:numId w:val="66"/>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Injunctve Relief</w:t>
      </w:r>
      <w:r>
        <w:rPr>
          <w:rFonts w:ascii="Calibri" w:cs="Calibri" w:eastAsia="Calibri" w:hAnsi="Calibri"/>
          <w:sz w:val="18"/>
          <w:szCs w:val="18"/>
          <w:color w:val="auto"/>
        </w:rPr>
        <w:t>. Each Party acknowledges that a violaton of Secton 14 (Confdentality) would cause immediate and irreparable harm for which</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money damages would be inadequate. Therefore, the harmed Party will be enttled to injunctve relief for the other Party’s breach of any of its obligatons under the said Artcles without proof of actual damages and without the postng of bond or other security. Such remedy shall not be deemed to be the exclusive remedy for such violaton but shall be in additon to all other remedies available at law or in equity.</w:t>
      </w:r>
    </w:p>
    <w:p>
      <w:pPr>
        <w:spacing w:after="0" w:line="214" w:lineRule="exact"/>
        <w:rPr>
          <w:rFonts w:ascii="Calibri" w:cs="Calibri" w:eastAsia="Calibri" w:hAnsi="Calibri"/>
          <w:sz w:val="18"/>
          <w:szCs w:val="18"/>
          <w:b w:val="1"/>
          <w:bCs w:val="1"/>
          <w:u w:val="single" w:color="auto"/>
          <w:color w:val="auto"/>
        </w:rPr>
      </w:pPr>
    </w:p>
    <w:p>
      <w:pPr>
        <w:ind w:left="752" w:hanging="752"/>
        <w:spacing w:after="0"/>
        <w:tabs>
          <w:tab w:leader="none" w:pos="752" w:val="left"/>
        </w:tabs>
        <w:numPr>
          <w:ilvl w:val="0"/>
          <w:numId w:val="66"/>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Governing Law and Dispute Resoluton</w:t>
      </w:r>
      <w:r>
        <w:rPr>
          <w:rFonts w:ascii="Calibri" w:cs="Calibri" w:eastAsia="Calibri" w:hAnsi="Calibri"/>
          <w:sz w:val="18"/>
          <w:szCs w:val="18"/>
          <w:color w:val="auto"/>
        </w:rPr>
        <w:t>.</w:t>
      </w:r>
    </w:p>
    <w:p>
      <w:pPr>
        <w:spacing w:after="0" w:line="217" w:lineRule="exact"/>
        <w:rPr>
          <w:rFonts w:ascii="Calibri" w:cs="Calibri" w:eastAsia="Calibri" w:hAnsi="Calibri"/>
          <w:sz w:val="18"/>
          <w:szCs w:val="18"/>
          <w:b w:val="1"/>
          <w:bCs w:val="1"/>
          <w:u w:val="single" w:color="auto"/>
          <w:color w:val="auto"/>
        </w:rPr>
      </w:pPr>
    </w:p>
    <w:p>
      <w:pPr>
        <w:jc w:val="both"/>
        <w:ind w:left="1492" w:hanging="743"/>
        <w:spacing w:after="0" w:line="235" w:lineRule="auto"/>
        <w:tabs>
          <w:tab w:leader="none" w:pos="1492" w:val="left"/>
        </w:tabs>
        <w:numPr>
          <w:ilvl w:val="1"/>
          <w:numId w:val="66"/>
        </w:numPr>
        <w:rPr>
          <w:rFonts w:ascii="Calibri" w:cs="Calibri" w:eastAsia="Calibri" w:hAnsi="Calibri"/>
          <w:sz w:val="18"/>
          <w:szCs w:val="18"/>
          <w:u w:val="single" w:color="auto"/>
          <w:color w:val="auto"/>
        </w:rPr>
      </w:pPr>
      <w:r>
        <w:rPr>
          <w:rFonts w:ascii="Calibri" w:cs="Calibri" w:eastAsia="Calibri" w:hAnsi="Calibri"/>
          <w:sz w:val="18"/>
          <w:szCs w:val="18"/>
          <w:color w:val="auto"/>
        </w:rPr>
        <w:t>This Agreement shall be interpreted and construed in accordance with the laws of the State of Tennessee, without giving efect to the rules, policies, or principles thereof with respect to conficts of laws. Each Party hereby submits to the jurisdicton of the courts of Tennessee, and (subject to Bank’s reservaton of preempton rights herein).</w:t>
      </w:r>
    </w:p>
    <w:p>
      <w:pPr>
        <w:spacing w:after="0" w:line="218" w:lineRule="exact"/>
        <w:rPr>
          <w:rFonts w:ascii="Calibri" w:cs="Calibri" w:eastAsia="Calibri" w:hAnsi="Calibri"/>
          <w:sz w:val="18"/>
          <w:szCs w:val="18"/>
          <w:u w:val="single" w:color="auto"/>
          <w:color w:val="auto"/>
        </w:rPr>
      </w:pPr>
    </w:p>
    <w:p>
      <w:pPr>
        <w:ind w:left="1492" w:hanging="743"/>
        <w:spacing w:after="0" w:line="235" w:lineRule="auto"/>
        <w:tabs>
          <w:tab w:leader="none" w:pos="1492" w:val="left"/>
        </w:tabs>
        <w:numPr>
          <w:ilvl w:val="1"/>
          <w:numId w:val="66"/>
        </w:numPr>
        <w:rPr>
          <w:rFonts w:ascii="Calibri" w:cs="Calibri" w:eastAsia="Calibri" w:hAnsi="Calibri"/>
          <w:sz w:val="18"/>
          <w:szCs w:val="18"/>
          <w:u w:val="single" w:color="auto"/>
          <w:color w:val="auto"/>
        </w:rPr>
      </w:pPr>
      <w:r>
        <w:rPr>
          <w:rFonts w:ascii="Calibri" w:cs="Calibri" w:eastAsia="Calibri" w:hAnsi="Calibri"/>
          <w:sz w:val="18"/>
          <w:szCs w:val="18"/>
          <w:color w:val="auto"/>
        </w:rPr>
        <w:t>TO THE EXTENT PERMITTED BY APPLICABLE LAW, THE PARTIES HEREBY EXPRESSLY WAIVE ANY RIGHT TO TRIAL BY JURY OF ANY CLAIM, DEMAND, ACTION OR CAUSE OF ACTION ARISING HEREUNDER.</w:t>
      </w:r>
    </w:p>
    <w:p>
      <w:pPr>
        <w:spacing w:after="0" w:line="212" w:lineRule="exact"/>
        <w:rPr>
          <w:rFonts w:ascii="Calibri" w:cs="Calibri" w:eastAsia="Calibri" w:hAnsi="Calibri"/>
          <w:sz w:val="18"/>
          <w:szCs w:val="18"/>
          <w:u w:val="single" w:color="auto"/>
          <w:color w:val="auto"/>
        </w:rPr>
      </w:pPr>
    </w:p>
    <w:p>
      <w:pPr>
        <w:ind w:left="1492" w:hanging="743"/>
        <w:spacing w:after="0"/>
        <w:tabs>
          <w:tab w:leader="none" w:pos="1492" w:val="left"/>
        </w:tabs>
        <w:numPr>
          <w:ilvl w:val="1"/>
          <w:numId w:val="66"/>
        </w:numPr>
        <w:rPr>
          <w:rFonts w:ascii="Calibri" w:cs="Calibri" w:eastAsia="Calibri" w:hAnsi="Calibri"/>
          <w:sz w:val="18"/>
          <w:szCs w:val="18"/>
          <w:u w:val="single" w:color="auto"/>
          <w:color w:val="auto"/>
        </w:rPr>
      </w:pPr>
      <w:r>
        <w:rPr>
          <w:rFonts w:ascii="Calibri" w:cs="Calibri" w:eastAsia="Calibri" w:hAnsi="Calibri"/>
          <w:sz w:val="18"/>
          <w:szCs w:val="18"/>
          <w:color w:val="auto"/>
        </w:rPr>
        <w:t>Dispute Resoluton and Arbitraton.</w:t>
      </w:r>
    </w:p>
    <w:p>
      <w:pPr>
        <w:spacing w:after="0" w:line="217" w:lineRule="exact"/>
        <w:rPr>
          <w:rFonts w:ascii="Calibri" w:cs="Calibri" w:eastAsia="Calibri" w:hAnsi="Calibri"/>
          <w:sz w:val="18"/>
          <w:szCs w:val="18"/>
          <w:u w:val="single" w:color="auto"/>
          <w:color w:val="auto"/>
        </w:rPr>
      </w:pPr>
    </w:p>
    <w:p>
      <w:pPr>
        <w:jc w:val="both"/>
        <w:ind w:left="2252" w:hanging="755"/>
        <w:spacing w:after="0" w:line="235" w:lineRule="auto"/>
        <w:tabs>
          <w:tab w:leader="none" w:pos="2252" w:val="left"/>
        </w:tabs>
        <w:numPr>
          <w:ilvl w:val="2"/>
          <w:numId w:val="66"/>
        </w:numPr>
        <w:rPr>
          <w:rFonts w:ascii="Calibri" w:cs="Calibri" w:eastAsia="Calibri" w:hAnsi="Calibri"/>
          <w:sz w:val="18"/>
          <w:szCs w:val="18"/>
          <w:color w:val="auto"/>
        </w:rPr>
      </w:pPr>
      <w:r>
        <w:rPr>
          <w:rFonts w:ascii="Calibri" w:cs="Calibri" w:eastAsia="Calibri" w:hAnsi="Calibri"/>
          <w:sz w:val="18"/>
          <w:szCs w:val="18"/>
          <w:color w:val="auto"/>
        </w:rPr>
        <w:t>Cooperaton to Resolve Disputes. The Partes shall cooperate and atempt in good faith to resolve any dispute, controversy, or claim arising out of or relatng to this Agreement or the constructon, interpretaton, performance, breach, terminaton, enforceability or validity thereof (a “</w:t>
      </w:r>
      <w:r>
        <w:rPr>
          <w:rFonts w:ascii="Calibri" w:cs="Calibri" w:eastAsia="Calibri" w:hAnsi="Calibri"/>
          <w:sz w:val="18"/>
          <w:szCs w:val="18"/>
          <w:u w:val="single" w:color="auto"/>
          <w:color w:val="auto"/>
        </w:rPr>
        <w:t>Dispute</w:t>
      </w:r>
      <w:r>
        <w:rPr>
          <w:rFonts w:ascii="Calibri" w:cs="Calibri" w:eastAsia="Calibri" w:hAnsi="Calibri"/>
          <w:sz w:val="18"/>
          <w:szCs w:val="18"/>
          <w:color w:val="auto"/>
        </w:rPr>
        <w:t>”) promptly by negotatng between persons who have authority to setle the Dispute and who are at a higher level of management than the persons with direct responsibility for administraton and performance of the provisions or obligatons of this Agreement that are the subject of the Dispute.</w:t>
      </w:r>
    </w:p>
    <w:p>
      <w:pPr>
        <w:spacing w:after="0" w:line="220" w:lineRule="exact"/>
        <w:rPr>
          <w:rFonts w:ascii="Calibri" w:cs="Calibri" w:eastAsia="Calibri" w:hAnsi="Calibri"/>
          <w:sz w:val="18"/>
          <w:szCs w:val="18"/>
          <w:color w:val="auto"/>
        </w:rPr>
      </w:pPr>
    </w:p>
    <w:p>
      <w:pPr>
        <w:jc w:val="both"/>
        <w:ind w:left="2252" w:hanging="755"/>
        <w:spacing w:after="0" w:line="235" w:lineRule="auto"/>
        <w:tabs>
          <w:tab w:leader="none" w:pos="2252" w:val="left"/>
        </w:tabs>
        <w:numPr>
          <w:ilvl w:val="2"/>
          <w:numId w:val="66"/>
        </w:numPr>
        <w:rPr>
          <w:rFonts w:ascii="Calibri" w:cs="Calibri" w:eastAsia="Calibri" w:hAnsi="Calibri"/>
          <w:sz w:val="18"/>
          <w:szCs w:val="18"/>
          <w:color w:val="auto"/>
        </w:rPr>
      </w:pPr>
      <w:r>
        <w:rPr>
          <w:rFonts w:ascii="Calibri" w:cs="Calibri" w:eastAsia="Calibri" w:hAnsi="Calibri"/>
          <w:sz w:val="18"/>
          <w:szCs w:val="18"/>
          <w:color w:val="auto"/>
        </w:rPr>
        <w:t>Arbitraton. Any Dispute which cannot otherwise be resolved as provided in subsecton (i) above shall be resolved by arbitraton conducted in accordance with the commercial arbitraton rules of the American Arbitraton Associaton, and judgment upon the award rendered by the arbitral tribunal may be entered in any court having jurisdicton thereof. The arbitraton tribunal shall consist of a single arbitrator mutually agreed upon by the Partes, or in the absence of such agreement within 30 days from the frst referral of the Dispute to the American Arbitraton Associaton, designated by the American Arbitraton Associaton. The place of arbitraton shall be Memphis, Tennessee, unless the Partes shall have agreed to another</w:t>
      </w:r>
    </w:p>
    <w:p>
      <w:pPr>
        <w:spacing w:after="0" w:line="217"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7" w:name="page88"/>
    <w:bookmarkEnd w:id="87"/>
    <w:p>
      <w:pPr>
        <w:jc w:val="both"/>
        <w:ind w:left="2252"/>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locaton within 15 days from the frst referral of the Dispute to the American Arbitraton Associaton. The arbitral award shall be fnal and binding. The Partes waive any right to appeal the arbitral award, to the extent a right to appeal may be lawfully waived. Each Party retains the right to seek judicial assistance: (1) to compel arbitraton, (2) to obtain interim measures of protecton prior to or pending arbitraton, (3) to seek injunctve relief in the courts of any jurisdicton as may be necessary and appropriate to protect the unauthorized disclosure of its proprietary or confdental informaton, and (4) to enforce any decision of the arbitrator, including the fnal award. In no event shall either Party be enttled to punitve, exemplary or similar damages.</w:t>
      </w:r>
    </w:p>
    <w:p>
      <w:pPr>
        <w:spacing w:after="0" w:line="222" w:lineRule="exact"/>
        <w:rPr>
          <w:sz w:val="20"/>
          <w:szCs w:val="20"/>
          <w:color w:val="auto"/>
        </w:rPr>
      </w:pPr>
    </w:p>
    <w:p>
      <w:pPr>
        <w:jc w:val="both"/>
        <w:ind w:left="2252" w:hanging="755"/>
        <w:spacing w:after="0" w:line="235" w:lineRule="auto"/>
        <w:tabs>
          <w:tab w:leader="none" w:pos="2252" w:val="left"/>
        </w:tabs>
        <w:numPr>
          <w:ilvl w:val="1"/>
          <w:numId w:val="67"/>
        </w:numPr>
        <w:rPr>
          <w:rFonts w:ascii="Calibri" w:cs="Calibri" w:eastAsia="Calibri" w:hAnsi="Calibri"/>
          <w:sz w:val="18"/>
          <w:szCs w:val="18"/>
          <w:color w:val="auto"/>
        </w:rPr>
      </w:pPr>
      <w:r>
        <w:rPr>
          <w:rFonts w:ascii="Calibri" w:cs="Calibri" w:eastAsia="Calibri" w:hAnsi="Calibri"/>
          <w:sz w:val="18"/>
          <w:szCs w:val="18"/>
          <w:color w:val="auto"/>
        </w:rPr>
        <w:t>Confdentality of Proceedings. The arbitraton proceedings contemplated by this subsecton shall be as confdental and private as permited by Applicable Law. To that end, the Partes shall not disclose the existence, content or results of any proceedings conducted in accordance with this subsecton, and materials submited in connecton with such proceedings shall not be admissible in any other proceeding, provided, however, that this confdentality provision shall not prevent a petton to vacate or enforce an arbitral award, and shall not bar disclosures required by any laws or regulatons.</w:t>
      </w:r>
    </w:p>
    <w:p>
      <w:pPr>
        <w:spacing w:after="0" w:line="220" w:lineRule="exact"/>
        <w:rPr>
          <w:rFonts w:ascii="Calibri" w:cs="Calibri" w:eastAsia="Calibri" w:hAnsi="Calibri"/>
          <w:sz w:val="18"/>
          <w:szCs w:val="18"/>
          <w:color w:val="auto"/>
        </w:rPr>
      </w:pPr>
    </w:p>
    <w:p>
      <w:pPr>
        <w:jc w:val="both"/>
        <w:ind w:left="752" w:hanging="752"/>
        <w:spacing w:after="0" w:line="235" w:lineRule="auto"/>
        <w:tabs>
          <w:tab w:leader="none" w:pos="752" w:val="left"/>
        </w:tabs>
        <w:numPr>
          <w:ilvl w:val="0"/>
          <w:numId w:val="68"/>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Agreement Subject to Applicable Law</w:t>
      </w:r>
      <w:r>
        <w:rPr>
          <w:rFonts w:ascii="Calibri" w:cs="Calibri" w:eastAsia="Calibri" w:hAnsi="Calibri"/>
          <w:sz w:val="18"/>
          <w:szCs w:val="18"/>
          <w:color w:val="auto"/>
        </w:rPr>
        <w:t>. Subject to Secton 16 (Term and Terminaton), if (a) either Party has been advised by legal counsel of 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change in Applicable Laws or any judicial decision of a court having jurisdicton over such Party or any interpretaton of a Regulatory Authority that, in the view of such legal counsel, would have a materially adverse efect on the Program, the rights or obligatons of such Party under this Agreement or the fnancial conditon of such Party; (b) either Party shall receive a lawful writen request of any Regulatory Authority having jurisdicton over such Party, including any leter or directve of any kind from any such Regulatory Authority, that prohibits or restricts such Party from carrying out its obligatons under this Agreement; (c) either Party has been advised by legal counsel that there is a material risk that such Party’s or the other Party’s contnued performance under this Agreement would violate Applicable Laws; (d) any Regulatory Authority shall have determined and notfed either Party that the arrangement between the Partes contemplated by this Agreement consttutes an unsafe or unsound banking practce or is in violaton of Applicable Law; or (e) a Regulatory Authority has commenced an investgaton or acton against a Party which the other Party, in its reasonable judgment, determines that it threatens such Party’s ability to perform its obligatons under this Agreement, then, in each case, the Partes shall meet and consider in good faith any modifcatons, changes or additons to the Program or this Agreement that may be necessary to eliminate such result. Notwithstanding any other provision of this Agreement, if the Partes are unable to reach agreement regarding modifcatons, changes or additons to the Program or this Program Agreement within ffeen (15) Business Days afer the Partes initally meet, either Party may terminate this Agreement upon thirty (30) days prior writen notce to the other Party and without payment of a terminaton fee or other penalty. A Party shall be able to suspend performance of its obligatons under this Agreement, or require the other Party to suspend its performance of its obligatons under this Agreement, if (i) any event described in clause (b) above occurs and (ii) such Party reasonably determines that contnued performance hereunder may result in a fne, penalty or other sancton being imposed by the applicable Regulatory Authority, or in material civil liability, unless with regards to civil liability, the other Party agrees to indemnify the Party. For the avoidance of doubt, nothing in this Secton 28 shall obligate a Party to disclose, share, or discuss any informaton to the extent prohibited by Applicable Law or a Regulatory Authority.</w:t>
      </w:r>
    </w:p>
    <w:p>
      <w:pPr>
        <w:spacing w:after="0" w:line="232" w:lineRule="exact"/>
        <w:rPr>
          <w:rFonts w:ascii="Calibri" w:cs="Calibri" w:eastAsia="Calibri" w:hAnsi="Calibri"/>
          <w:sz w:val="18"/>
          <w:szCs w:val="18"/>
          <w:b w:val="1"/>
          <w:bCs w:val="1"/>
          <w:u w:val="single" w:color="auto"/>
          <w:color w:val="auto"/>
        </w:rPr>
      </w:pPr>
    </w:p>
    <w:p>
      <w:pPr>
        <w:jc w:val="both"/>
        <w:ind w:left="752" w:hanging="752"/>
        <w:spacing w:after="0" w:line="235" w:lineRule="auto"/>
        <w:tabs>
          <w:tab w:leader="none" w:pos="752" w:val="left"/>
        </w:tabs>
        <w:numPr>
          <w:ilvl w:val="0"/>
          <w:numId w:val="68"/>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Bank Systems</w:t>
      </w:r>
      <w:r>
        <w:rPr>
          <w:rFonts w:ascii="Calibri" w:cs="Calibri" w:eastAsia="Calibri" w:hAnsi="Calibri"/>
          <w:sz w:val="18"/>
          <w:szCs w:val="18"/>
          <w:color w:val="auto"/>
        </w:rPr>
        <w:t>. Bank may, in its sole discreton, provide Company access to certain Bank applicaton program interfaces (“</w:t>
      </w:r>
      <w:r>
        <w:rPr>
          <w:rFonts w:ascii="Calibri" w:cs="Calibri" w:eastAsia="Calibri" w:hAnsi="Calibri"/>
          <w:sz w:val="18"/>
          <w:szCs w:val="18"/>
          <w:u w:val="single" w:color="auto"/>
          <w:color w:val="auto"/>
        </w:rPr>
        <w:t>Bank Systems</w:t>
      </w:r>
      <w:r>
        <w:rPr>
          <w:rFonts w:ascii="Calibri" w:cs="Calibri" w:eastAsia="Calibri" w:hAnsi="Calibri"/>
          <w:sz w:val="18"/>
          <w:szCs w:val="18"/>
          <w:color w:val="auto"/>
        </w:rPr>
        <w:t>”) in order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support Company’s obligatons under this Agreement. In such an event, Bank grants Company limited access, that may be terminated at any tme by Bank, to Bank Systems to perform actvites permited in writng by Bank or otherwise set forth in writen specifcatons provided by Bank (“</w:t>
      </w:r>
      <w:r>
        <w:rPr>
          <w:rFonts w:ascii="Calibri" w:cs="Calibri" w:eastAsia="Calibri" w:hAnsi="Calibri"/>
          <w:sz w:val="18"/>
          <w:szCs w:val="18"/>
          <w:u w:val="single" w:color="auto"/>
          <w:color w:val="auto"/>
        </w:rPr>
        <w:t>Specifcatons</w:t>
      </w:r>
      <w:r>
        <w:rPr>
          <w:rFonts w:ascii="Calibri" w:cs="Calibri" w:eastAsia="Calibri" w:hAnsi="Calibri"/>
          <w:sz w:val="18"/>
          <w:szCs w:val="18"/>
          <w:color w:val="auto"/>
        </w:rPr>
        <w:t>”). Company shall comply with Specifcatons and shall be responsible for the administraton and use of Bank Systems and any access to systems in accordance with Specifcatons or other writen instructons delivered by Bank. Notwithstanding anything to the contrary, Company shall remain liable for performance of its obligatons under this Agreement, regardless of its use of Bank Systems, and Bank shall not be liable for any access to Bank Systems Bank may provide to Company. Nothing herein grants Company an ownership interest in Bank Systems, and Bank reserves all intellectual property rights not expressly granted in this Secton 29.</w:t>
      </w:r>
    </w:p>
    <w:p>
      <w:pPr>
        <w:spacing w:after="0" w:line="222" w:lineRule="exact"/>
        <w:rPr>
          <w:rFonts w:ascii="Calibri" w:cs="Calibri" w:eastAsia="Calibri" w:hAnsi="Calibri"/>
          <w:sz w:val="18"/>
          <w:szCs w:val="18"/>
          <w:b w:val="1"/>
          <w:bCs w:val="1"/>
          <w:u w:val="single" w:color="auto"/>
          <w:color w:val="auto"/>
        </w:rPr>
      </w:pPr>
    </w:p>
    <w:p>
      <w:pPr>
        <w:jc w:val="both"/>
        <w:ind w:left="752" w:hanging="752"/>
        <w:spacing w:after="0" w:line="235" w:lineRule="auto"/>
        <w:tabs>
          <w:tab w:leader="none" w:pos="752" w:val="left"/>
        </w:tabs>
        <w:numPr>
          <w:ilvl w:val="0"/>
          <w:numId w:val="68"/>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General</w:t>
      </w:r>
      <w:r>
        <w:rPr>
          <w:rFonts w:ascii="Calibri" w:cs="Calibri" w:eastAsia="Calibri" w:hAnsi="Calibri"/>
          <w:sz w:val="18"/>
          <w:szCs w:val="18"/>
          <w:color w:val="auto"/>
        </w:rPr>
        <w:t>. This Agreement consttutes the entre agreement of the Partes on the subject hereof and supersedes all prior understandings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instruments on such subject. All notces under this Agreement shall be emailed to Bank and Company as indicated on Page 1 of this Agreement unless notfed otherwise by either Party. If any provision of this Agreement is found to be unenforceable or invalid, that provision will be limited or eliminated to the minimum extent necessary so that this Agreement will otherwise remain in full force and efect and enforceable. All waivers and modifcatons must be in a writng signed by both Partes and failure to enforce a provision shall not consttute a waiver. The Agreement may be executed in one or more counterparts. The Partes acknowledge that each Party and its counsel have reviewed and revised this Agreement and that the normal rule of constructon to the efect that any ambiguites are to be resolved against the drafing Party shall not be employed in the interpretaton of this Agreement or any amendments thereto, and the same shall</w:t>
      </w:r>
    </w:p>
    <w:p>
      <w:pPr>
        <w:spacing w:after="0" w:line="218"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465455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8" w:name="page89"/>
    <w:bookmarkEnd w:id="88"/>
    <w:p>
      <w:pPr>
        <w:jc w:val="both"/>
        <w:ind w:left="752"/>
        <w:spacing w:after="0" w:line="23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685800" cy="3771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be construed neither for nor against either Party, but shall be given a reasonable interpretaton in accordance with the plain meaning of its terms and the intent of the Partes. The words “include,” “includes” or “including” mean without limitaton by reason of enumeraton. Words in singular number include the plural, and in the plural include the singular, unless the context otherwise requires.</w:t>
      </w:r>
    </w:p>
    <w:p>
      <w:pPr>
        <w:spacing w:after="0" w:line="219" w:lineRule="exact"/>
        <w:rPr>
          <w:sz w:val="20"/>
          <w:szCs w:val="20"/>
          <w:color w:val="auto"/>
        </w:rPr>
      </w:pPr>
    </w:p>
    <w:p>
      <w:pPr>
        <w:jc w:val="both"/>
        <w:ind w:left="752" w:hanging="752"/>
        <w:spacing w:after="0" w:line="235" w:lineRule="auto"/>
        <w:tabs>
          <w:tab w:leader="none" w:pos="752" w:val="left"/>
        </w:tabs>
        <w:numPr>
          <w:ilvl w:val="0"/>
          <w:numId w:val="69"/>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Conficts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Reference is made to that certain Debit Card Issuing Agreement. In the event of confict between the Debit Issuing Agreement and this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Agreement, the terms of this Agreement will prevail with respect to the Program, Deposit Account, Services, Originaton Services or any other Deposit Account services provided by Bank or Company under this Agreement.</w:t>
      </w:r>
    </w:p>
    <w:p>
      <w:pPr>
        <w:spacing w:after="0" w:line="218" w:lineRule="exact"/>
        <w:rPr>
          <w:rFonts w:ascii="Calibri" w:cs="Calibri" w:eastAsia="Calibri" w:hAnsi="Calibri"/>
          <w:sz w:val="18"/>
          <w:szCs w:val="18"/>
          <w:b w:val="1"/>
          <w:bCs w:val="1"/>
          <w:u w:val="single" w:color="auto"/>
          <w:color w:val="auto"/>
        </w:rPr>
      </w:pPr>
    </w:p>
    <w:p>
      <w:pPr>
        <w:ind w:left="752" w:hanging="752"/>
        <w:spacing w:after="0" w:line="235" w:lineRule="auto"/>
        <w:tabs>
          <w:tab w:leader="none" w:pos="752" w:val="left"/>
        </w:tabs>
        <w:numPr>
          <w:ilvl w:val="0"/>
          <w:numId w:val="69"/>
        </w:numPr>
        <w:rPr>
          <w:rFonts w:ascii="Calibri" w:cs="Calibri" w:eastAsia="Calibri" w:hAnsi="Calibri"/>
          <w:sz w:val="18"/>
          <w:szCs w:val="18"/>
          <w:b w:val="1"/>
          <w:bCs w:val="1"/>
          <w:u w:val="single" w:color="auto"/>
          <w:color w:val="auto"/>
        </w:rPr>
      </w:pPr>
      <w:r>
        <w:rPr>
          <w:rFonts w:ascii="Calibri" w:cs="Calibri" w:eastAsia="Calibri" w:hAnsi="Calibri"/>
          <w:sz w:val="18"/>
          <w:szCs w:val="18"/>
          <w:b w:val="1"/>
          <w:bCs w:val="1"/>
          <w:u w:val="single" w:color="auto"/>
          <w:color w:val="auto"/>
        </w:rPr>
        <w:t>Survival</w:t>
      </w:r>
      <w:r>
        <w:rPr>
          <w:rFonts w:ascii="Calibri" w:cs="Calibri" w:eastAsia="Calibri" w:hAnsi="Calibri"/>
          <w:sz w:val="18"/>
          <w:szCs w:val="18"/>
          <w:color w:val="auto"/>
        </w:rPr>
        <w:t>. Provisions of this Agreement that, by their nature, should survive terminaton of this Agreement shall survive terminaton (including, but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not limited to, Sectons 1, 3, 11, 14, 15(c), 16, 18, 19, 20, 26, 27, 30, 31 and 32).</w:t>
      </w:r>
    </w:p>
    <w:p>
      <w:pPr>
        <w:spacing w:after="0" w:line="200" w:lineRule="exact"/>
        <w:rPr>
          <w:sz w:val="20"/>
          <w:szCs w:val="20"/>
          <w:color w:val="auto"/>
        </w:rPr>
      </w:pPr>
    </w:p>
    <w:p>
      <w:pPr>
        <w:spacing w:after="0" w:line="229" w:lineRule="exact"/>
        <w:rPr>
          <w:sz w:val="20"/>
          <w:szCs w:val="20"/>
          <w:color w:val="auto"/>
        </w:rPr>
      </w:pPr>
    </w:p>
    <w:p>
      <w:pPr>
        <w:ind w:left="10872"/>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464820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03" w:right="339" w:bottom="1440" w:gutter="0" w:footer="0" w:header="0"/>
        </w:sectPr>
      </w:pPr>
    </w:p>
    <w:bookmarkStart w:id="89" w:name="page90"/>
    <w:bookmarkEnd w:id="89"/>
    <w:p>
      <w:pPr>
        <w:jc w:val="center"/>
        <w:ind w:right="19"/>
        <w:spacing w:after="0"/>
        <w:rPr>
          <w:sz w:val="20"/>
          <w:szCs w:val="20"/>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85800" cy="3771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SCHEDULE A</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b w:val="1"/>
          <w:bCs w:val="1"/>
          <w:color w:val="auto"/>
        </w:rPr>
        <w:t>PROGRAM DESCRIPTION</w:t>
      </w:r>
    </w:p>
    <w:p>
      <w:pPr>
        <w:spacing w:after="0" w:line="227" w:lineRule="exact"/>
        <w:rPr>
          <w:sz w:val="20"/>
          <w:szCs w:val="20"/>
          <w:color w:val="auto"/>
        </w:rPr>
      </w:pPr>
    </w:p>
    <w:p>
      <w:pPr>
        <w:jc w:val="center"/>
        <w:ind w:right="19"/>
        <w:spacing w:after="0"/>
        <w:rPr>
          <w:sz w:val="20"/>
          <w:szCs w:val="20"/>
          <w:color w:val="auto"/>
        </w:rPr>
      </w:pPr>
      <w:r>
        <w:rPr>
          <w:rFonts w:ascii="Calibri" w:cs="Calibri" w:eastAsia="Calibri" w:hAnsi="Calibri"/>
          <w:sz w:val="16"/>
          <w:szCs w:val="16"/>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628015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90" w:name="page91"/>
    <w:bookmarkEnd w:id="90"/>
    <w:p>
      <w:pPr>
        <w:jc w:val="center"/>
        <w:spacing w:after="0"/>
        <w:rPr>
          <w:sz w:val="20"/>
          <w:szCs w:val="20"/>
          <w:color w:val="auto"/>
        </w:rPr>
      </w:pPr>
      <w:r>
        <w:rPr>
          <w:rFonts w:ascii="Calibri" w:cs="Calibri" w:eastAsia="Calibri" w:hAnsi="Calibri"/>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85800" cy="3771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SCHEDULE B</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7"/>
          <w:szCs w:val="17"/>
          <w:b w:val="1"/>
          <w:bCs w:val="1"/>
          <w:color w:val="auto"/>
        </w:rPr>
        <w:t>SCHEDULE OF FEES AND CHARGES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6"/>
          <w:szCs w:val="16"/>
          <w:color w:val="auto"/>
        </w:rPr>
        <w:t>[**]</w:t>
      </w: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628015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4" w:right="1440" w:bottom="1440" w:gutter="0" w:footer="0" w:header="0"/>
        </w:sectPr>
      </w:pPr>
    </w:p>
    <w:bookmarkStart w:id="91" w:name="page92"/>
    <w:bookmarkEnd w:id="91"/>
    <w:p>
      <w:pPr>
        <w:jc w:val="right"/>
        <w:spacing w:after="0"/>
        <w:rPr>
          <w:sz w:val="20"/>
          <w:szCs w:val="20"/>
          <w:color w:val="auto"/>
        </w:rPr>
      </w:pPr>
      <w:r>
        <w:rPr>
          <w:rFonts w:ascii="Cambria" w:cs="Cambria" w:eastAsia="Cambria" w:hAnsi="Cambria"/>
          <w:sz w:val="18"/>
          <w:szCs w:val="18"/>
          <w:b w:val="1"/>
          <w:bCs w:val="1"/>
          <w:color w:val="auto"/>
        </w:rPr>
        <w:t>Exhibit 10.2</w:t>
      </w:r>
    </w:p>
    <w:p>
      <w:pPr>
        <w:spacing w:after="0" w:line="345" w:lineRule="exact"/>
        <w:rPr>
          <w:sz w:val="20"/>
          <w:szCs w:val="20"/>
          <w:color w:val="auto"/>
        </w:rPr>
      </w:pPr>
    </w:p>
    <w:p>
      <w:pPr>
        <w:ind w:left="60"/>
        <w:spacing w:after="0"/>
        <w:rPr>
          <w:sz w:val="20"/>
          <w:szCs w:val="20"/>
          <w:color w:val="auto"/>
        </w:rPr>
      </w:pPr>
      <w:r>
        <w:rPr>
          <w:rFonts w:ascii="Cambria" w:cs="Cambria" w:eastAsia="Cambria" w:hAnsi="Cambria"/>
          <w:sz w:val="17"/>
          <w:szCs w:val="17"/>
          <w:b w:val="1"/>
          <w:bCs w:val="1"/>
          <w:color w:val="auto"/>
        </w:rPr>
        <w:t>CERTAIN INFORMATION IN THIS DOCUMENT, MARKED BY [**], HAS BEEN EXCLUDED PURSUANT TO REGULATION S-K, ITEM 601(B)(10)(iv).</w:t>
      </w:r>
    </w:p>
    <w:p>
      <w:pPr>
        <w:spacing w:after="0" w:line="17" w:lineRule="exact"/>
        <w:rPr>
          <w:sz w:val="20"/>
          <w:szCs w:val="20"/>
          <w:color w:val="auto"/>
        </w:rPr>
      </w:pPr>
    </w:p>
    <w:p>
      <w:pPr>
        <w:ind w:left="300"/>
        <w:spacing w:after="0"/>
        <w:rPr>
          <w:sz w:val="20"/>
          <w:szCs w:val="20"/>
          <w:color w:val="auto"/>
        </w:rPr>
      </w:pPr>
      <w:r>
        <w:rPr>
          <w:rFonts w:ascii="Cambria" w:cs="Cambria" w:eastAsia="Cambria" w:hAnsi="Cambria"/>
          <w:sz w:val="17"/>
          <w:szCs w:val="17"/>
          <w:b w:val="1"/>
          <w:bCs w:val="1"/>
          <w:color w:val="auto"/>
        </w:rPr>
        <w:t>SUCH EXCLUDED INFORMATION IS NOT MATERIAL AND IS THE TYPE THAT THE REGISTRANT TREATS AS PRIVATE OR CONFIDENTIAL.</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Bank Services Agreement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First Amendment to the Bank Services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August 8,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by and between Evolve Bank &amp; Trust, an Arkansas state bank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and Dave Operating LLC, a Delaware limited liability company and successor in interest by merger to the entity formerly known as Dave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Program Manager</w:t>
      </w:r>
      <w:r>
        <w:rPr>
          <w:rFonts w:ascii="Times New Roman" w:cs="Times New Roman" w:eastAsia="Times New Roman" w:hAnsi="Times New Roman"/>
          <w:sz w:val="18"/>
          <w:szCs w:val="18"/>
          <w:color w:val="auto"/>
        </w:rPr>
        <w:t>”). Bank and Company each will be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Bank and Company are parties to that certain Bank Services Agreement, dated as of July 13, 2020, as may be amended, modified or supplemented from time to time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Bank and Company desire to amend the Agreement in accordance with the terms set forth herein and have therefore mutually agreed to enter into this Amendment.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and the terms, conditions, covenants, and agreements contained herein, and for good and valuable consideration, the receipt and sufficiency of which are hereby acknowledged, the Parties mutually agree as follows:</w:t>
      </w:r>
    </w:p>
    <w:p>
      <w:pPr>
        <w:spacing w:after="0" w:line="50" w:lineRule="exact"/>
        <w:rPr>
          <w:sz w:val="20"/>
          <w:szCs w:val="20"/>
          <w:color w:val="auto"/>
        </w:rPr>
      </w:pPr>
    </w:p>
    <w:p>
      <w:pPr>
        <w:ind w:left="760" w:hanging="378"/>
        <w:spacing w:after="0" w:line="286" w:lineRule="auto"/>
        <w:tabs>
          <w:tab w:leader="none" w:pos="7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Capitalized Terms</w:t>
      </w:r>
      <w:r>
        <w:rPr>
          <w:rFonts w:ascii="Times New Roman" w:cs="Times New Roman" w:eastAsia="Times New Roman" w:hAnsi="Times New Roman"/>
          <w:sz w:val="18"/>
          <w:szCs w:val="18"/>
          <w:color w:val="auto"/>
        </w:rPr>
        <w:t>. Capitalized terms used herein and not otherwise defined herein shall have the meanings assigned to them in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context shall otherwise require.</w:t>
      </w:r>
    </w:p>
    <w:p>
      <w:pPr>
        <w:spacing w:after="0" w:line="46" w:lineRule="exact"/>
        <w:rPr>
          <w:rFonts w:ascii="Times New Roman" w:cs="Times New Roman" w:eastAsia="Times New Roman" w:hAnsi="Times New Roman"/>
          <w:sz w:val="18"/>
          <w:szCs w:val="18"/>
          <w:u w:val="single" w:color="auto"/>
          <w:color w:val="auto"/>
        </w:rPr>
      </w:pPr>
    </w:p>
    <w:p>
      <w:pPr>
        <w:ind w:left="760" w:hanging="378"/>
        <w:spacing w:after="0"/>
        <w:tabs>
          <w:tab w:leader="none" w:pos="7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Preamble</w:t>
      </w:r>
      <w:r>
        <w:rPr>
          <w:rFonts w:ascii="Times New Roman" w:cs="Times New Roman" w:eastAsia="Times New Roman" w:hAnsi="Times New Roman"/>
          <w:sz w:val="18"/>
          <w:szCs w:val="18"/>
          <w:color w:val="auto"/>
        </w:rPr>
        <w:t>. The preamble of the Agreement is hereby deleted in its entirety and restated to read as follows:</w:t>
      </w:r>
    </w:p>
    <w:p>
      <w:pPr>
        <w:spacing w:after="0" w:line="121" w:lineRule="exact"/>
        <w:rPr>
          <w:rFonts w:ascii="Times New Roman" w:cs="Times New Roman" w:eastAsia="Times New Roman" w:hAnsi="Times New Roman"/>
          <w:sz w:val="18"/>
          <w:szCs w:val="18"/>
          <w:u w:val="single" w:color="auto"/>
          <w:color w:val="auto"/>
        </w:rPr>
      </w:pPr>
    </w:p>
    <w:p>
      <w:pPr>
        <w:jc w:val="both"/>
        <w:ind w:left="760"/>
        <w:spacing w:after="0" w:line="261"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This Bank Services Agreement is entered into as of the 13th day of July, 2020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Evolve Bank &amp; Trust, an Arkansas state bank (“</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and Dave Operating LLC, a Delaware limited liability company and successor in interest by merger to the entity formerly known as Dave Inc.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Program Manager</w:t>
      </w:r>
      <w:r>
        <w:rPr>
          <w:rFonts w:ascii="Times New Roman" w:cs="Times New Roman" w:eastAsia="Times New Roman" w:hAnsi="Times New Roman"/>
          <w:sz w:val="18"/>
          <w:szCs w:val="18"/>
          <w:color w:val="auto"/>
        </w:rPr>
        <w:t>”). For purposes of this Agreement, Bank and Company each will be referred to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u w:val="single" w:color="auto"/>
          <w:color w:val="auto"/>
        </w:rPr>
      </w:pPr>
    </w:p>
    <w:p>
      <w:pPr>
        <w:ind w:left="760" w:hanging="378"/>
        <w:spacing w:after="0"/>
        <w:tabs>
          <w:tab w:leader="none" w:pos="7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the Recitals</w:t>
      </w:r>
      <w:r>
        <w:rPr>
          <w:rFonts w:ascii="Times New Roman" w:cs="Times New Roman" w:eastAsia="Times New Roman" w:hAnsi="Times New Roman"/>
          <w:sz w:val="18"/>
          <w:szCs w:val="18"/>
          <w:color w:val="auto"/>
        </w:rPr>
        <w:t>. The fourth recital of the Agreement is hereby deleted in its entirety and replaced with the following:</w:t>
      </w:r>
    </w:p>
    <w:p>
      <w:pPr>
        <w:spacing w:after="0" w:line="121" w:lineRule="exact"/>
        <w:rPr>
          <w:rFonts w:ascii="Times New Roman" w:cs="Times New Roman" w:eastAsia="Times New Roman" w:hAnsi="Times New Roman"/>
          <w:sz w:val="18"/>
          <w:szCs w:val="18"/>
          <w:u w:val="single" w:color="auto"/>
          <w:color w:val="auto"/>
        </w:rPr>
      </w:pPr>
    </w:p>
    <w:p>
      <w:pPr>
        <w:jc w:val="both"/>
        <w:ind w:left="760" w:right="20"/>
        <w:spacing w:after="0" w:line="266"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“WHEREAS, the Parties desire to establish one or more programs under which the Bank will offer Bank Services to Customers and Program Manager will support such offering, as more fully described in this Agreement and Schedule A (and in case of multiple programs, in sequential form (A-1, A-2)) to this Agreement.”</w:t>
      </w:r>
    </w:p>
    <w:p>
      <w:pPr>
        <w:spacing w:after="0" w:line="63" w:lineRule="exact"/>
        <w:rPr>
          <w:rFonts w:ascii="Times New Roman" w:cs="Times New Roman" w:eastAsia="Times New Roman" w:hAnsi="Times New Roman"/>
          <w:sz w:val="18"/>
          <w:szCs w:val="18"/>
          <w:u w:val="single" w:color="auto"/>
          <w:color w:val="auto"/>
        </w:rPr>
      </w:pPr>
    </w:p>
    <w:p>
      <w:pPr>
        <w:ind w:left="760" w:hanging="378"/>
        <w:spacing w:after="0" w:line="286" w:lineRule="auto"/>
        <w:tabs>
          <w:tab w:leader="none" w:pos="7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References to Program and 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to “the Program” throughout the Agreement are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“each Program,” and based on context or where more than one Program is referenced, replaced with the “Programs”.</w:t>
      </w:r>
    </w:p>
    <w:p>
      <w:pPr>
        <w:spacing w:after="0" w:line="46" w:lineRule="exact"/>
        <w:rPr>
          <w:rFonts w:ascii="Times New Roman" w:cs="Times New Roman" w:eastAsia="Times New Roman" w:hAnsi="Times New Roman"/>
          <w:sz w:val="18"/>
          <w:szCs w:val="18"/>
          <w:u w:val="single" w:color="auto"/>
          <w:color w:val="auto"/>
        </w:rPr>
      </w:pPr>
    </w:p>
    <w:p>
      <w:pPr>
        <w:ind w:left="760" w:hanging="378"/>
        <w:spacing w:after="0"/>
        <w:tabs>
          <w:tab w:leader="none" w:pos="7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Section 1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 (Definitions) is hereby amended by adding the following definitions:</w:t>
      </w:r>
    </w:p>
    <w:p>
      <w:pPr>
        <w:spacing w:after="0" w:line="121" w:lineRule="exact"/>
        <w:rPr>
          <w:sz w:val="20"/>
          <w:szCs w:val="20"/>
          <w:color w:val="auto"/>
        </w:rPr>
      </w:pPr>
    </w:p>
    <w:p>
      <w:pPr>
        <w:jc w:val="both"/>
        <w:ind w:left="150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the Bank Services Agreement with applicable schedules, amendments, addendums and documents, policies and procedures referenced herein and therein.</w:t>
      </w:r>
    </w:p>
    <w:p>
      <w:pPr>
        <w:spacing w:after="0" w:line="54" w:lineRule="exact"/>
        <w:rPr>
          <w:sz w:val="20"/>
          <w:szCs w:val="20"/>
          <w:color w:val="auto"/>
        </w:rPr>
      </w:pPr>
    </w:p>
    <w:p>
      <w:pPr>
        <w:jc w:val="both"/>
        <w:ind w:left="150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Policies</w:t>
      </w:r>
      <w:r>
        <w:rPr>
          <w:rFonts w:ascii="Times New Roman" w:cs="Times New Roman" w:eastAsia="Times New Roman" w:hAnsi="Times New Roman"/>
          <w:sz w:val="18"/>
          <w:szCs w:val="18"/>
          <w:color w:val="auto"/>
        </w:rPr>
        <w:t>” means the Bank’s policies and procedures, guidelines, user guides, prohibited and restricted customer lists and any other writing or documents governing Bank Services or the Program(s), including the minimum requirements necessary to provide and service a Bank Service, as provided to Program Manager by Bank from time to time.</w:t>
      </w:r>
    </w:p>
    <w:p>
      <w:pPr>
        <w:spacing w:after="0" w:line="68" w:lineRule="exact"/>
        <w:rPr>
          <w:sz w:val="20"/>
          <w:szCs w:val="20"/>
          <w:color w:val="auto"/>
        </w:rPr>
      </w:pPr>
    </w:p>
    <w:p>
      <w:pPr>
        <w:jc w:val="both"/>
        <w:ind w:left="1500"/>
        <w:spacing w:after="0" w:line="254" w:lineRule="auto"/>
        <w:rPr>
          <w:sz w:val="20"/>
          <w:szCs w:val="20"/>
          <w:color w:val="auto"/>
        </w:rPr>
      </w:pPr>
      <w:r>
        <w:rPr>
          <w:rFonts w:ascii="Times New Roman" w:cs="Times New Roman" w:eastAsia="Times New Roman" w:hAnsi="Times New Roman"/>
          <w:sz w:val="18"/>
          <w:szCs w:val="18"/>
          <w:u w:val="single" w:color="auto"/>
          <w:color w:val="auto"/>
        </w:rPr>
        <w:t>"Bank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Bank Services</w:t>
      </w:r>
      <w:r>
        <w:rPr>
          <w:rFonts w:ascii="Times New Roman" w:cs="Times New Roman" w:eastAsia="Times New Roman" w:hAnsi="Times New Roman"/>
          <w:sz w:val="18"/>
          <w:szCs w:val="18"/>
          <w:color w:val="auto"/>
        </w:rPr>
        <w:t>” means all financial products and services required to be maintained under the terms of this Agreement and offered by Bank in connection with a Program pursuant to this Agreement, including banking and money transmission services (including such requiring licensure under applicable banking or money transmission laws) and any other services Bank affirmatively undertakes to perform under the terms of the Agreement, and excluding any Program Manager Service(s). Bank Services may include, if approved by Bank in connection with a Program, establishing, offering and maintaining Deposit Accounts, Check Services, Origination Services, Wire Services, and certain bill pay services. Notwithstanding anything to the contrary, Company shall ensure no Bank Services include any extension of credit of any kind or in any amount by Bank unless otherwise expressly approved by the Parties in writing regarding any Program under this Agreement.</w:t>
      </w:r>
    </w:p>
    <w:p>
      <w:pPr>
        <w:spacing w:after="0" w:line="84" w:lineRule="exact"/>
        <w:rPr>
          <w:sz w:val="20"/>
          <w:szCs w:val="20"/>
          <w:color w:val="auto"/>
        </w:rPr>
      </w:pPr>
    </w:p>
    <w:p>
      <w:pPr>
        <w:jc w:val="both"/>
        <w:ind w:left="150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 Ledger</w:t>
      </w:r>
      <w:r>
        <w:rPr>
          <w:rFonts w:ascii="Times New Roman" w:cs="Times New Roman" w:eastAsia="Times New Roman" w:hAnsi="Times New Roman"/>
          <w:sz w:val="18"/>
          <w:szCs w:val="18"/>
          <w:color w:val="auto"/>
        </w:rPr>
        <w:t>” means the ledger record of all Deposit Accounts, as applicable, and transactions related to Bank Services in accordance with the terms herein and Bank’s instructions. Deposit Ledger shall include all Deposit information, including amounts deposited and any withdrawals, and the owner(s) of the Deposits, including all identifying information required by Bank, including, but not limited to name and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92" w:name="page93"/>
    <w:bookmarkEnd w:id="92"/>
    <w:p>
      <w:pPr>
        <w:ind w:left="1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85800" cy="3771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ExtraCash Account(s)</w:t>
      </w:r>
      <w:r>
        <w:rPr>
          <w:rFonts w:ascii="Times New Roman" w:cs="Times New Roman" w:eastAsia="Times New Roman" w:hAnsi="Times New Roman"/>
          <w:sz w:val="18"/>
          <w:szCs w:val="18"/>
          <w:color w:val="auto"/>
        </w:rPr>
        <w:t>” has the meaning ascribed to such term in Schedule A-2 (ExtraCash).</w:t>
      </w:r>
    </w:p>
    <w:p>
      <w:pPr>
        <w:spacing w:after="0" w:line="1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ExtraCash Program</w:t>
      </w:r>
      <w:r>
        <w:rPr>
          <w:rFonts w:ascii="Times New Roman" w:cs="Times New Roman" w:eastAsia="Times New Roman" w:hAnsi="Times New Roman"/>
          <w:sz w:val="18"/>
          <w:szCs w:val="18"/>
          <w:color w:val="auto"/>
        </w:rPr>
        <w:t>” has the meaning ascribed to such term in Schedule A-2 (ExtraCash).</w:t>
      </w:r>
    </w:p>
    <w:p>
      <w:pPr>
        <w:spacing w:after="0" w:line="117" w:lineRule="exact"/>
        <w:rPr>
          <w:sz w:val="20"/>
          <w:szCs w:val="20"/>
          <w:color w:val="auto"/>
        </w:rPr>
      </w:pPr>
    </w:p>
    <w:p>
      <w:pPr>
        <w:jc w:val="both"/>
        <w:ind w:left="1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 has the meaning set forth in the preamble of that certain First Amendment to Bank Services Agreement.</w:t>
      </w:r>
    </w:p>
    <w:p>
      <w:pPr>
        <w:spacing w:after="0" w:line="54" w:lineRule="exact"/>
        <w:rPr>
          <w:sz w:val="20"/>
          <w:szCs w:val="20"/>
          <w:color w:val="auto"/>
        </w:rPr>
      </w:pPr>
    </w:p>
    <w:p>
      <w:pPr>
        <w:jc w:val="both"/>
        <w:ind w:left="1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xml:space="preserve">” means a system of services approved by Bank, including Bank Services, to be offered by Bank to Customers pursuant to the terms of this Agreement and supported by Program Manager pursuant to the terms of this Agreement. Each Program is further described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(Program Schedules) of this Agreement, which is incorporated herein by reference and may be amended from time to time by written agreement. This Agreement contemplates that Program Manager may be permitted by Bank to offer multiple Programs (each relating to a specific Bank Service) hereunder, each subject to the terms hereof and the prior written approval of Bank. Each Bank approved Program will be incorporated into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in sequential form (e.g., Schedule A-1, Schedule A-2, etc.).</w:t>
      </w:r>
    </w:p>
    <w:p>
      <w:pPr>
        <w:spacing w:after="0" w:line="187" w:lineRule="exact"/>
        <w:rPr>
          <w:sz w:val="20"/>
          <w:szCs w:val="20"/>
          <w:color w:val="auto"/>
        </w:rPr>
      </w:pPr>
    </w:p>
    <w:p>
      <w:pPr>
        <w:jc w:val="both"/>
        <w:ind w:left="1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Manager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Program Manager Services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means the mobile application, Deposit Ledger, Application Processing, any services of the Company set forth in this Agreement or in any schedules or exhibits attached to this Agreement, and any applicable amendments thereto, and all services not required to be provided by Bank (excluding Bank Services) pursuant to the terms of this Agreement that are otherwise required to maintain and offer the Program(s) in compliance with Applicable Law, Deposit Account Agreement, and the agreement(s) between Company and Customers. For the avoidance of doubt, the definition of Program Manager Service(s) includes such services offered by Company or through a third party partner of Company, including Agents, and servicing of Receivables as defined in and in accordance with that certain agreement relating thereto between the Parties, and customer service, and maintaining the necessary technology for the foregoing.</w:t>
      </w:r>
    </w:p>
    <w:p>
      <w:pPr>
        <w:spacing w:after="0" w:line="192" w:lineRule="exact"/>
        <w:rPr>
          <w:sz w:val="20"/>
          <w:szCs w:val="20"/>
          <w:color w:val="auto"/>
        </w:rPr>
      </w:pPr>
    </w:p>
    <w:p>
      <w:pPr>
        <w:jc w:val="both"/>
        <w:ind w:left="11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Program Schedule</w:t>
      </w:r>
      <w:r>
        <w:rPr>
          <w:rFonts w:ascii="Times New Roman" w:cs="Times New Roman" w:eastAsia="Times New Roman" w:hAnsi="Times New Roman"/>
          <w:sz w:val="18"/>
          <w:szCs w:val="18"/>
          <w:color w:val="auto"/>
        </w:rPr>
        <w:t xml:space="preserve">” means the terms agreed upon by the Parties in writing describing a Program, as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and this Agreement.</w:t>
      </w:r>
    </w:p>
    <w:p>
      <w:pPr>
        <w:spacing w:after="0" w:line="158" w:lineRule="exact"/>
        <w:rPr>
          <w:sz w:val="20"/>
          <w:szCs w:val="20"/>
          <w:color w:val="auto"/>
        </w:rPr>
      </w:pPr>
    </w:p>
    <w:p>
      <w:pPr>
        <w:ind w:left="380" w:right="20" w:hanging="378"/>
        <w:spacing w:after="0" w:line="286" w:lineRule="auto"/>
        <w:tabs>
          <w:tab w:leader="none" w:pos="380" w:val="left"/>
        </w:tabs>
        <w:numPr>
          <w:ilvl w:val="0"/>
          <w:numId w:val="7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Section 1 (Definitions)</w:t>
      </w:r>
      <w:r>
        <w:rPr>
          <w:rFonts w:ascii="Times New Roman" w:cs="Times New Roman" w:eastAsia="Times New Roman" w:hAnsi="Times New Roman"/>
          <w:sz w:val="18"/>
          <w:szCs w:val="18"/>
          <w:color w:val="auto"/>
        </w:rPr>
        <w:t>. Each of the following definitions under Section 1 of the Agreement is hereby deleted in its entirety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to read as follows:</w:t>
      </w:r>
    </w:p>
    <w:p>
      <w:pPr>
        <w:spacing w:after="0" w:line="50" w:lineRule="exact"/>
        <w:rPr>
          <w:rFonts w:ascii="Times New Roman" w:cs="Times New Roman" w:eastAsia="Times New Roman" w:hAnsi="Times New Roman"/>
          <w:sz w:val="18"/>
          <w:szCs w:val="18"/>
          <w:u w:val="single" w:color="auto"/>
          <w:color w:val="auto"/>
        </w:rPr>
      </w:pPr>
    </w:p>
    <w:p>
      <w:pPr>
        <w:jc w:val="both"/>
        <w:ind w:left="980" w:firstLine="5"/>
        <w:spacing w:after="0" w:line="255" w:lineRule="auto"/>
        <w:tabs>
          <w:tab w:leader="none" w:pos="134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C212B"/>
        </w:rPr>
        <w:t>“</w:t>
      </w:r>
      <w:r>
        <w:rPr>
          <w:rFonts w:ascii="Times New Roman" w:cs="Times New Roman" w:eastAsia="Times New Roman" w:hAnsi="Times New Roman"/>
          <w:sz w:val="18"/>
          <w:szCs w:val="18"/>
          <w:u w:val="single" w:color="auto"/>
          <w:color w:val="1C212B"/>
        </w:rPr>
        <w:t>Applicable Law</w:t>
      </w:r>
      <w:r>
        <w:rPr>
          <w:rFonts w:ascii="Times New Roman" w:cs="Times New Roman" w:eastAsia="Times New Roman" w:hAnsi="Times New Roman"/>
          <w:sz w:val="18"/>
          <w:szCs w:val="18"/>
          <w:color w:val="1C212B"/>
        </w:rPr>
        <w:t>” means any federal, state and local statutes, rules, regulations, regulatory guidelines and judicial or administrative interpretations related to this Agreement, the Services, Bank Services, Program and/or the Program services, as well as any rules or requirements established by the FDIC, Federal Reserve Board, Arkansas State Bank Department, Tennessee Department of Financial Institutions, the Equal Credit Opportunity Act and Regulation B, FACT Act, any laws and regulations regulating unfair, deceptive and abusive acts or practices, all anti-money laundering laws and regulations, including the Bank Secrecy Act as amended by the USA PATRIOT ACT of 2001 and regulations administered by the U.S. Department of Treasury’s OFAC, the Gramm-Leach-Bliley Act, Uniform Commercial Code as in effect in the State of New York and laws on bank branching.</w:t>
      </w:r>
    </w:p>
    <w:p>
      <w:pPr>
        <w:spacing w:after="0" w:line="189" w:lineRule="exact"/>
        <w:rPr>
          <w:sz w:val="20"/>
          <w:szCs w:val="20"/>
          <w:color w:val="auto"/>
        </w:rPr>
      </w:pPr>
    </w:p>
    <w:p>
      <w:pPr>
        <w:jc w:val="both"/>
        <w:ind w:left="980" w:firstLine="5"/>
        <w:spacing w:after="0" w:line="258" w:lineRule="auto"/>
        <w:tabs>
          <w:tab w:leader="none" w:pos="1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(i) a Person to whom Bank issues or provides Bank Services in connection with the Program; (ii) any Person who possesses or otherwise uses a Bank Service through the services of Program Manager; (iii) any Person who meets the standards set forth in the Account Policy and otherwise successfully completes Program Manager's KYC process (as established pursuant to the BSA/AML/OFAC Program) and enters into a Deposit Account Agreement with Bank in each case for a Program Manager Service; or (iv) any Person who purports to be the Person identified in (i), (ii) or (iii) or such Person’s authorized user.</w:t>
      </w:r>
    </w:p>
    <w:p>
      <w:pPr>
        <w:spacing w:after="0" w:line="183" w:lineRule="exact"/>
        <w:rPr>
          <w:sz w:val="20"/>
          <w:szCs w:val="20"/>
          <w:color w:val="auto"/>
        </w:rPr>
      </w:pPr>
    </w:p>
    <w:p>
      <w:pPr>
        <w:jc w:val="both"/>
        <w:ind w:left="980" w:firstLine="5"/>
        <w:spacing w:after="0" w:line="266" w:lineRule="auto"/>
        <w:tabs>
          <w:tab w:leader="none" w:pos="1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Deposit Account</w:t>
      </w:r>
      <w:r>
        <w:rPr>
          <w:rFonts w:ascii="Times New Roman" w:cs="Times New Roman" w:eastAsia="Times New Roman" w:hAnsi="Times New Roman"/>
          <w:sz w:val="18"/>
          <w:szCs w:val="18"/>
          <w:color w:val="auto"/>
        </w:rPr>
        <w:t xml:space="preserve">” is a demand deposit account (interest or non-interest bearing, as specified in the applicable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Program Schedules</w:t>
      </w:r>
      <w:r>
        <w:rPr>
          <w:rFonts w:ascii="Times New Roman" w:cs="Times New Roman" w:eastAsia="Times New Roman" w:hAnsi="Times New Roman"/>
          <w:sz w:val="18"/>
          <w:szCs w:val="18"/>
          <w:color w:val="auto"/>
        </w:rPr>
        <w:t>)) or any other bank or transaction account established and provided by Bank to Customer in connection with a Program under this Agreement.</w:t>
      </w:r>
    </w:p>
    <w:p>
      <w:pPr>
        <w:spacing w:after="0" w:line="176" w:lineRule="exact"/>
        <w:rPr>
          <w:sz w:val="20"/>
          <w:szCs w:val="20"/>
          <w:color w:val="auto"/>
        </w:rPr>
      </w:pPr>
    </w:p>
    <w:p>
      <w:pPr>
        <w:jc w:val="both"/>
        <w:ind w:left="980" w:firstLine="5"/>
        <w:spacing w:after="0" w:line="258" w:lineRule="auto"/>
        <w:tabs>
          <w:tab w:leader="none" w:pos="13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FBO Account</w:t>
      </w:r>
      <w:r>
        <w:rPr>
          <w:rFonts w:ascii="Times New Roman" w:cs="Times New Roman" w:eastAsia="Times New Roman" w:hAnsi="Times New Roman"/>
          <w:sz w:val="18"/>
          <w:szCs w:val="18"/>
          <w:color w:val="auto"/>
        </w:rPr>
        <w:t>" means an omnibus custodial account owned by Bank, in which Bank pools the funds held by Program Manager’s Customers, for the Customers’ benefit, that also includes sub-accounts each of which are established in each Customer’s name with its own account number extension relating to a Program under this Agreement (each, of which is a Deposit Account), provided such FBO Account shall be titled to demonstrate the account is owned by Bank for the benefit of Program Manager’s Customers or such other name as may be agreed upon in writing by the Parties consistent with the requirements for such FBO Account under this Agreement.</w:t>
      </w:r>
    </w:p>
    <w:p>
      <w:pPr>
        <w:spacing w:after="0" w:line="183" w:lineRule="exact"/>
        <w:rPr>
          <w:sz w:val="20"/>
          <w:szCs w:val="20"/>
          <w:color w:val="auto"/>
        </w:rPr>
      </w:pPr>
    </w:p>
    <w:p>
      <w:pPr>
        <w:jc w:val="both"/>
        <w:ind w:left="980" w:firstLine="5"/>
        <w:spacing w:after="0" w:line="266" w:lineRule="auto"/>
        <w:tabs>
          <w:tab w:leader="none" w:pos="1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Rules</w:t>
      </w:r>
      <w:r>
        <w:rPr>
          <w:rFonts w:ascii="Times New Roman" w:cs="Times New Roman" w:eastAsia="Times New Roman" w:hAnsi="Times New Roman"/>
          <w:sz w:val="18"/>
          <w:szCs w:val="18"/>
          <w:color w:val="auto"/>
        </w:rPr>
        <w:t>” means any and all rules, bylaws, standards, protocols, operating regulations, guidelines, or procedures, and any amendment, interpretation, or modification of any such rule, bylaw, standard, protocol, operating regulation, guideline, or procedure, promulgated by a Network that govern or apply to Bank Services</w:t>
      </w:r>
    </w:p>
    <w:p>
      <w:pPr>
        <w:spacing w:after="0" w:line="167" w:lineRule="exact"/>
        <w:rPr>
          <w:sz w:val="20"/>
          <w:szCs w:val="20"/>
          <w:color w:val="auto"/>
        </w:rPr>
      </w:pPr>
    </w:p>
    <w:p>
      <w:pPr>
        <w:jc w:val="center"/>
        <w:ind w:right="380"/>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628015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93" w:name="page94"/>
    <w:bookmarkEnd w:id="93"/>
    <w:p>
      <w:pPr>
        <w:ind w:left="1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85800" cy="3771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related to a Program, including, without limitation, PCI DSS and the rules, bylaws, standards, protocols, operating regulations, guidelines, and procedures of NACHA and ECCHO.</w:t>
      </w:r>
    </w:p>
    <w:p>
      <w:pPr>
        <w:spacing w:after="0" w:line="158" w:lineRule="exact"/>
        <w:rPr>
          <w:sz w:val="20"/>
          <w:szCs w:val="20"/>
          <w:color w:val="auto"/>
        </w:rPr>
      </w:pPr>
    </w:p>
    <w:p>
      <w:pPr>
        <w:ind w:left="760" w:hanging="378"/>
        <w:spacing w:after="0" w:line="286" w:lineRule="auto"/>
        <w:tabs>
          <w:tab w:leader="none" w:pos="76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Section 8(a) (Company’s Obligation)</w:t>
      </w:r>
      <w:r>
        <w:rPr>
          <w:rFonts w:ascii="Times New Roman" w:cs="Times New Roman" w:eastAsia="Times New Roman" w:hAnsi="Times New Roman"/>
          <w:sz w:val="18"/>
          <w:szCs w:val="18"/>
          <w:color w:val="auto"/>
        </w:rPr>
        <w:t>. All references to “Services” in Section 8(a) and Section 8(c) of the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deleted and replaced with “Bank Services.”</w:t>
      </w:r>
    </w:p>
    <w:p>
      <w:pPr>
        <w:spacing w:after="0" w:line="46" w:lineRule="exact"/>
        <w:rPr>
          <w:rFonts w:ascii="Times New Roman" w:cs="Times New Roman" w:eastAsia="Times New Roman" w:hAnsi="Times New Roman"/>
          <w:sz w:val="18"/>
          <w:szCs w:val="18"/>
          <w:u w:val="single" w:color="auto"/>
          <w:color w:val="auto"/>
        </w:rPr>
      </w:pPr>
    </w:p>
    <w:p>
      <w:pPr>
        <w:ind w:left="760" w:right="20" w:hanging="378"/>
        <w:spacing w:after="0" w:line="286" w:lineRule="auto"/>
        <w:tabs>
          <w:tab w:leader="none" w:pos="76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Amendment to Schedule A</w:t>
      </w:r>
      <w:r>
        <w:rPr>
          <w:rFonts w:ascii="Times New Roman" w:cs="Times New Roman" w:eastAsia="Times New Roman" w:hAnsi="Times New Roman"/>
          <w:sz w:val="18"/>
          <w:szCs w:val="18"/>
          <w:color w:val="auto"/>
        </w:rPr>
        <w:t>. Schedule A of the Bank Services Agreement is hereby amended to include as Schedule A-2 (ExtraCash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is attached hereto as Exhibit A-2, which shall be included and incorporated into the Agreement as if set forth in full.</w:t>
      </w:r>
    </w:p>
    <w:p>
      <w:pPr>
        <w:spacing w:after="0" w:line="46" w:lineRule="exact"/>
        <w:rPr>
          <w:rFonts w:ascii="Times New Roman" w:cs="Times New Roman" w:eastAsia="Times New Roman" w:hAnsi="Times New Roman"/>
          <w:sz w:val="18"/>
          <w:szCs w:val="18"/>
          <w:u w:val="single" w:color="auto"/>
          <w:color w:val="auto"/>
        </w:rPr>
      </w:pPr>
    </w:p>
    <w:p>
      <w:pPr>
        <w:jc w:val="both"/>
        <w:ind w:left="760" w:hanging="378"/>
        <w:spacing w:after="0" w:line="262" w:lineRule="auto"/>
        <w:tabs>
          <w:tab w:leader="none" w:pos="76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Ratification and Acknowledgment</w:t>
      </w:r>
      <w:r>
        <w:rPr>
          <w:rFonts w:ascii="Times New Roman" w:cs="Times New Roman" w:eastAsia="Times New Roman" w:hAnsi="Times New Roman"/>
          <w:sz w:val="18"/>
          <w:szCs w:val="18"/>
          <w:color w:val="auto"/>
        </w:rPr>
        <w:t>. Except as expressly modified under this Amendment, all of the terms, conditions, provisions,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promises, obligations, duties, covenants and representations, and the like of Bank and Company, respectively, under the Bank Services Agreement are hereby ratified by Bank and Company. All references contained in the Bank Services Agreement to “Agreement” shall mean the Bank Services Agreement as supplemented and amended hereby.</w:t>
      </w:r>
    </w:p>
    <w:p>
      <w:pPr>
        <w:spacing w:after="0" w:line="68" w:lineRule="exact"/>
        <w:rPr>
          <w:rFonts w:ascii="Times New Roman" w:cs="Times New Roman" w:eastAsia="Times New Roman" w:hAnsi="Times New Roman"/>
          <w:sz w:val="18"/>
          <w:szCs w:val="18"/>
          <w:u w:val="single" w:color="auto"/>
          <w:color w:val="auto"/>
        </w:rPr>
      </w:pPr>
    </w:p>
    <w:p>
      <w:pPr>
        <w:jc w:val="both"/>
        <w:ind w:left="760" w:hanging="378"/>
        <w:spacing w:after="0" w:line="268" w:lineRule="auto"/>
        <w:tabs>
          <w:tab w:leader="none" w:pos="76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Merger and Integration</w:t>
      </w:r>
      <w:r>
        <w:rPr>
          <w:rFonts w:ascii="Times New Roman" w:cs="Times New Roman" w:eastAsia="Times New Roman" w:hAnsi="Times New Roman"/>
          <w:sz w:val="18"/>
          <w:szCs w:val="18"/>
          <w:color w:val="auto"/>
        </w:rPr>
        <w:t>. This Amendment, from and after the date hereof, embodies the entire agreement and understanding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and supersedes and has merged into it all prior oral and written agreements, on the same subjects by and between the Parties, with the effect that this Amendment shall control with respect to the specific subjects hereof.</w:t>
      </w:r>
    </w:p>
    <w:p>
      <w:pPr>
        <w:spacing w:after="0" w:line="62" w:lineRule="exact"/>
        <w:rPr>
          <w:rFonts w:ascii="Times New Roman" w:cs="Times New Roman" w:eastAsia="Times New Roman" w:hAnsi="Times New Roman"/>
          <w:sz w:val="18"/>
          <w:szCs w:val="18"/>
          <w:u w:val="single" w:color="auto"/>
          <w:color w:val="auto"/>
        </w:rPr>
      </w:pPr>
    </w:p>
    <w:p>
      <w:pPr>
        <w:jc w:val="both"/>
        <w:ind w:left="760" w:hanging="378"/>
        <w:spacing w:after="0" w:line="262" w:lineRule="auto"/>
        <w:tabs>
          <w:tab w:leader="none" w:pos="76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This Amendment shall inure to the benefit of and be binding upon the Parties and each of their respective successors and assigns.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may be executed in any number of counterparts, all of which shall constitute one and the same agreement, and any Party may execute this Amendment by signing and delivering one or more counterparts. Delivery of an executed counterpart of this Amendment electronically or by facsimile shall be effective as delivery of an original executed counterpart of this Amendment.</w:t>
      </w:r>
    </w:p>
    <w:p>
      <w:pPr>
        <w:spacing w:after="0" w:line="68" w:lineRule="exact"/>
        <w:rPr>
          <w:rFonts w:ascii="Times New Roman" w:cs="Times New Roman" w:eastAsia="Times New Roman" w:hAnsi="Times New Roman"/>
          <w:sz w:val="18"/>
          <w:szCs w:val="18"/>
          <w:u w:val="single" w:color="auto"/>
          <w:color w:val="auto"/>
        </w:rPr>
      </w:pPr>
    </w:p>
    <w:p>
      <w:pPr>
        <w:ind w:left="760" w:hanging="378"/>
        <w:spacing w:after="0" w:line="286" w:lineRule="auto"/>
        <w:tabs>
          <w:tab w:leader="none" w:pos="76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shall be interpreted and construed in accordance with the law identified Section 27 of the Bank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26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Amendment is executed by the Parties’ authorized officers or representatives and shall be effective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Bank</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Evolve Bank &amp; Trust</w:t>
            </w:r>
          </w:p>
        </w:tc>
        <w:tc>
          <w:tcPr>
            <w:tcW w:w="480" w:type="dxa"/>
            <w:vAlign w:val="bottom"/>
          </w:tcPr>
          <w:p>
            <w:pPr>
              <w:spacing w:after="0"/>
              <w:rPr>
                <w:sz w:val="20"/>
                <w:szCs w:val="20"/>
                <w:color w:val="auto"/>
              </w:rPr>
            </w:pPr>
          </w:p>
        </w:tc>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Company</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Dave Operating LLC</w:t>
            </w:r>
          </w:p>
        </w:tc>
      </w:tr>
      <w:tr>
        <w:trPr>
          <w:trHeight w:val="432"/>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By: /s/ Scot Lenoir</w:t>
            </w: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Kyle Beilman</w:t>
            </w:r>
          </w:p>
        </w:tc>
      </w:tr>
      <w:tr>
        <w:trPr>
          <w:trHeight w:val="36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Name: Scot Lenoir</w:t>
            </w: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Kyle Beilman</w:t>
            </w:r>
          </w:p>
        </w:tc>
      </w:tr>
      <w:tr>
        <w:trPr>
          <w:trHeight w:val="351"/>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Payments Officer</w:t>
            </w:r>
          </w:p>
        </w:tc>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36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8/21/2024 / 11:22:01 CDT</w:t>
            </w:r>
          </w:p>
        </w:tc>
        <w:tc>
          <w:tcPr>
            <w:tcW w:w="2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Date: 8/21/2024 / 11:44:33 PDT</w:t>
            </w:r>
          </w:p>
        </w:tc>
      </w:tr>
    </w:tbl>
    <w:p>
      <w:pPr>
        <w:jc w:val="center"/>
        <w:ind w:right="-19"/>
        <w:spacing w:after="0" w:line="210" w:lineRule="auto"/>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85800" cy="3771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ExtraCash Program Description</w:t>
      </w:r>
    </w:p>
    <w:p>
      <w:pPr>
        <w:spacing w:after="0" w:line="261" w:lineRule="exact"/>
        <w:rPr>
          <w:sz w:val="20"/>
          <w:szCs w:val="20"/>
          <w:color w:val="auto"/>
        </w:rPr>
      </w:pPr>
    </w:p>
    <w:p>
      <w:pPr>
        <w:jc w:val="center"/>
        <w:spacing w:after="0"/>
        <w:rPr>
          <w:sz w:val="20"/>
          <w:szCs w:val="20"/>
          <w:color w:val="auto"/>
        </w:rPr>
      </w:pPr>
      <w:r>
        <w:rPr>
          <w:rFonts w:ascii="Cambria" w:cs="Cambria" w:eastAsia="Cambria" w:hAnsi="Cambria"/>
          <w:sz w:val="18"/>
          <w:szCs w:val="18"/>
          <w:b w:val="1"/>
          <w:bCs w:val="1"/>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628015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5" w:name="page96"/>
    <w:bookmarkEnd w:id="95"/>
    <w:p>
      <w:pPr>
        <w:ind w:left="10460"/>
        <w:spacing w:after="0"/>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Exhibit 10.3</w:t>
      </w:r>
    </w:p>
    <w:p>
      <w:pPr>
        <w:spacing w:after="0" w:line="221" w:lineRule="exact"/>
        <w:rPr>
          <w:sz w:val="20"/>
          <w:szCs w:val="20"/>
          <w:color w:val="auto"/>
        </w:rPr>
      </w:pPr>
    </w:p>
    <w:p>
      <w:pPr>
        <w:ind w:left="1460" w:right="140" w:hanging="1360"/>
        <w:spacing w:after="0" w:line="260" w:lineRule="auto"/>
        <w:rPr>
          <w:sz w:val="20"/>
          <w:szCs w:val="20"/>
          <w:color w:val="auto"/>
        </w:rPr>
      </w:pPr>
      <w:r>
        <w:rPr>
          <w:rFonts w:ascii="Calibri" w:cs="Calibri" w:eastAsia="Calibri" w:hAnsi="Calibri"/>
          <w:sz w:val="18"/>
          <w:szCs w:val="18"/>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DEBIT CARD ISSUING AGREEMENT</w:t>
      </w: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Cover Page</w:t>
      </w:r>
    </w:p>
    <w:p>
      <w:pPr>
        <w:spacing w:after="0" w:line="225" w:lineRule="exact"/>
        <w:rPr>
          <w:sz w:val="20"/>
          <w:szCs w:val="20"/>
          <w:color w:val="auto"/>
        </w:rPr>
      </w:pPr>
    </w:p>
    <w:p>
      <w:pPr>
        <w:ind w:right="100"/>
        <w:spacing w:after="0" w:line="247" w:lineRule="auto"/>
        <w:rPr>
          <w:sz w:val="20"/>
          <w:szCs w:val="20"/>
          <w:color w:val="auto"/>
        </w:rPr>
      </w:pPr>
      <w:r>
        <w:rPr>
          <w:rFonts w:ascii="Calibri" w:cs="Calibri" w:eastAsia="Calibri" w:hAnsi="Calibri"/>
          <w:sz w:val="16"/>
          <w:szCs w:val="16"/>
          <w:color w:val="auto"/>
        </w:rPr>
        <w:t>This Debit Card Issuing Agreement (“</w:t>
      </w:r>
      <w:r>
        <w:rPr>
          <w:rFonts w:ascii="Calibri" w:cs="Calibri" w:eastAsia="Calibri" w:hAnsi="Calibri"/>
          <w:sz w:val="16"/>
          <w:szCs w:val="16"/>
          <w:u w:val="single" w:color="auto"/>
          <w:color w:val="auto"/>
        </w:rPr>
        <w:t>Agreement</w:t>
      </w:r>
      <w:r>
        <w:rPr>
          <w:rFonts w:ascii="Calibri" w:cs="Calibri" w:eastAsia="Calibri" w:hAnsi="Calibri"/>
          <w:sz w:val="16"/>
          <w:szCs w:val="16"/>
          <w:color w:val="auto"/>
        </w:rPr>
        <w:t>”) is entered into as of the 13th day of July, 2020 (“</w:t>
      </w:r>
      <w:r>
        <w:rPr>
          <w:rFonts w:ascii="Calibri" w:cs="Calibri" w:eastAsia="Calibri" w:hAnsi="Calibri"/>
          <w:sz w:val="16"/>
          <w:szCs w:val="16"/>
          <w:u w:val="single" w:color="auto"/>
          <w:color w:val="auto"/>
        </w:rPr>
        <w:t>Efectve Date</w:t>
      </w:r>
      <w:r>
        <w:rPr>
          <w:rFonts w:ascii="Calibri" w:cs="Calibri" w:eastAsia="Calibri" w:hAnsi="Calibri"/>
          <w:sz w:val="16"/>
          <w:szCs w:val="16"/>
          <w:color w:val="auto"/>
        </w:rPr>
        <w:t>”) by and between Evolve Bank &amp; Trust, an Arkansas state bank, (“</w:t>
      </w:r>
      <w:r>
        <w:rPr>
          <w:rFonts w:ascii="Calibri" w:cs="Calibri" w:eastAsia="Calibri" w:hAnsi="Calibri"/>
          <w:sz w:val="16"/>
          <w:szCs w:val="16"/>
          <w:u w:val="single" w:color="auto"/>
          <w:color w:val="auto"/>
        </w:rPr>
        <w:t>Bank</w:t>
      </w:r>
      <w:r>
        <w:rPr>
          <w:rFonts w:ascii="Calibri" w:cs="Calibri" w:eastAsia="Calibri" w:hAnsi="Calibri"/>
          <w:sz w:val="16"/>
          <w:szCs w:val="16"/>
          <w:color w:val="auto"/>
        </w:rPr>
        <w:t>”) and Dave Inc., a Delaware corporaton (“</w:t>
      </w:r>
      <w:r>
        <w:rPr>
          <w:rFonts w:ascii="Calibri" w:cs="Calibri" w:eastAsia="Calibri" w:hAnsi="Calibri"/>
          <w:sz w:val="16"/>
          <w:szCs w:val="16"/>
          <w:u w:val="single" w:color="auto"/>
          <w:color w:val="auto"/>
        </w:rPr>
        <w:t>Program Manager</w:t>
      </w:r>
      <w:r>
        <w:rPr>
          <w:rFonts w:ascii="Calibri" w:cs="Calibri" w:eastAsia="Calibri" w:hAnsi="Calibri"/>
          <w:sz w:val="16"/>
          <w:szCs w:val="16"/>
          <w:color w:val="auto"/>
        </w:rPr>
        <w:t>”). For purposes of this Agreement, Bank and Program Manager each will be referred to individually as a “</w:t>
      </w:r>
      <w:r>
        <w:rPr>
          <w:rFonts w:ascii="Calibri" w:cs="Calibri" w:eastAsia="Calibri" w:hAnsi="Calibri"/>
          <w:sz w:val="16"/>
          <w:szCs w:val="16"/>
          <w:u w:val="single" w:color="auto"/>
          <w:color w:val="auto"/>
        </w:rPr>
        <w:t>Party</w:t>
      </w:r>
      <w:r>
        <w:rPr>
          <w:rFonts w:ascii="Calibri" w:cs="Calibri" w:eastAsia="Calibri" w:hAnsi="Calibri"/>
          <w:sz w:val="16"/>
          <w:szCs w:val="16"/>
          <w:color w:val="auto"/>
        </w:rPr>
        <w:t>” and together as the “</w:t>
      </w:r>
      <w:r>
        <w:rPr>
          <w:rFonts w:ascii="Calibri" w:cs="Calibri" w:eastAsia="Calibri" w:hAnsi="Calibri"/>
          <w:sz w:val="16"/>
          <w:szCs w:val="16"/>
          <w:u w:val="single" w:color="auto"/>
          <w:color w:val="auto"/>
        </w:rPr>
        <w:t>Partes</w:t>
      </w:r>
      <w:r>
        <w:rPr>
          <w:rFonts w:ascii="Calibri" w:cs="Calibri" w:eastAsia="Calibri" w:hAnsi="Calibri"/>
          <w:sz w:val="16"/>
          <w:szCs w:val="16"/>
          <w:color w:val="auto"/>
        </w:rPr>
        <w: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60" w:type="dxa"/>
            <w:vAlign w:val="bottom"/>
            <w:gridSpan w:val="2"/>
          </w:tcPr>
          <w:p>
            <w:pPr>
              <w:spacing w:after="0"/>
              <w:rPr>
                <w:sz w:val="20"/>
                <w:szCs w:val="20"/>
                <w:color w:val="auto"/>
              </w:rPr>
            </w:pPr>
            <w:r>
              <w:rPr>
                <w:rFonts w:ascii="Calibri" w:cs="Calibri" w:eastAsia="Calibri" w:hAnsi="Calibri"/>
                <w:sz w:val="16"/>
                <w:szCs w:val="16"/>
                <w:color w:val="auto"/>
              </w:rPr>
              <w:t>Notces:</w:t>
            </w: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06"/>
        </w:trPr>
        <w:tc>
          <w:tcPr>
            <w:tcW w:w="2360" w:type="dxa"/>
            <w:vAlign w:val="bottom"/>
            <w:gridSpan w:val="2"/>
          </w:tcPr>
          <w:p>
            <w:pPr>
              <w:spacing w:after="0"/>
              <w:rPr>
                <w:sz w:val="20"/>
                <w:szCs w:val="20"/>
                <w:color w:val="auto"/>
              </w:rPr>
            </w:pPr>
            <w:r>
              <w:rPr>
                <w:rFonts w:ascii="Calibri" w:cs="Calibri" w:eastAsia="Calibri" w:hAnsi="Calibri"/>
                <w:sz w:val="18"/>
                <w:szCs w:val="18"/>
                <w:color w:val="auto"/>
              </w:rPr>
              <w:t>If to Bank:</w:t>
            </w:r>
          </w:p>
        </w:tc>
        <w:tc>
          <w:tcPr>
            <w:tcW w:w="2900" w:type="dxa"/>
            <w:vAlign w:val="bottom"/>
            <w:gridSpan w:val="3"/>
          </w:tcPr>
          <w:p>
            <w:pPr>
              <w:ind w:left="180"/>
              <w:spacing w:after="0"/>
              <w:rPr>
                <w:sz w:val="20"/>
                <w:szCs w:val="20"/>
                <w:color w:val="auto"/>
              </w:rPr>
            </w:pPr>
            <w:r>
              <w:rPr>
                <w:rFonts w:ascii="Calibri" w:cs="Calibri" w:eastAsia="Calibri" w:hAnsi="Calibri"/>
                <w:sz w:val="18"/>
                <w:szCs w:val="18"/>
                <w:color w:val="auto"/>
              </w:rPr>
              <w:t>If to Program Manager:</w:t>
            </w:r>
          </w:p>
        </w:tc>
      </w:tr>
      <w:tr>
        <w:trPr>
          <w:trHeight w:val="20"/>
        </w:trPr>
        <w:tc>
          <w:tcPr>
            <w:tcW w:w="6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35"/>
        </w:trPr>
        <w:tc>
          <w:tcPr>
            <w:tcW w:w="2360" w:type="dxa"/>
            <w:vAlign w:val="bottom"/>
            <w:gridSpan w:val="2"/>
          </w:tcPr>
          <w:p>
            <w:pPr>
              <w:spacing w:after="0"/>
              <w:rPr>
                <w:sz w:val="20"/>
                <w:szCs w:val="20"/>
                <w:color w:val="auto"/>
              </w:rPr>
            </w:pPr>
            <w:r>
              <w:rPr>
                <w:rFonts w:ascii="Calibri" w:cs="Calibri" w:eastAsia="Calibri" w:hAnsi="Calibri"/>
                <w:sz w:val="18"/>
                <w:szCs w:val="18"/>
                <w:color w:val="auto"/>
              </w:rPr>
              <w:t>Evolve Bank &amp; Trust</w:t>
            </w:r>
          </w:p>
        </w:tc>
        <w:tc>
          <w:tcPr>
            <w:tcW w:w="180" w:type="dxa"/>
            <w:vAlign w:val="bottom"/>
          </w:tcPr>
          <w:p>
            <w:pPr>
              <w:spacing w:after="0"/>
              <w:rPr>
                <w:sz w:val="24"/>
                <w:szCs w:val="24"/>
                <w:color w:val="auto"/>
              </w:rPr>
            </w:pPr>
          </w:p>
        </w:tc>
        <w:tc>
          <w:tcPr>
            <w:tcW w:w="2720" w:type="dxa"/>
            <w:vAlign w:val="bottom"/>
            <w:gridSpan w:val="2"/>
          </w:tcPr>
          <w:p>
            <w:pPr>
              <w:ind w:left="320"/>
              <w:spacing w:after="0"/>
              <w:rPr>
                <w:sz w:val="20"/>
                <w:szCs w:val="20"/>
                <w:color w:val="auto"/>
              </w:rPr>
            </w:pPr>
            <w:r>
              <w:rPr>
                <w:rFonts w:ascii="Calibri" w:cs="Calibri" w:eastAsia="Calibri" w:hAnsi="Calibri"/>
                <w:sz w:val="18"/>
                <w:szCs w:val="18"/>
                <w:color w:val="auto"/>
              </w:rPr>
              <w:t>Dave Inc.</w:t>
            </w:r>
          </w:p>
        </w:tc>
      </w:tr>
      <w:tr>
        <w:trPr>
          <w:trHeight w:val="216"/>
        </w:trPr>
        <w:tc>
          <w:tcPr>
            <w:tcW w:w="2360" w:type="dxa"/>
            <w:vAlign w:val="bottom"/>
            <w:gridSpan w:val="2"/>
          </w:tcPr>
          <w:p>
            <w:pPr>
              <w:spacing w:after="0" w:line="216" w:lineRule="exact"/>
              <w:rPr>
                <w:sz w:val="20"/>
                <w:szCs w:val="20"/>
                <w:color w:val="auto"/>
              </w:rPr>
            </w:pPr>
            <w:r>
              <w:rPr>
                <w:rFonts w:ascii="Calibri" w:cs="Calibri" w:eastAsia="Calibri" w:hAnsi="Calibri"/>
                <w:sz w:val="18"/>
                <w:szCs w:val="18"/>
                <w:color w:val="auto"/>
              </w:rPr>
              <w:t>6070 Poplar Avenue, Suite 100</w:t>
            </w:r>
          </w:p>
        </w:tc>
        <w:tc>
          <w:tcPr>
            <w:tcW w:w="180" w:type="dxa"/>
            <w:vAlign w:val="bottom"/>
          </w:tcPr>
          <w:p>
            <w:pPr>
              <w:spacing w:after="0"/>
              <w:rPr>
                <w:sz w:val="18"/>
                <w:szCs w:val="18"/>
                <w:color w:val="auto"/>
              </w:rPr>
            </w:pPr>
          </w:p>
        </w:tc>
        <w:tc>
          <w:tcPr>
            <w:tcW w:w="2720" w:type="dxa"/>
            <w:vAlign w:val="bottom"/>
            <w:gridSpan w:val="2"/>
          </w:tcPr>
          <w:p>
            <w:pPr>
              <w:ind w:left="640"/>
              <w:spacing w:after="0" w:line="216" w:lineRule="exact"/>
              <w:rPr>
                <w:sz w:val="20"/>
                <w:szCs w:val="20"/>
                <w:color w:val="auto"/>
              </w:rPr>
            </w:pPr>
            <w:r>
              <w:rPr>
                <w:rFonts w:ascii="Calibri" w:cs="Calibri" w:eastAsia="Calibri" w:hAnsi="Calibri"/>
                <w:sz w:val="18"/>
                <w:szCs w:val="18"/>
                <w:color w:val="auto"/>
              </w:rPr>
              <w:t>1265 S. Cochran Avenue</w:t>
            </w:r>
          </w:p>
        </w:tc>
      </w:tr>
      <w:tr>
        <w:trPr>
          <w:trHeight w:val="216"/>
        </w:trPr>
        <w:tc>
          <w:tcPr>
            <w:tcW w:w="2360" w:type="dxa"/>
            <w:vAlign w:val="bottom"/>
            <w:gridSpan w:val="2"/>
          </w:tcPr>
          <w:p>
            <w:pPr>
              <w:spacing w:after="0" w:line="216" w:lineRule="exact"/>
              <w:rPr>
                <w:sz w:val="20"/>
                <w:szCs w:val="20"/>
                <w:color w:val="auto"/>
              </w:rPr>
            </w:pPr>
            <w:r>
              <w:rPr>
                <w:rFonts w:ascii="Calibri" w:cs="Calibri" w:eastAsia="Calibri" w:hAnsi="Calibri"/>
                <w:sz w:val="18"/>
                <w:szCs w:val="18"/>
                <w:color w:val="auto"/>
              </w:rPr>
              <w:t>Memphis, Tennessee 38119</w:t>
            </w:r>
          </w:p>
        </w:tc>
        <w:tc>
          <w:tcPr>
            <w:tcW w:w="180" w:type="dxa"/>
            <w:vAlign w:val="bottom"/>
          </w:tcPr>
          <w:p>
            <w:pPr>
              <w:spacing w:after="0"/>
              <w:rPr>
                <w:sz w:val="18"/>
                <w:szCs w:val="18"/>
                <w:color w:val="auto"/>
              </w:rPr>
            </w:pPr>
          </w:p>
        </w:tc>
        <w:tc>
          <w:tcPr>
            <w:tcW w:w="2720" w:type="dxa"/>
            <w:vAlign w:val="bottom"/>
            <w:gridSpan w:val="2"/>
          </w:tcPr>
          <w:p>
            <w:pPr>
              <w:ind w:left="640"/>
              <w:spacing w:after="0" w:line="216" w:lineRule="exact"/>
              <w:rPr>
                <w:sz w:val="20"/>
                <w:szCs w:val="20"/>
                <w:color w:val="auto"/>
              </w:rPr>
            </w:pPr>
            <w:r>
              <w:rPr>
                <w:rFonts w:ascii="Calibri" w:cs="Calibri" w:eastAsia="Calibri" w:hAnsi="Calibri"/>
                <w:sz w:val="18"/>
                <w:szCs w:val="18"/>
                <w:color w:val="auto"/>
                <w:w w:val="96"/>
              </w:rPr>
              <w:t>Los Angeles, California 90019</w:t>
            </w:r>
          </w:p>
        </w:tc>
      </w:tr>
      <w:tr>
        <w:trPr>
          <w:trHeight w:val="216"/>
        </w:trPr>
        <w:tc>
          <w:tcPr>
            <w:tcW w:w="2360" w:type="dxa"/>
            <w:vAlign w:val="bottom"/>
            <w:gridSpan w:val="2"/>
          </w:tcPr>
          <w:p>
            <w:pPr>
              <w:spacing w:after="0" w:line="216" w:lineRule="exact"/>
              <w:rPr>
                <w:sz w:val="20"/>
                <w:szCs w:val="20"/>
                <w:color w:val="auto"/>
              </w:rPr>
            </w:pPr>
            <w:r>
              <w:rPr>
                <w:rFonts w:ascii="Calibri" w:cs="Calibri" w:eastAsia="Calibri" w:hAnsi="Calibri"/>
                <w:sz w:val="18"/>
                <w:szCs w:val="18"/>
                <w:color w:val="auto"/>
              </w:rPr>
              <w:t>Atenton: Legal Department</w:t>
            </w:r>
          </w:p>
        </w:tc>
        <w:tc>
          <w:tcPr>
            <w:tcW w:w="180" w:type="dxa"/>
            <w:vAlign w:val="bottom"/>
          </w:tcPr>
          <w:p>
            <w:pPr>
              <w:spacing w:after="0"/>
              <w:rPr>
                <w:sz w:val="18"/>
                <w:szCs w:val="18"/>
                <w:color w:val="auto"/>
              </w:rPr>
            </w:pPr>
          </w:p>
        </w:tc>
        <w:tc>
          <w:tcPr>
            <w:tcW w:w="2720" w:type="dxa"/>
            <w:vAlign w:val="bottom"/>
            <w:gridSpan w:val="2"/>
          </w:tcPr>
          <w:p>
            <w:pPr>
              <w:ind w:left="640"/>
              <w:spacing w:after="0" w:line="216" w:lineRule="exact"/>
              <w:rPr>
                <w:sz w:val="20"/>
                <w:szCs w:val="20"/>
                <w:color w:val="auto"/>
              </w:rPr>
            </w:pPr>
            <w:r>
              <w:rPr>
                <w:rFonts w:ascii="Calibri" w:cs="Calibri" w:eastAsia="Calibri" w:hAnsi="Calibri"/>
                <w:sz w:val="18"/>
                <w:szCs w:val="18"/>
                <w:color w:val="auto"/>
              </w:rPr>
              <w:t>Atenton: Legal</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IN WITNESS WHEREOF</w:t>
      </w:r>
      <w:r>
        <w:rPr>
          <w:rFonts w:ascii="Calibri" w:cs="Calibri" w:eastAsia="Calibri" w:hAnsi="Calibri"/>
          <w:sz w:val="16"/>
          <w:szCs w:val="16"/>
          <w:color w:val="auto"/>
        </w:rPr>
        <w:t>, this Agreement is executed by the Partes’ authorized ofcers or representatves and shall be efectve as of the date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gridSpan w:val="4"/>
          </w:tcPr>
          <w:p>
            <w:pPr>
              <w:spacing w:after="0"/>
              <w:rPr>
                <w:sz w:val="20"/>
                <w:szCs w:val="20"/>
                <w:color w:val="auto"/>
              </w:rPr>
            </w:pPr>
            <w:r>
              <w:rPr>
                <w:rFonts w:ascii="Calibri" w:cs="Calibri" w:eastAsia="Calibri" w:hAnsi="Calibri"/>
                <w:sz w:val="18"/>
                <w:szCs w:val="18"/>
                <w:b w:val="1"/>
                <w:bCs w:val="1"/>
                <w:color w:val="auto"/>
                <w:w w:val="97"/>
              </w:rPr>
              <w:t>Bank</w:t>
            </w:r>
            <w:r>
              <w:rPr>
                <w:rFonts w:ascii="Calibri" w:cs="Calibri" w:eastAsia="Calibri" w:hAnsi="Calibri"/>
                <w:sz w:val="18"/>
                <w:szCs w:val="18"/>
                <w:color w:val="auto"/>
                <w:w w:val="97"/>
              </w:rPr>
              <w:t>:</w:t>
            </w:r>
            <w:r>
              <w:rPr>
                <w:rFonts w:ascii="Calibri" w:cs="Calibri" w:eastAsia="Calibri" w:hAnsi="Calibri"/>
                <w:sz w:val="18"/>
                <w:szCs w:val="18"/>
                <w:b w:val="1"/>
                <w:bCs w:val="1"/>
                <w:color w:val="auto"/>
                <w:w w:val="97"/>
              </w:rPr>
              <w:t xml:space="preserve"> Evolve Bank &amp; Trust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40" w:type="dxa"/>
            <w:vAlign w:val="bottom"/>
            <w:gridSpan w:val="11"/>
          </w:tcPr>
          <w:p>
            <w:pPr>
              <w:spacing w:after="0"/>
              <w:rPr>
                <w:sz w:val="20"/>
                <w:szCs w:val="20"/>
                <w:color w:val="auto"/>
              </w:rPr>
            </w:pPr>
            <w:r>
              <w:rPr>
                <w:rFonts w:ascii="Calibri" w:cs="Calibri" w:eastAsia="Calibri" w:hAnsi="Calibri"/>
                <w:sz w:val="18"/>
                <w:szCs w:val="18"/>
                <w:b w:val="1"/>
                <w:bCs w:val="1"/>
                <w:color w:val="auto"/>
              </w:rPr>
              <w:t>Program Manager</w:t>
            </w:r>
            <w:r>
              <w:rPr>
                <w:rFonts w:ascii="Calibri" w:cs="Calibri" w:eastAsia="Calibri" w:hAnsi="Calibri"/>
                <w:sz w:val="18"/>
                <w:szCs w:val="18"/>
                <w:color w:val="auto"/>
              </w:rPr>
              <w:t>:</w:t>
            </w:r>
            <w:r>
              <w:rPr>
                <w:rFonts w:ascii="Calibri" w:cs="Calibri" w:eastAsia="Calibri" w:hAnsi="Calibri"/>
                <w:sz w:val="18"/>
                <w:szCs w:val="18"/>
                <w:b w:val="1"/>
                <w:bCs w:val="1"/>
                <w:color w:val="auto"/>
              </w:rPr>
              <w:t xml:space="preserve"> Dave Inc.</w:t>
            </w:r>
          </w:p>
        </w:tc>
      </w:tr>
      <w:tr>
        <w:trPr>
          <w:trHeight w:val="537"/>
        </w:trPr>
        <w:tc>
          <w:tcPr>
            <w:tcW w:w="1920" w:type="dxa"/>
            <w:vAlign w:val="bottom"/>
            <w:gridSpan w:val="4"/>
          </w:tcPr>
          <w:p>
            <w:pPr>
              <w:spacing w:after="0"/>
              <w:rPr>
                <w:sz w:val="20"/>
                <w:szCs w:val="20"/>
                <w:color w:val="auto"/>
              </w:rPr>
            </w:pPr>
            <w:r>
              <w:rPr>
                <w:rFonts w:ascii="Calibri" w:cs="Calibri" w:eastAsia="Calibri" w:hAnsi="Calibri"/>
                <w:sz w:val="18"/>
                <w:szCs w:val="18"/>
                <w:color w:val="auto"/>
              </w:rPr>
              <w:t>By: /s/ Scot Lenoir</w:t>
            </w:r>
          </w:p>
        </w:tc>
        <w:tc>
          <w:tcPr>
            <w:tcW w:w="620" w:type="dxa"/>
            <w:vAlign w:val="bottom"/>
            <w:gridSpan w:val="2"/>
          </w:tcPr>
          <w:p>
            <w:pPr>
              <w:ind w:left="300"/>
              <w:spacing w:after="0"/>
              <w:rPr>
                <w:sz w:val="20"/>
                <w:szCs w:val="20"/>
                <w:color w:val="auto"/>
              </w:rPr>
            </w:pPr>
            <w:r>
              <w:rPr>
                <w:rFonts w:ascii="Calibri" w:cs="Calibri" w:eastAsia="Calibri" w:hAnsi="Calibri"/>
                <w:sz w:val="18"/>
                <w:szCs w:val="18"/>
                <w:color w:val="auto"/>
              </w:rPr>
              <w:t>By:</w:t>
            </w:r>
          </w:p>
        </w:tc>
        <w:tc>
          <w:tcPr>
            <w:tcW w:w="20" w:type="dxa"/>
            <w:vAlign w:val="bottom"/>
          </w:tcPr>
          <w:p>
            <w:pPr>
              <w:spacing w:after="0"/>
              <w:rPr>
                <w:sz w:val="24"/>
                <w:szCs w:val="24"/>
                <w:color w:val="auto"/>
              </w:rPr>
            </w:pPr>
          </w:p>
        </w:tc>
        <w:tc>
          <w:tcPr>
            <w:tcW w:w="3220" w:type="dxa"/>
            <w:vAlign w:val="bottom"/>
            <w:gridSpan w:val="10"/>
          </w:tcPr>
          <w:p>
            <w:pPr>
              <w:spacing w:after="0"/>
              <w:rPr>
                <w:sz w:val="20"/>
                <w:szCs w:val="20"/>
                <w:color w:val="auto"/>
              </w:rPr>
            </w:pPr>
            <w:r>
              <w:rPr>
                <w:rFonts w:ascii="Calibri" w:cs="Calibri" w:eastAsia="Calibri" w:hAnsi="Calibri"/>
                <w:sz w:val="18"/>
                <w:szCs w:val="18"/>
                <w:color w:val="auto"/>
              </w:rPr>
              <w:t>/s/ Jason Wilk</w:t>
            </w:r>
          </w:p>
        </w:tc>
      </w:tr>
      <w:tr>
        <w:trPr>
          <w:trHeight w:val="20"/>
        </w:trPr>
        <w:tc>
          <w:tcPr>
            <w:tcW w:w="3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4"/>
        </w:trPr>
        <w:tc>
          <w:tcPr>
            <w:tcW w:w="1920" w:type="dxa"/>
            <w:vAlign w:val="bottom"/>
            <w:gridSpan w:val="4"/>
          </w:tcPr>
          <w:p>
            <w:pPr>
              <w:spacing w:after="0"/>
              <w:rPr>
                <w:sz w:val="20"/>
                <w:szCs w:val="20"/>
                <w:color w:val="auto"/>
              </w:rPr>
            </w:pPr>
            <w:r>
              <w:rPr>
                <w:rFonts w:ascii="Calibri" w:cs="Calibri" w:eastAsia="Calibri" w:hAnsi="Calibri"/>
                <w:sz w:val="18"/>
                <w:szCs w:val="18"/>
                <w:color w:val="auto"/>
              </w:rPr>
              <w:t>Name: Scot Lenoir</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11"/>
          </w:tcPr>
          <w:p>
            <w:pPr>
              <w:spacing w:after="0"/>
              <w:rPr>
                <w:sz w:val="20"/>
                <w:szCs w:val="20"/>
                <w:color w:val="auto"/>
              </w:rPr>
            </w:pPr>
            <w:r>
              <w:rPr>
                <w:rFonts w:ascii="Calibri" w:cs="Calibri" w:eastAsia="Calibri" w:hAnsi="Calibri"/>
                <w:sz w:val="18"/>
                <w:szCs w:val="18"/>
                <w:color w:val="auto"/>
              </w:rPr>
              <w:t>Name: __Jason Wilk_________________</w:t>
            </w:r>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1920" w:type="dxa"/>
            <w:vAlign w:val="bottom"/>
            <w:gridSpan w:val="4"/>
          </w:tcPr>
          <w:p>
            <w:pPr>
              <w:spacing w:after="0"/>
              <w:rPr>
                <w:sz w:val="20"/>
                <w:szCs w:val="20"/>
                <w:color w:val="auto"/>
              </w:rPr>
            </w:pPr>
            <w:r>
              <w:rPr>
                <w:rFonts w:ascii="Calibri" w:cs="Calibri" w:eastAsia="Calibri" w:hAnsi="Calibri"/>
                <w:sz w:val="18"/>
                <w:szCs w:val="18"/>
                <w:color w:val="auto"/>
              </w:rPr>
              <w:t>Title:  Chairman</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10"/>
          </w:tcPr>
          <w:p>
            <w:pPr>
              <w:ind w:left="300"/>
              <w:spacing w:after="0"/>
              <w:rPr>
                <w:sz w:val="20"/>
                <w:szCs w:val="20"/>
                <w:color w:val="auto"/>
              </w:rPr>
            </w:pPr>
            <w:r>
              <w:rPr>
                <w:rFonts w:ascii="Calibri" w:cs="Calibri" w:eastAsia="Calibri" w:hAnsi="Calibri"/>
                <w:sz w:val="18"/>
                <w:szCs w:val="18"/>
                <w:color w:val="auto"/>
                <w:w w:val="98"/>
              </w:rPr>
              <w:t>Title: __CEO_______________________</w:t>
            </w:r>
          </w:p>
        </w:tc>
      </w:tr>
      <w:tr>
        <w:trPr>
          <w:trHeight w:val="20"/>
        </w:trPr>
        <w:tc>
          <w:tcPr>
            <w:tcW w:w="460" w:type="dxa"/>
            <w:vAlign w:val="bottom"/>
            <w:tcBorders>
              <w:right w:val="single" w:sz="8" w:color="auto"/>
            </w:tcBorders>
            <w:gridSpan w:val="2"/>
          </w:tcPr>
          <w:p>
            <w:pPr>
              <w:spacing w:after="0" w:line="20" w:lineRule="exact"/>
              <w:rPr>
                <w:sz w:val="1"/>
                <w:szCs w:val="1"/>
                <w:color w:val="auto"/>
              </w:rPr>
            </w:pPr>
          </w:p>
        </w:tc>
        <w:tc>
          <w:tcPr>
            <w:tcW w:w="2080" w:type="dxa"/>
            <w:vAlign w:val="bottom"/>
            <w:tcBorders>
              <w:righ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31"/>
        </w:trPr>
        <w:tc>
          <w:tcPr>
            <w:tcW w:w="2540" w:type="dxa"/>
            <w:vAlign w:val="bottom"/>
            <w:gridSpan w:val="6"/>
          </w:tcPr>
          <w:p>
            <w:pPr>
              <w:spacing w:after="0"/>
              <w:rPr>
                <w:sz w:val="20"/>
                <w:szCs w:val="20"/>
                <w:color w:val="auto"/>
              </w:rPr>
            </w:pPr>
            <w:r>
              <w:rPr>
                <w:rFonts w:ascii="Calibri" w:cs="Calibri" w:eastAsia="Calibri" w:hAnsi="Calibri"/>
                <w:sz w:val="18"/>
                <w:szCs w:val="18"/>
                <w:color w:val="auto"/>
              </w:rPr>
              <w:t>Date: 7/14/2020 / 10:05:19 CDT</w:t>
            </w:r>
          </w:p>
        </w:tc>
        <w:tc>
          <w:tcPr>
            <w:tcW w:w="20" w:type="dxa"/>
            <w:vAlign w:val="bottom"/>
          </w:tcPr>
          <w:p>
            <w:pPr>
              <w:spacing w:after="0"/>
              <w:rPr>
                <w:sz w:val="24"/>
                <w:szCs w:val="24"/>
                <w:color w:val="auto"/>
              </w:rPr>
            </w:pPr>
          </w:p>
        </w:tc>
        <w:tc>
          <w:tcPr>
            <w:tcW w:w="3220" w:type="dxa"/>
            <w:vAlign w:val="bottom"/>
            <w:gridSpan w:val="10"/>
          </w:tcPr>
          <w:p>
            <w:pPr>
              <w:ind w:left="300"/>
              <w:spacing w:after="0"/>
              <w:rPr>
                <w:sz w:val="20"/>
                <w:szCs w:val="20"/>
                <w:color w:val="auto"/>
              </w:rPr>
            </w:pPr>
            <w:r>
              <w:rPr>
                <w:rFonts w:ascii="Calibri" w:cs="Calibri" w:eastAsia="Calibri" w:hAnsi="Calibri"/>
                <w:sz w:val="18"/>
                <w:szCs w:val="18"/>
                <w:color w:val="auto"/>
                <w:w w:val="99"/>
              </w:rPr>
              <w:t>Date: ___7/13/2020_/ 5:49:41 CDT____</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2</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96" w:name="page97"/>
    <w:bookmarkEnd w:id="96"/>
    <w:p>
      <w:pPr>
        <w:ind w:left="4480"/>
        <w:spacing w:after="0"/>
        <w:rPr>
          <w:sz w:val="20"/>
          <w:szCs w:val="20"/>
          <w:color w:val="auto"/>
        </w:rPr>
      </w:pPr>
      <w:r>
        <w:rPr>
          <w:rFonts w:ascii="Calibri" w:cs="Calibri" w:eastAsia="Calibri" w:hAnsi="Calibri"/>
          <w:sz w:val="16"/>
          <w:szCs w:val="16"/>
          <w:b w:val="1"/>
          <w:bCs w:val="1"/>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DEBIT CARD ISSUING AGREEMENT</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b w:val="1"/>
          <w:bCs w:val="1"/>
          <w:color w:val="auto"/>
        </w:rPr>
        <w:t>WHEREAS</w:t>
      </w:r>
      <w:r>
        <w:rPr>
          <w:rFonts w:ascii="Calibri" w:cs="Calibri" w:eastAsia="Calibri" w:hAnsi="Calibri"/>
          <w:sz w:val="16"/>
          <w:szCs w:val="16"/>
          <w:color w:val="auto"/>
        </w:rPr>
        <w:t>, Bank is a depository insttuton, member FDIC;</w:t>
      </w:r>
    </w:p>
    <w:p>
      <w:pPr>
        <w:spacing w:after="0" w:line="117" w:lineRule="exact"/>
        <w:rPr>
          <w:sz w:val="20"/>
          <w:szCs w:val="20"/>
          <w:color w:val="auto"/>
        </w:rPr>
      </w:pPr>
    </w:p>
    <w:p>
      <w:pPr>
        <w:ind w:firstLine="749"/>
        <w:spacing w:after="0" w:line="246" w:lineRule="auto"/>
        <w:rPr>
          <w:sz w:val="20"/>
          <w:szCs w:val="20"/>
          <w:color w:val="auto"/>
        </w:rPr>
      </w:pPr>
      <w:r>
        <w:rPr>
          <w:rFonts w:ascii="Calibri" w:cs="Calibri" w:eastAsia="Calibri" w:hAnsi="Calibri"/>
          <w:sz w:val="16"/>
          <w:szCs w:val="16"/>
          <w:b w:val="1"/>
          <w:bCs w:val="1"/>
          <w:color w:val="auto"/>
        </w:rPr>
        <w:t>WHEREAS</w:t>
      </w:r>
      <w:r>
        <w:rPr>
          <w:rFonts w:ascii="Calibri" w:cs="Calibri" w:eastAsia="Calibri" w:hAnsi="Calibri"/>
          <w:sz w:val="16"/>
          <w:szCs w:val="16"/>
          <w:color w:val="auto"/>
        </w:rPr>
        <w:t>, Bank is a member of certain Card Associatons and is in the business of issuing Cards and establishing Setlement Accounts for the Setlement of</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Card transactons;</w:t>
      </w:r>
    </w:p>
    <w:p>
      <w:pPr>
        <w:spacing w:after="0" w:line="113" w:lineRule="exact"/>
        <w:rPr>
          <w:sz w:val="20"/>
          <w:szCs w:val="20"/>
          <w:color w:val="auto"/>
        </w:rPr>
      </w:pPr>
    </w:p>
    <w:p>
      <w:pPr>
        <w:ind w:firstLine="749"/>
        <w:spacing w:after="0" w:line="246" w:lineRule="auto"/>
        <w:rPr>
          <w:sz w:val="20"/>
          <w:szCs w:val="20"/>
          <w:color w:val="auto"/>
        </w:rPr>
      </w:pPr>
      <w:r>
        <w:rPr>
          <w:rFonts w:ascii="Calibri" w:cs="Calibri" w:eastAsia="Calibri" w:hAnsi="Calibri"/>
          <w:sz w:val="16"/>
          <w:szCs w:val="16"/>
          <w:b w:val="1"/>
          <w:bCs w:val="1"/>
          <w:color w:val="auto"/>
        </w:rPr>
        <w:t>WHEREAS</w:t>
      </w:r>
      <w:r>
        <w:rPr>
          <w:rFonts w:ascii="Calibri" w:cs="Calibri" w:eastAsia="Calibri" w:hAnsi="Calibri"/>
          <w:sz w:val="16"/>
          <w:szCs w:val="16"/>
          <w:color w:val="auto"/>
        </w:rPr>
        <w:t>, Bank and Program Manager have entered into that certain Bank Services Agreement, dated as of the Efectve Date hereof, in order for Program</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Manager to service deposit accounts established by Bank (the “Bank Services Agreement”);</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b w:val="1"/>
          <w:bCs w:val="1"/>
          <w:color w:val="auto"/>
        </w:rPr>
        <w:t>WHEREAS</w:t>
      </w:r>
      <w:r>
        <w:rPr>
          <w:rFonts w:ascii="Calibri" w:cs="Calibri" w:eastAsia="Calibri" w:hAnsi="Calibri"/>
          <w:sz w:val="16"/>
          <w:szCs w:val="16"/>
          <w:color w:val="auto"/>
        </w:rPr>
        <w:t>, Bank desires that Program Manager provide services in support of the Program as further described in this Agreement; and</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b w:val="1"/>
          <w:bCs w:val="1"/>
          <w:color w:val="auto"/>
        </w:rPr>
        <w:t>WHEREAS</w:t>
      </w:r>
      <w:r>
        <w:rPr>
          <w:rFonts w:ascii="Calibri" w:cs="Calibri" w:eastAsia="Calibri" w:hAnsi="Calibri"/>
          <w:sz w:val="16"/>
          <w:szCs w:val="16"/>
          <w:color w:val="auto"/>
        </w:rPr>
        <w:t>, Program Manager desires to provide such services in support of the Program on the terms and conditons set forth in this Agreement.</w:t>
      </w:r>
    </w:p>
    <w:p>
      <w:pPr>
        <w:spacing w:after="0" w:line="115"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AGREEMENT</w:t>
      </w:r>
    </w:p>
    <w:p>
      <w:pPr>
        <w:spacing w:after="0" w:line="117" w:lineRule="exact"/>
        <w:rPr>
          <w:sz w:val="20"/>
          <w:szCs w:val="20"/>
          <w:color w:val="auto"/>
        </w:rPr>
      </w:pPr>
    </w:p>
    <w:p>
      <w:pPr>
        <w:ind w:firstLine="749"/>
        <w:spacing w:after="0" w:line="246" w:lineRule="auto"/>
        <w:rPr>
          <w:sz w:val="20"/>
          <w:szCs w:val="20"/>
          <w:color w:val="auto"/>
        </w:rPr>
      </w:pPr>
      <w:r>
        <w:rPr>
          <w:rFonts w:ascii="Calibri" w:cs="Calibri" w:eastAsia="Calibri" w:hAnsi="Calibri"/>
          <w:sz w:val="16"/>
          <w:szCs w:val="16"/>
          <w:b w:val="1"/>
          <w:bCs w:val="1"/>
          <w:color w:val="auto"/>
        </w:rPr>
        <w:t>NOW, THEREFORE</w:t>
      </w:r>
      <w:r>
        <w:rPr>
          <w:rFonts w:ascii="Calibri" w:cs="Calibri" w:eastAsia="Calibri" w:hAnsi="Calibri"/>
          <w:sz w:val="16"/>
          <w:szCs w:val="16"/>
          <w:color w:val="auto"/>
        </w:rPr>
        <w:t>, in consideraton of the foregoing and the terms, conditons and mutual covenants and agreements herein contained, and for good and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valuable consideraton, the receipt and sufciency of which are hereby acknowledged, Bank and Program Manager mutually agree as follows:</w:t>
      </w:r>
    </w:p>
    <w:p>
      <w:pPr>
        <w:spacing w:after="0" w:line="126" w:lineRule="exact"/>
        <w:rPr>
          <w:sz w:val="20"/>
          <w:szCs w:val="20"/>
          <w:color w:val="auto"/>
        </w:rPr>
      </w:pPr>
    </w:p>
    <w:p>
      <w:pPr>
        <w:ind w:left="760" w:right="2060" w:hanging="3"/>
        <w:spacing w:after="0" w:line="379" w:lineRule="auto"/>
        <w:tabs>
          <w:tab w:leader="none" w:pos="1029" w:val="left"/>
        </w:tabs>
        <w:numPr>
          <w:ilvl w:val="0"/>
          <w:numId w:val="77"/>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b w:val="1"/>
          <w:bCs w:val="1"/>
          <w:u w:val="single" w:color="auto"/>
          <w:color w:val="auto"/>
        </w:rPr>
        <w:t>Defnitons</w:t>
      </w:r>
      <w:r>
        <w:rPr>
          <w:rFonts w:ascii="Calibri" w:cs="Calibri" w:eastAsia="Calibri" w:hAnsi="Calibri"/>
          <w:sz w:val="16"/>
          <w:szCs w:val="16"/>
          <w:color w:val="auto"/>
        </w:rPr>
        <w:t>. All capitalized terms used in this Agreement and not otherwise defned shall have the meanings set forth below.</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t>
      </w:r>
      <w:r>
        <w:rPr>
          <w:rFonts w:ascii="Calibri" w:cs="Calibri" w:eastAsia="Calibri" w:hAnsi="Calibri"/>
          <w:sz w:val="16"/>
          <w:szCs w:val="16"/>
          <w:b w:val="1"/>
          <w:bCs w:val="1"/>
          <w:color w:val="auto"/>
        </w:rPr>
        <w:t>Account</w:t>
      </w:r>
      <w:r>
        <w:rPr>
          <w:rFonts w:ascii="Calibri" w:cs="Calibri" w:eastAsia="Calibri" w:hAnsi="Calibri"/>
          <w:sz w:val="16"/>
          <w:szCs w:val="16"/>
          <w:color w:val="auto"/>
        </w:rPr>
        <w:t>” has the same meaning as “Deposit Account,” as defned in the Bank Services Agreement.</w:t>
      </w:r>
    </w:p>
    <w:p>
      <w:pPr>
        <w:spacing w:after="0" w:line="2" w:lineRule="exact"/>
        <w:rPr>
          <w:rFonts w:ascii="Times New Roman" w:cs="Times New Roman" w:eastAsia="Times New Roman" w:hAnsi="Times New Roman"/>
          <w:sz w:val="16"/>
          <w:szCs w:val="16"/>
          <w:u w:val="single" w:color="auto"/>
          <w:color w:val="auto"/>
        </w:rPr>
      </w:pPr>
    </w:p>
    <w:p>
      <w:pPr>
        <w:ind w:left="760"/>
        <w:spacing w:after="0"/>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ACH</w:t>
      </w:r>
      <w:r>
        <w:rPr>
          <w:rFonts w:ascii="Calibri" w:cs="Calibri" w:eastAsia="Calibri" w:hAnsi="Calibri"/>
          <w:sz w:val="16"/>
          <w:szCs w:val="16"/>
          <w:color w:val="auto"/>
        </w:rPr>
        <w:t>” means the Automated Clearing House.</w:t>
      </w:r>
    </w:p>
    <w:p>
      <w:pPr>
        <w:spacing w:after="0" w:line="115" w:lineRule="exact"/>
        <w:rPr>
          <w:rFonts w:ascii="Times New Roman" w:cs="Times New Roman" w:eastAsia="Times New Roman" w:hAnsi="Times New Roman"/>
          <w:sz w:val="16"/>
          <w:szCs w:val="16"/>
          <w:u w:val="single" w:color="auto"/>
          <w:color w:val="auto"/>
        </w:rPr>
      </w:pPr>
    </w:p>
    <w:p>
      <w:pPr>
        <w:ind w:left="760"/>
        <w:spacing w:after="0"/>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Account Policies</w:t>
      </w:r>
      <w:r>
        <w:rPr>
          <w:rFonts w:ascii="Calibri" w:cs="Calibri" w:eastAsia="Calibri" w:hAnsi="Calibri"/>
          <w:sz w:val="16"/>
          <w:szCs w:val="16"/>
          <w:color w:val="auto"/>
        </w:rPr>
        <w:t>” means the Program Manager’s compliance policies and procedures, as submited to and approved by Bank.</w:t>
      </w:r>
    </w:p>
    <w:p>
      <w:pPr>
        <w:spacing w:after="0" w:line="117" w:lineRule="exact"/>
        <w:rPr>
          <w:sz w:val="20"/>
          <w:szCs w:val="20"/>
          <w:color w:val="auto"/>
        </w:rPr>
      </w:pPr>
    </w:p>
    <w:p>
      <w:pPr>
        <w:jc w:val="both"/>
        <w:ind w:firstLine="749"/>
        <w:spacing w:after="0" w:line="248"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Afliate</w:t>
      </w:r>
      <w:r>
        <w:rPr>
          <w:rFonts w:ascii="Calibri" w:cs="Calibri" w:eastAsia="Calibri" w:hAnsi="Calibri"/>
          <w:sz w:val="16"/>
          <w:szCs w:val="16"/>
          <w:color w:val="auto"/>
        </w:rPr>
        <w:t>” means, with respect to a Party, a Person, whether a legal entty or an individual, who directly or indirectly controls, is controlled by or is under common control with the Party. For the purpose of this defniton, the term “</w:t>
      </w:r>
      <w:r>
        <w:rPr>
          <w:rFonts w:ascii="Calibri" w:cs="Calibri" w:eastAsia="Calibri" w:hAnsi="Calibri"/>
          <w:sz w:val="16"/>
          <w:szCs w:val="16"/>
          <w:b w:val="1"/>
          <w:bCs w:val="1"/>
          <w:color w:val="auto"/>
        </w:rPr>
        <w:t>control</w:t>
      </w:r>
      <w:r>
        <w:rPr>
          <w:rFonts w:ascii="Calibri" w:cs="Calibri" w:eastAsia="Calibri" w:hAnsi="Calibri"/>
          <w:sz w:val="16"/>
          <w:szCs w:val="16"/>
          <w:color w:val="auto"/>
        </w:rPr>
        <w:t>” (including with correlatve meanings, the terms controlling, controlled by and under common control with) means the power to direct the management or policies of such Person, directly or indirectly, through the ownership of twenty-fve percent (25%) or more of a class of votng securites of such Person.</w:t>
      </w:r>
    </w:p>
    <w:p>
      <w:pPr>
        <w:spacing w:after="0" w:line="109" w:lineRule="exact"/>
        <w:rPr>
          <w:sz w:val="20"/>
          <w:szCs w:val="20"/>
          <w:color w:val="auto"/>
        </w:rPr>
      </w:pPr>
    </w:p>
    <w:p>
      <w:pPr>
        <w:ind w:left="80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Agent</w:t>
      </w:r>
      <w:r>
        <w:rPr>
          <w:rFonts w:ascii="Calibri" w:cs="Calibri" w:eastAsia="Calibri" w:hAnsi="Calibri"/>
          <w:sz w:val="16"/>
          <w:szCs w:val="16"/>
          <w:color w:val="auto"/>
        </w:rPr>
        <w:t>” means any third party service provider, processor, subcontractor or agent used by Program Manager in connecton with the Program.</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Aggregated De-identfed Data</w:t>
      </w:r>
      <w:r>
        <w:rPr>
          <w:rFonts w:ascii="Calibri" w:cs="Calibri" w:eastAsia="Calibri" w:hAnsi="Calibri"/>
          <w:sz w:val="16"/>
          <w:szCs w:val="16"/>
          <w:color w:val="auto"/>
        </w:rPr>
        <w:t>” has the meaning set forth in Secton 16.</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Agreement</w:t>
      </w:r>
      <w:r>
        <w:rPr>
          <w:rFonts w:ascii="Calibri" w:cs="Calibri" w:eastAsia="Calibri" w:hAnsi="Calibri"/>
          <w:sz w:val="16"/>
          <w:szCs w:val="16"/>
          <w:color w:val="auto"/>
        </w:rPr>
        <w:t>” has the meaning set forth in the preamble hereto.</w:t>
      </w:r>
    </w:p>
    <w:p>
      <w:pPr>
        <w:spacing w:after="0" w:line="117" w:lineRule="exact"/>
        <w:rPr>
          <w:sz w:val="20"/>
          <w:szCs w:val="20"/>
          <w:color w:val="auto"/>
        </w:rPr>
      </w:pPr>
    </w:p>
    <w:p>
      <w:pPr>
        <w:jc w:val="both"/>
        <w:ind w:firstLine="749"/>
        <w:spacing w:after="0" w:line="249"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Applicable Law</w:t>
      </w:r>
      <w:r>
        <w:rPr>
          <w:rFonts w:ascii="Calibri" w:cs="Calibri" w:eastAsia="Calibri" w:hAnsi="Calibri"/>
          <w:sz w:val="16"/>
          <w:szCs w:val="16"/>
          <w:color w:val="auto"/>
        </w:rPr>
        <w:t>” means applicable federal, state and local statutes, regulatons, regulatory guidelines and judicial or administratve interpretatons, as well as PCI-DSS and any rules or requirements established by the FDIC, the CFPB or the applicable Card Associaton, including, without limitaton, the Truth in Lending Act and Regulaton Z, the Equal Credit Opportunity Act and Regulaton B, fair lending laws, the Servicemembers Civil Relief Act, the Fair Credit Reportng Act and laws on bank branching.</w:t>
      </w:r>
    </w:p>
    <w:p>
      <w:pPr>
        <w:spacing w:after="0" w:line="308"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Applicant</w:t>
      </w:r>
      <w:r>
        <w:rPr>
          <w:rFonts w:ascii="Calibri" w:cs="Calibri" w:eastAsia="Calibri" w:hAnsi="Calibri"/>
          <w:sz w:val="16"/>
          <w:szCs w:val="16"/>
          <w:color w:val="auto"/>
        </w:rPr>
        <w:t>” means a consumer who submits an Applicaton or other request for an Account.</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Applicaton</w:t>
      </w:r>
      <w:r>
        <w:rPr>
          <w:rFonts w:ascii="Calibri" w:cs="Calibri" w:eastAsia="Calibri" w:hAnsi="Calibri"/>
          <w:sz w:val="16"/>
          <w:szCs w:val="16"/>
          <w:color w:val="auto"/>
        </w:rPr>
        <w:t>” means the acton or document by which a consumer requests and applies for an Account from Bank.</w:t>
      </w:r>
    </w:p>
    <w:p>
      <w:pPr>
        <w:spacing w:after="0" w:line="117" w:lineRule="exact"/>
        <w:rPr>
          <w:sz w:val="20"/>
          <w:szCs w:val="20"/>
          <w:color w:val="auto"/>
        </w:rPr>
      </w:pPr>
    </w:p>
    <w:p>
      <w:pPr>
        <w:jc w:val="both"/>
        <w:ind w:firstLine="749"/>
        <w:spacing w:after="0" w:line="249"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Applicaton Processing</w:t>
      </w:r>
      <w:r>
        <w:rPr>
          <w:rFonts w:ascii="Calibri" w:cs="Calibri" w:eastAsia="Calibri" w:hAnsi="Calibri"/>
          <w:sz w:val="16"/>
          <w:szCs w:val="16"/>
          <w:color w:val="auto"/>
        </w:rPr>
        <w:t>” means those services which are necessary to establish an Account in accordance with Applicable Law. Such services shall include but are not be limited to: applicaton of the Account Policies to incoming Applicatons, Ofce of Foreign Assets Control screening, customer service described in Program Manager Card Services, collectons, transacton authorizaton, statement preparaton and issuance, regulatory compliance, security and fraud control, and actvity reportng.</w:t>
      </w:r>
    </w:p>
    <w:p>
      <w:pPr>
        <w:spacing w:after="0" w:line="308"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Bank</w:t>
      </w:r>
      <w:r>
        <w:rPr>
          <w:rFonts w:ascii="Calibri" w:cs="Calibri" w:eastAsia="Calibri" w:hAnsi="Calibri"/>
          <w:sz w:val="16"/>
          <w:szCs w:val="16"/>
          <w:color w:val="auto"/>
        </w:rPr>
        <w:t>” has the meaning set forth in the preamble hereto.</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Bank Card Services</w:t>
      </w:r>
      <w:r>
        <w:rPr>
          <w:rFonts w:ascii="Calibri" w:cs="Calibri" w:eastAsia="Calibri" w:hAnsi="Calibri"/>
          <w:sz w:val="16"/>
          <w:szCs w:val="16"/>
          <w:color w:val="auto"/>
        </w:rPr>
        <w:t xml:space="preserve">” means any service other than Program Manager Card Services that Bank shall perform as set forth in </w:t>
      </w:r>
      <w:r>
        <w:rPr>
          <w:rFonts w:ascii="Calibri" w:cs="Calibri" w:eastAsia="Calibri" w:hAnsi="Calibri"/>
          <w:sz w:val="16"/>
          <w:szCs w:val="16"/>
          <w:u w:val="single" w:color="auto"/>
          <w:color w:val="auto"/>
        </w:rPr>
        <w:t>Exhibit C.</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Bank Indemnifed Partes</w:t>
      </w:r>
      <w:r>
        <w:rPr>
          <w:rFonts w:ascii="Calibri" w:cs="Calibri" w:eastAsia="Calibri" w:hAnsi="Calibri"/>
          <w:sz w:val="16"/>
          <w:szCs w:val="16"/>
          <w:color w:val="auto"/>
        </w:rPr>
        <w:t>” has the meaning set forth in Secton 17(b).</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Bank Marks</w:t>
      </w:r>
      <w:r>
        <w:rPr>
          <w:rFonts w:ascii="Calibri" w:cs="Calibri" w:eastAsia="Calibri" w:hAnsi="Calibri"/>
          <w:sz w:val="16"/>
          <w:szCs w:val="16"/>
          <w:color w:val="auto"/>
        </w:rPr>
        <w:t>” has the meaning set forth in Secton 21(a).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BSA/AML/OFAC Procedures</w:t>
      </w:r>
      <w:r>
        <w:rPr>
          <w:rFonts w:ascii="Calibri" w:cs="Calibri" w:eastAsia="Calibri" w:hAnsi="Calibri"/>
          <w:sz w:val="16"/>
          <w:szCs w:val="16"/>
          <w:color w:val="auto"/>
        </w:rPr>
        <w:t>” has the meaning set forth in Secton 11(a).</w:t>
      </w:r>
    </w:p>
    <w:p>
      <w:pPr>
        <w:spacing w:after="0" w:line="117" w:lineRule="exact"/>
        <w:rPr>
          <w:sz w:val="20"/>
          <w:szCs w:val="20"/>
          <w:color w:val="auto"/>
        </w:rPr>
      </w:pPr>
    </w:p>
    <w:p>
      <w:pPr>
        <w:jc w:val="both"/>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Business Day</w:t>
      </w:r>
      <w:r>
        <w:rPr>
          <w:rFonts w:ascii="Calibri" w:cs="Calibri" w:eastAsia="Calibri" w:hAnsi="Calibri"/>
          <w:sz w:val="16"/>
          <w:szCs w:val="16"/>
          <w:color w:val="auto"/>
        </w:rPr>
        <w:t>” means any day, other than (a) a Saturday or Sunday, or (b) a day on which banking insttutons in the State of Tennessee are authorized or obligated by law or executve order to be closed.</w:t>
      </w:r>
    </w:p>
    <w:p>
      <w:pPr>
        <w:spacing w:after="0" w:line="113" w:lineRule="exact"/>
        <w:rPr>
          <w:sz w:val="20"/>
          <w:szCs w:val="20"/>
          <w:color w:val="auto"/>
        </w:rPr>
      </w:pPr>
    </w:p>
    <w:p>
      <w:pPr>
        <w:jc w:val="both"/>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Card</w:t>
      </w:r>
      <w:r>
        <w:rPr>
          <w:rFonts w:ascii="Calibri" w:cs="Calibri" w:eastAsia="Calibri" w:hAnsi="Calibri"/>
          <w:sz w:val="16"/>
          <w:szCs w:val="16"/>
          <w:color w:val="auto"/>
        </w:rPr>
        <w:t>” means any debit card or account access device or number issued by Bank under authority from one or more Card Associatons that may be used to access funds in a Cardholder’s Account. For purposes of this Agreement, a Card does not include any credit card or product that accesses credit.</w:t>
      </w:r>
    </w:p>
    <w:p>
      <w:pPr>
        <w:spacing w:after="0" w:line="113" w:lineRule="exact"/>
        <w:rPr>
          <w:sz w:val="20"/>
          <w:szCs w:val="20"/>
          <w:color w:val="auto"/>
        </w:rPr>
      </w:pPr>
    </w:p>
    <w:p>
      <w:pPr>
        <w:jc w:val="both"/>
        <w:ind w:right="20"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Card Associaton</w:t>
      </w:r>
      <w:r>
        <w:rPr>
          <w:rFonts w:ascii="Calibri" w:cs="Calibri" w:eastAsia="Calibri" w:hAnsi="Calibri"/>
          <w:sz w:val="16"/>
          <w:szCs w:val="16"/>
          <w:color w:val="auto"/>
        </w:rPr>
        <w:t>” means Mastercard, VISA, Accel, Cirrus, Plus and/or any other electronic payment network associaton enabled on Cards issued pursuant to the Program that is capable of transmitng items and Setlement thereof.</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Card Program Materials</w:t>
      </w:r>
      <w:r>
        <w:rPr>
          <w:rFonts w:ascii="Calibri" w:cs="Calibri" w:eastAsia="Calibri" w:hAnsi="Calibri"/>
          <w:sz w:val="16"/>
          <w:szCs w:val="16"/>
          <w:color w:val="auto"/>
        </w:rPr>
        <w:t>” has the meaning set forth in Secton 5.</w:t>
      </w:r>
    </w:p>
    <w:p>
      <w:pPr>
        <w:spacing w:after="0" w:line="7"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3</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5" w:right="339" w:bottom="1440" w:gutter="0" w:footer="0" w:header="0"/>
        </w:sectPr>
      </w:pPr>
    </w:p>
    <w:bookmarkStart w:id="97" w:name="page98"/>
    <w:bookmarkEnd w:id="97"/>
    <w:p>
      <w:pPr>
        <w:jc w:val="both"/>
        <w:ind w:firstLine="749"/>
        <w:spacing w:after="0" w:line="246"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Calibri" w:cs="Calibri" w:eastAsia="Calibri" w:hAnsi="Calibri"/>
          <w:sz w:val="16"/>
          <w:szCs w:val="16"/>
          <w:b w:val="1"/>
          <w:bCs w:val="1"/>
          <w:color w:val="auto"/>
        </w:rPr>
        <w:t>Cardholder Funds</w:t>
      </w:r>
      <w:r>
        <w:rPr>
          <w:rFonts w:ascii="Calibri" w:cs="Calibri" w:eastAsia="Calibri" w:hAnsi="Calibri"/>
          <w:sz w:val="16"/>
          <w:szCs w:val="16"/>
          <w:color w:val="auto"/>
        </w:rPr>
        <w:t>” means all Cardholder funds received by Bank for loading or reloading to a Card, including, without limitaton, all funds held in the Account for the Cardholder.</w:t>
      </w:r>
    </w:p>
    <w:p>
      <w:pPr>
        <w:spacing w:after="0" w:line="113" w:lineRule="exact"/>
        <w:rPr>
          <w:sz w:val="20"/>
          <w:szCs w:val="20"/>
          <w:color w:val="auto"/>
        </w:rPr>
      </w:pPr>
    </w:p>
    <w:p>
      <w:pPr>
        <w:jc w:val="both"/>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Cardholder</w:t>
      </w:r>
      <w:r>
        <w:rPr>
          <w:rFonts w:ascii="Calibri" w:cs="Calibri" w:eastAsia="Calibri" w:hAnsi="Calibri"/>
          <w:sz w:val="16"/>
          <w:szCs w:val="16"/>
          <w:color w:val="auto"/>
        </w:rPr>
        <w:t>” means an individual, residing in the U.S., at or over the age of 18, who applies for, receives and actvates an Account with Bank under the Program, and/or any Person who is liable, jointly or severally, for amounts owing with respect to an Account.</w:t>
      </w:r>
    </w:p>
    <w:p>
      <w:pPr>
        <w:spacing w:after="0" w:line="113" w:lineRule="exact"/>
        <w:rPr>
          <w:sz w:val="20"/>
          <w:szCs w:val="20"/>
          <w:color w:val="auto"/>
        </w:rPr>
      </w:pPr>
    </w:p>
    <w:p>
      <w:pPr>
        <w:jc w:val="both"/>
        <w:ind w:right="20"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Cardholder Agreement</w:t>
      </w:r>
      <w:r>
        <w:rPr>
          <w:rFonts w:ascii="Calibri" w:cs="Calibri" w:eastAsia="Calibri" w:hAnsi="Calibri"/>
          <w:sz w:val="16"/>
          <w:szCs w:val="16"/>
          <w:color w:val="auto"/>
        </w:rPr>
        <w:t>” means the agreement between Bank and a Cardholder with terms and conditons that apply to the Cardholder’s Account and Card, including all disclosures required by Applicable Law.</w:t>
      </w:r>
    </w:p>
    <w:p>
      <w:pPr>
        <w:spacing w:after="0" w:line="113" w:lineRule="exact"/>
        <w:rPr>
          <w:sz w:val="20"/>
          <w:szCs w:val="20"/>
          <w:color w:val="auto"/>
        </w:rPr>
      </w:pPr>
    </w:p>
    <w:p>
      <w:pPr>
        <w:jc w:val="both"/>
        <w:ind w:firstLine="749"/>
        <w:spacing w:after="0" w:line="248"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Cardholder Informaton</w:t>
      </w:r>
      <w:r>
        <w:rPr>
          <w:rFonts w:ascii="Calibri" w:cs="Calibri" w:eastAsia="Calibri" w:hAnsi="Calibri"/>
          <w:sz w:val="16"/>
          <w:szCs w:val="16"/>
          <w:color w:val="auto"/>
        </w:rPr>
        <w:t>” means all informaton, whether personally identfable or in aggregate, that is submited and/or obtained by Bank about an Account or an Applicaton (whether or not completed), including, without limitaton, fnancial standing and demographic data, Cardholder Data (as defned by PCI-DSS) and transacton data. Cardholder Informaton includes “Non Public Personal Informaton” and “Personally Identfable Financial Informaton” (as defned in Sectons 1016.3(p) and (q) respectvely of the CFPB regulatons on Privacy of Consumer Informaton published at 12 CFR Chapter X).</w:t>
      </w:r>
    </w:p>
    <w:p>
      <w:pPr>
        <w:spacing w:after="0" w:line="109"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CFPB</w:t>
      </w:r>
      <w:r>
        <w:rPr>
          <w:rFonts w:ascii="Calibri" w:cs="Calibri" w:eastAsia="Calibri" w:hAnsi="Calibri"/>
          <w:sz w:val="16"/>
          <w:szCs w:val="16"/>
          <w:color w:val="auto"/>
        </w:rPr>
        <w:t>” means the Consumer Financial Protecton Bureau.</w:t>
      </w:r>
    </w:p>
    <w:p>
      <w:pPr>
        <w:spacing w:after="0" w:line="117" w:lineRule="exact"/>
        <w:rPr>
          <w:sz w:val="20"/>
          <w:szCs w:val="20"/>
          <w:color w:val="auto"/>
        </w:rPr>
      </w:pPr>
    </w:p>
    <w:p>
      <w:pPr>
        <w:jc w:val="both"/>
        <w:ind w:firstLine="749"/>
        <w:spacing w:after="0" w:line="248"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Change in Control</w:t>
      </w:r>
      <w:r>
        <w:rPr>
          <w:rFonts w:ascii="Calibri" w:cs="Calibri" w:eastAsia="Calibri" w:hAnsi="Calibri"/>
          <w:sz w:val="16"/>
          <w:szCs w:val="16"/>
          <w:color w:val="auto"/>
        </w:rPr>
        <w:t>” means any of (a) the sale or transfer of all or substantally all the assets of a Party to a Person who is not an Afliate of such Party; (b) as to Program Manager, (i) the acquisiton by a Person or group of Persons of more than ffy percent (50%) of the votng securites or votng interests in Program Manager; (ii) the acquisiton or accumulaton by any Person or group of Persons of the power, direct or indirect, to elect a majority of a Program Manager’s board of directors or similar governing body or to direct or cause the directon of the management and policies of Program Manager, whether by contract or otherwise; or (iii) the merger or consolidaton of Program Manager with or into another Person who is not an Afliate of Program Manager, or the merger or consolidaton of another Person who is not an Afliate of Program Manager with or into Program Manager, in either case with the efect that, following such merger or consolidaton, more than ffy percent (50%) of the votng power of all securites or interests of the surviving entty are not owned, directly or indirectly, by Persons who directly or indirectly owned ffy percent (50%) or more of the votng power of all securites or interests of Program Manager immediately prior to such transacton; and (c) as to Bank, any transfer of ownership or control, including the transfer or issuance of any votng securites of any type (whether debt or equity), that would consttute a change of control under the Change in Bank Control Act.</w:t>
      </w:r>
    </w:p>
    <w:p>
      <w:pPr>
        <w:spacing w:after="0" w:line="317" w:lineRule="exact"/>
        <w:rPr>
          <w:sz w:val="20"/>
          <w:szCs w:val="20"/>
          <w:color w:val="auto"/>
        </w:rPr>
      </w:pPr>
    </w:p>
    <w:p>
      <w:pPr>
        <w:jc w:val="both"/>
        <w:ind w:right="20"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Change of Ownership</w:t>
      </w:r>
      <w:r>
        <w:rPr>
          <w:rFonts w:ascii="Calibri" w:cs="Calibri" w:eastAsia="Calibri" w:hAnsi="Calibri"/>
          <w:sz w:val="16"/>
          <w:szCs w:val="16"/>
          <w:color w:val="auto"/>
        </w:rPr>
        <w:t>” means any transfer or other change in the equity ownership or votng control of a Party that does not consttute a Change in Control, including without limitaton the issuance of debt or equity securites in a non-controlling amount and type to new investors.</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Chargeback</w:t>
      </w:r>
      <w:r>
        <w:rPr>
          <w:rFonts w:ascii="Calibri" w:cs="Calibri" w:eastAsia="Calibri" w:hAnsi="Calibri"/>
          <w:sz w:val="16"/>
          <w:szCs w:val="16"/>
          <w:color w:val="auto"/>
        </w:rPr>
        <w:t>” means a transacton using the Account that is subsequently reversed pursuant to Card Associaton rules.</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Claim Notce</w:t>
      </w:r>
      <w:r>
        <w:rPr>
          <w:rFonts w:ascii="Calibri" w:cs="Calibri" w:eastAsia="Calibri" w:hAnsi="Calibri"/>
          <w:sz w:val="16"/>
          <w:szCs w:val="16"/>
          <w:color w:val="auto"/>
        </w:rPr>
        <w:t>” has the meaning set forth in Secton 17(d).</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Compliance Audit</w:t>
      </w:r>
      <w:r>
        <w:rPr>
          <w:rFonts w:ascii="Calibri" w:cs="Calibri" w:eastAsia="Calibri" w:hAnsi="Calibri"/>
          <w:sz w:val="16"/>
          <w:szCs w:val="16"/>
          <w:color w:val="auto"/>
        </w:rPr>
        <w:t>” has the meaning set forth in Secton 26(b).</w:t>
      </w:r>
    </w:p>
    <w:p>
      <w:pPr>
        <w:spacing w:after="0" w:line="117" w:lineRule="exact"/>
        <w:rPr>
          <w:sz w:val="20"/>
          <w:szCs w:val="20"/>
          <w:color w:val="auto"/>
        </w:rPr>
      </w:pPr>
    </w:p>
    <w:p>
      <w:pPr>
        <w:jc w:val="both"/>
        <w:ind w:firstLine="749"/>
        <w:spacing w:after="0" w:line="248"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Confdental Informaton</w:t>
      </w:r>
      <w:r>
        <w:rPr>
          <w:rFonts w:ascii="Calibri" w:cs="Calibri" w:eastAsia="Calibri" w:hAnsi="Calibri"/>
          <w:sz w:val="16"/>
          <w:szCs w:val="16"/>
          <w:color w:val="auto"/>
        </w:rPr>
        <w:t>” means the Program Documents, any informaton that is disclosed by the Disclosing Party to the Restricted Party or any informaton of the Disclosing Party to which the Restricted Party obtains access in connecton with the Program and that relates to the Disclosing Party’s business or the Partes’ business relatonships, including proprietary informaton or non-public informaton of the Disclosing Party, such as the Disclosing Party’s proprietary marketng plans and objectves, that the Disclosing Party discloses to the Restricted Party or to which the Restricted Party obtains access in connecton with the negotaton or performance of this Agreement.</w:t>
      </w:r>
    </w:p>
    <w:p>
      <w:pPr>
        <w:spacing w:after="0" w:line="3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Cure Period</w:t>
      </w:r>
      <w:r>
        <w:rPr>
          <w:rFonts w:ascii="Calibri" w:cs="Calibri" w:eastAsia="Calibri" w:hAnsi="Calibri"/>
          <w:sz w:val="16"/>
          <w:szCs w:val="16"/>
          <w:color w:val="auto"/>
        </w:rPr>
        <w:t>” has the meaning set forth in Secton 19(b)(i).</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Disclosing Party</w:t>
      </w:r>
      <w:r>
        <w:rPr>
          <w:rFonts w:ascii="Calibri" w:cs="Calibri" w:eastAsia="Calibri" w:hAnsi="Calibri"/>
          <w:sz w:val="16"/>
          <w:szCs w:val="16"/>
          <w:color w:val="auto"/>
        </w:rPr>
        <w:t>” has the meaning set forth in Secton 21(a).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Dispute</w:t>
      </w:r>
      <w:r>
        <w:rPr>
          <w:rFonts w:ascii="Calibri" w:cs="Calibri" w:eastAsia="Calibri" w:hAnsi="Calibri"/>
          <w:sz w:val="16"/>
          <w:szCs w:val="16"/>
          <w:color w:val="auto"/>
        </w:rPr>
        <w:t>” has the meaning set forth in Secton 35(c)(i).</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Efectve Date</w:t>
      </w:r>
      <w:r>
        <w:rPr>
          <w:rFonts w:ascii="Calibri" w:cs="Calibri" w:eastAsia="Calibri" w:hAnsi="Calibri"/>
          <w:sz w:val="16"/>
          <w:szCs w:val="16"/>
          <w:color w:val="auto"/>
        </w:rPr>
        <w:t>” has the meaning set forth in the preamble hereto.</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FDIC</w:t>
      </w:r>
      <w:r>
        <w:rPr>
          <w:rFonts w:ascii="Calibri" w:cs="Calibri" w:eastAsia="Calibri" w:hAnsi="Calibri"/>
          <w:sz w:val="16"/>
          <w:szCs w:val="16"/>
          <w:color w:val="auto"/>
        </w:rPr>
        <w:t>” means the Federal Deposit Insurance Corporaton.</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Force Majeure Event</w:t>
      </w:r>
      <w:r>
        <w:rPr>
          <w:rFonts w:ascii="Calibri" w:cs="Calibri" w:eastAsia="Calibri" w:hAnsi="Calibri"/>
          <w:sz w:val="16"/>
          <w:szCs w:val="16"/>
          <w:color w:val="auto"/>
        </w:rPr>
        <w:t>” has the meaning set forth in Secton 44.</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Indemnifable Claim</w:t>
      </w:r>
      <w:r>
        <w:rPr>
          <w:rFonts w:ascii="Calibri" w:cs="Calibri" w:eastAsia="Calibri" w:hAnsi="Calibri"/>
          <w:sz w:val="16"/>
          <w:szCs w:val="16"/>
          <w:color w:val="auto"/>
        </w:rPr>
        <w:t>” has the meaning set forth in Secton 17(c).</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Indemnifed Partes</w:t>
      </w:r>
      <w:r>
        <w:rPr>
          <w:rFonts w:ascii="Calibri" w:cs="Calibri" w:eastAsia="Calibri" w:hAnsi="Calibri"/>
          <w:sz w:val="16"/>
          <w:szCs w:val="16"/>
          <w:color w:val="auto"/>
        </w:rPr>
        <w:t>” has the meaning set forth in Secton 17(c).</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Indemnifying Party</w:t>
      </w:r>
      <w:r>
        <w:rPr>
          <w:rFonts w:ascii="Calibri" w:cs="Calibri" w:eastAsia="Calibri" w:hAnsi="Calibri"/>
          <w:sz w:val="16"/>
          <w:szCs w:val="16"/>
          <w:color w:val="auto"/>
        </w:rPr>
        <w:t>” has the meaning set forth in Secton 17(c).</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Inital Term</w:t>
      </w:r>
      <w:r>
        <w:rPr>
          <w:rFonts w:ascii="Calibri" w:cs="Calibri" w:eastAsia="Calibri" w:hAnsi="Calibri"/>
          <w:sz w:val="16"/>
          <w:szCs w:val="16"/>
          <w:color w:val="auto"/>
        </w:rPr>
        <w:t>” has the meaning set forth in Secton 19(a).</w:t>
      </w:r>
    </w:p>
    <w:p>
      <w:pPr>
        <w:spacing w:after="0" w:line="117" w:lineRule="exact"/>
        <w:rPr>
          <w:sz w:val="20"/>
          <w:szCs w:val="20"/>
          <w:color w:val="auto"/>
        </w:rPr>
      </w:pPr>
    </w:p>
    <w:p>
      <w:pPr>
        <w:jc w:val="both"/>
        <w:ind w:right="20"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Insolvent</w:t>
      </w:r>
      <w:r>
        <w:rPr>
          <w:rFonts w:ascii="Calibri" w:cs="Calibri" w:eastAsia="Calibri" w:hAnsi="Calibri"/>
          <w:sz w:val="16"/>
          <w:szCs w:val="16"/>
          <w:color w:val="auto"/>
        </w:rPr>
        <w:t>” means the failure to pay debts in the ordinary course of business, the inability to pay its debts as they come due or the conditon whereby the sum of an entty’s debts is greater than the sum of its assets.</w:t>
      </w:r>
    </w:p>
    <w:p>
      <w:pPr>
        <w:spacing w:after="0" w:line="113" w:lineRule="exact"/>
        <w:rPr>
          <w:sz w:val="20"/>
          <w:szCs w:val="20"/>
          <w:color w:val="auto"/>
        </w:rPr>
      </w:pPr>
    </w:p>
    <w:p>
      <w:pPr>
        <w:jc w:val="both"/>
        <w:ind w:firstLine="749"/>
        <w:spacing w:after="0" w:line="248"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Intellectual Property</w:t>
      </w:r>
      <w:r>
        <w:rPr>
          <w:rFonts w:ascii="Calibri" w:cs="Calibri" w:eastAsia="Calibri" w:hAnsi="Calibri"/>
          <w:sz w:val="16"/>
          <w:szCs w:val="16"/>
          <w:color w:val="auto"/>
        </w:rPr>
        <w:t>” means (a) inventons, improvements, patents (including all reissues, contnuatons, contnuatons-in-part, revisions, extensions, and reexaminatons thereof) and patent applicatons, (b) trademarks, service marks, trade names and trade dress, together with the goodwill associated therewith, (c) works of authorship and copyrights, including copyrights in computer sofware, databases and television programming and all rights related thereto, (d) confdental and proprietary informaton, including trade secrets and know how, (e) process, methods, procedures and materials, (f) data, databases and informaton, (g) sofware, tools and machine-readable texts and fles, (h) literary work or other work of authorship,</w:t>
      </w:r>
    </w:p>
    <w:p>
      <w:pPr>
        <w:spacing w:after="0" w:line="2"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4</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98" w:name="page99"/>
    <w:bookmarkEnd w:id="98"/>
    <w:p>
      <w:pPr>
        <w:jc w:val="both"/>
        <w:spacing w:after="0" w:line="247"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including documentaton, reports, drawings, charts, graphics and other writen documentaton, together with all copyrights and moral rights, (i) all other proprietary rights, and (j) all registratons and applicatons for registraton and other intellectual property rights in or appurtenant to the foregoing items described in clauses (a) through (i) above.</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Losses</w:t>
      </w:r>
      <w:r>
        <w:rPr>
          <w:rFonts w:ascii="Calibri" w:cs="Calibri" w:eastAsia="Calibri" w:hAnsi="Calibri"/>
          <w:sz w:val="16"/>
          <w:szCs w:val="16"/>
          <w:color w:val="auto"/>
        </w:rPr>
        <w:t>” has the meaning set forth in Secton 17(a).</w:t>
      </w:r>
    </w:p>
    <w:p>
      <w:pPr>
        <w:spacing w:after="0" w:line="117" w:lineRule="exact"/>
        <w:rPr>
          <w:sz w:val="20"/>
          <w:szCs w:val="20"/>
          <w:color w:val="auto"/>
        </w:rPr>
      </w:pPr>
    </w:p>
    <w:p>
      <w:pPr>
        <w:jc w:val="both"/>
        <w:ind w:firstLine="749"/>
        <w:spacing w:after="0" w:line="247"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Marketng Actvites</w:t>
      </w:r>
      <w:r>
        <w:rPr>
          <w:rFonts w:ascii="Calibri" w:cs="Calibri" w:eastAsia="Calibri" w:hAnsi="Calibri"/>
          <w:sz w:val="16"/>
          <w:szCs w:val="16"/>
          <w:color w:val="auto"/>
        </w:rPr>
        <w:t>” means all advertsing media of any kind or nature, in whole or in part, including without limitaton, catalogs, email solicitaton messages, published advertsing (such as newspaper and magazine advertsements), SMS text messaging, Internet media, blogs, tweet posts, banner ads, RSS feeds, telemarketng scripts, television or radio advertsements, frequently asked questons, promotng, advertsing and/or marketng the Program.</w:t>
      </w:r>
    </w:p>
    <w:p>
      <w:pPr>
        <w:spacing w:after="0" w:line="112" w:lineRule="exact"/>
        <w:rPr>
          <w:sz w:val="20"/>
          <w:szCs w:val="20"/>
          <w:color w:val="auto"/>
        </w:rPr>
      </w:pPr>
    </w:p>
    <w:p>
      <w:pPr>
        <w:jc w:val="both"/>
        <w:ind w:firstLine="749"/>
        <w:spacing w:after="0" w:line="247"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Marketng Materials</w:t>
      </w:r>
      <w:r>
        <w:rPr>
          <w:rFonts w:ascii="Calibri" w:cs="Calibri" w:eastAsia="Calibri" w:hAnsi="Calibri"/>
          <w:sz w:val="16"/>
          <w:szCs w:val="16"/>
          <w:color w:val="auto"/>
        </w:rPr>
        <w:t>” means categories of marketng messages intended to generate Applicatons for the originaton of Accounts from a targeted populaton delivered through various Marketng Actvites. Marketng Materials include, but are not limited to, pre-approved marketng, “take one” marketng, and introductory rate marketng.</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ODFI</w:t>
      </w:r>
      <w:r>
        <w:rPr>
          <w:rFonts w:ascii="Calibri" w:cs="Calibri" w:eastAsia="Calibri" w:hAnsi="Calibri"/>
          <w:sz w:val="16"/>
          <w:szCs w:val="16"/>
          <w:color w:val="auto"/>
        </w:rPr>
        <w:t>” has the meaning set forth in Secton 8(e).</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Ofer Period</w:t>
      </w:r>
      <w:r>
        <w:rPr>
          <w:rFonts w:ascii="Calibri" w:cs="Calibri" w:eastAsia="Calibri" w:hAnsi="Calibri"/>
          <w:sz w:val="16"/>
          <w:szCs w:val="16"/>
          <w:color w:val="auto"/>
        </w:rPr>
        <w:t>” has the meaning set forth in Secton 32.</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Oferor</w:t>
      </w:r>
      <w:r>
        <w:rPr>
          <w:rFonts w:ascii="Calibri" w:cs="Calibri" w:eastAsia="Calibri" w:hAnsi="Calibri"/>
          <w:sz w:val="16"/>
          <w:szCs w:val="16"/>
          <w:color w:val="auto"/>
        </w:rPr>
        <w:t>” has the meaning set forth in Secton 32.</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Party</w:t>
      </w:r>
      <w:r>
        <w:rPr>
          <w:rFonts w:ascii="Calibri" w:cs="Calibri" w:eastAsia="Calibri" w:hAnsi="Calibri"/>
          <w:sz w:val="16"/>
          <w:szCs w:val="16"/>
          <w:color w:val="auto"/>
        </w:rPr>
        <w:t>” and “</w:t>
      </w:r>
      <w:r>
        <w:rPr>
          <w:rFonts w:ascii="Calibri" w:cs="Calibri" w:eastAsia="Calibri" w:hAnsi="Calibri"/>
          <w:sz w:val="16"/>
          <w:szCs w:val="16"/>
          <w:b w:val="1"/>
          <w:bCs w:val="1"/>
          <w:color w:val="auto"/>
        </w:rPr>
        <w:t>Partes</w:t>
      </w:r>
      <w:r>
        <w:rPr>
          <w:rFonts w:ascii="Calibri" w:cs="Calibri" w:eastAsia="Calibri" w:hAnsi="Calibri"/>
          <w:sz w:val="16"/>
          <w:szCs w:val="16"/>
          <w:color w:val="auto"/>
        </w:rPr>
        <w:t>” has the meaning set forth in the preamble hereto.</w:t>
      </w:r>
    </w:p>
    <w:p>
      <w:pPr>
        <w:spacing w:after="0" w:line="117" w:lineRule="exact"/>
        <w:rPr>
          <w:sz w:val="20"/>
          <w:szCs w:val="20"/>
          <w:color w:val="auto"/>
        </w:rPr>
      </w:pPr>
    </w:p>
    <w:p>
      <w:pPr>
        <w:jc w:val="both"/>
        <w:ind w:firstLine="749"/>
        <w:spacing w:after="0" w:line="249"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PCI Compliant</w:t>
      </w:r>
      <w:r>
        <w:rPr>
          <w:rFonts w:ascii="Calibri" w:cs="Calibri" w:eastAsia="Calibri" w:hAnsi="Calibri"/>
          <w:sz w:val="16"/>
          <w:szCs w:val="16"/>
          <w:color w:val="auto"/>
        </w:rPr>
        <w:t>” means compliant with PCI-DSS to ensure the proper handling and protecton of payment accounts and transacton informaton which is stored, processed or transmited. For this purpose, the term “PCI Compliant” includes but is not limited to Program Manager’s obligaton to have an annual on-site PCI Data Security Assessment completed by a Qualifed Security Assessor (QSA) and a Report on Compliance that must be signed by the QSA and sent securely to a Card Associaton.</w:t>
      </w:r>
    </w:p>
    <w:p>
      <w:pPr>
        <w:spacing w:after="0" w:line="310" w:lineRule="exact"/>
        <w:rPr>
          <w:sz w:val="20"/>
          <w:szCs w:val="20"/>
          <w:color w:val="auto"/>
        </w:rPr>
      </w:pPr>
    </w:p>
    <w:p>
      <w:pPr>
        <w:jc w:val="both"/>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PCI-DSS</w:t>
      </w:r>
      <w:r>
        <w:rPr>
          <w:rFonts w:ascii="Calibri" w:cs="Calibri" w:eastAsia="Calibri" w:hAnsi="Calibri"/>
          <w:sz w:val="16"/>
          <w:szCs w:val="16"/>
          <w:color w:val="auto"/>
        </w:rPr>
        <w:t>” means the Payment Card Industry Data Security Standards administered by the PCI Standards Council that are in efect as of the Efectve Date of this Agreement and as they may be amended from tme to tme.</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PCI Requirements</w:t>
      </w:r>
      <w:r>
        <w:rPr>
          <w:rFonts w:ascii="Calibri" w:cs="Calibri" w:eastAsia="Calibri" w:hAnsi="Calibri"/>
          <w:sz w:val="16"/>
          <w:szCs w:val="16"/>
          <w:color w:val="auto"/>
        </w:rPr>
        <w:t>” has the meaning set forth in Secton 15(c).</w:t>
      </w:r>
    </w:p>
    <w:p>
      <w:pPr>
        <w:spacing w:after="0" w:line="117" w:lineRule="exact"/>
        <w:rPr>
          <w:sz w:val="20"/>
          <w:szCs w:val="20"/>
          <w:color w:val="auto"/>
        </w:rPr>
      </w:pPr>
    </w:p>
    <w:p>
      <w:pPr>
        <w:jc w:val="both"/>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Person</w:t>
      </w:r>
      <w:r>
        <w:rPr>
          <w:rFonts w:ascii="Calibri" w:cs="Calibri" w:eastAsia="Calibri" w:hAnsi="Calibri"/>
          <w:sz w:val="16"/>
          <w:szCs w:val="16"/>
          <w:color w:val="auto"/>
        </w:rPr>
        <w:t>” means any legal person, including any individual, corporaton, limited liability company, partnership, joint venture, associaton, joint-stock company, trust, unincorporated organizaton, governmental entty, or other entty of similar nature.</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Principal</w:t>
      </w:r>
      <w:r>
        <w:rPr>
          <w:rFonts w:ascii="Calibri" w:cs="Calibri" w:eastAsia="Calibri" w:hAnsi="Calibri"/>
          <w:sz w:val="16"/>
          <w:szCs w:val="16"/>
          <w:color w:val="auto"/>
        </w:rPr>
        <w:t>” means any Person directly or indirectly owning ten percent (10%) or more of Program Manager, and any executve ofcer or director of Program</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color w:val="auto"/>
        </w:rPr>
        <w:t>Manager.</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Processing Services</w:t>
      </w:r>
      <w:r>
        <w:rPr>
          <w:rFonts w:ascii="Calibri" w:cs="Calibri" w:eastAsia="Calibri" w:hAnsi="Calibri"/>
          <w:sz w:val="16"/>
          <w:szCs w:val="16"/>
          <w:color w:val="auto"/>
        </w:rPr>
        <w:t>” means the processing of a transacton in accordance with Applicable Law and the rules of Card Associatons and any Regulatory</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color w:val="auto"/>
        </w:rPr>
        <w:t>Authority.</w:t>
      </w:r>
    </w:p>
    <w:p>
      <w:pPr>
        <w:spacing w:after="0" w:line="117" w:lineRule="exact"/>
        <w:rPr>
          <w:sz w:val="20"/>
          <w:szCs w:val="20"/>
          <w:color w:val="auto"/>
        </w:rPr>
      </w:pPr>
    </w:p>
    <w:p>
      <w:pPr>
        <w:jc w:val="both"/>
        <w:ind w:firstLine="749"/>
        <w:spacing w:after="0" w:line="248"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w:t>
      </w:r>
      <w:r>
        <w:rPr>
          <w:rFonts w:ascii="Calibri" w:cs="Calibri" w:eastAsia="Calibri" w:hAnsi="Calibri"/>
          <w:sz w:val="16"/>
          <w:szCs w:val="16"/>
          <w:color w:val="auto"/>
        </w:rPr>
        <w:t>” means a system of services approved by Bank, including the consumer debit or prepaid card program to be ofered by Bank to Cardholders pursuant to the terms of this Agreement, initally as described in Exhibit A of the Bank Services Agreement, which is incorporated herein and may be amended from tme to tme by writen agreement. This Agreement contemplates that Program Manager may be permited by Bank to ofer multple Programs hereunder, each subject to the terms hereof and the prior writen approval of Bank.</w:t>
      </w:r>
    </w:p>
    <w:p>
      <w:pPr>
        <w:spacing w:after="0" w:line="111" w:lineRule="exact"/>
        <w:rPr>
          <w:sz w:val="20"/>
          <w:szCs w:val="20"/>
          <w:color w:val="auto"/>
        </w:rPr>
      </w:pPr>
    </w:p>
    <w:p>
      <w:pPr>
        <w:jc w:val="both"/>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Documents</w:t>
      </w:r>
      <w:r>
        <w:rPr>
          <w:rFonts w:ascii="Calibri" w:cs="Calibri" w:eastAsia="Calibri" w:hAnsi="Calibri"/>
          <w:sz w:val="16"/>
          <w:szCs w:val="16"/>
          <w:color w:val="auto"/>
        </w:rPr>
        <w:t>” means this Agreement, all Exhibits and addenda atached hereto and any other documents related to the Program and referenced herein and agreed to between Program Manager and Bank in accordance with the terms hereof, as may be amended from tme to tme.</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w:t>
      </w:r>
      <w:r>
        <w:rPr>
          <w:rFonts w:ascii="Calibri" w:cs="Calibri" w:eastAsia="Calibri" w:hAnsi="Calibri"/>
          <w:sz w:val="16"/>
          <w:szCs w:val="16"/>
          <w:color w:val="auto"/>
        </w:rPr>
        <w:t>” has the meaning set forth in the preamble hereto.</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 Card Services</w:t>
      </w:r>
      <w:r>
        <w:rPr>
          <w:rFonts w:ascii="Calibri" w:cs="Calibri" w:eastAsia="Calibri" w:hAnsi="Calibri"/>
          <w:sz w:val="16"/>
          <w:szCs w:val="16"/>
          <w:color w:val="auto"/>
        </w:rPr>
        <w:t xml:space="preserve">” means all services to be performed by the Program Manager as set forth in </w:t>
      </w:r>
      <w:r>
        <w:rPr>
          <w:rFonts w:ascii="Calibri" w:cs="Calibri" w:eastAsia="Calibri" w:hAnsi="Calibri"/>
          <w:sz w:val="16"/>
          <w:szCs w:val="16"/>
          <w:u w:val="single" w:color="auto"/>
          <w:color w:val="auto"/>
        </w:rPr>
        <w:t>Exhibit D</w:t>
      </w:r>
      <w:r>
        <w:rPr>
          <w:rFonts w:ascii="Calibri" w:cs="Calibri" w:eastAsia="Calibri" w:hAnsi="Calibri"/>
          <w:sz w:val="16"/>
          <w:szCs w:val="16"/>
          <w:color w:val="auto"/>
        </w:rPr>
        <w:t>.</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 Financial Requirement</w:t>
      </w:r>
      <w:r>
        <w:rPr>
          <w:rFonts w:ascii="Calibri" w:cs="Calibri" w:eastAsia="Calibri" w:hAnsi="Calibri"/>
          <w:sz w:val="16"/>
          <w:szCs w:val="16"/>
          <w:color w:val="auto"/>
        </w:rPr>
        <w:t>” has the meaning set forth in Secton 13(b)(viii).</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 Indemnifed Partes</w:t>
      </w:r>
      <w:r>
        <w:rPr>
          <w:rFonts w:ascii="Calibri" w:cs="Calibri" w:eastAsia="Calibri" w:hAnsi="Calibri"/>
          <w:sz w:val="16"/>
          <w:szCs w:val="16"/>
          <w:color w:val="auto"/>
        </w:rPr>
        <w:t>” has the meaning set forth in Secton 17(a).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 Marks</w:t>
      </w:r>
      <w:r>
        <w:rPr>
          <w:rFonts w:ascii="Calibri" w:cs="Calibri" w:eastAsia="Calibri" w:hAnsi="Calibri"/>
          <w:sz w:val="16"/>
          <w:szCs w:val="16"/>
          <w:color w:val="auto"/>
        </w:rPr>
        <w:t>” has the meaning set forth in Secton 21(b).</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 Reserve Account</w:t>
      </w:r>
      <w:r>
        <w:rPr>
          <w:rFonts w:ascii="Calibri" w:cs="Calibri" w:eastAsia="Calibri" w:hAnsi="Calibri"/>
          <w:sz w:val="16"/>
          <w:szCs w:val="16"/>
          <w:color w:val="auto"/>
        </w:rPr>
        <w:t>” has the meaning set forth in Secton 29.</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Program Manager Revenue Account</w:t>
      </w:r>
      <w:r>
        <w:rPr>
          <w:rFonts w:ascii="Calibri" w:cs="Calibri" w:eastAsia="Calibri" w:hAnsi="Calibri"/>
          <w:sz w:val="16"/>
          <w:szCs w:val="16"/>
          <w:color w:val="auto"/>
        </w:rPr>
        <w:t>” has the meaning set forth in Secton 30.</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Qualifying Change</w:t>
      </w:r>
      <w:r>
        <w:rPr>
          <w:rFonts w:ascii="Calibri" w:cs="Calibri" w:eastAsia="Calibri" w:hAnsi="Calibri"/>
          <w:sz w:val="16"/>
          <w:szCs w:val="16"/>
          <w:color w:val="auto"/>
        </w:rPr>
        <w:t>” has the meaning set forth in Secton 3(c).</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RDFI</w:t>
      </w:r>
      <w:r>
        <w:rPr>
          <w:rFonts w:ascii="Calibri" w:cs="Calibri" w:eastAsia="Calibri" w:hAnsi="Calibri"/>
          <w:sz w:val="16"/>
          <w:szCs w:val="16"/>
          <w:color w:val="auto"/>
        </w:rPr>
        <w:t>” has the meaning set forth in Secton 8(e).</w:t>
      </w:r>
    </w:p>
    <w:p>
      <w:pPr>
        <w:spacing w:after="0" w:line="117" w:lineRule="exact"/>
        <w:rPr>
          <w:sz w:val="20"/>
          <w:szCs w:val="20"/>
          <w:color w:val="auto"/>
        </w:rPr>
      </w:pPr>
    </w:p>
    <w:p>
      <w:pPr>
        <w:jc w:val="both"/>
        <w:ind w:right="20" w:firstLine="749"/>
        <w:spacing w:after="0" w:line="247"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Records</w:t>
      </w:r>
      <w:r>
        <w:rPr>
          <w:rFonts w:ascii="Calibri" w:cs="Calibri" w:eastAsia="Calibri" w:hAnsi="Calibri"/>
          <w:sz w:val="16"/>
          <w:szCs w:val="16"/>
          <w:color w:val="auto"/>
        </w:rPr>
        <w:t>” means any Cardholder Agreements, Applicatons, change-of-terms notces, Account fles, credit bureau reports, copies of adverse acton notces, transacton data, records, or other documentaton (including computer tapes, magnetc or electronic fles, and informaton in any other format) related to the Accounts and the Program.</w:t>
      </w:r>
    </w:p>
    <w:p>
      <w:pPr>
        <w:spacing w:after="0" w:line="112" w:lineRule="exact"/>
        <w:rPr>
          <w:sz w:val="20"/>
          <w:szCs w:val="20"/>
          <w:color w:val="auto"/>
        </w:rPr>
      </w:pPr>
    </w:p>
    <w:p>
      <w:pPr>
        <w:jc w:val="both"/>
        <w:ind w:right="20"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Regulatory Authority</w:t>
      </w:r>
      <w:r>
        <w:rPr>
          <w:rFonts w:ascii="Calibri" w:cs="Calibri" w:eastAsia="Calibri" w:hAnsi="Calibri"/>
          <w:sz w:val="16"/>
          <w:szCs w:val="16"/>
          <w:color w:val="auto"/>
        </w:rPr>
        <w:t>” means any federal, state or local regulatory agency or other governmental agency or authority having jurisdicton over a Party and, in the case of Bank, shall include, but not be limited to, the CFPB and FDIC.</w:t>
      </w:r>
    </w:p>
    <w:p>
      <w:pPr>
        <w:spacing w:after="0" w:line="3"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5</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99" w:name="page100"/>
    <w:bookmarkEnd w:id="99"/>
    <w:p>
      <w:pPr>
        <w:ind w:left="760"/>
        <w:spacing w:after="0"/>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w:t>
      </w:r>
      <w:r>
        <w:rPr>
          <w:rFonts w:ascii="Calibri" w:cs="Calibri" w:eastAsia="Calibri" w:hAnsi="Calibri"/>
          <w:sz w:val="16"/>
          <w:szCs w:val="16"/>
          <w:b w:val="1"/>
          <w:bCs w:val="1"/>
          <w:color w:val="auto"/>
        </w:rPr>
        <w:t>Regulatory Communicaton</w:t>
      </w:r>
      <w:r>
        <w:rPr>
          <w:rFonts w:ascii="Calibri" w:cs="Calibri" w:eastAsia="Calibri" w:hAnsi="Calibri"/>
          <w:sz w:val="16"/>
          <w:szCs w:val="16"/>
          <w:color w:val="auto"/>
        </w:rPr>
        <w:t>” has the meaning set forth in Secton 12(b).</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Renewal Term</w:t>
      </w:r>
      <w:r>
        <w:rPr>
          <w:rFonts w:ascii="Calibri" w:cs="Calibri" w:eastAsia="Calibri" w:hAnsi="Calibri"/>
          <w:sz w:val="16"/>
          <w:szCs w:val="16"/>
          <w:color w:val="auto"/>
        </w:rPr>
        <w:t>” has the meaning set forth in Secton 19(a).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Reserve Balance</w:t>
      </w:r>
      <w:r>
        <w:rPr>
          <w:rFonts w:ascii="Calibri" w:cs="Calibri" w:eastAsia="Calibri" w:hAnsi="Calibri"/>
          <w:sz w:val="16"/>
          <w:szCs w:val="16"/>
          <w:color w:val="auto"/>
        </w:rPr>
        <w:t>” has the meaning set forth in Secton 29(a).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Restricted Party</w:t>
      </w:r>
      <w:r>
        <w:rPr>
          <w:rFonts w:ascii="Calibri" w:cs="Calibri" w:eastAsia="Calibri" w:hAnsi="Calibri"/>
          <w:sz w:val="16"/>
          <w:szCs w:val="16"/>
          <w:color w:val="auto"/>
        </w:rPr>
        <w:t>” has the meaning set forth in Secton 20(c).</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SAR</w:t>
      </w:r>
      <w:r>
        <w:rPr>
          <w:rFonts w:ascii="Calibri" w:cs="Calibri" w:eastAsia="Calibri" w:hAnsi="Calibri"/>
          <w:sz w:val="16"/>
          <w:szCs w:val="16"/>
          <w:color w:val="auto"/>
        </w:rPr>
        <w:t>” has the meaning set forth in Secton 10.</w:t>
      </w:r>
    </w:p>
    <w:p>
      <w:pPr>
        <w:spacing w:after="0" w:line="117" w:lineRule="exact"/>
        <w:rPr>
          <w:sz w:val="20"/>
          <w:szCs w:val="20"/>
          <w:color w:val="auto"/>
        </w:rPr>
      </w:pPr>
    </w:p>
    <w:p>
      <w:pPr>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Setlement</w:t>
      </w:r>
      <w:r>
        <w:rPr>
          <w:rFonts w:ascii="Calibri" w:cs="Calibri" w:eastAsia="Calibri" w:hAnsi="Calibri"/>
          <w:sz w:val="16"/>
          <w:szCs w:val="16"/>
          <w:color w:val="auto"/>
        </w:rPr>
        <w:t>” means the movement of funds between Bank, other fnancial insttutons and the Card Associatons to setle all transactons initated by use of any Card or Account by or on behalf of a Cardholder, including purchases, merchant charges, withdrawals, and any other transactons.</w:t>
      </w:r>
    </w:p>
    <w:p>
      <w:pPr>
        <w:spacing w:after="0" w:line="113" w:lineRule="exact"/>
        <w:rPr>
          <w:sz w:val="20"/>
          <w:szCs w:val="20"/>
          <w:color w:val="auto"/>
        </w:rPr>
      </w:pPr>
    </w:p>
    <w:p>
      <w:pPr>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Setlement Amount</w:t>
      </w:r>
      <w:r>
        <w:rPr>
          <w:rFonts w:ascii="Calibri" w:cs="Calibri" w:eastAsia="Calibri" w:hAnsi="Calibri"/>
          <w:sz w:val="16"/>
          <w:szCs w:val="16"/>
          <w:color w:val="auto"/>
        </w:rPr>
        <w:t>” means the amount of funds identfed by the Card Associaton for Setlement of transacton initated by use or in connecton with the Account for the related calendar day.</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Setlement Account</w:t>
      </w:r>
      <w:r>
        <w:rPr>
          <w:rFonts w:ascii="Calibri" w:cs="Calibri" w:eastAsia="Calibri" w:hAnsi="Calibri"/>
          <w:sz w:val="16"/>
          <w:szCs w:val="16"/>
          <w:color w:val="auto"/>
        </w:rPr>
        <w:t>” means the account maintained and controlled by Bank that is used for Setlement of the Setlement Amount.</w:t>
      </w:r>
    </w:p>
    <w:p>
      <w:pPr>
        <w:spacing w:after="0" w:line="117" w:lineRule="exact"/>
        <w:rPr>
          <w:sz w:val="20"/>
          <w:szCs w:val="20"/>
          <w:color w:val="auto"/>
        </w:rPr>
      </w:pPr>
    </w:p>
    <w:p>
      <w:pPr>
        <w:ind w:firstLine="749"/>
        <w:spacing w:after="0" w:line="246" w:lineRule="auto"/>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Substantve Change</w:t>
      </w:r>
      <w:r>
        <w:rPr>
          <w:rFonts w:ascii="Calibri" w:cs="Calibri" w:eastAsia="Calibri" w:hAnsi="Calibri"/>
          <w:sz w:val="16"/>
          <w:szCs w:val="16"/>
          <w:color w:val="auto"/>
        </w:rPr>
        <w:t>” means a change to the Marketng Actvites, the categories of the Marketng Materials, or any items required by (a) Applicable Law, or (b) requirements previously identfed by Bank in good faith as necessary due to safety and soundness or reputatonal concerns.</w:t>
      </w:r>
    </w:p>
    <w:p>
      <w:pPr>
        <w:spacing w:after="0" w:line="111"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Successor Bank</w:t>
      </w:r>
      <w:r>
        <w:rPr>
          <w:rFonts w:ascii="Calibri" w:cs="Calibri" w:eastAsia="Calibri" w:hAnsi="Calibri"/>
          <w:sz w:val="16"/>
          <w:szCs w:val="16"/>
          <w:color w:val="auto"/>
        </w:rPr>
        <w:t>” has the meaning set forth in Secton 19(d)(v).</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Term</w:t>
      </w:r>
      <w:r>
        <w:rPr>
          <w:rFonts w:ascii="Calibri" w:cs="Calibri" w:eastAsia="Calibri" w:hAnsi="Calibri"/>
          <w:sz w:val="16"/>
          <w:szCs w:val="16"/>
          <w:color w:val="auto"/>
        </w:rPr>
        <w:t>” has the meaning set forth in Secton 19(a).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Terminaton Fee</w:t>
      </w:r>
      <w:r>
        <w:rPr>
          <w:rFonts w:ascii="Calibri" w:cs="Calibri" w:eastAsia="Calibri" w:hAnsi="Calibri"/>
          <w:sz w:val="16"/>
          <w:szCs w:val="16"/>
          <w:color w:val="auto"/>
        </w:rPr>
        <w:t>” has the meaning set forth in Secton 19(d)(iii).</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TPA</w:t>
      </w:r>
      <w:r>
        <w:rPr>
          <w:rFonts w:ascii="Calibri" w:cs="Calibri" w:eastAsia="Calibri" w:hAnsi="Calibri"/>
          <w:sz w:val="16"/>
          <w:szCs w:val="16"/>
          <w:color w:val="auto"/>
        </w:rPr>
        <w:t>” has the meaning set forth in Secton 7(a).</w:t>
      </w:r>
    </w:p>
    <w:p>
      <w:pPr>
        <w:spacing w:after="0" w:line="115" w:lineRule="exact"/>
        <w:rPr>
          <w:sz w:val="20"/>
          <w:szCs w:val="20"/>
          <w:color w:val="auto"/>
        </w:rPr>
      </w:pPr>
    </w:p>
    <w:p>
      <w:pPr>
        <w:ind w:left="760"/>
        <w:spacing w:after="0"/>
        <w:rPr>
          <w:sz w:val="20"/>
          <w:szCs w:val="20"/>
          <w:color w:val="auto"/>
        </w:rPr>
      </w:pPr>
      <w:r>
        <w:rPr>
          <w:rFonts w:ascii="Calibri" w:cs="Calibri" w:eastAsia="Calibri" w:hAnsi="Calibri"/>
          <w:sz w:val="16"/>
          <w:szCs w:val="16"/>
          <w:color w:val="auto"/>
        </w:rPr>
        <w:t>“</w:t>
      </w:r>
      <w:r>
        <w:rPr>
          <w:rFonts w:ascii="Calibri" w:cs="Calibri" w:eastAsia="Calibri" w:hAnsi="Calibri"/>
          <w:sz w:val="16"/>
          <w:szCs w:val="16"/>
          <w:b w:val="1"/>
          <w:bCs w:val="1"/>
          <w:color w:val="auto"/>
        </w:rPr>
        <w:t>Wind Down Period</w:t>
      </w:r>
      <w:r>
        <w:rPr>
          <w:rFonts w:ascii="Calibri" w:cs="Calibri" w:eastAsia="Calibri" w:hAnsi="Calibri"/>
          <w:sz w:val="16"/>
          <w:szCs w:val="16"/>
          <w:color w:val="auto"/>
        </w:rPr>
        <w:t>” has the meaning set forth in Secton 19(d)(v).</w:t>
      </w:r>
    </w:p>
    <w:p>
      <w:pPr>
        <w:spacing w:after="0" w:line="131" w:lineRule="exact"/>
        <w:rPr>
          <w:sz w:val="20"/>
          <w:szCs w:val="20"/>
          <w:color w:val="auto"/>
        </w:rPr>
      </w:pPr>
    </w:p>
    <w:p>
      <w:pPr>
        <w:ind w:firstLine="757"/>
        <w:spacing w:after="0" w:line="246" w:lineRule="auto"/>
        <w:tabs>
          <w:tab w:leader="none" w:pos="1018" w:val="left"/>
        </w:tabs>
        <w:numPr>
          <w:ilvl w:val="0"/>
          <w:numId w:val="78"/>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b w:val="1"/>
          <w:bCs w:val="1"/>
          <w:u w:val="single" w:color="auto"/>
          <w:color w:val="auto"/>
        </w:rPr>
        <w:t>The Program</w:t>
      </w:r>
      <w:r>
        <w:rPr>
          <w:rFonts w:ascii="Calibri" w:cs="Calibri" w:eastAsia="Calibri" w:hAnsi="Calibri"/>
          <w:sz w:val="16"/>
          <w:szCs w:val="16"/>
          <w:color w:val="auto"/>
        </w:rPr>
        <w:t>. Beginning on the Efectve Date of this Agreement, the Partes agree to launch the Program on the terms and conditons otherwise provided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 xml:space="preserve">for in this Agreement and as further described in </w:t>
      </w:r>
      <w:r>
        <w:rPr>
          <w:rFonts w:ascii="Calibri" w:cs="Calibri" w:eastAsia="Calibri" w:hAnsi="Calibri"/>
          <w:sz w:val="16"/>
          <w:szCs w:val="16"/>
          <w:u w:val="single" w:color="auto"/>
          <w:color w:val="auto"/>
        </w:rPr>
        <w:t>Exhibit A</w:t>
      </w:r>
      <w:r>
        <w:rPr>
          <w:rFonts w:ascii="Calibri" w:cs="Calibri" w:eastAsia="Calibri" w:hAnsi="Calibri"/>
          <w:sz w:val="16"/>
          <w:szCs w:val="16"/>
          <w:color w:val="auto"/>
        </w:rPr>
        <w:t>.</w:t>
      </w:r>
    </w:p>
    <w:p>
      <w:pPr>
        <w:spacing w:after="0" w:line="112" w:lineRule="exact"/>
        <w:rPr>
          <w:rFonts w:ascii="Times New Roman" w:cs="Times New Roman" w:eastAsia="Times New Roman" w:hAnsi="Times New Roman"/>
          <w:sz w:val="16"/>
          <w:szCs w:val="16"/>
          <w:u w:val="single" w:color="auto"/>
          <w:color w:val="auto"/>
        </w:rPr>
      </w:pPr>
    </w:p>
    <w:p>
      <w:pPr>
        <w:jc w:val="both"/>
        <w:ind w:firstLine="757"/>
        <w:spacing w:after="0" w:line="248" w:lineRule="auto"/>
        <w:tabs>
          <w:tab w:leader="none" w:pos="1042" w:val="left"/>
        </w:tabs>
        <w:numPr>
          <w:ilvl w:val="0"/>
          <w:numId w:val="78"/>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Marketng Materials; Card Producton</w:t>
      </w:r>
      <w:r>
        <w:rPr>
          <w:rFonts w:ascii="Calibri" w:cs="Calibri" w:eastAsia="Calibri" w:hAnsi="Calibri"/>
          <w:sz w:val="16"/>
          <w:szCs w:val="16"/>
          <w:color w:val="auto"/>
        </w:rPr>
        <w:t>. Program Manager shall promote and market the Program, the Accounts and the Cards using any form of Marketng</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Materials and Marketng Actvites determined to be appropriate by Program Manager, subject to Bank’s prior approval as set forth herein. Bank agrees that Program Manager may refer to Bank and the Program in Marketng Materials upon the conditon that the form of any references to Bank and/or the Program in any such Marketng Material is approved by Bank. All Marketng Materials must receive the prior writen approval of Bank, in accordance with the procedures set forth in this Secton 3. Bank shall conduct its inital review and shall accept or reject such forms of Marketng Materials and/or Marketng Actvites provided by Program Manager within fve (5)</w:t>
      </w:r>
    </w:p>
    <w:p>
      <w:pPr>
        <w:spacing w:after="0" w:line="16" w:lineRule="exact"/>
        <w:rPr>
          <w:rFonts w:ascii="Calibri" w:cs="Calibri" w:eastAsia="Calibri" w:hAnsi="Calibri"/>
          <w:sz w:val="16"/>
          <w:szCs w:val="16"/>
          <w:color w:val="auto"/>
        </w:rPr>
      </w:pPr>
    </w:p>
    <w:p>
      <w:pPr>
        <w:jc w:val="both"/>
        <w:spacing w:after="0" w:line="248" w:lineRule="auto"/>
        <w:rPr>
          <w:rFonts w:ascii="Calibri" w:cs="Calibri" w:eastAsia="Calibri" w:hAnsi="Calibri"/>
          <w:sz w:val="16"/>
          <w:szCs w:val="16"/>
          <w:color w:val="auto"/>
        </w:rPr>
      </w:pPr>
      <w:r>
        <w:rPr>
          <w:rFonts w:ascii="Calibri" w:cs="Calibri" w:eastAsia="Calibri" w:hAnsi="Calibri"/>
          <w:sz w:val="16"/>
          <w:szCs w:val="16"/>
          <w:color w:val="auto"/>
        </w:rPr>
        <w:t>business days of Program Manager submitng such Marketng Materials and/or Marketng Actvites to Bank at [**] for review; any such forms of Marketng Materials and/or Marketng Actvites not rejected, conditonally accepted with Bank’s comments, or accepted within fve (5) business days shall be deemed approved. (“Inital Review Process”). Should Bank conditonally accept with comments or otherwise request revisions to any forms of Marketng Materials and/or Marketng Actvites during Bank’s Inital Review Process and Program Manager resubmits revised Marketng Materials and/or Marketng Actvites to Bank at [**], Bank shall accept or reject with specifc comments such revised Marketng Materials and/or Marketng Actvites within fve (5) business days of such resubmission; any such forms of Marketng Materials and/or Marketng Actvites not specifcally rejected or accepted within fve (5) business days shall be deemed approved (“Resubmit Review Process”). Should Bank conditonally accept with comments or otherwise request further revisions afer the Resubmit Review Process and Program Manager resubmits revised Marketng Materials and/or Marketng Actvites to Bank at [**], Bank shall accept or reject with specifc comments such revised Marketng Materials and/or Marketng Actvites within two (2) business days of such resubmission</w:t>
      </w:r>
      <w:r>
        <w:rPr>
          <w:rFonts w:ascii="Calibri" w:cs="Calibri" w:eastAsia="Calibri" w:hAnsi="Calibri"/>
          <w:sz w:val="16"/>
          <w:szCs w:val="16"/>
          <w:u w:val="single" w:color="auto"/>
          <w:color w:val="0563C1"/>
        </w:rPr>
        <w:t>;</w:t>
      </w:r>
      <w:r>
        <w:rPr>
          <w:rFonts w:ascii="Calibri" w:cs="Calibri" w:eastAsia="Calibri" w:hAnsi="Calibri"/>
          <w:sz w:val="16"/>
          <w:szCs w:val="16"/>
          <w:color w:val="auto"/>
        </w:rPr>
        <w:t xml:space="preserve"> any such forms of Marketng Materials and/or Marketng Actvites not specifcally rejected or accepted within two (2) business days shall be deemed approved (“Final Review Process”).</w:t>
      </w:r>
    </w:p>
    <w:p>
      <w:pPr>
        <w:spacing w:after="0" w:line="128" w:lineRule="exact"/>
        <w:rPr>
          <w:sz w:val="20"/>
          <w:szCs w:val="20"/>
          <w:color w:val="auto"/>
        </w:rPr>
      </w:pPr>
    </w:p>
    <w:p>
      <w:pPr>
        <w:jc w:val="both"/>
        <w:ind w:firstLine="757"/>
        <w:spacing w:after="0" w:line="248" w:lineRule="auto"/>
        <w:tabs>
          <w:tab w:leader="none" w:pos="1018" w:val="left"/>
        </w:tabs>
        <w:numPr>
          <w:ilvl w:val="0"/>
          <w:numId w:val="79"/>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Prior to Program Manager’s use of any Marketng Materials or conductng any Marketng Actvites, Bank shall have completed an inital review of the forms of Marketng Materials and Marketng Actvites proposed by Program Manager and approve or reject any such forms of Marketng Materials and Marketng Actvites that have been provided to Bank. Marketng Materials and Marketng Actvites will be considered approved and authorized by Bank once such approval and authorizaton are clearly communicated by Bank in writng, provided that Bank does not subsequently revoke its approval pursuant to the terms of Secton 6(b) (Changes to Marketng Materials or Card Program Materials).</w:t>
      </w:r>
    </w:p>
    <w:p>
      <w:pPr>
        <w:spacing w:after="0" w:line="124"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79"/>
        </w:numPr>
        <w:rPr>
          <w:rFonts w:ascii="Times New Roman" w:cs="Times New Roman" w:eastAsia="Times New Roman" w:hAnsi="Times New Roman"/>
          <w:sz w:val="16"/>
          <w:szCs w:val="16"/>
          <w:color w:val="auto"/>
        </w:rPr>
      </w:pPr>
      <w:r>
        <w:rPr>
          <w:rFonts w:ascii="Calibri" w:cs="Calibri" w:eastAsia="Calibri" w:hAnsi="Calibri"/>
          <w:sz w:val="16"/>
          <w:szCs w:val="16"/>
          <w:color w:val="auto"/>
        </w:rPr>
        <w:t>Thereafer, Program Manager shall make available for Bank’s prior review and approval all new forms of Marketng Materials and Marketng Actvites proposed by Program Manager. Bank shall review and approve or reject any such forms of Marketng Materials and Marketng Actvites within: (i) for direct mail Marketng Materials, three (3) Business Days afer Bank’s receipt of such Marketng Materials; and (ii) for all other Marketng Materials or Marketng Actvites, fve (5) Business Days afer Bank’s receipt of such Marketng Materials or Marketng Actvites. Notwithstanding any tmeframes set forth in this Secton 3(b), Bank may require additonal tme for review and approval if Bank determines, in its sole discreton, that Card Associaton review or approval is required. Bank shall notfy Program Manager of the need for Card Associaton review or approval and shall periodically inform Program Manager of the status of the Card Associaton review or approval. Marketng Materials and Marketng Actvites will be approved and authorized by Bank once such approval and authorizaton are clearly communicated by Bank in writng to Program Manager, provided that Bank does not subsequently revoke its approval pursuant to the terms of Secton 6(b) (Changes to Marketng Materials or Card Program Materials).</w:t>
      </w:r>
    </w:p>
    <w:p>
      <w:pPr>
        <w:spacing w:after="0" w:line="4"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6</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00" w:name="page101"/>
    <w:bookmarkEnd w:id="100"/>
    <w:p>
      <w:pPr>
        <w:jc w:val="both"/>
        <w:ind w:left="80" w:firstLine="751"/>
        <w:spacing w:after="0" w:line="248" w:lineRule="auto"/>
        <w:tabs>
          <w:tab w:leader="none" w:pos="1023" w:val="left"/>
        </w:tabs>
        <w:numPr>
          <w:ilvl w:val="0"/>
          <w:numId w:val="80"/>
        </w:numPr>
        <w:rPr>
          <w:rFonts w:ascii="Times New Roman" w:cs="Times New Roman" w:eastAsia="Times New Roman" w:hAnsi="Times New Roman"/>
          <w:sz w:val="16"/>
          <w:szCs w:val="16"/>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Afer approval of the form of Marketng Materials or Marketng Actvites pursuant to Secton 3(a) or 3(b), and subject to Secton 6(b) (Changes to Marketng Materials or Card Program Materials), Program Manager may use such forms of Marketng Materials and Marketng Actvites, and need not seek further approval for use of such forms unless there is: (i) a Substantve Change in the Marketng Materials or Marketng Actvites, or (ii) a new ofering to be included in the Marketng Materials (each of the events in clauses (i) and (ii), a “</w:t>
      </w:r>
      <w:r>
        <w:rPr>
          <w:rFonts w:ascii="Calibri" w:cs="Calibri" w:eastAsia="Calibri" w:hAnsi="Calibri"/>
          <w:sz w:val="16"/>
          <w:szCs w:val="16"/>
          <w:b w:val="1"/>
          <w:bCs w:val="1"/>
          <w:color w:val="auto"/>
        </w:rPr>
        <w:t>Qualifying Change</w:t>
      </w:r>
      <w:r>
        <w:rPr>
          <w:rFonts w:ascii="Calibri" w:cs="Calibri" w:eastAsia="Calibri" w:hAnsi="Calibri"/>
          <w:sz w:val="16"/>
          <w:szCs w:val="16"/>
          <w:color w:val="auto"/>
        </w:rPr>
        <w:t>”). In the event of a Qualifying Change, Program Manager shall submit such forms of Marketng Materials and Marketng Actvites to Bank for review and approval in accordance with Secton 3(b).</w:t>
      </w:r>
    </w:p>
    <w:p>
      <w:pPr>
        <w:spacing w:after="0" w:line="116" w:lineRule="exact"/>
        <w:rPr>
          <w:sz w:val="20"/>
          <w:szCs w:val="20"/>
          <w:color w:val="auto"/>
        </w:rPr>
      </w:pPr>
    </w:p>
    <w:p>
      <w:pPr>
        <w:jc w:val="both"/>
        <w:ind w:left="80" w:firstLine="749"/>
        <w:spacing w:after="0" w:line="251" w:lineRule="auto"/>
        <w:rPr>
          <w:sz w:val="20"/>
          <w:szCs w:val="20"/>
          <w:color w:val="auto"/>
        </w:rPr>
      </w:pPr>
      <w:r>
        <w:rPr>
          <w:rFonts w:ascii="Times New Roman" w:cs="Times New Roman" w:eastAsia="Times New Roman" w:hAnsi="Times New Roman"/>
          <w:sz w:val="16"/>
          <w:szCs w:val="16"/>
          <w:color w:val="auto"/>
        </w:rPr>
        <w:t>(d)</w:t>
      </w:r>
      <w:r>
        <w:rPr>
          <w:rFonts w:ascii="Calibri" w:cs="Calibri" w:eastAsia="Calibri" w:hAnsi="Calibri"/>
          <w:sz w:val="16"/>
          <w:szCs w:val="16"/>
          <w:color w:val="auto"/>
        </w:rPr>
        <w:t>Bank may request up to four (4) periodic reviews of the Marketng Materials and Marketng Actvites then being used by Program Manager in each</w:t>
      </w:r>
      <w:r>
        <w:rPr>
          <w:rFonts w:ascii="Times New Roman" w:cs="Times New Roman" w:eastAsia="Times New Roman" w:hAnsi="Times New Roman"/>
          <w:sz w:val="16"/>
          <w:szCs w:val="16"/>
          <w:color w:val="auto"/>
        </w:rPr>
        <w:t xml:space="preserve"> </w:t>
      </w:r>
      <w:r>
        <w:rPr>
          <w:rFonts w:ascii="Calibri" w:cs="Calibri" w:eastAsia="Calibri" w:hAnsi="Calibri"/>
          <w:sz w:val="16"/>
          <w:szCs w:val="16"/>
          <w:color w:val="auto"/>
        </w:rPr>
        <w:t>calendar year, provided, however, that Bank may request additonal reviews of the Marketng Materials and Marketng Actvites if required by a Regulatory Authority or if Bank determines, in its sole discreton, that Program Manager is in, or is likely in, breach of any provision of this Agreement or Applicable Law. Bank and Program Manager shall cooperate to determine the form, format, frequency, and tming of such reviews to minimize expense and disrupton.</w:t>
      </w:r>
    </w:p>
    <w:p>
      <w:pPr>
        <w:spacing w:after="0" w:line="123" w:lineRule="exact"/>
        <w:rPr>
          <w:sz w:val="20"/>
          <w:szCs w:val="20"/>
          <w:color w:val="auto"/>
        </w:rPr>
      </w:pPr>
    </w:p>
    <w:p>
      <w:pPr>
        <w:jc w:val="both"/>
        <w:ind w:left="80" w:firstLine="751"/>
        <w:spacing w:after="0" w:line="248" w:lineRule="auto"/>
        <w:tabs>
          <w:tab w:leader="none" w:pos="1023" w:val="left"/>
        </w:tabs>
        <w:numPr>
          <w:ilvl w:val="1"/>
          <w:numId w:val="81"/>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be liable for all claims arising from the use by Program Manager or Agents actng on Program Manager’s behalf of any Marketng Materials or Marketng Actvites. Program Manager shall ensure that all Marketng Materials and Marketng Actvites shall comply with Applicable Law, shall be accurate in all material respects and not be misleading; provided that Program Manager may rely on the accuracy of informaton included in the Marketng Materials and/or Marketng Actvites which is provided and approved by Bank. Nothing herein shall serve to undermine Program Manager’s indemnifcaton obligatons under this Agreement.</w:t>
      </w:r>
    </w:p>
    <w:p>
      <w:pPr>
        <w:spacing w:after="0" w:line="326" w:lineRule="exact"/>
        <w:rPr>
          <w:rFonts w:ascii="Times New Roman" w:cs="Times New Roman" w:eastAsia="Times New Roman" w:hAnsi="Times New Roman"/>
          <w:sz w:val="16"/>
          <w:szCs w:val="16"/>
          <w:color w:val="auto"/>
        </w:rPr>
      </w:pPr>
    </w:p>
    <w:p>
      <w:pPr>
        <w:jc w:val="both"/>
        <w:ind w:left="80" w:firstLine="751"/>
        <w:spacing w:after="0" w:line="248" w:lineRule="auto"/>
        <w:tabs>
          <w:tab w:leader="none" w:pos="1023" w:val="left"/>
        </w:tabs>
        <w:numPr>
          <w:ilvl w:val="1"/>
          <w:numId w:val="81"/>
        </w:numPr>
        <w:rPr>
          <w:rFonts w:ascii="Times New Roman" w:cs="Times New Roman" w:eastAsia="Times New Roman" w:hAnsi="Times New Roman"/>
          <w:sz w:val="16"/>
          <w:szCs w:val="16"/>
          <w:color w:val="auto"/>
        </w:rPr>
      </w:pPr>
      <w:r>
        <w:rPr>
          <w:rFonts w:ascii="Calibri" w:cs="Calibri" w:eastAsia="Calibri" w:hAnsi="Calibri"/>
          <w:sz w:val="16"/>
          <w:szCs w:val="16"/>
          <w:color w:val="auto"/>
        </w:rPr>
        <w:t>Within thirty (30) days of the date of executon of this Agreement, or as otherwise mutually agreed in conjuncton with the development of the Marketng Materials, the Partes will create mutually acceptable designs for the front and back of the Card. Such designs will be subject to compliance with Applicable Law and Card Associaton rules. In accordance with this Secton 3(f), Bank will produce, store, maintain, and emboss plastc stock for Cards from tme to tme and in quanttes adequate for the Program in a manner that is PCI Compliant or otherwise consistent with the data security standards set forth in Secton 15 (Data Security) of this Agreement.</w:t>
      </w:r>
    </w:p>
    <w:p>
      <w:pPr>
        <w:spacing w:after="0" w:line="108" w:lineRule="exact"/>
        <w:rPr>
          <w:rFonts w:ascii="Times New Roman" w:cs="Times New Roman" w:eastAsia="Times New Roman" w:hAnsi="Times New Roman"/>
          <w:sz w:val="16"/>
          <w:szCs w:val="16"/>
          <w:color w:val="auto"/>
        </w:rPr>
      </w:pPr>
    </w:p>
    <w:p>
      <w:pPr>
        <w:ind w:left="1040" w:hanging="283"/>
        <w:spacing w:after="0"/>
        <w:tabs>
          <w:tab w:leader="none" w:pos="1040" w:val="left"/>
        </w:tabs>
        <w:numPr>
          <w:ilvl w:val="0"/>
          <w:numId w:val="82"/>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Issuance of Accounts and Cards</w:t>
      </w:r>
      <w:r>
        <w:rPr>
          <w:rFonts w:ascii="Calibri" w:cs="Calibri" w:eastAsia="Calibri" w:hAnsi="Calibri"/>
          <w:sz w:val="16"/>
          <w:szCs w:val="16"/>
          <w:color w:val="auto"/>
        </w:rPr>
        <w:t>.</w:t>
      </w:r>
    </w:p>
    <w:p>
      <w:pPr>
        <w:spacing w:after="0" w:line="130" w:lineRule="exact"/>
        <w:rPr>
          <w:rFonts w:ascii="Calibri" w:cs="Calibri" w:eastAsia="Calibri" w:hAnsi="Calibri"/>
          <w:sz w:val="16"/>
          <w:szCs w:val="16"/>
          <w:color w:val="auto"/>
        </w:rPr>
      </w:pPr>
    </w:p>
    <w:p>
      <w:pPr>
        <w:ind w:left="80" w:firstLine="751"/>
        <w:spacing w:after="0" w:line="246" w:lineRule="auto"/>
        <w:tabs>
          <w:tab w:leader="none" w:pos="1023" w:val="left"/>
        </w:tabs>
        <w:numPr>
          <w:ilvl w:val="1"/>
          <w:numId w:val="82"/>
        </w:numPr>
        <w:rPr>
          <w:rFonts w:ascii="Times New Roman" w:cs="Times New Roman" w:eastAsia="Times New Roman" w:hAnsi="Times New Roman"/>
          <w:sz w:val="16"/>
          <w:szCs w:val="16"/>
          <w:color w:val="auto"/>
        </w:rPr>
      </w:pPr>
      <w:r>
        <w:rPr>
          <w:rFonts w:ascii="Calibri" w:cs="Calibri" w:eastAsia="Calibri" w:hAnsi="Calibri"/>
          <w:sz w:val="16"/>
          <w:szCs w:val="16"/>
          <w:color w:val="auto"/>
        </w:rPr>
        <w:t>Subject to the terms of this Agreement and Applicable Law, including those on bank branching, Bank agrees to issue Cards and make Accounts available to qualifying Applicants residing in any state in the United States, its territories and the District of Columbia.</w:t>
      </w:r>
    </w:p>
    <w:p>
      <w:pPr>
        <w:spacing w:after="0" w:line="117" w:lineRule="exact"/>
        <w:rPr>
          <w:sz w:val="20"/>
          <w:szCs w:val="20"/>
          <w:color w:val="auto"/>
        </w:rPr>
      </w:pPr>
    </w:p>
    <w:p>
      <w:pPr>
        <w:jc w:val="both"/>
        <w:ind w:left="80" w:firstLine="749"/>
        <w:spacing w:after="0" w:line="253" w:lineRule="auto"/>
        <w:rPr>
          <w:sz w:val="20"/>
          <w:szCs w:val="20"/>
          <w:color w:val="auto"/>
        </w:rPr>
      </w:pPr>
      <w:r>
        <w:rPr>
          <w:rFonts w:ascii="Times New Roman" w:cs="Times New Roman" w:eastAsia="Times New Roman" w:hAnsi="Times New Roman"/>
          <w:sz w:val="16"/>
          <w:szCs w:val="16"/>
          <w:color w:val="auto"/>
        </w:rPr>
        <w:t>(b)</w:t>
      </w:r>
      <w:r>
        <w:rPr>
          <w:rFonts w:ascii="Calibri" w:cs="Calibri" w:eastAsia="Calibri" w:hAnsi="Calibri"/>
          <w:sz w:val="16"/>
          <w:szCs w:val="16"/>
          <w:color w:val="auto"/>
        </w:rPr>
        <w:t>Program Manager acknowledges that Bank is under no obligaton to establish an Account for any Applicant. Notwithstanding anything to the contrary, Bank</w:t>
      </w:r>
      <w:r>
        <w:rPr>
          <w:rFonts w:ascii="Times New Roman" w:cs="Times New Roman" w:eastAsia="Times New Roman" w:hAnsi="Times New Roman"/>
          <w:sz w:val="16"/>
          <w:szCs w:val="16"/>
          <w:color w:val="auto"/>
        </w:rPr>
        <w:t xml:space="preserve"> </w:t>
      </w:r>
      <w:r>
        <w:rPr>
          <w:rFonts w:ascii="Calibri" w:cs="Calibri" w:eastAsia="Calibri" w:hAnsi="Calibri"/>
          <w:sz w:val="16"/>
          <w:szCs w:val="16"/>
          <w:color w:val="auto"/>
        </w:rPr>
        <w:t>may, in its sole discreton, reject or decline to establish an Account if Bank determines to establish an Account would consttute an unsafe or unsound banking practce, pose undue reputatonal or fnancial risk to Bank or violate Applicable Law.</w:t>
      </w:r>
    </w:p>
    <w:p>
      <w:pPr>
        <w:spacing w:after="0" w:line="107" w:lineRule="exact"/>
        <w:rPr>
          <w:sz w:val="20"/>
          <w:szCs w:val="20"/>
          <w:color w:val="auto"/>
        </w:rPr>
      </w:pPr>
    </w:p>
    <w:p>
      <w:pPr>
        <w:jc w:val="both"/>
        <w:ind w:firstLine="757"/>
        <w:spacing w:after="0" w:line="248" w:lineRule="auto"/>
        <w:tabs>
          <w:tab w:leader="none" w:pos="1042" w:val="left"/>
        </w:tabs>
        <w:numPr>
          <w:ilvl w:val="0"/>
          <w:numId w:val="83"/>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Program Materials and Account Policies</w:t>
      </w:r>
      <w:r>
        <w:rPr>
          <w:rFonts w:ascii="Calibri" w:cs="Calibri" w:eastAsia="Calibri" w:hAnsi="Calibri"/>
          <w:sz w:val="16"/>
          <w:szCs w:val="16"/>
          <w:color w:val="auto"/>
        </w:rPr>
        <w:t>. Program Manager shall be responsible for the development, producton and distributon of all documents, terms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and procedures necessary and proper to administer the Program (the “Card Program Materials”). Card Program Materials shall comply in all material respects with applicable Card Associaton rules and all Applicable Law. Prior to the formal launch of the Program, Bank shall provide Program Manager with an Account Policies, which Program Manager shall comply with in marketng, servicing, approving and managing Accounts. The Account Policies is considered a Card Program material. For the avoidance of doubt, Program Manager shall be responsible for all liability associated with Cardholder Accounts, including fraud and Chargeback liability, even if such Cardholder Account was approved in compliance with the Account Policies. Within ten (10) Business Days of the Efectve Date, Program Manager shall provide a form Cardholder Agreement, form Applicaton, and its Privacy Policy, all of which are considered Card Program Materials to be used in connecton with the Program, to Bank for its approval. The Partes acknowledge that each Cardholder Agreement and all other documents referring to the issuer of Cards for the Program shall identfy Bank as the</w:t>
      </w:r>
    </w:p>
    <w:p>
      <w:pPr>
        <w:spacing w:after="0" w:line="16" w:lineRule="exact"/>
        <w:rPr>
          <w:rFonts w:ascii="Calibri" w:cs="Calibri" w:eastAsia="Calibri" w:hAnsi="Calibri"/>
          <w:sz w:val="16"/>
          <w:szCs w:val="16"/>
          <w:color w:val="auto"/>
        </w:rPr>
      </w:pPr>
    </w:p>
    <w:p>
      <w:pPr>
        <w:spacing w:after="0" w:line="218" w:lineRule="auto"/>
        <w:rPr>
          <w:rFonts w:ascii="Calibri" w:cs="Calibri" w:eastAsia="Calibri" w:hAnsi="Calibri"/>
          <w:sz w:val="16"/>
          <w:szCs w:val="16"/>
          <w:color w:val="auto"/>
        </w:rPr>
      </w:pPr>
      <w:r>
        <w:rPr>
          <w:rFonts w:ascii="Calibri" w:cs="Calibri" w:eastAsia="Calibri" w:hAnsi="Calibri"/>
          <w:sz w:val="16"/>
          <w:szCs w:val="16"/>
          <w:color w:val="auto"/>
        </w:rPr>
        <w:t>issuer. The Cardholder Agreement shall further provide, as appropriate, that it is governed by Tennessee</w:t>
      </w:r>
      <w:r>
        <w:rPr>
          <w:rFonts w:ascii="Calibri" w:cs="Calibri" w:eastAsia="Calibri" w:hAnsi="Calibri"/>
          <w:sz w:val="21"/>
          <w:szCs w:val="21"/>
          <w:color w:val="auto"/>
          <w:vertAlign w:val="superscript"/>
        </w:rPr>
        <w:t>1</w:t>
      </w:r>
      <w:r>
        <w:rPr>
          <w:rFonts w:ascii="Calibri" w:cs="Calibri" w:eastAsia="Calibri" w:hAnsi="Calibri"/>
          <w:sz w:val="16"/>
          <w:szCs w:val="16"/>
          <w:color w:val="auto"/>
        </w:rPr>
        <w:t xml:space="preserve"> and federal law. Program Manager may not ofer any collectons products or accept fees for collectons services using credit cards. Any changes to the Card Program Materials described above must be approved in advance by Bank.</w:t>
      </w:r>
    </w:p>
    <w:p>
      <w:pPr>
        <w:spacing w:after="0" w:line="116" w:lineRule="exact"/>
        <w:rPr>
          <w:rFonts w:ascii="Calibri" w:cs="Calibri" w:eastAsia="Calibri" w:hAnsi="Calibri"/>
          <w:sz w:val="16"/>
          <w:szCs w:val="16"/>
          <w:color w:val="auto"/>
        </w:rPr>
      </w:pPr>
    </w:p>
    <w:p>
      <w:pPr>
        <w:ind w:left="1040" w:hanging="283"/>
        <w:spacing w:after="0"/>
        <w:tabs>
          <w:tab w:leader="none" w:pos="1040" w:val="left"/>
        </w:tabs>
        <w:numPr>
          <w:ilvl w:val="0"/>
          <w:numId w:val="83"/>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Changes to Marketng Materials or Card Program Materials</w:t>
      </w:r>
      <w:r>
        <w:rPr>
          <w:rFonts w:ascii="Calibri" w:cs="Calibri" w:eastAsia="Calibri" w:hAnsi="Calibri"/>
          <w:sz w:val="16"/>
          <w:szCs w:val="16"/>
          <w:color w:val="auto"/>
        </w:rPr>
        <w:t>.</w:t>
      </w:r>
    </w:p>
    <w:p>
      <w:pPr>
        <w:spacing w:after="0" w:line="130" w:lineRule="exact"/>
        <w:rPr>
          <w:sz w:val="20"/>
          <w:szCs w:val="20"/>
          <w:color w:val="auto"/>
        </w:rPr>
      </w:pPr>
    </w:p>
    <w:p>
      <w:pPr>
        <w:jc w:val="both"/>
        <w:ind w:firstLine="757"/>
        <w:spacing w:after="0" w:line="248" w:lineRule="auto"/>
        <w:tabs>
          <w:tab w:leader="none" w:pos="1018" w:val="left"/>
        </w:tabs>
        <w:numPr>
          <w:ilvl w:val="0"/>
          <w:numId w:val="84"/>
        </w:numPr>
        <w:rPr>
          <w:rFonts w:ascii="Times New Roman" w:cs="Times New Roman" w:eastAsia="Times New Roman" w:hAnsi="Times New Roman"/>
          <w:sz w:val="16"/>
          <w:szCs w:val="16"/>
          <w:color w:val="auto"/>
        </w:rPr>
      </w:pPr>
      <w:r>
        <w:rPr>
          <w:rFonts w:ascii="Calibri" w:cs="Calibri" w:eastAsia="Calibri" w:hAnsi="Calibri"/>
          <w:sz w:val="16"/>
          <w:szCs w:val="16"/>
          <w:color w:val="auto"/>
        </w:rPr>
        <w:t>Changes to Card Program Materials, including a determinaton that any Card Program Materials are no longer authorized, may be made upon the request of either Party subject to the prior writen consent of the other Party, which consent shall not be unreasonably withheld or delayed; provided, however, that Bank may change the Card Program Materials or determine that any Card Program Materials are no longer authorized upon writen notce to Program Manager to the extent that such change or determinaton is required by Applicable Law or Regulatory Authority or necessitated in Bank’s reasonable determinaton by safety and soundness or reputatonal concerns. Unless such changes are required sooner by Applicable Law or a Regulatory Authority, upon Program Manager’s receipt of writen notce from Bank of any changes to the Card Program Materials or a determinaton that any Card Program Materials are no longer authorized, Program Manager shall implement such change or determinaton as soon as commercially practcable but in no event later than thirty (30) days (or earlier if required by Applicable Law or Regulatory Authority) from Program Manager’s receipt of notce of such change or determinaton.</w:t>
      </w:r>
    </w:p>
    <w:p>
      <w:pPr>
        <w:spacing w:after="0" w:line="126"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84"/>
        </w:numPr>
        <w:rPr>
          <w:rFonts w:ascii="Times New Roman" w:cs="Times New Roman" w:eastAsia="Times New Roman" w:hAnsi="Times New Roman"/>
          <w:sz w:val="16"/>
          <w:szCs w:val="16"/>
          <w:color w:val="auto"/>
        </w:rPr>
      </w:pPr>
      <w:r>
        <w:rPr>
          <w:rFonts w:ascii="Calibri" w:cs="Calibri" w:eastAsia="Calibri" w:hAnsi="Calibri"/>
          <w:sz w:val="16"/>
          <w:szCs w:val="16"/>
          <w:color w:val="auto"/>
        </w:rPr>
        <w:t>Bank may change the Marketng Materials or Marketng Actvites previously approved by Bank or determine that any Marketng Materials or Marketng Actvites previously approved by Bank are no longer authorized upon writen notce provided to Program Manager only to the extent that such change is required by Applicable Law or a Regulatory Authority or necessitated in Bank’s reasonable determinaton by safety and soundness concerns. Unless such changes are required sooner by Applicable Law or a Regulatory Authority, upon Program Manager’s receipt of writen notce from Bank of any changes to the Marketng Materials or Marketng Actvites or a determinaton that any Marketng Materials or Marketng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1688465" cy="508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7</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01" w:name="page102"/>
    <w:bookmarkEnd w:id="101"/>
    <w:p>
      <w:pPr>
        <w:spacing w:after="0"/>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Actvites are no longer authorized, Program Manager shall implement such change or determinaton as soon as commercially practcable but in no event later than thirty</w:t>
      </w:r>
    </w:p>
    <w:p>
      <w:pPr>
        <w:spacing w:after="0" w:line="7" w:lineRule="exact"/>
        <w:rPr>
          <w:sz w:val="20"/>
          <w:szCs w:val="20"/>
          <w:color w:val="auto"/>
        </w:rPr>
      </w:pPr>
    </w:p>
    <w:p>
      <w:pPr>
        <w:ind w:left="300" w:hanging="292"/>
        <w:spacing w:after="0"/>
        <w:tabs>
          <w:tab w:leader="none" w:pos="300" w:val="left"/>
        </w:tabs>
        <w:numPr>
          <w:ilvl w:val="0"/>
          <w:numId w:val="85"/>
        </w:numPr>
        <w:rPr>
          <w:rFonts w:ascii="Calibri" w:cs="Calibri" w:eastAsia="Calibri" w:hAnsi="Calibri"/>
          <w:sz w:val="16"/>
          <w:szCs w:val="16"/>
          <w:color w:val="auto"/>
        </w:rPr>
      </w:pPr>
      <w:r>
        <w:rPr>
          <w:rFonts w:ascii="Calibri" w:cs="Calibri" w:eastAsia="Calibri" w:hAnsi="Calibri"/>
          <w:sz w:val="16"/>
          <w:szCs w:val="16"/>
          <w:color w:val="auto"/>
        </w:rPr>
        <w:t>days (or earlier if required by Applicable Law or Regulatory Authority) from Program Manager’s receipt of notce of such change or determinaton.</w:t>
      </w:r>
    </w:p>
    <w:p>
      <w:pPr>
        <w:spacing w:after="0" w:line="115" w:lineRule="exact"/>
        <w:rPr>
          <w:rFonts w:ascii="Calibri" w:cs="Calibri" w:eastAsia="Calibri" w:hAnsi="Calibri"/>
          <w:sz w:val="16"/>
          <w:szCs w:val="16"/>
          <w:color w:val="auto"/>
        </w:rPr>
      </w:pPr>
    </w:p>
    <w:p>
      <w:pPr>
        <w:ind w:left="1040" w:hanging="283"/>
        <w:spacing w:after="0"/>
        <w:tabs>
          <w:tab w:leader="none" w:pos="1040" w:val="left"/>
        </w:tabs>
        <w:numPr>
          <w:ilvl w:val="1"/>
          <w:numId w:val="85"/>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Account Originaton, Applicaton Processing, Servicing</w:t>
      </w:r>
      <w:r>
        <w:rPr>
          <w:rFonts w:ascii="Calibri" w:cs="Calibri" w:eastAsia="Calibri" w:hAnsi="Calibri"/>
          <w:sz w:val="16"/>
          <w:szCs w:val="16"/>
          <w:color w:val="auto"/>
        </w:rPr>
        <w:t>.</w:t>
      </w:r>
    </w:p>
    <w:p>
      <w:pPr>
        <w:spacing w:after="0" w:line="131" w:lineRule="exact"/>
        <w:rPr>
          <w:sz w:val="20"/>
          <w:szCs w:val="20"/>
          <w:color w:val="auto"/>
        </w:rPr>
      </w:pPr>
    </w:p>
    <w:p>
      <w:pPr>
        <w:jc w:val="both"/>
        <w:ind w:firstLine="757"/>
        <w:spacing w:after="0" w:line="248"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As a third-party agent (also known as third party service provider) (“TPA”) for Bank under applicable Card Associaton rules, Program Manager shall solicit Applicatons from Applicants and shall perform Applicaton Processing on behalf of Bank (including retrieving credit reports, if applicable) to determine whether the Applicant meets the eligibility criteria set forth in the Account Policies. As TPA for Bank, Program Manager shall respond to all inquiries from Applicants and from Bank regarding the Applicaton Processing. Program Manager shall conduct Applicaton Processing for each Applicant who requests an Account and shall approve on behalf of Bank only the requests of Applicants who meet the eligibility criteria set forth in the Account Policies. Without limitng any other provision of this Agreement, in performing its obligatons under this Secton 7 and its other obligatons under this Agreement, Program Manager shall comply with Applicable Law.</w:t>
      </w:r>
    </w:p>
    <w:p>
      <w:pPr>
        <w:spacing w:after="0" w:line="125" w:lineRule="exact"/>
        <w:rPr>
          <w:rFonts w:ascii="Times New Roman" w:cs="Times New Roman" w:eastAsia="Times New Roman" w:hAnsi="Times New Roman"/>
          <w:sz w:val="16"/>
          <w:szCs w:val="16"/>
          <w:color w:val="auto"/>
        </w:rPr>
      </w:pPr>
    </w:p>
    <w:p>
      <w:pPr>
        <w:ind w:firstLine="757"/>
        <w:spacing w:after="0" w:line="246"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Subject to the terms of this Agreement and limits set forth in Secton 4 (Issuance of Accounts and Cards), Bank shall issue Cards to and establish Accounts with Applicants who meet the eligibility criteria set forth in the Account Policies and who accept the Account ofer.</w:t>
      </w:r>
    </w:p>
    <w:p>
      <w:pPr>
        <w:spacing w:after="0" w:line="126" w:lineRule="exact"/>
        <w:rPr>
          <w:rFonts w:ascii="Times New Roman" w:cs="Times New Roman" w:eastAsia="Times New Roman" w:hAnsi="Times New Roman"/>
          <w:sz w:val="16"/>
          <w:szCs w:val="16"/>
          <w:color w:val="auto"/>
        </w:rPr>
      </w:pPr>
    </w:p>
    <w:p>
      <w:pPr>
        <w:jc w:val="both"/>
        <w:ind w:firstLine="757"/>
        <w:spacing w:after="0" w:line="247"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Pursuant to procedures mutually agreed by the Partes, Program Manager shall deliver all notces required by Applicable Law to Applicants who do not meet the Account Policies criteria or are otherwise denied an Account under the Program. All notces shall be delivered in form, content and tming in accordance with Applicable Law.</w:t>
      </w:r>
    </w:p>
    <w:p>
      <w:pPr>
        <w:spacing w:after="0" w:line="125"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deliver to Applicants the Cardholder Agreements, Cards, Bank’s and Program Manager’s privacy notces and any other Card Program Materials required to be delivered to Applicants and shall obtain appropriate signatures or other authorizaton from Applicants and any third party required by Bank to open on an Account and issue a Card, and take all other actons necessary for Bank to open an Account and issue a Card, all in accordance with Applicable Law, Card Associaton rules, and PCI-DSS (or the data security standards set forth in Secton 15 (Data Security) of this Agreement).</w:t>
      </w:r>
    </w:p>
    <w:p>
      <w:pPr>
        <w:spacing w:after="0" w:line="124"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be responsible for providing all Program Manager Card Services in accordance with Applicable Law, and service-level standards agreed to between Bank and Program Manager, and in a manner that is PCI Compliant or otherwise consistent with the data security standards set forth in Secton 15 (Data Security) of this Agreement and shall maintain all Records related to Accounts in accordance with Applicable Law. Program Manager will be responsible for costs associated with administering the Account in accordance with this Agreement. The Partes shall mutually agree upon procedures for resolving Cardholder payments incorrectly received by a Party. Bank and Program Manager will cooperate to develop procedures regarding the referral of Cardholders who contact a party concerning a claim, complaint, dispute or request for informaton regarding the other Party. Bank will promptly, but in no event later than one (1) business day, refer to Program Manager, or its Agent designated by Program Manager, any Cardholder or Applicant who contacts Bank concerning complaints, disputes or Chargebacks related to any Program Manager Card Service.</w:t>
      </w:r>
    </w:p>
    <w:p>
      <w:pPr>
        <w:spacing w:after="0" w:line="126" w:lineRule="exact"/>
        <w:rPr>
          <w:rFonts w:ascii="Times New Roman" w:cs="Times New Roman" w:eastAsia="Times New Roman" w:hAnsi="Times New Roman"/>
          <w:sz w:val="16"/>
          <w:szCs w:val="16"/>
          <w:color w:val="auto"/>
        </w:rPr>
      </w:pPr>
    </w:p>
    <w:p>
      <w:pPr>
        <w:jc w:val="both"/>
        <w:ind w:firstLine="757"/>
        <w:spacing w:after="0" w:line="247"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will administer the Accounts, including collectng and applying payments on Accounts. Payments will be made by Cardholders on Accounts by methods made available to Cardholders, as set forth in the Cardholder Agreement. If payment is not tmely made on an Account, Bank shall have the right to exercise any security interest set forth in this Agreement.</w:t>
      </w:r>
    </w:p>
    <w:p>
      <w:pPr>
        <w:spacing w:after="0" w:line="125"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perform its obligatons described in this Secton 7 and Program Manager Card Services, and deliver any other customer communicatons to Applicants as necessary to carry on the Program, in accordance with Applicable Law, all at Program Manager’s own cost. Subject to Secton 23 (Expenses), Program Manager shall pay all third-party costs associated with account processing and originaton, including but not limited to expenses related to Card Associatons and credit bureaus.</w:t>
      </w:r>
    </w:p>
    <w:p>
      <w:pPr>
        <w:spacing w:after="0" w:line="124"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86"/>
        </w:numPr>
        <w:rPr>
          <w:rFonts w:ascii="Times New Roman" w:cs="Times New Roman" w:eastAsia="Times New Roman" w:hAnsi="Times New Roman"/>
          <w:sz w:val="16"/>
          <w:szCs w:val="16"/>
          <w:color w:val="auto"/>
        </w:rPr>
      </w:pPr>
      <w:r>
        <w:rPr>
          <w:rFonts w:ascii="Calibri" w:cs="Calibri" w:eastAsia="Calibri" w:hAnsi="Calibri"/>
          <w:sz w:val="16"/>
          <w:szCs w:val="16"/>
          <w:color w:val="auto"/>
        </w:rPr>
        <w:t>In performing its obligatons under this Secton 7, Program Manager will act as Bank’s TPA pursuant to applicable Card Associaton rules. As soon as practcable afer the Efectve Date, Program Manager will provide materials to Bank and Bank will apply for Card Associaton’s approval of Program Manager to act as Bank’s TPA. Program Manager will not commence any actvites relatng to the marketng or solicitng of consumers for Cards untl it has received the Card Associaton’s approval to act as a TPA of Bank, and untl Bank provides writen approval to Program Manager to begin any Card-related marketng or processing actvites. Thereafer, Program Manager agrees to maintain its status as TPA of Bank consistent with and to otherwise comply with Card Associaton rules and in a manner that is consistent with the data security standards set forth in Secton 15 (Data Security) of this Agreement. Upon receiving any notce from the Card Associaton or Bank that it is not in full compliance with Card Associaton rules, Program Manager shall cure any such non-compliance within thirty (30) days (or earlier if required by Applicable Law); provided, however, Bank in its sole discreton may allow this tme period to be extended if Program Manager has commenced such cure and is contnuing to pursue such cure in good faith using commercially reasonable eforts.</w:t>
      </w:r>
    </w:p>
    <w:p>
      <w:pPr>
        <w:spacing w:after="0" w:line="112" w:lineRule="exact"/>
        <w:rPr>
          <w:sz w:val="20"/>
          <w:szCs w:val="20"/>
          <w:color w:val="auto"/>
        </w:rPr>
      </w:pPr>
    </w:p>
    <w:p>
      <w:pPr>
        <w:ind w:left="1040" w:hanging="283"/>
        <w:spacing w:after="0"/>
        <w:tabs>
          <w:tab w:leader="none" w:pos="1040" w:val="left"/>
        </w:tabs>
        <w:numPr>
          <w:ilvl w:val="0"/>
          <w:numId w:val="87"/>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Card Services, Transacton Processing, Setlement</w:t>
      </w:r>
      <w:r>
        <w:rPr>
          <w:rFonts w:ascii="Calibri" w:cs="Calibri" w:eastAsia="Calibri" w:hAnsi="Calibri"/>
          <w:sz w:val="16"/>
          <w:szCs w:val="16"/>
          <w:color w:val="auto"/>
        </w:rPr>
        <w:t>.</w:t>
      </w:r>
    </w:p>
    <w:p>
      <w:pPr>
        <w:spacing w:after="0" w:line="117" w:lineRule="exact"/>
        <w:rPr>
          <w:sz w:val="20"/>
          <w:szCs w:val="20"/>
          <w:color w:val="auto"/>
        </w:rPr>
      </w:pPr>
    </w:p>
    <w:p>
      <w:pPr>
        <w:jc w:val="both"/>
        <w:ind w:firstLine="757"/>
        <w:spacing w:after="0" w:line="247" w:lineRule="auto"/>
        <w:tabs>
          <w:tab w:leader="none" w:pos="1042" w:val="left"/>
        </w:tabs>
        <w:numPr>
          <w:ilvl w:val="0"/>
          <w:numId w:val="88"/>
        </w:numPr>
        <w:rPr>
          <w:rFonts w:ascii="Calibri" w:cs="Calibri" w:eastAsia="Calibri" w:hAnsi="Calibri"/>
          <w:sz w:val="16"/>
          <w:szCs w:val="16"/>
          <w:color w:val="auto"/>
        </w:rPr>
      </w:pPr>
      <w:r>
        <w:rPr>
          <w:rFonts w:ascii="Calibri" w:cs="Calibri" w:eastAsia="Calibri" w:hAnsi="Calibri"/>
          <w:sz w:val="16"/>
          <w:szCs w:val="16"/>
          <w:color w:val="auto"/>
        </w:rPr>
        <w:t>Program Manager will be responsible and liable for all Program Manager Card Services for the Program, and Bank will be responsible for all Bank Card Services for the Program. Each Program Manager and Bank shall be responsible for ensuring that all of its respectve actvites are consistent with Applicable Law. Bank shall be responsible for providing actual Setlement with the Card Associaton in accordance with Card Associaton rules.</w:t>
      </w:r>
    </w:p>
    <w:p>
      <w:pPr>
        <w:spacing w:after="0" w:line="125" w:lineRule="exact"/>
        <w:rPr>
          <w:rFonts w:ascii="Calibri" w:cs="Calibri" w:eastAsia="Calibri" w:hAnsi="Calibri"/>
          <w:sz w:val="16"/>
          <w:szCs w:val="16"/>
          <w:color w:val="auto"/>
        </w:rPr>
      </w:pPr>
    </w:p>
    <w:p>
      <w:pPr>
        <w:jc w:val="both"/>
        <w:ind w:firstLine="757"/>
        <w:spacing w:after="0" w:line="247" w:lineRule="auto"/>
        <w:tabs>
          <w:tab w:leader="none" w:pos="1018" w:val="left"/>
        </w:tabs>
        <w:numPr>
          <w:ilvl w:val="0"/>
          <w:numId w:val="88"/>
        </w:numPr>
        <w:rPr>
          <w:rFonts w:ascii="Times New Roman" w:cs="Times New Roman" w:eastAsia="Times New Roman" w:hAnsi="Times New Roman"/>
          <w:sz w:val="16"/>
          <w:szCs w:val="16"/>
          <w:color w:val="auto"/>
        </w:rPr>
      </w:pPr>
      <w:r>
        <w:rPr>
          <w:rFonts w:ascii="Calibri" w:cs="Calibri" w:eastAsia="Calibri" w:hAnsi="Calibri"/>
          <w:sz w:val="16"/>
          <w:szCs w:val="16"/>
          <w:color w:val="auto"/>
        </w:rPr>
        <w:t xml:space="preserve">Program Manager, at its sole expense, shall provide for Processing Services. Any processor retained by Program Manager to provide Processing Services must be approved in advance by Bank, and must have executed a Processing Services Agreement, such approval not to be unreasonably withheld, conditoned or delayed. Bank agrees that currently approved processors, are those listed on </w:t>
      </w:r>
      <w:r>
        <w:rPr>
          <w:rFonts w:ascii="Calibri" w:cs="Calibri" w:eastAsia="Calibri" w:hAnsi="Calibri"/>
          <w:sz w:val="16"/>
          <w:szCs w:val="16"/>
          <w:u w:val="single" w:color="auto"/>
          <w:color w:val="auto"/>
        </w:rPr>
        <w:t>Exhibit A</w:t>
      </w:r>
      <w:r>
        <w:rPr>
          <w:rFonts w:ascii="Calibri" w:cs="Calibri" w:eastAsia="Calibri" w:hAnsi="Calibri"/>
          <w:sz w:val="16"/>
          <w:szCs w:val="16"/>
          <w:color w:val="auto"/>
        </w:rPr>
        <w:t>, as updated from tme to</w:t>
      </w:r>
    </w:p>
    <w:p>
      <w:pPr>
        <w:spacing w:after="0" w:line="3"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8</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02" w:name="page103"/>
    <w:bookmarkEnd w:id="102"/>
    <w:p>
      <w:pPr>
        <w:spacing w:after="0" w:line="246"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tme by Bank in writng. Program Manager shall be responsible for all costs (if any), including reasonable atorneys’ fees, associated with the approval of and integraton of processor.</w:t>
      </w:r>
    </w:p>
    <w:p>
      <w:pPr>
        <w:spacing w:after="0" w:line="126" w:lineRule="exact"/>
        <w:rPr>
          <w:sz w:val="20"/>
          <w:szCs w:val="20"/>
          <w:color w:val="auto"/>
        </w:rPr>
      </w:pPr>
    </w:p>
    <w:p>
      <w:pPr>
        <w:jc w:val="both"/>
        <w:ind w:firstLine="757"/>
        <w:spacing w:after="0" w:line="248" w:lineRule="auto"/>
        <w:tabs>
          <w:tab w:leader="none" w:pos="1018" w:val="left"/>
        </w:tabs>
        <w:numPr>
          <w:ilvl w:val="0"/>
          <w:numId w:val="89"/>
        </w:numPr>
        <w:rPr>
          <w:rFonts w:ascii="Times New Roman" w:cs="Times New Roman" w:eastAsia="Times New Roman" w:hAnsi="Times New Roman"/>
          <w:sz w:val="16"/>
          <w:szCs w:val="16"/>
          <w:color w:val="auto"/>
        </w:rPr>
      </w:pPr>
      <w:r>
        <w:rPr>
          <w:rFonts w:ascii="Calibri" w:cs="Calibri" w:eastAsia="Calibri" w:hAnsi="Calibri"/>
          <w:sz w:val="16"/>
          <w:szCs w:val="16"/>
          <w:color w:val="auto"/>
        </w:rPr>
        <w:t>Bank shall be responsible for Setlement with the Card Associatons each Business Day for all transactons posted to the Account, including Cardholder purchases, automated teller machine withdrawals and other transactons in accordance with applicable Card Associaton requirements. Prior to the close of business each Business Day, Bank will debit or credit the Setlement Account for the Setlement Amount. Prior to any transfer contemplated by the prior sentence, Program Manager shall cause funds equal to the Setlement Amount to be transferred from the Account(s) to the Setlement Account; provided, any defciency in funds in the Account(s) shall be the responsibility of Program Manager. Bank may, prior to the close of each Business Day, debit or set-of from any Program Manager account, including the Program Manager Reserve Account, for any amounts owed to the Card Associatons or any Setlement Amount.</w:t>
      </w:r>
    </w:p>
    <w:p>
      <w:pPr>
        <w:spacing w:after="0" w:line="125"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89"/>
        </w:numPr>
        <w:rPr>
          <w:rFonts w:ascii="Times New Roman" w:cs="Times New Roman" w:eastAsia="Times New Roman" w:hAnsi="Times New Roman"/>
          <w:sz w:val="16"/>
          <w:szCs w:val="16"/>
          <w:color w:val="auto"/>
        </w:rPr>
      </w:pPr>
      <w:r>
        <w:rPr>
          <w:rFonts w:ascii="Calibri" w:cs="Calibri" w:eastAsia="Calibri" w:hAnsi="Calibri"/>
          <w:sz w:val="16"/>
          <w:szCs w:val="16"/>
          <w:color w:val="auto"/>
        </w:rPr>
        <w:t>On each Business Day during the term of this Agreement, the Account(s) shall be credited for the following: (i) funds received by approved Program load formats; (ii) deposits to the Account(s); and (iii) any other credits due to Cardholders. Program Manager will be responsible for overseeing and managing all such credits. Program Manager will be responsible for ensuring that each Account will be at all tmes appropriately funded by deposits or funds in transit in an amount that is no less than 100% of the total amount of currency represented as actve and available to Cardholders of the current day’s balances of Cardholder Funds. Program Manager will be responsible for overseeing and managing such funding. Program Manager shall be responsible and liable for any failure of an Account to be fully funded in accordance with this provision; provided such failure is not caused by Bank’s negligent actons or omissions, or its agents, assigns, or third party contractors (excluding Program Manager and its Agents). In the event of any such failure, Bank may ofset any defcient funds from the Program Manager Reserve Account or, upon Bank’s request, Program Manager shall, within one (1) Business Day afer receiving notce of such failure, fully fund any shortall in the Account(s).</w:t>
      </w:r>
    </w:p>
    <w:p>
      <w:pPr>
        <w:spacing w:after="0" w:line="113" w:lineRule="exact"/>
        <w:rPr>
          <w:rFonts w:ascii="Times New Roman" w:cs="Times New Roman" w:eastAsia="Times New Roman" w:hAnsi="Times New Roman"/>
          <w:sz w:val="16"/>
          <w:szCs w:val="16"/>
          <w:color w:val="auto"/>
        </w:rPr>
      </w:pPr>
    </w:p>
    <w:p>
      <w:pPr>
        <w:jc w:val="both"/>
        <w:ind w:firstLine="757"/>
        <w:spacing w:after="0" w:line="248" w:lineRule="auto"/>
        <w:tabs>
          <w:tab w:leader="none" w:pos="1042" w:val="left"/>
        </w:tabs>
        <w:numPr>
          <w:ilvl w:val="0"/>
          <w:numId w:val="89"/>
        </w:numPr>
        <w:rPr>
          <w:rFonts w:ascii="Calibri" w:cs="Calibri" w:eastAsia="Calibri" w:hAnsi="Calibri"/>
          <w:sz w:val="16"/>
          <w:szCs w:val="16"/>
          <w:color w:val="auto"/>
        </w:rPr>
      </w:pPr>
      <w:r>
        <w:rPr>
          <w:rFonts w:ascii="Calibri" w:cs="Calibri" w:eastAsia="Calibri" w:hAnsi="Calibri"/>
          <w:sz w:val="16"/>
          <w:szCs w:val="16"/>
          <w:color w:val="auto"/>
        </w:rPr>
        <w:t>Any ACH “originaton” services provided to by Bank are governed by and limited to the services set forth in the Bank Services Agreement. Bank will act as Receiving Depository Financial Insttuton (“RDFI”) for receipt of all Cardholder Funds. Bank’s dutes and obligatons related to ACH services under this Agreement are limited solely to the dutes and obligatons set forth operatng rules and guidelines of the Natonal Automated Clearing House Associaton. Program Manager agrees to perform all services relatve to Bank’s RDFI functons in accordance with all Applicable Law. Program Manager shall be fnancially responsible for all Cardholder Funds transmited with or by approved third-party agents or service providers, and Program Manager’s contracts with any load networks shall refect appropriate controls and indemnifcaton regarding such actvity, except to the extent of any loss of Cardholder Funds results from Bank’s gross negligence, willful misconduct, or acts or omissions other than in accordance with this Agreement. Notwithstanding anything to the contrary in this Agreement, Bank shall not be responsible under any circumstance other than its negligent or intentonal acts or omissions for misdirected Cardholder Funds through any load network of the Program or for any misdirected Cardholder Funds in connecton with services ofered by a third-party service provider of Program Manager. Examples of Bank-approved enttes for the purpose of transmitng Cardholder Funds under this Agreement are approved correspondent banks, the Federal Reserve or approved Program Manager load networks (examples include, but are not limited to, Western Union and Money Gram).</w:t>
      </w:r>
    </w:p>
    <w:p>
      <w:pPr>
        <w:spacing w:after="0" w:line="129" w:lineRule="exact"/>
        <w:rPr>
          <w:sz w:val="20"/>
          <w:szCs w:val="20"/>
          <w:color w:val="auto"/>
        </w:rPr>
      </w:pPr>
    </w:p>
    <w:p>
      <w:pPr>
        <w:jc w:val="both"/>
        <w:ind w:firstLine="757"/>
        <w:spacing w:after="0" w:line="247" w:lineRule="auto"/>
        <w:tabs>
          <w:tab w:leader="none" w:pos="1018" w:val="left"/>
        </w:tabs>
        <w:numPr>
          <w:ilvl w:val="0"/>
          <w:numId w:val="90"/>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b w:val="1"/>
          <w:bCs w:val="1"/>
          <w:u w:val="single" w:color="auto"/>
          <w:color w:val="auto"/>
        </w:rPr>
        <w:t>Fees</w:t>
      </w:r>
      <w:r>
        <w:rPr>
          <w:rFonts w:ascii="Calibri" w:cs="Calibri" w:eastAsia="Calibri" w:hAnsi="Calibri"/>
          <w:sz w:val="16"/>
          <w:szCs w:val="16"/>
          <w:color w:val="auto"/>
        </w:rPr>
        <w:t>. In consideraton of performing their respectve obligatons in connecton with the Program, the Partes will receive the amounts provided in</w:t>
      </w:r>
      <w:r>
        <w:rPr>
          <w:rFonts w:ascii="Calibri" w:cs="Calibri" w:eastAsia="Calibri" w:hAnsi="Calibri"/>
          <w:sz w:val="16"/>
          <w:szCs w:val="16"/>
          <w:b w:val="1"/>
          <w:bCs w:val="1"/>
          <w:color w:val="auto"/>
        </w:rPr>
        <w:t xml:space="preserve"> </w:t>
      </w:r>
      <w:r>
        <w:rPr>
          <w:rFonts w:ascii="Calibri" w:cs="Calibri" w:eastAsia="Calibri" w:hAnsi="Calibri"/>
          <w:sz w:val="16"/>
          <w:szCs w:val="16"/>
          <w:u w:val="single" w:color="auto"/>
          <w:color w:val="auto"/>
        </w:rPr>
        <w:t>Exhibit B</w:t>
      </w:r>
      <w:r>
        <w:rPr>
          <w:rFonts w:ascii="Calibri" w:cs="Calibri" w:eastAsia="Calibri" w:hAnsi="Calibri"/>
          <w:sz w:val="16"/>
          <w:szCs w:val="16"/>
          <w:color w:val="auto"/>
        </w:rPr>
        <w:t>.</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 xml:space="preserve">Additonally, Program Manager agrees that at a minimum it shall pay to Bank on a monthly basis fees equal to the Monthly Program Minimums described in </w:t>
      </w:r>
      <w:r>
        <w:rPr>
          <w:rFonts w:ascii="Calibri" w:cs="Calibri" w:eastAsia="Calibri" w:hAnsi="Calibri"/>
          <w:sz w:val="16"/>
          <w:szCs w:val="16"/>
          <w:u w:val="single" w:color="auto"/>
          <w:color w:val="auto"/>
        </w:rPr>
        <w:t>Exhibit B</w:t>
      </w:r>
      <w:r>
        <w:rPr>
          <w:rFonts w:ascii="Calibri" w:cs="Calibri" w:eastAsia="Calibri" w:hAnsi="Calibri"/>
          <w:sz w:val="16"/>
          <w:szCs w:val="16"/>
          <w:color w:val="auto"/>
        </w:rPr>
        <w:t xml:space="preserve">. Bank shall remit to Program Manager’s Program Manager Revenue Account any fees it may owe to Program Manager pursuant to </w:t>
      </w:r>
      <w:r>
        <w:rPr>
          <w:rFonts w:ascii="Calibri" w:cs="Calibri" w:eastAsia="Calibri" w:hAnsi="Calibri"/>
          <w:sz w:val="16"/>
          <w:szCs w:val="16"/>
          <w:u w:val="single" w:color="auto"/>
          <w:color w:val="auto"/>
        </w:rPr>
        <w:t>Exhibit B</w:t>
      </w:r>
      <w:r>
        <w:rPr>
          <w:rFonts w:ascii="Calibri" w:cs="Calibri" w:eastAsia="Calibri" w:hAnsi="Calibri"/>
          <w:sz w:val="16"/>
          <w:szCs w:val="16"/>
          <w:color w:val="auto"/>
        </w:rPr>
        <w:t>.</w:t>
      </w:r>
    </w:p>
    <w:p>
      <w:pPr>
        <w:spacing w:after="0" w:line="125" w:lineRule="exact"/>
        <w:rPr>
          <w:rFonts w:ascii="Times New Roman" w:cs="Times New Roman" w:eastAsia="Times New Roman" w:hAnsi="Times New Roman"/>
          <w:sz w:val="16"/>
          <w:szCs w:val="16"/>
          <w:u w:val="single" w:color="auto"/>
          <w:color w:val="auto"/>
        </w:rPr>
      </w:pPr>
    </w:p>
    <w:p>
      <w:pPr>
        <w:jc w:val="both"/>
        <w:ind w:firstLine="757"/>
        <w:spacing w:after="0" w:line="248" w:lineRule="auto"/>
        <w:tabs>
          <w:tab w:leader="none" w:pos="1018" w:val="left"/>
        </w:tabs>
        <w:numPr>
          <w:ilvl w:val="0"/>
          <w:numId w:val="90"/>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b w:val="1"/>
          <w:bCs w:val="1"/>
          <w:u w:val="single" w:color="auto"/>
          <w:color w:val="auto"/>
        </w:rPr>
        <w:t>Fraud and Risk Management</w:t>
      </w:r>
      <w:r>
        <w:rPr>
          <w:rFonts w:ascii="Calibri" w:cs="Calibri" w:eastAsia="Calibri" w:hAnsi="Calibri"/>
          <w:sz w:val="16"/>
          <w:szCs w:val="16"/>
          <w:color w:val="auto"/>
        </w:rPr>
        <w:t>. Program Manager agrees that it is fnancially and operatonally responsible for all compromised Cards and/or Accounts. Bank</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shall adopt and implement such fraud monitoring practces as required by Applicable Law and the Card Associaton rules, and Program Manager will bear the risk of all fraud losses other than fraud losses due to Bank’s gross negligence or willful misconduct hereunder. Subject to the prior sentence, Program Manager shall reimburse Bank for any losses it incurs in connecton with an Account due to fraud or any other losses associated with the Account. Program Manager shall promptly report to Bank any informaton necessary for bank to investgate, make a determinaton and be able to fle a suspicious actvity report (“SAR”) with the Financial Crimes Enforcement Network. The Partes acknowledge that the contents of a SAR and the fact that Bank has fled a SAR are strictly confdental under Applicable Law. Program Manager further agrees to promptly provide to Bank any informaton it may deem necessary to resolve any complaints of fraudulent Account actvity.</w:t>
      </w:r>
    </w:p>
    <w:p>
      <w:pPr>
        <w:spacing w:after="0" w:line="124" w:lineRule="exact"/>
        <w:rPr>
          <w:rFonts w:ascii="Times New Roman" w:cs="Times New Roman" w:eastAsia="Times New Roman" w:hAnsi="Times New Roman"/>
          <w:sz w:val="16"/>
          <w:szCs w:val="16"/>
          <w:u w:val="single" w:color="auto"/>
          <w:color w:val="auto"/>
        </w:rPr>
      </w:pPr>
    </w:p>
    <w:p>
      <w:pPr>
        <w:ind w:left="1020" w:hanging="263"/>
        <w:spacing w:after="0"/>
        <w:tabs>
          <w:tab w:leader="none" w:pos="1020" w:val="left"/>
        </w:tabs>
        <w:numPr>
          <w:ilvl w:val="0"/>
          <w:numId w:val="90"/>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b w:val="1"/>
          <w:bCs w:val="1"/>
          <w:u w:val="single" w:color="auto"/>
          <w:color w:val="auto"/>
        </w:rPr>
        <w:t>Applicable Law</w:t>
      </w:r>
      <w:r>
        <w:rPr>
          <w:rFonts w:ascii="Calibri" w:cs="Calibri" w:eastAsia="Calibri" w:hAnsi="Calibri"/>
          <w:sz w:val="16"/>
          <w:szCs w:val="16"/>
          <w:color w:val="auto"/>
        </w:rPr>
        <w:t>.</w:t>
      </w:r>
    </w:p>
    <w:p>
      <w:pPr>
        <w:spacing w:after="0" w:line="117" w:lineRule="exact"/>
        <w:rPr>
          <w:sz w:val="20"/>
          <w:szCs w:val="20"/>
          <w:color w:val="auto"/>
        </w:rPr>
      </w:pPr>
    </w:p>
    <w:p>
      <w:pPr>
        <w:jc w:val="both"/>
        <w:ind w:firstLine="757"/>
        <w:spacing w:after="0" w:line="248" w:lineRule="auto"/>
        <w:tabs>
          <w:tab w:leader="none" w:pos="1042" w:val="left"/>
        </w:tabs>
        <w:numPr>
          <w:ilvl w:val="0"/>
          <w:numId w:val="91"/>
        </w:numPr>
        <w:rPr>
          <w:rFonts w:ascii="Calibri" w:cs="Calibri" w:eastAsia="Calibri" w:hAnsi="Calibri"/>
          <w:sz w:val="16"/>
          <w:szCs w:val="16"/>
          <w:color w:val="auto"/>
        </w:rPr>
      </w:pPr>
      <w:r>
        <w:rPr>
          <w:rFonts w:ascii="Calibri" w:cs="Calibri" w:eastAsia="Calibri" w:hAnsi="Calibri"/>
          <w:sz w:val="16"/>
          <w:szCs w:val="16"/>
          <w:color w:val="auto"/>
        </w:rPr>
        <w:t>Each Party will comply with all Applicable Law, including all rules, orders and decrees of any Regulatory Authority with jurisdicton over Bank (even if such Regulatory Authority does not have or would not have authority over Program Manager), and Card Associaton rules that relate to the Partes’ performance of their respectve dutes and obligatons pursuant to this Agreement. Without limitng the foregoing, Program Manager shall develop, implement and maintain an ant-money laundering and OFAC compliance program compliant with Applicable law and approved by Bank (the “BSA/AML/OFAC Procedures”) and shall be liable for any failure of its BSA/AML/OFAC Procedures in connecton with the Program. Program Manager shall ensure that each of its and its Critcal Service Providers’ employees shall receive at least annual compliance training on all Applicable Law, including ant-money laundering compliance training, and Card Associaton and Program requirements and procedures, to be acknowledged by each, beginning within one hundred eighty (180) days of the Efectve Date.</w:t>
      </w:r>
    </w:p>
    <w:p>
      <w:pPr>
        <w:spacing w:after="0" w:line="117" w:lineRule="exact"/>
        <w:rPr>
          <w:sz w:val="20"/>
          <w:szCs w:val="20"/>
          <w:color w:val="auto"/>
        </w:rPr>
      </w:pPr>
    </w:p>
    <w:p>
      <w:pPr>
        <w:jc w:val="both"/>
        <w:ind w:left="80" w:firstLine="749"/>
        <w:spacing w:after="0" w:line="253" w:lineRule="auto"/>
        <w:rPr>
          <w:sz w:val="20"/>
          <w:szCs w:val="20"/>
          <w:color w:val="auto"/>
        </w:rPr>
      </w:pPr>
      <w:r>
        <w:rPr>
          <w:rFonts w:ascii="Times New Roman" w:cs="Times New Roman" w:eastAsia="Times New Roman" w:hAnsi="Times New Roman"/>
          <w:sz w:val="16"/>
          <w:szCs w:val="16"/>
          <w:color w:val="auto"/>
        </w:rPr>
        <w:t>(b)</w:t>
      </w:r>
      <w:r>
        <w:rPr>
          <w:rFonts w:ascii="Calibri" w:cs="Calibri" w:eastAsia="Calibri" w:hAnsi="Calibri"/>
          <w:sz w:val="16"/>
          <w:szCs w:val="16"/>
          <w:color w:val="auto"/>
        </w:rPr>
        <w:t>Program Manager shall be responsible for preparing and providing all reportng necessary for all state, local and federal tax flings relatng to the Program.</w:t>
      </w:r>
      <w:r>
        <w:rPr>
          <w:rFonts w:ascii="Times New Roman" w:cs="Times New Roman" w:eastAsia="Times New Roman" w:hAnsi="Times New Roman"/>
          <w:sz w:val="16"/>
          <w:szCs w:val="16"/>
          <w:color w:val="auto"/>
        </w:rPr>
        <w:t xml:space="preserve"> </w:t>
      </w:r>
      <w:r>
        <w:rPr>
          <w:rFonts w:ascii="Calibri" w:cs="Calibri" w:eastAsia="Calibri" w:hAnsi="Calibri"/>
          <w:sz w:val="16"/>
          <w:szCs w:val="16"/>
          <w:color w:val="auto"/>
        </w:rPr>
        <w:t>To the extent flings are required to be made by Bank, Program Manager shall provide Bank with the data and reportng relatng to the Program and Bank shall make the required flings.</w:t>
      </w:r>
    </w:p>
    <w:p>
      <w:pPr>
        <w:spacing w:after="0" w:line="120" w:lineRule="exact"/>
        <w:rPr>
          <w:sz w:val="20"/>
          <w:szCs w:val="20"/>
          <w:color w:val="auto"/>
        </w:rPr>
      </w:pPr>
    </w:p>
    <w:p>
      <w:pPr>
        <w:jc w:val="both"/>
        <w:ind w:left="80" w:firstLine="751"/>
        <w:spacing w:after="0" w:line="247" w:lineRule="auto"/>
        <w:tabs>
          <w:tab w:leader="none" w:pos="1023" w:val="left"/>
        </w:tabs>
        <w:numPr>
          <w:ilvl w:val="0"/>
          <w:numId w:val="92"/>
        </w:numPr>
        <w:rPr>
          <w:rFonts w:ascii="Times New Roman" w:cs="Times New Roman" w:eastAsia="Times New Roman" w:hAnsi="Times New Roman"/>
          <w:sz w:val="16"/>
          <w:szCs w:val="16"/>
          <w:color w:val="auto"/>
        </w:rPr>
      </w:pPr>
      <w:r>
        <w:rPr>
          <w:rFonts w:ascii="Calibri" w:cs="Calibri" w:eastAsia="Calibri" w:hAnsi="Calibri"/>
          <w:sz w:val="16"/>
          <w:szCs w:val="16"/>
          <w:color w:val="auto"/>
        </w:rPr>
        <w:t>Bank shall be responsible for managing and complying with any escheatment or unclaimed property requirements applicable to the Program, and Program Manager shall maintain all necessary informaton and Records, including Account records and Account actvity. Program Manager shall promptly provide any informaton requested by Bank to fulfll its obligatons under Applicable Law.</w:t>
      </w:r>
    </w:p>
    <w:p>
      <w:pPr>
        <w:spacing w:after="0" w:line="3" w:lineRule="exact"/>
        <w:rPr>
          <w:sz w:val="20"/>
          <w:szCs w:val="20"/>
          <w:color w:val="auto"/>
        </w:rPr>
      </w:pPr>
    </w:p>
    <w:p>
      <w:pPr>
        <w:jc w:val="both"/>
        <w:ind w:left="9840"/>
        <w:spacing w:after="0"/>
        <w:tabs>
          <w:tab w:leader="none" w:pos="10120" w:val="left"/>
        </w:tabs>
        <w:rPr>
          <w:sz w:val="20"/>
          <w:szCs w:val="20"/>
          <w:color w:val="auto"/>
        </w:rPr>
      </w:pPr>
      <w:r>
        <w:rPr>
          <w:rFonts w:ascii="Calibri" w:cs="Calibri" w:eastAsia="Calibri" w:hAnsi="Calibri"/>
          <w:sz w:val="16"/>
          <w:szCs w:val="16"/>
          <w:color w:val="auto"/>
        </w:rPr>
        <w:t>9</w:t>
        <w:tab/>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03" w:name="page104"/>
    <w:bookmarkEnd w:id="103"/>
    <w:p>
      <w:pPr>
        <w:ind w:left="960" w:hanging="283"/>
        <w:spacing w:after="0"/>
        <w:tabs>
          <w:tab w:leader="none" w:pos="960" w:val="left"/>
        </w:tabs>
        <w:numPr>
          <w:ilvl w:val="0"/>
          <w:numId w:val="93"/>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Notce of Actons; Regulatory Communicatons</w:t>
      </w:r>
      <w:r>
        <w:rPr>
          <w:rFonts w:ascii="Calibri" w:cs="Calibri" w:eastAsia="Calibri" w:hAnsi="Calibri"/>
          <w:sz w:val="16"/>
          <w:szCs w:val="16"/>
          <w:b w:val="1"/>
          <w:bCs w:val="1"/>
          <w:color w:val="auto"/>
        </w:rPr>
        <w:t>.</w:t>
      </w:r>
    </w:p>
    <w:p>
      <w:pPr>
        <w:spacing w:after="0" w:line="130" w:lineRule="exact"/>
        <w:rPr>
          <w:rFonts w:ascii="Calibri" w:cs="Calibri" w:eastAsia="Calibri" w:hAnsi="Calibri"/>
          <w:sz w:val="16"/>
          <w:szCs w:val="16"/>
          <w:color w:val="auto"/>
        </w:rPr>
      </w:pPr>
    </w:p>
    <w:p>
      <w:pPr>
        <w:jc w:val="both"/>
        <w:ind w:firstLine="751"/>
        <w:spacing w:after="0" w:line="248" w:lineRule="auto"/>
        <w:tabs>
          <w:tab w:leader="none" w:pos="943" w:val="left"/>
        </w:tabs>
        <w:numPr>
          <w:ilvl w:val="1"/>
          <w:numId w:val="93"/>
        </w:numPr>
        <w:rPr>
          <w:rFonts w:ascii="Times New Roman" w:cs="Times New Roman" w:eastAsia="Times New Roman" w:hAnsi="Times New Roman"/>
          <w:sz w:val="16"/>
          <w:szCs w:val="16"/>
          <w:color w:val="auto"/>
        </w:rPr>
      </w:pPr>
      <w:r>
        <w:rPr>
          <w:rFonts w:ascii="Calibri" w:cs="Calibri" w:eastAsia="Calibri" w:hAnsi="Calibri"/>
          <w:sz w:val="16"/>
          <w:szCs w:val="16"/>
          <w:color w:val="auto"/>
        </w:rPr>
        <w:t>Each Party shall, to the extent not prohibited by Applicable Law, notfy the other, promptly, but in no event later than fve (5) Business Days afer becoming aware, of any actual or threatened litgaton, investgaton, proceeding, or judicial, tax or administratve acton by any Regulatory Authority, state atorney general or any other Person which, if resolved adversely to it, would reasonably be expected to materially adversely afect such Party’s contnuing operatons, its indemnity obligatons under this Agreement, or its ability to perform its obligatons under this Agreement or the Program, and each Party shall provide the other Party with all related documentaton thereof, unless such Party is prohibited from sharing any such notce or documentaton. Each Party shall cooperate in good faith and provide such assistance, at the other Party’s request, to permit the other Party to promptly resolve or address any such actons.</w:t>
      </w:r>
    </w:p>
    <w:p>
      <w:pPr>
        <w:spacing w:after="0" w:line="11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6"/>
          <w:szCs w:val="16"/>
          <w:color w:val="auto"/>
        </w:rPr>
        <w:t>(b)</w:t>
      </w:r>
      <w:r>
        <w:rPr>
          <w:rFonts w:ascii="Calibri" w:cs="Calibri" w:eastAsia="Calibri" w:hAnsi="Calibri"/>
          <w:sz w:val="16"/>
          <w:szCs w:val="16"/>
          <w:color w:val="auto"/>
        </w:rPr>
        <w:t>Each Party shall, to the extent not prohibited by Applicable Law and the actons or requirements of a Regulatory Authority, provide the other Party with</w:t>
      </w:r>
      <w:r>
        <w:rPr>
          <w:rFonts w:ascii="Times New Roman" w:cs="Times New Roman" w:eastAsia="Times New Roman" w:hAnsi="Times New Roman"/>
          <w:sz w:val="16"/>
          <w:szCs w:val="16"/>
          <w:color w:val="auto"/>
        </w:rPr>
        <w:t xml:space="preserve"> </w:t>
      </w:r>
      <w:r>
        <w:rPr>
          <w:rFonts w:ascii="Calibri" w:cs="Calibri" w:eastAsia="Calibri" w:hAnsi="Calibri"/>
          <w:sz w:val="16"/>
          <w:szCs w:val="16"/>
          <w:color w:val="auto"/>
        </w:rPr>
        <w:t>notce and copies of any material communicatons from any Regulatory Authority regarding any mater which, if resolved adversely to it, would reasonably be expected to materially adversely afect the Program (each, a “Regulatory Communicaton”) received by such Party within fve (5) Business Days of receipt of such Regulatory Communicaton. For any Regulatory Communicaton to any Regulatory Authority with examinaton authority over Bank and for which a response from either Party is required or in either Party’s reasonable judgment is prudent, the Partes shall coordinate and cooperate on the response, provided, however, Bank shall have the fnal authority to approve the actual response to a Regulatory Authority with direct supervision over the Bank. Bank agrees to provide such actual response to Program Manager promptly afer providing such response to the applicable Regulatory Authority, if allowable under such Regulatory Authority or Applicable Law.</w:t>
      </w:r>
    </w:p>
    <w:p>
      <w:pPr>
        <w:spacing w:after="0" w:line="108" w:lineRule="exact"/>
        <w:rPr>
          <w:sz w:val="20"/>
          <w:szCs w:val="20"/>
          <w:color w:val="auto"/>
        </w:rPr>
      </w:pPr>
    </w:p>
    <w:p>
      <w:pPr>
        <w:ind w:left="960" w:hanging="283"/>
        <w:spacing w:after="0"/>
        <w:tabs>
          <w:tab w:leader="none" w:pos="960" w:val="left"/>
        </w:tabs>
        <w:numPr>
          <w:ilvl w:val="0"/>
          <w:numId w:val="94"/>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Representatons, Warrantes and Covenants.</w:t>
      </w:r>
    </w:p>
    <w:p>
      <w:pPr>
        <w:spacing w:after="0" w:line="115" w:lineRule="exact"/>
        <w:rPr>
          <w:rFonts w:ascii="Calibri" w:cs="Calibri" w:eastAsia="Calibri" w:hAnsi="Calibri"/>
          <w:sz w:val="16"/>
          <w:szCs w:val="16"/>
          <w:color w:val="auto"/>
        </w:rPr>
      </w:pPr>
    </w:p>
    <w:p>
      <w:pPr>
        <w:ind w:left="1040" w:hanging="289"/>
        <w:spacing w:after="0"/>
        <w:tabs>
          <w:tab w:leader="none" w:pos="1040" w:val="left"/>
        </w:tabs>
        <w:numPr>
          <w:ilvl w:val="1"/>
          <w:numId w:val="94"/>
        </w:numPr>
        <w:rPr>
          <w:rFonts w:ascii="Calibri" w:cs="Calibri" w:eastAsia="Calibri" w:hAnsi="Calibri"/>
          <w:sz w:val="16"/>
          <w:szCs w:val="16"/>
          <w:color w:val="auto"/>
        </w:rPr>
      </w:pPr>
      <w:r>
        <w:rPr>
          <w:rFonts w:ascii="Calibri" w:cs="Calibri" w:eastAsia="Calibri" w:hAnsi="Calibri"/>
          <w:sz w:val="16"/>
          <w:szCs w:val="16"/>
          <w:color w:val="auto"/>
        </w:rPr>
        <w:t>Bank hereby represents, warrants and covenants to Program Manager that:</w:t>
      </w:r>
    </w:p>
    <w:p>
      <w:pPr>
        <w:spacing w:after="0" w:line="116" w:lineRule="exact"/>
        <w:rPr>
          <w:rFonts w:ascii="Calibri" w:cs="Calibri" w:eastAsia="Calibri" w:hAnsi="Calibri"/>
          <w:sz w:val="16"/>
          <w:szCs w:val="16"/>
          <w:color w:val="auto"/>
        </w:rPr>
      </w:pPr>
    </w:p>
    <w:p>
      <w:pPr>
        <w:jc w:val="both"/>
        <w:ind w:left="680" w:firstLine="745"/>
        <w:spacing w:after="0" w:line="248" w:lineRule="auto"/>
        <w:tabs>
          <w:tab w:leader="none" w:pos="1968"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Bank is a state bank, duly organized, validly existng under the laws of the State of Arkansas and Bank has full corporate power and authority to execute, deliver, and perform its obligatons under this Agreement; the executon, delivery and performance of this Agreement has been duly authorized, and is not in confict with and does not violate the terms of the charter or bylaws of Bank and will not result in a breach of or consttute a default under, or require any consent under, any indenture, loan or agreement to which Bank is a party;</w:t>
      </w:r>
    </w:p>
    <w:p>
      <w:pPr>
        <w:spacing w:after="0" w:line="110" w:lineRule="exact"/>
        <w:rPr>
          <w:rFonts w:ascii="Calibri" w:cs="Calibri" w:eastAsia="Calibri" w:hAnsi="Calibri"/>
          <w:sz w:val="16"/>
          <w:szCs w:val="16"/>
          <w:color w:val="auto"/>
        </w:rPr>
      </w:pPr>
    </w:p>
    <w:p>
      <w:pPr>
        <w:jc w:val="both"/>
        <w:ind w:left="680" w:firstLine="745"/>
        <w:spacing w:after="0" w:line="247" w:lineRule="auto"/>
        <w:tabs>
          <w:tab w:leader="none" w:pos="1968"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All approvals, authorizatons, licenses, registratons, consents, and other actons, notces, and flings that may be required in connecton with the executon, delivery, and performance of this Agreement by Bank, have been obtained (other than those required to be made to or received from Cardholders and Applicants);</w:t>
      </w:r>
    </w:p>
    <w:p>
      <w:pPr>
        <w:spacing w:after="0" w:line="112" w:lineRule="exact"/>
        <w:rPr>
          <w:rFonts w:ascii="Calibri" w:cs="Calibri" w:eastAsia="Calibri" w:hAnsi="Calibri"/>
          <w:sz w:val="16"/>
          <w:szCs w:val="16"/>
          <w:color w:val="auto"/>
        </w:rPr>
      </w:pPr>
    </w:p>
    <w:p>
      <w:pPr>
        <w:jc w:val="both"/>
        <w:ind w:left="680" w:firstLine="745"/>
        <w:spacing w:after="0" w:line="248" w:lineRule="auto"/>
        <w:tabs>
          <w:tab w:leader="none" w:pos="1968"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This Agreement consttutes a legal, valid, and binding obligaton of Bank, enforceable against Bank in accordance with its terms, except: (1) as such enforceability may be limited by applicable bankruptcy, insolvency, reorganizaton, moratorium, receivership, conservatorship or other similar laws now or hereafer in efect, including the rights and obligatons of receivers and conservators under 12 U.S.C. §§ 1821 (d) and (e), which may afect the enforcement of creditors’ rights in general, and (2) as such enforceability may be limited by general principles of equity (whether considered in a suit at law or in equity);</w:t>
      </w:r>
    </w:p>
    <w:p>
      <w:pPr>
        <w:spacing w:after="0" w:line="110" w:lineRule="exact"/>
        <w:rPr>
          <w:rFonts w:ascii="Calibri" w:cs="Calibri" w:eastAsia="Calibri" w:hAnsi="Calibri"/>
          <w:sz w:val="16"/>
          <w:szCs w:val="16"/>
          <w:color w:val="auto"/>
        </w:rPr>
      </w:pPr>
    </w:p>
    <w:p>
      <w:pPr>
        <w:jc w:val="both"/>
        <w:ind w:left="680" w:firstLine="745"/>
        <w:spacing w:after="0" w:line="248" w:lineRule="auto"/>
        <w:tabs>
          <w:tab w:leader="none" w:pos="1968"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There are no proceedings or investgatons pending or, to the best knowledge of Bank, threatened against Bank (1) assertng the invalidity of this Agreement, (2) seeking to prevent the consummaton of any of the transactons contemplated by Bank pursuant to this Agreement, (3) seeking any determinaton or ruling that, in the reasonable judgment of Bank, would materially and adversely afect the performance by Bank of its obligatons under this Agreement, (4) seeking any determinaton or ruling that would materially and adversely afect the validity or enforceability of this Agreement, or (5) that would have a materially adverse fnancial efect on Bank or its operatons if resolved adversely to it;</w:t>
      </w:r>
    </w:p>
    <w:p>
      <w:pPr>
        <w:spacing w:after="0" w:line="109" w:lineRule="exact"/>
        <w:rPr>
          <w:rFonts w:ascii="Calibri" w:cs="Calibri" w:eastAsia="Calibri" w:hAnsi="Calibri"/>
          <w:sz w:val="16"/>
          <w:szCs w:val="16"/>
          <w:color w:val="auto"/>
        </w:rPr>
      </w:pPr>
    </w:p>
    <w:p>
      <w:pPr>
        <w:ind w:left="1960" w:hanging="535"/>
        <w:spacing w:after="0"/>
        <w:tabs>
          <w:tab w:leader="none" w:pos="1960"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Bank is not Insolvent;</w:t>
      </w:r>
    </w:p>
    <w:p>
      <w:pPr>
        <w:spacing w:after="0" w:line="115" w:lineRule="exact"/>
        <w:rPr>
          <w:rFonts w:ascii="Calibri" w:cs="Calibri" w:eastAsia="Calibri" w:hAnsi="Calibri"/>
          <w:sz w:val="16"/>
          <w:szCs w:val="16"/>
          <w:color w:val="auto"/>
        </w:rPr>
      </w:pPr>
    </w:p>
    <w:p>
      <w:pPr>
        <w:ind w:left="1960" w:hanging="535"/>
        <w:spacing w:after="0"/>
        <w:tabs>
          <w:tab w:leader="none" w:pos="1960"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The executon, delivery and performance of this Agreement by Bank complies with all Applicable Laws specifcally applicable to Bank or its</w:t>
      </w:r>
    </w:p>
    <w:p>
      <w:pPr>
        <w:spacing w:after="0" w:line="7" w:lineRule="exact"/>
        <w:rPr>
          <w:rFonts w:ascii="Calibri" w:cs="Calibri" w:eastAsia="Calibri" w:hAnsi="Calibri"/>
          <w:sz w:val="16"/>
          <w:szCs w:val="16"/>
          <w:color w:val="auto"/>
        </w:rPr>
      </w:pPr>
    </w:p>
    <w:p>
      <w:pPr>
        <w:ind w:left="680"/>
        <w:spacing w:after="0"/>
        <w:rPr>
          <w:rFonts w:ascii="Calibri" w:cs="Calibri" w:eastAsia="Calibri" w:hAnsi="Calibri"/>
          <w:sz w:val="16"/>
          <w:szCs w:val="16"/>
          <w:color w:val="auto"/>
        </w:rPr>
      </w:pPr>
      <w:r>
        <w:rPr>
          <w:rFonts w:ascii="Calibri" w:cs="Calibri" w:eastAsia="Calibri" w:hAnsi="Calibri"/>
          <w:sz w:val="16"/>
          <w:szCs w:val="16"/>
          <w:color w:val="auto"/>
        </w:rPr>
        <w:t>operatons; and</w:t>
      </w:r>
    </w:p>
    <w:p>
      <w:pPr>
        <w:spacing w:after="0" w:line="115" w:lineRule="exact"/>
        <w:rPr>
          <w:rFonts w:ascii="Calibri" w:cs="Calibri" w:eastAsia="Calibri" w:hAnsi="Calibri"/>
          <w:sz w:val="16"/>
          <w:szCs w:val="16"/>
          <w:color w:val="auto"/>
        </w:rPr>
      </w:pPr>
    </w:p>
    <w:p>
      <w:pPr>
        <w:ind w:left="1960" w:hanging="535"/>
        <w:spacing w:after="0"/>
        <w:tabs>
          <w:tab w:leader="none" w:pos="1960" w:val="left"/>
        </w:tabs>
        <w:numPr>
          <w:ilvl w:val="2"/>
          <w:numId w:val="94"/>
        </w:numPr>
        <w:rPr>
          <w:rFonts w:ascii="Calibri" w:cs="Calibri" w:eastAsia="Calibri" w:hAnsi="Calibri"/>
          <w:sz w:val="16"/>
          <w:szCs w:val="16"/>
          <w:color w:val="auto"/>
        </w:rPr>
      </w:pPr>
      <w:r>
        <w:rPr>
          <w:rFonts w:ascii="Calibri" w:cs="Calibri" w:eastAsia="Calibri" w:hAnsi="Calibri"/>
          <w:sz w:val="16"/>
          <w:szCs w:val="16"/>
          <w:color w:val="auto"/>
        </w:rPr>
        <w:t>Bank is a member of the applicable Cardholder Associaton.</w:t>
      </w:r>
    </w:p>
    <w:p>
      <w:pPr>
        <w:spacing w:after="0" w:line="115" w:lineRule="exact"/>
        <w:rPr>
          <w:sz w:val="20"/>
          <w:szCs w:val="20"/>
          <w:color w:val="auto"/>
        </w:rPr>
      </w:pPr>
    </w:p>
    <w:p>
      <w:pPr>
        <w:ind w:left="960" w:hanging="283"/>
        <w:spacing w:after="0"/>
        <w:tabs>
          <w:tab w:leader="none" w:pos="960" w:val="left"/>
        </w:tabs>
        <w:numPr>
          <w:ilvl w:val="0"/>
          <w:numId w:val="95"/>
        </w:numPr>
        <w:rPr>
          <w:rFonts w:ascii="Calibri" w:cs="Calibri" w:eastAsia="Calibri" w:hAnsi="Calibri"/>
          <w:sz w:val="16"/>
          <w:szCs w:val="16"/>
          <w:color w:val="auto"/>
        </w:rPr>
      </w:pPr>
      <w:r>
        <w:rPr>
          <w:rFonts w:ascii="Calibri" w:cs="Calibri" w:eastAsia="Calibri" w:hAnsi="Calibri"/>
          <w:sz w:val="16"/>
          <w:szCs w:val="16"/>
          <w:color w:val="auto"/>
        </w:rPr>
        <w:t>Program Manager hereby represents, warrants and covenants to Bank that:</w:t>
      </w:r>
    </w:p>
    <w:p>
      <w:pPr>
        <w:spacing w:after="0" w:line="117" w:lineRule="exact"/>
        <w:rPr>
          <w:rFonts w:ascii="Calibri" w:cs="Calibri" w:eastAsia="Calibri" w:hAnsi="Calibri"/>
          <w:sz w:val="16"/>
          <w:szCs w:val="16"/>
          <w:color w:val="auto"/>
        </w:rPr>
      </w:pPr>
    </w:p>
    <w:p>
      <w:pPr>
        <w:jc w:val="both"/>
        <w:ind w:left="680" w:firstLine="745"/>
        <w:spacing w:after="0" w:line="248" w:lineRule="auto"/>
        <w:tabs>
          <w:tab w:leader="none" w:pos="1968" w:val="left"/>
        </w:tabs>
        <w:numPr>
          <w:ilvl w:val="1"/>
          <w:numId w:val="95"/>
        </w:numPr>
        <w:rPr>
          <w:rFonts w:ascii="Calibri" w:cs="Calibri" w:eastAsia="Calibri" w:hAnsi="Calibri"/>
          <w:sz w:val="16"/>
          <w:szCs w:val="16"/>
          <w:color w:val="auto"/>
        </w:rPr>
      </w:pPr>
      <w:r>
        <w:rPr>
          <w:rFonts w:ascii="Calibri" w:cs="Calibri" w:eastAsia="Calibri" w:hAnsi="Calibri"/>
          <w:sz w:val="16"/>
          <w:szCs w:val="16"/>
          <w:color w:val="auto"/>
        </w:rPr>
        <w:t>Program Manager is duly organized and validly existng in good standing under the laws of the state in which it is formed and operates, and has full power and authority to execute, deliver, and perform its obligatons under this Agreement; the executon, delivery, and performance of this Agreement has been duly authorized, and is not in confict with and does not violate the terms of the certfcate of incorporaton or bylaws of Program Manager, and will not result in a breach of or consttute a default under or require any consent under any indenture, loan, or agreement to which Program Manager is a party except such consents as Program Manager shall have received on or prior to the date hereof;</w:t>
      </w:r>
    </w:p>
    <w:p>
      <w:pPr>
        <w:spacing w:after="0" w:line="111" w:lineRule="exact"/>
        <w:rPr>
          <w:rFonts w:ascii="Calibri" w:cs="Calibri" w:eastAsia="Calibri" w:hAnsi="Calibri"/>
          <w:sz w:val="16"/>
          <w:szCs w:val="16"/>
          <w:color w:val="auto"/>
        </w:rPr>
      </w:pPr>
    </w:p>
    <w:p>
      <w:pPr>
        <w:ind w:left="680" w:firstLine="745"/>
        <w:spacing w:after="0" w:line="246" w:lineRule="auto"/>
        <w:tabs>
          <w:tab w:leader="none" w:pos="1968" w:val="left"/>
        </w:tabs>
        <w:numPr>
          <w:ilvl w:val="1"/>
          <w:numId w:val="95"/>
        </w:numPr>
        <w:rPr>
          <w:rFonts w:ascii="Calibri" w:cs="Calibri" w:eastAsia="Calibri" w:hAnsi="Calibri"/>
          <w:sz w:val="16"/>
          <w:szCs w:val="16"/>
          <w:color w:val="auto"/>
        </w:rPr>
      </w:pPr>
      <w:r>
        <w:rPr>
          <w:rFonts w:ascii="Calibri" w:cs="Calibri" w:eastAsia="Calibri" w:hAnsi="Calibri"/>
          <w:sz w:val="16"/>
          <w:szCs w:val="16"/>
          <w:color w:val="auto"/>
        </w:rPr>
        <w:t>All approvals, authorizatons, consents, and other actons by, notces to, and flings required to be obtained for the executon, delivery, and performance of this Agreement by Program Manager have been obtained;</w:t>
      </w:r>
    </w:p>
    <w:p>
      <w:pPr>
        <w:spacing w:after="0" w:line="110" w:lineRule="exact"/>
        <w:rPr>
          <w:rFonts w:ascii="Calibri" w:cs="Calibri" w:eastAsia="Calibri" w:hAnsi="Calibri"/>
          <w:sz w:val="16"/>
          <w:szCs w:val="16"/>
          <w:color w:val="auto"/>
        </w:rPr>
      </w:pPr>
    </w:p>
    <w:p>
      <w:pPr>
        <w:ind w:left="1960" w:hanging="535"/>
        <w:spacing w:after="0"/>
        <w:tabs>
          <w:tab w:leader="none" w:pos="1960" w:val="left"/>
        </w:tabs>
        <w:numPr>
          <w:ilvl w:val="1"/>
          <w:numId w:val="95"/>
        </w:numPr>
        <w:rPr>
          <w:rFonts w:ascii="Calibri" w:cs="Calibri" w:eastAsia="Calibri" w:hAnsi="Calibri"/>
          <w:sz w:val="16"/>
          <w:szCs w:val="16"/>
          <w:color w:val="auto"/>
        </w:rPr>
      </w:pPr>
      <w:r>
        <w:rPr>
          <w:rFonts w:ascii="Calibri" w:cs="Calibri" w:eastAsia="Calibri" w:hAnsi="Calibri"/>
          <w:sz w:val="16"/>
          <w:szCs w:val="16"/>
          <w:color w:val="auto"/>
        </w:rPr>
        <w:t>All licenses and registratons required by Program Manager to execute, deliver, and perform its obligatons under this Agreement have been</w:t>
      </w:r>
    </w:p>
    <w:p>
      <w:pPr>
        <w:spacing w:after="0" w:line="7" w:lineRule="exact"/>
        <w:rPr>
          <w:rFonts w:ascii="Calibri" w:cs="Calibri" w:eastAsia="Calibri" w:hAnsi="Calibri"/>
          <w:sz w:val="16"/>
          <w:szCs w:val="16"/>
          <w:color w:val="auto"/>
        </w:rPr>
      </w:pPr>
    </w:p>
    <w:p>
      <w:pPr>
        <w:ind w:left="680"/>
        <w:spacing w:after="0"/>
        <w:rPr>
          <w:rFonts w:ascii="Calibri" w:cs="Calibri" w:eastAsia="Calibri" w:hAnsi="Calibri"/>
          <w:sz w:val="16"/>
          <w:szCs w:val="16"/>
          <w:color w:val="auto"/>
        </w:rPr>
      </w:pPr>
      <w:r>
        <w:rPr>
          <w:rFonts w:ascii="Calibri" w:cs="Calibri" w:eastAsia="Calibri" w:hAnsi="Calibri"/>
          <w:sz w:val="16"/>
          <w:szCs w:val="16"/>
          <w:color w:val="auto"/>
        </w:rPr>
        <w:t>obtained;</w:t>
      </w:r>
    </w:p>
    <w:p>
      <w:pPr>
        <w:spacing w:after="0" w:line="117" w:lineRule="exact"/>
        <w:rPr>
          <w:rFonts w:ascii="Calibri" w:cs="Calibri" w:eastAsia="Calibri" w:hAnsi="Calibri"/>
          <w:sz w:val="16"/>
          <w:szCs w:val="16"/>
          <w:color w:val="auto"/>
        </w:rPr>
      </w:pPr>
    </w:p>
    <w:p>
      <w:pPr>
        <w:ind w:left="680" w:right="20" w:firstLine="745"/>
        <w:spacing w:after="0" w:line="246" w:lineRule="auto"/>
        <w:tabs>
          <w:tab w:leader="none" w:pos="1968" w:val="left"/>
        </w:tabs>
        <w:numPr>
          <w:ilvl w:val="1"/>
          <w:numId w:val="95"/>
        </w:numPr>
        <w:rPr>
          <w:rFonts w:ascii="Calibri" w:cs="Calibri" w:eastAsia="Calibri" w:hAnsi="Calibri"/>
          <w:sz w:val="16"/>
          <w:szCs w:val="16"/>
          <w:color w:val="auto"/>
        </w:rPr>
      </w:pPr>
      <w:r>
        <w:rPr>
          <w:rFonts w:ascii="Calibri" w:cs="Calibri" w:eastAsia="Calibri" w:hAnsi="Calibri"/>
          <w:sz w:val="16"/>
          <w:szCs w:val="16"/>
          <w:color w:val="auto"/>
        </w:rPr>
        <w:t>Program Manager has provided to Bank in writng a list of its Agents used in support of the Program. Program Manager will inform Bank in writng prior to any use of another Agent so that Bank can comply with the Card Associaton registraton requirements for third</w:t>
      </w:r>
    </w:p>
    <w:p>
      <w:pPr>
        <w:spacing w:after="0" w:line="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10</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467360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67" w:right="339" w:bottom="1440" w:gutter="0" w:footer="0" w:header="0"/>
        </w:sectPr>
      </w:pPr>
    </w:p>
    <w:bookmarkStart w:id="104" w:name="page105"/>
    <w:bookmarkEnd w:id="104"/>
    <w:p>
      <w:pPr>
        <w:ind w:left="3" w:right="20"/>
        <w:spacing w:after="0" w:line="246"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party agents if that Agent needs to be registered. Program Manager will not make use of such an Agent that may be a Critcal Service Provider untl Bank has notfed Program Manager in writng that Bank has approved such Agent or that such approval is not necessary;</w:t>
      </w:r>
    </w:p>
    <w:p>
      <w:pPr>
        <w:spacing w:after="0" w:line="113" w:lineRule="exact"/>
        <w:rPr>
          <w:sz w:val="20"/>
          <w:szCs w:val="20"/>
          <w:color w:val="auto"/>
        </w:rPr>
      </w:pPr>
    </w:p>
    <w:p>
      <w:pPr>
        <w:jc w:val="both"/>
        <w:ind w:left="3" w:firstLine="745"/>
        <w:spacing w:after="0" w:line="248" w:lineRule="auto"/>
        <w:tabs>
          <w:tab w:leader="none" w:pos="1291" w:val="left"/>
        </w:tabs>
        <w:numPr>
          <w:ilvl w:val="1"/>
          <w:numId w:val="96"/>
        </w:numPr>
        <w:rPr>
          <w:rFonts w:ascii="Calibri" w:cs="Calibri" w:eastAsia="Calibri" w:hAnsi="Calibri"/>
          <w:sz w:val="16"/>
          <w:szCs w:val="16"/>
          <w:color w:val="auto"/>
        </w:rPr>
      </w:pPr>
      <w:r>
        <w:rPr>
          <w:rFonts w:ascii="Calibri" w:cs="Calibri" w:eastAsia="Calibri" w:hAnsi="Calibri"/>
          <w:sz w:val="16"/>
          <w:szCs w:val="16"/>
          <w:color w:val="auto"/>
        </w:rPr>
        <w:t>This Agreement consttutes a legal, valid, and binding obligaton of Program Manager, enforceable against Program Manager in accordance with its terms, except: (1) as such enforceability may be limited by applicable bankruptcy, insolvency, reorganizaton, moratorium, or other similar laws now or hereafer in efect, which may afect the enforcement of creditors’ rights in general, and (2) as such enforceability may be limited by general principles of equity (whether considered in a suit at law or in equity);</w:t>
      </w:r>
    </w:p>
    <w:p>
      <w:pPr>
        <w:spacing w:after="0" w:line="108" w:lineRule="exact"/>
        <w:rPr>
          <w:rFonts w:ascii="Calibri" w:cs="Calibri" w:eastAsia="Calibri" w:hAnsi="Calibri"/>
          <w:sz w:val="16"/>
          <w:szCs w:val="16"/>
          <w:color w:val="auto"/>
        </w:rPr>
      </w:pPr>
    </w:p>
    <w:p>
      <w:pPr>
        <w:ind w:left="1283" w:hanging="535"/>
        <w:spacing w:after="0"/>
        <w:tabs>
          <w:tab w:leader="none" w:pos="1283" w:val="left"/>
        </w:tabs>
        <w:numPr>
          <w:ilvl w:val="1"/>
          <w:numId w:val="96"/>
        </w:numPr>
        <w:rPr>
          <w:rFonts w:ascii="Calibri" w:cs="Calibri" w:eastAsia="Calibri" w:hAnsi="Calibri"/>
          <w:sz w:val="16"/>
          <w:szCs w:val="16"/>
          <w:color w:val="auto"/>
        </w:rPr>
      </w:pPr>
      <w:r>
        <w:rPr>
          <w:rFonts w:ascii="Calibri" w:cs="Calibri" w:eastAsia="Calibri" w:hAnsi="Calibri"/>
          <w:sz w:val="16"/>
          <w:szCs w:val="16"/>
          <w:color w:val="auto"/>
        </w:rPr>
        <w:t>There are no proceedings or investgatons pending or, to the best knowledge of Program Manager, threatened against Program Manager:</w:t>
      </w:r>
    </w:p>
    <w:p>
      <w:pPr>
        <w:spacing w:after="0" w:line="9" w:lineRule="exact"/>
        <w:rPr>
          <w:rFonts w:ascii="Calibri" w:cs="Calibri" w:eastAsia="Calibri" w:hAnsi="Calibri"/>
          <w:sz w:val="16"/>
          <w:szCs w:val="16"/>
          <w:color w:val="auto"/>
        </w:rPr>
      </w:pPr>
    </w:p>
    <w:p>
      <w:pPr>
        <w:jc w:val="both"/>
        <w:ind w:left="3" w:hanging="3"/>
        <w:spacing w:after="0" w:line="248" w:lineRule="auto"/>
        <w:tabs>
          <w:tab w:leader="none" w:pos="223" w:val="left"/>
        </w:tabs>
        <w:numPr>
          <w:ilvl w:val="0"/>
          <w:numId w:val="97"/>
        </w:numPr>
        <w:rPr>
          <w:rFonts w:ascii="Calibri" w:cs="Calibri" w:eastAsia="Calibri" w:hAnsi="Calibri"/>
          <w:sz w:val="16"/>
          <w:szCs w:val="16"/>
          <w:color w:val="auto"/>
        </w:rPr>
      </w:pPr>
      <w:r>
        <w:rPr>
          <w:rFonts w:ascii="Calibri" w:cs="Calibri" w:eastAsia="Calibri" w:hAnsi="Calibri"/>
          <w:sz w:val="16"/>
          <w:szCs w:val="16"/>
          <w:color w:val="auto"/>
        </w:rPr>
        <w:t>assertng the invalidity of this Agreement, (2) seeking to prevent the consummaton of any of the transactons contemplated by Program Manager pursuant to this Agreement, (3) seeking any determinaton or ruling that, in the reasonable judgment of Program Manager, would materially and adversely afect the performance by Program Manager of its obligatons under this Agreement, (4) seeking any determinaton or ruling that would materially and adversely afect the validity or enforceability of this Agreement, or (5) that would have a materially adverse fnancial efect on Program Manager or its operatons if resolved adversely to it;</w:t>
      </w:r>
    </w:p>
    <w:p>
      <w:pPr>
        <w:spacing w:after="0" w:line="109" w:lineRule="exact"/>
        <w:rPr>
          <w:rFonts w:ascii="Calibri" w:cs="Calibri" w:eastAsia="Calibri" w:hAnsi="Calibri"/>
          <w:sz w:val="16"/>
          <w:szCs w:val="16"/>
          <w:color w:val="auto"/>
        </w:rPr>
      </w:pPr>
    </w:p>
    <w:p>
      <w:pPr>
        <w:ind w:left="1283" w:hanging="535"/>
        <w:spacing w:after="0"/>
        <w:tabs>
          <w:tab w:leader="none" w:pos="1283"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Program Manager is not Insolvent;</w:t>
      </w:r>
    </w:p>
    <w:p>
      <w:pPr>
        <w:spacing w:after="0" w:line="117" w:lineRule="exact"/>
        <w:rPr>
          <w:rFonts w:ascii="Calibri" w:cs="Calibri" w:eastAsia="Calibri" w:hAnsi="Calibri"/>
          <w:sz w:val="16"/>
          <w:szCs w:val="16"/>
          <w:color w:val="auto"/>
        </w:rPr>
      </w:pPr>
    </w:p>
    <w:p>
      <w:pPr>
        <w:ind w:left="3" w:firstLine="745"/>
        <w:spacing w:after="0" w:line="246" w:lineRule="auto"/>
        <w:tabs>
          <w:tab w:leader="none" w:pos="1291"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Program Manager has at all tmes during the Term of this Agreement or any extension cash on hand in excess of what is needed in order for Program Manager to meet all debt-related covenants to any third party (a “Program Manager Financial Requirement”);</w:t>
      </w:r>
    </w:p>
    <w:p>
      <w:pPr>
        <w:spacing w:after="0" w:line="110" w:lineRule="exact"/>
        <w:rPr>
          <w:rFonts w:ascii="Calibri" w:cs="Calibri" w:eastAsia="Calibri" w:hAnsi="Calibri"/>
          <w:sz w:val="16"/>
          <w:szCs w:val="16"/>
          <w:color w:val="auto"/>
        </w:rPr>
      </w:pPr>
    </w:p>
    <w:p>
      <w:pPr>
        <w:ind w:left="1283" w:hanging="535"/>
        <w:spacing w:after="0"/>
        <w:tabs>
          <w:tab w:leader="none" w:pos="1283"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The executon, delivery and performance of this Agreement by Program Manager complies with Applicable Law;</w:t>
      </w:r>
    </w:p>
    <w:p>
      <w:pPr>
        <w:spacing w:after="0" w:line="117" w:lineRule="exact"/>
        <w:rPr>
          <w:rFonts w:ascii="Calibri" w:cs="Calibri" w:eastAsia="Calibri" w:hAnsi="Calibri"/>
          <w:sz w:val="16"/>
          <w:szCs w:val="16"/>
          <w:color w:val="auto"/>
        </w:rPr>
      </w:pPr>
    </w:p>
    <w:p>
      <w:pPr>
        <w:jc w:val="both"/>
        <w:ind w:left="3" w:firstLine="745"/>
        <w:spacing w:after="0" w:line="248" w:lineRule="auto"/>
        <w:tabs>
          <w:tab w:leader="none" w:pos="1291"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Except as otherwise disclosed to Bank, neither Program Manager nor, to the actual knowledge of Program Manager’s executve ofcers, any Principal of Program Manager, has been subject to the following as of the date of this Agreement: (1) any criminal convicton (except minor trafc ofenses and other pety ofenses), (2) Federal or state tax lien, (3) administratve or enforcement proceedings commenced by the Securites and Exchange Commission, any state securites authority, Federal Trade Commission, or any Regulatory Authority, or (4) restraining order, decree, injuncton, or judgment entered in any proceeding or lawsuit alleging fraud or deceptve practce on the part of Program Manager or any Principal thereof. Program Manager agrees to notfy Bank within two (2) Business Days upon the occurrence of any event contemplated by this Secton 13(b)(x);</w:t>
      </w:r>
    </w:p>
    <w:p>
      <w:pPr>
        <w:spacing w:after="0" w:line="112" w:lineRule="exact"/>
        <w:rPr>
          <w:rFonts w:ascii="Calibri" w:cs="Calibri" w:eastAsia="Calibri" w:hAnsi="Calibri"/>
          <w:sz w:val="16"/>
          <w:szCs w:val="16"/>
          <w:color w:val="auto"/>
        </w:rPr>
      </w:pPr>
    </w:p>
    <w:p>
      <w:pPr>
        <w:ind w:left="3" w:firstLine="745"/>
        <w:spacing w:after="0" w:line="246" w:lineRule="auto"/>
        <w:tabs>
          <w:tab w:leader="none" w:pos="1291"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Prior to the Efectve Date of this Agreement, Program Manager has delivered to Bank copies of Program Manager’s: (1) balance sheets, (2) income statements, (3) cash fow records, or (4) any of balance sheet loans that Program Manager has guaranteed, and any loss history of the same;</w:t>
      </w:r>
    </w:p>
    <w:p>
      <w:pPr>
        <w:spacing w:after="0" w:line="112" w:lineRule="exact"/>
        <w:rPr>
          <w:rFonts w:ascii="Calibri" w:cs="Calibri" w:eastAsia="Calibri" w:hAnsi="Calibri"/>
          <w:sz w:val="16"/>
          <w:szCs w:val="16"/>
          <w:color w:val="auto"/>
        </w:rPr>
      </w:pPr>
    </w:p>
    <w:p>
      <w:pPr>
        <w:ind w:left="3" w:firstLine="745"/>
        <w:spacing w:after="0" w:line="246" w:lineRule="auto"/>
        <w:tabs>
          <w:tab w:leader="none" w:pos="1291"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Program Manager shall remain in compliance at all tmes (subject to any applicable cure periods) with all fnancial requirements and covenants to which it is subject in all agreements under which it borrows funds from third party creditors; and</w:t>
      </w:r>
    </w:p>
    <w:p>
      <w:pPr>
        <w:spacing w:after="0" w:line="112" w:lineRule="exact"/>
        <w:rPr>
          <w:rFonts w:ascii="Calibri" w:cs="Calibri" w:eastAsia="Calibri" w:hAnsi="Calibri"/>
          <w:sz w:val="16"/>
          <w:szCs w:val="16"/>
          <w:color w:val="auto"/>
        </w:rPr>
      </w:pPr>
    </w:p>
    <w:p>
      <w:pPr>
        <w:jc w:val="both"/>
        <w:ind w:left="3" w:firstLine="745"/>
        <w:spacing w:after="0" w:line="248" w:lineRule="auto"/>
        <w:tabs>
          <w:tab w:leader="none" w:pos="1291" w:val="left"/>
        </w:tabs>
        <w:numPr>
          <w:ilvl w:val="1"/>
          <w:numId w:val="97"/>
        </w:numPr>
        <w:rPr>
          <w:rFonts w:ascii="Calibri" w:cs="Calibri" w:eastAsia="Calibri" w:hAnsi="Calibri"/>
          <w:sz w:val="16"/>
          <w:szCs w:val="16"/>
          <w:color w:val="auto"/>
        </w:rPr>
      </w:pPr>
      <w:r>
        <w:rPr>
          <w:rFonts w:ascii="Calibri" w:cs="Calibri" w:eastAsia="Calibri" w:hAnsi="Calibri"/>
          <w:sz w:val="16"/>
          <w:szCs w:val="16"/>
          <w:color w:val="auto"/>
        </w:rPr>
        <w:t>Program Manager may not receive, store, process or otherwise obtain Cardholder Data (as defned by PCI-DSS) untl it becomes PCI Compliant. Program Manager shall remain in compliance at all tmes with Applicable Laws, including any and all regulatons or laws applicable to Program Manager as agent of the Bank, the Program, the Card or Deposit Account (as defned in the Bank Services Agreement) and orders by Bank’s Regulatory Authority to the extent Program Manager is actng as Bank’s TPA. Prior to receiving, storing, processing or otherwise obtaining Cardholder Data (as defned by PCI-DSS), Program Manager shall give prior notce to the Bank and shall become and remain PCI Compliant.</w:t>
      </w:r>
    </w:p>
    <w:p>
      <w:pPr>
        <w:spacing w:after="0" w:line="111" w:lineRule="exact"/>
        <w:rPr>
          <w:sz w:val="20"/>
          <w:szCs w:val="20"/>
          <w:color w:val="auto"/>
        </w:rPr>
      </w:pPr>
    </w:p>
    <w:p>
      <w:pPr>
        <w:jc w:val="both"/>
        <w:ind w:left="-757" w:firstLine="757"/>
        <w:spacing w:after="0" w:line="248" w:lineRule="auto"/>
        <w:tabs>
          <w:tab w:leader="none" w:pos="285" w:val="left"/>
        </w:tabs>
        <w:numPr>
          <w:ilvl w:val="0"/>
          <w:numId w:val="98"/>
        </w:numPr>
        <w:rPr>
          <w:rFonts w:ascii="Calibri" w:cs="Calibri" w:eastAsia="Calibri" w:hAnsi="Calibri"/>
          <w:sz w:val="16"/>
          <w:szCs w:val="16"/>
          <w:color w:val="auto"/>
        </w:rPr>
      </w:pPr>
      <w:r>
        <w:rPr>
          <w:rFonts w:ascii="Calibri" w:cs="Calibri" w:eastAsia="Calibri" w:hAnsi="Calibri"/>
          <w:sz w:val="16"/>
          <w:szCs w:val="16"/>
          <w:color w:val="auto"/>
        </w:rPr>
        <w:t>The representatons and warrantes of the Partes contained in Sectons 13(a) and 13(b), except those representatons and warrantes contained in Sectons 13(a)(iv), 13(b)(vi), are made contnuously throughout the Term of this Agreement. In the event that any investgaton or proceeding of the nature described in Secton 13(a)(iv) or 13(b)(vi) is insttuted or threatened against Program Manager or Bank, Program Manager or Bank shall promptly notfy the other Party of the pending or threatened investgaton or proceeding, unless otherwise prohibited by Applicable Law or a Regulatory Authority.</w:t>
      </w:r>
    </w:p>
    <w:p>
      <w:pPr>
        <w:spacing w:after="0" w:line="109" w:lineRule="exact"/>
        <w:rPr>
          <w:sz w:val="20"/>
          <w:szCs w:val="20"/>
          <w:color w:val="auto"/>
        </w:rPr>
      </w:pPr>
    </w:p>
    <w:p>
      <w:pPr>
        <w:ind w:left="283" w:hanging="283"/>
        <w:spacing w:after="0"/>
        <w:tabs>
          <w:tab w:leader="none" w:pos="283" w:val="left"/>
        </w:tabs>
        <w:numPr>
          <w:ilvl w:val="0"/>
          <w:numId w:val="99"/>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Other Relatonships with Cardholders</w:t>
      </w:r>
      <w:r>
        <w:rPr>
          <w:rFonts w:ascii="Calibri" w:cs="Calibri" w:eastAsia="Calibri" w:hAnsi="Calibri"/>
          <w:sz w:val="16"/>
          <w:szCs w:val="16"/>
          <w:color w:val="auto"/>
        </w:rPr>
        <w:t>.</w:t>
      </w:r>
    </w:p>
    <w:p>
      <w:pPr>
        <w:spacing w:after="0" w:line="130" w:lineRule="exact"/>
        <w:rPr>
          <w:sz w:val="20"/>
          <w:szCs w:val="20"/>
          <w:color w:val="auto"/>
        </w:rPr>
      </w:pPr>
    </w:p>
    <w:p>
      <w:pPr>
        <w:jc w:val="both"/>
        <w:ind w:left="-757" w:firstLine="757"/>
        <w:spacing w:after="0" w:line="248" w:lineRule="auto"/>
        <w:tabs>
          <w:tab w:leader="none" w:pos="261" w:val="left"/>
        </w:tabs>
        <w:numPr>
          <w:ilvl w:val="0"/>
          <w:numId w:val="100"/>
        </w:numPr>
        <w:rPr>
          <w:rFonts w:ascii="Times New Roman" w:cs="Times New Roman" w:eastAsia="Times New Roman" w:hAnsi="Times New Roman"/>
          <w:sz w:val="16"/>
          <w:szCs w:val="16"/>
          <w:color w:val="auto"/>
        </w:rPr>
      </w:pPr>
      <w:r>
        <w:rPr>
          <w:rFonts w:ascii="Calibri" w:cs="Calibri" w:eastAsia="Calibri" w:hAnsi="Calibri"/>
          <w:sz w:val="16"/>
          <w:szCs w:val="16"/>
          <w:color w:val="auto"/>
        </w:rPr>
        <w:t>Subject to Applicable Law, Bank’s privacy policy and consistent with the Cardholder Agreement, Program Manager, at its own expense, shall have the right to solicit Applicants and/or Cardholders with optonal oferings of general merchandise, products, and services from Program Manager, including Bank-approved ancillary prepaid or debit card products and services, and to use Applicant and/or Cardholder Informaton for purposes permited by Applicable Law, Bank’s privacy policy and the Cardholder Agreement. Program Manager shall notfy Bank of its intent to make any ofers specifcally mentoning, involving, or referencing Bank or any fnancial products supported by Bank and shall obtain the prior writen approval of Bank with respect to such ofers, which approval shall not be unreasonably withheld.</w:t>
      </w:r>
    </w:p>
    <w:p>
      <w:pPr>
        <w:spacing w:after="0" w:line="124"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00"/>
        </w:numPr>
        <w:rPr>
          <w:rFonts w:ascii="Times New Roman" w:cs="Times New Roman" w:eastAsia="Times New Roman" w:hAnsi="Times New Roman"/>
          <w:sz w:val="16"/>
          <w:szCs w:val="16"/>
          <w:color w:val="auto"/>
        </w:rPr>
      </w:pPr>
      <w:r>
        <w:rPr>
          <w:rFonts w:ascii="Calibri" w:cs="Calibri" w:eastAsia="Calibri" w:hAnsi="Calibri"/>
          <w:sz w:val="16"/>
          <w:szCs w:val="16"/>
          <w:color w:val="auto"/>
        </w:rPr>
        <w:t xml:space="preserve">Subject to the rights and restrictons in the California Consumer Privacy Act of 2018 (CCPA), Bank may at all tmes make solicitatons for goods and services to the general public, which may include one or more Applicants or Cardholders; provided that Bank does not (i) target such solicitatons to specifc Applicants and/or Cardholders, or (ii) use or permit a third party to use any list of Applicants and/or Cardholders in connecton with such solicitatons; and Bank shall not be obligated to redact the names of Applicants and/or Cardholders from marketng lists acquired from third partes </w:t>
      </w:r>
      <w:r>
        <w:rPr>
          <w:rFonts w:ascii="Calibri" w:cs="Calibri" w:eastAsia="Calibri" w:hAnsi="Calibri"/>
          <w:sz w:val="16"/>
          <w:szCs w:val="16"/>
          <w:i w:val="1"/>
          <w:iCs w:val="1"/>
          <w:color w:val="auto"/>
        </w:rPr>
        <w:t>(e.g.,</w:t>
      </w:r>
      <w:r>
        <w:rPr>
          <w:rFonts w:ascii="Calibri" w:cs="Calibri" w:eastAsia="Calibri" w:hAnsi="Calibri"/>
          <w:sz w:val="16"/>
          <w:szCs w:val="16"/>
          <w:color w:val="auto"/>
        </w:rPr>
        <w:t xml:space="preserve"> magazine subscripton lists) that Bank uses for solicitatons. Subject to the restrictons on solicitatons made to Applicants and/or Cardholders, as set forth in this Secton 14(b), Bank and its Afliates may at all tmes and without restricton: ofer credit, debit, prepaid and other electronic payment services or sponsor other program managers who are ofering credit, debit, prepaid or other electronic payment services. Bank and Program Manager agree that this Agreement is not intended to create an exclusive relatonship of any type between Bank and Program Manager. Bank and Program Manager may each enter into similar arrangements with one or more third partes.</w:t>
      </w:r>
    </w:p>
    <w:p>
      <w:pPr>
        <w:spacing w:after="0" w:line="4"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11</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467360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68" w:right="339" w:bottom="1440" w:gutter="0" w:footer="0" w:header="0"/>
        </w:sectPr>
      </w:pPr>
    </w:p>
    <w:bookmarkStart w:id="105" w:name="page106"/>
    <w:bookmarkEnd w:id="105"/>
    <w:p>
      <w:pPr>
        <w:ind w:left="1040" w:hanging="283"/>
        <w:spacing w:after="0"/>
        <w:tabs>
          <w:tab w:leader="none" w:pos="1040" w:val="left"/>
        </w:tabs>
        <w:numPr>
          <w:ilvl w:val="0"/>
          <w:numId w:val="101"/>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Data Security</w:t>
      </w:r>
      <w:r>
        <w:rPr>
          <w:rFonts w:ascii="Calibri" w:cs="Calibri" w:eastAsia="Calibri" w:hAnsi="Calibri"/>
          <w:sz w:val="16"/>
          <w:szCs w:val="16"/>
          <w:color w:val="auto"/>
        </w:rPr>
        <w:t>.</w:t>
      </w:r>
    </w:p>
    <w:p>
      <w:pPr>
        <w:spacing w:after="0" w:line="131" w:lineRule="exact"/>
        <w:rPr>
          <w:sz w:val="20"/>
          <w:szCs w:val="20"/>
          <w:color w:val="auto"/>
        </w:rPr>
      </w:pPr>
    </w:p>
    <w:p>
      <w:pPr>
        <w:jc w:val="both"/>
        <w:ind w:firstLine="757"/>
        <w:spacing w:after="0" w:line="248" w:lineRule="auto"/>
        <w:tabs>
          <w:tab w:leader="none" w:pos="1018" w:val="left"/>
        </w:tabs>
        <w:numPr>
          <w:ilvl w:val="0"/>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implement and maintain policies and procedures necessary to ensure the Program complies, and remains in compliance, with Gramm-Leach-Bliley Act, Interagency Guidelines Establishing Informaton Security Standards, PCI-DSS security standards and all other Applicable Law and Card Associaton rules pertaining to data security and retenton or non-retenton of personal or fnancial informaton, including ensuring that Program Manager and any service providers maintain a comprehensive writen informaton security program which contains appropriate administratve, technical and physical safeguards to protect and ensure the security and confdentality of Card transacton data and other Records and informaton relatng to Cardholders and other individuals, protect against any antcipated threats or hazards to the security or integrity of such Records; and protect against unauthorized access to, or use of, such Records or informaton that could result in substantal harm or inconvenience to any such individuals; and properly dispose of consumer informaton to which Program Manager or any service provider may obtain access, applicable to the Program. In order to ensure the efectveness of its informaton security program, each Program Manager shall have conducted at least annually an independent IT audit on those parts of its systems that process Cardholder Data (as defned by PCI-DSS) to the extent required by PCI DSS, which shall include at a minimum an internal vulnerability scan and an external penetraton test and will provide a copy of the report to Bank.</w:t>
      </w:r>
    </w:p>
    <w:p>
      <w:pPr>
        <w:spacing w:after="0" w:line="128"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will maintain data security, business contnuity and contngency plans that meet or exceed Applicable Law, including the Card Associaton rules, and Bank standards. Program Manager will deliver a copy of its Data Security/Business Contnuity and Contngency Plan to Bank and any proposed changes to such Data Security/Business Contnuity and Contngency Plan whenever Program Manager proposes to make a material change thereto. If the Data Security/Business Contnuity and Contngency Plan does not meet such requirements or if a Regulatory Authority requires changes to such plans, Program Manager agrees to promptly make such changes or meet such requirements upon writen notce to Program Manager of such changes or requirements by Bank. Bank shall have the right to require changes to the Data Security/Business Contnuity and Contngency Plan necessary to comply with this Secton 15 (Data Security), including third-party certfcaton or testng. If necessary, these shall be performed at the expense of Program Manager.</w:t>
      </w:r>
    </w:p>
    <w:p>
      <w:pPr>
        <w:spacing w:after="0" w:line="124" w:lineRule="exact"/>
        <w:rPr>
          <w:rFonts w:ascii="Times New Roman" w:cs="Times New Roman" w:eastAsia="Times New Roman" w:hAnsi="Times New Roman"/>
          <w:sz w:val="16"/>
          <w:szCs w:val="16"/>
          <w:color w:val="auto"/>
        </w:rPr>
      </w:pPr>
    </w:p>
    <w:p>
      <w:pPr>
        <w:ind w:left="1020" w:hanging="263"/>
        <w:spacing w:after="0"/>
        <w:tabs>
          <w:tab w:leader="none" w:pos="1020" w:val="left"/>
        </w:tabs>
        <w:numPr>
          <w:ilvl w:val="0"/>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To the extent that Program Manager is not PCI Compliant, and without limitng the generality of Secton 15(a) above, Program Manager agrees to the</w:t>
      </w:r>
    </w:p>
    <w:p>
      <w:pPr>
        <w:spacing w:after="0" w:line="9" w:lineRule="exact"/>
        <w:rPr>
          <w:rFonts w:ascii="Times New Roman" w:cs="Times New Roman" w:eastAsia="Times New Roman" w:hAnsi="Times New Roman"/>
          <w:sz w:val="16"/>
          <w:szCs w:val="16"/>
          <w:color w:val="auto"/>
        </w:rPr>
      </w:pPr>
    </w:p>
    <w:p>
      <w:pPr>
        <w:ind w:right="20"/>
        <w:spacing w:after="0" w:line="246" w:lineRule="auto"/>
        <w:rPr>
          <w:rFonts w:ascii="Times New Roman" w:cs="Times New Roman" w:eastAsia="Times New Roman" w:hAnsi="Times New Roman"/>
          <w:sz w:val="16"/>
          <w:szCs w:val="16"/>
          <w:color w:val="auto"/>
        </w:rPr>
      </w:pPr>
      <w:r>
        <w:rPr>
          <w:rFonts w:ascii="Calibri" w:cs="Calibri" w:eastAsia="Calibri" w:hAnsi="Calibri"/>
          <w:sz w:val="16"/>
          <w:szCs w:val="16"/>
          <w:color w:val="auto"/>
        </w:rPr>
        <w:t>following: Program Manager agrees to comply with privacy and security requirements under PCI-DSS (which are collectvely referred to as the “PCI Requirements”) and Applicable Law with regards to Program Manager’s use, access, and storage of Cardholder Informaton.</w:t>
      </w:r>
    </w:p>
    <w:p>
      <w:pPr>
        <w:spacing w:after="0" w:line="126" w:lineRule="exact"/>
        <w:rPr>
          <w:rFonts w:ascii="Times New Roman" w:cs="Times New Roman" w:eastAsia="Times New Roman" w:hAnsi="Times New Roman"/>
          <w:sz w:val="16"/>
          <w:szCs w:val="16"/>
          <w:color w:val="auto"/>
        </w:rPr>
      </w:pPr>
    </w:p>
    <w:p>
      <w:pPr>
        <w:jc w:val="both"/>
        <w:ind w:left="760" w:firstLine="745"/>
        <w:spacing w:after="0" w:line="248"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protect the privacy of all Cardholder Informaton to at least the same extent that Bank must maintain that confdentality under the PCI Requirements or Applicable Law. Without limitng the generality of the foregoing sentence, Program Manager shall not disclose any Cardholder Informaton to any third party except as required for Program Manager’s performance under this Agreement, and Program Manager shall not use Cardholder Informaton except as required for Program Manager’s performance under this Agreement.</w:t>
      </w:r>
    </w:p>
    <w:p>
      <w:pPr>
        <w:spacing w:after="0" w:line="124" w:lineRule="exact"/>
        <w:rPr>
          <w:rFonts w:ascii="Times New Roman" w:cs="Times New Roman" w:eastAsia="Times New Roman" w:hAnsi="Times New Roman"/>
          <w:sz w:val="16"/>
          <w:szCs w:val="16"/>
          <w:color w:val="auto"/>
        </w:rPr>
      </w:pPr>
    </w:p>
    <w:p>
      <w:pPr>
        <w:jc w:val="both"/>
        <w:ind w:left="760" w:right="20" w:firstLine="745"/>
        <w:spacing w:after="0" w:line="247"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agrees to implement the safeguards as required by Applicable Law to prevent unauthorized use or disclosure of the Cardholder Informaton, and to maintain the integrity and confdentality of any Cardholder Informaton in the possession of Program Manager as required in Applicable Law or this Agreement.</w:t>
      </w:r>
    </w:p>
    <w:p>
      <w:pPr>
        <w:spacing w:after="0" w:line="125" w:lineRule="exact"/>
        <w:rPr>
          <w:rFonts w:ascii="Times New Roman" w:cs="Times New Roman" w:eastAsia="Times New Roman" w:hAnsi="Times New Roman"/>
          <w:sz w:val="16"/>
          <w:szCs w:val="16"/>
          <w:color w:val="auto"/>
        </w:rPr>
      </w:pPr>
    </w:p>
    <w:p>
      <w:pPr>
        <w:jc w:val="both"/>
        <w:ind w:left="760" w:firstLine="745"/>
        <w:spacing w:after="0" w:line="248"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agrees to report to Bank any unauthorized access to, use or disclosure of any Cardholder Informaton not provided for by this Agreement. Such report shall be made as soon as possible, but in no event later than forty-eight (48) hours following the date that Program Manager becomes aware of such unauthorized access, use or disclosure. Program Manager shall provide to Bank, each Card Associaton and their respectve representatves Program Manager’s assessment of the impact of such breach and the correctve measures proposed by Program Manager to remedy such breach. Program Manager shall disclose to Bank, as promptly as possible, any breach of the security of an individual’s personal, unencrypted informaton, as set forth under Applicable Law. Program Manager shall take acton(s) requested by Bank or a Card Associaton, if any, to mitgate such unauthorized disclosure.</w:t>
      </w:r>
    </w:p>
    <w:p>
      <w:pPr>
        <w:spacing w:after="0" w:line="125" w:lineRule="exact"/>
        <w:rPr>
          <w:rFonts w:ascii="Times New Roman" w:cs="Times New Roman" w:eastAsia="Times New Roman" w:hAnsi="Times New Roman"/>
          <w:sz w:val="16"/>
          <w:szCs w:val="16"/>
          <w:color w:val="auto"/>
        </w:rPr>
      </w:pPr>
    </w:p>
    <w:p>
      <w:pPr>
        <w:jc w:val="both"/>
        <w:ind w:left="760" w:firstLine="745"/>
        <w:spacing w:after="0" w:line="247"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agrees to ensure that any Agent, including a subcontractor, to whom it provides Cardholder Informaton received from, or created or received by Program Manager on behalf of Bank, agrees to the same restrictons and conditons that apply through this Secton 15 (Data Security) to Program Manager with respect to such informaton.</w:t>
      </w:r>
    </w:p>
    <w:p>
      <w:pPr>
        <w:spacing w:after="0" w:line="125" w:lineRule="exact"/>
        <w:rPr>
          <w:rFonts w:ascii="Times New Roman" w:cs="Times New Roman" w:eastAsia="Times New Roman" w:hAnsi="Times New Roman"/>
          <w:sz w:val="16"/>
          <w:szCs w:val="16"/>
          <w:color w:val="auto"/>
        </w:rPr>
      </w:pPr>
    </w:p>
    <w:p>
      <w:pPr>
        <w:jc w:val="both"/>
        <w:ind w:left="760" w:firstLine="745"/>
        <w:spacing w:after="0" w:line="248"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agrees to make its internal practces, books, and records, including policies, procedures and Cardholder Informaton, relatng to the use and disclosure of Cardholder Informaton available during normal business hours to Bank, or at the request of Bank to the Card Associaton or their respectve designees, in a tme and manner designated by Bank or the Card Associaton for purposes of determining Bank’s or Program Manager’s compliance with the PCI Requirements. Bank may, at its discreton and upon reasonable notce, conduct an on-site security audit and review of Program Manager’s security procedures and systems.</w:t>
      </w:r>
    </w:p>
    <w:p>
      <w:pPr>
        <w:spacing w:after="0" w:line="124" w:lineRule="exact"/>
        <w:rPr>
          <w:rFonts w:ascii="Times New Roman" w:cs="Times New Roman" w:eastAsia="Times New Roman" w:hAnsi="Times New Roman"/>
          <w:sz w:val="16"/>
          <w:szCs w:val="16"/>
          <w:color w:val="auto"/>
        </w:rPr>
      </w:pPr>
    </w:p>
    <w:p>
      <w:pPr>
        <w:jc w:val="both"/>
        <w:ind w:left="760" w:firstLine="745"/>
        <w:spacing w:after="0" w:line="247"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Without limitng any other provision of this Agreement, the Partes agree that this Secton 15 (Data Security) may be amended from tme to tme upon notce to Program Manager as is necessary for the Partes to comply with the PCI Requirements, and Applicable Law as they relate to Program Manager’s performance hereunder.</w:t>
      </w:r>
    </w:p>
    <w:p>
      <w:pPr>
        <w:spacing w:after="0" w:line="125" w:lineRule="exact"/>
        <w:rPr>
          <w:rFonts w:ascii="Times New Roman" w:cs="Times New Roman" w:eastAsia="Times New Roman" w:hAnsi="Times New Roman"/>
          <w:sz w:val="16"/>
          <w:szCs w:val="16"/>
          <w:color w:val="auto"/>
        </w:rPr>
      </w:pPr>
    </w:p>
    <w:p>
      <w:pPr>
        <w:jc w:val="both"/>
        <w:ind w:left="760" w:firstLine="745"/>
        <w:spacing w:after="0" w:line="247"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In the event of an inconsistency or confict between any terms of this Agreement other than Secton 15 and the terms of this Secton 15 (Data Security), this Secton 15 (Data Security) shall control any issues surrounding the PCI Requirements. Any such inconsistency or confict shall be resolved in favor of a meaning that permits Bank to comply with the PCI Requirements, Card Associaton rules and Applicable Law.</w:t>
      </w:r>
    </w:p>
    <w:p>
      <w:pPr>
        <w:spacing w:after="0" w:line="125" w:lineRule="exact"/>
        <w:rPr>
          <w:rFonts w:ascii="Times New Roman" w:cs="Times New Roman" w:eastAsia="Times New Roman" w:hAnsi="Times New Roman"/>
          <w:sz w:val="16"/>
          <w:szCs w:val="16"/>
          <w:color w:val="auto"/>
        </w:rPr>
      </w:pPr>
    </w:p>
    <w:p>
      <w:pPr>
        <w:jc w:val="both"/>
        <w:ind w:left="760" w:firstLine="745"/>
        <w:spacing w:after="0" w:line="247" w:lineRule="auto"/>
        <w:tabs>
          <w:tab w:leader="none" w:pos="2048" w:val="left"/>
        </w:tabs>
        <w:numPr>
          <w:ilvl w:val="1"/>
          <w:numId w:val="102"/>
        </w:numPr>
        <w:rPr>
          <w:rFonts w:ascii="Times New Roman" w:cs="Times New Roman" w:eastAsia="Times New Roman" w:hAnsi="Times New Roman"/>
          <w:sz w:val="16"/>
          <w:szCs w:val="16"/>
          <w:color w:val="auto"/>
        </w:rPr>
      </w:pPr>
      <w:r>
        <w:rPr>
          <w:rFonts w:ascii="Calibri" w:cs="Calibri" w:eastAsia="Calibri" w:hAnsi="Calibri"/>
          <w:sz w:val="16"/>
          <w:szCs w:val="16"/>
          <w:color w:val="auto"/>
        </w:rPr>
        <w:t>Without limitng any other provision of this Agreement, if Program Manager is required to disclose Cardholder Informaton in response to legal process or a governmental authority, Program Manager shall notfy Bank within two (2) Business Days and, upon request, cooperate with Bank in connecton with obtaining a protectve order, unless otherwise prohibited. Program Manager shall furnish only that</w:t>
      </w:r>
    </w:p>
    <w:p>
      <w:pPr>
        <w:spacing w:after="0" w:line="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12</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06" w:name="page107"/>
    <w:bookmarkEnd w:id="106"/>
    <w:p>
      <w:pPr>
        <w:ind w:left="760"/>
        <w:spacing w:after="0" w:line="246"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porton of the Cardholder Informaton, which it is legally required to disclose, and shall use commercially reasonable eforts to ensure that confdental treatment will be accorded such Cardholder Informaton.</w:t>
      </w:r>
    </w:p>
    <w:p>
      <w:pPr>
        <w:spacing w:after="0" w:line="126" w:lineRule="exact"/>
        <w:rPr>
          <w:sz w:val="20"/>
          <w:szCs w:val="20"/>
          <w:color w:val="auto"/>
        </w:rPr>
      </w:pPr>
    </w:p>
    <w:p>
      <w:pPr>
        <w:ind w:left="760" w:right="20" w:firstLine="745"/>
        <w:spacing w:after="0" w:line="246" w:lineRule="auto"/>
        <w:tabs>
          <w:tab w:leader="none" w:pos="2048" w:val="left"/>
        </w:tabs>
        <w:numPr>
          <w:ilvl w:val="1"/>
          <w:numId w:val="103"/>
        </w:numPr>
        <w:rPr>
          <w:rFonts w:ascii="Times New Roman" w:cs="Times New Roman" w:eastAsia="Times New Roman" w:hAnsi="Times New Roman"/>
          <w:sz w:val="16"/>
          <w:szCs w:val="16"/>
          <w:color w:val="auto"/>
        </w:rPr>
      </w:pPr>
      <w:r>
        <w:rPr>
          <w:rFonts w:ascii="Calibri" w:cs="Calibri" w:eastAsia="Calibri" w:hAnsi="Calibri"/>
          <w:sz w:val="16"/>
          <w:szCs w:val="16"/>
          <w:color w:val="auto"/>
        </w:rPr>
        <w:t>Without limitng any other provision of this Agreement, Program Manager shall comply with its obligatons under this Agreement and under any Applicable Law regarding the confdentality, use, and disclosure of Cardholder Informaton.</w:t>
      </w:r>
    </w:p>
    <w:p>
      <w:pPr>
        <w:spacing w:after="0" w:line="126" w:lineRule="exact"/>
        <w:rPr>
          <w:rFonts w:ascii="Times New Roman" w:cs="Times New Roman" w:eastAsia="Times New Roman" w:hAnsi="Times New Roman"/>
          <w:sz w:val="16"/>
          <w:szCs w:val="16"/>
          <w:color w:val="auto"/>
        </w:rPr>
      </w:pPr>
    </w:p>
    <w:p>
      <w:pPr>
        <w:jc w:val="both"/>
        <w:ind w:left="760" w:firstLine="745"/>
        <w:spacing w:after="0" w:line="246" w:lineRule="auto"/>
        <w:tabs>
          <w:tab w:leader="none" w:pos="2048" w:val="left"/>
        </w:tabs>
        <w:numPr>
          <w:ilvl w:val="1"/>
          <w:numId w:val="103"/>
        </w:numPr>
        <w:rPr>
          <w:rFonts w:ascii="Times New Roman" w:cs="Times New Roman" w:eastAsia="Times New Roman" w:hAnsi="Times New Roman"/>
          <w:sz w:val="16"/>
          <w:szCs w:val="16"/>
          <w:color w:val="auto"/>
        </w:rPr>
      </w:pPr>
      <w:r>
        <w:rPr>
          <w:rFonts w:ascii="Calibri" w:cs="Calibri" w:eastAsia="Calibri" w:hAnsi="Calibri"/>
          <w:sz w:val="16"/>
          <w:szCs w:val="16"/>
          <w:color w:val="auto"/>
        </w:rPr>
        <w:t>Without limitng any other provision of this Agreement, Program Manager will comply with the Gramm-Leach-Bliley Act, including providing, as may be required: (1) any required notfcatons to Cardholders in the event of unauthorized access to their non-public personal informaton; and</w:t>
      </w:r>
    </w:p>
    <w:p>
      <w:pPr>
        <w:spacing w:after="0" w:line="2"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104"/>
        </w:numPr>
        <w:rPr>
          <w:rFonts w:ascii="Calibri" w:cs="Calibri" w:eastAsia="Calibri" w:hAnsi="Calibri"/>
          <w:sz w:val="16"/>
          <w:szCs w:val="16"/>
          <w:color w:val="auto"/>
        </w:rPr>
      </w:pPr>
      <w:r>
        <w:rPr>
          <w:rFonts w:ascii="Calibri" w:cs="Calibri" w:eastAsia="Calibri" w:hAnsi="Calibri"/>
          <w:sz w:val="16"/>
          <w:szCs w:val="16"/>
          <w:color w:val="auto"/>
        </w:rPr>
        <w:t>an annual third-party certfcaton of system intrusion testng, and SOC 1 and SOC 2 reports.</w:t>
      </w:r>
    </w:p>
    <w:p>
      <w:pPr>
        <w:spacing w:after="0" w:line="117" w:lineRule="exact"/>
        <w:rPr>
          <w:sz w:val="20"/>
          <w:szCs w:val="20"/>
          <w:color w:val="auto"/>
        </w:rPr>
      </w:pPr>
    </w:p>
    <w:p>
      <w:pPr>
        <w:jc w:val="both"/>
        <w:ind w:firstLine="757"/>
        <w:spacing w:after="0" w:line="248" w:lineRule="auto"/>
        <w:tabs>
          <w:tab w:leader="none" w:pos="1069" w:val="left"/>
        </w:tabs>
        <w:numPr>
          <w:ilvl w:val="0"/>
          <w:numId w:val="105"/>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Cardholder Informaton</w:t>
      </w:r>
      <w:r>
        <w:rPr>
          <w:rFonts w:ascii="Calibri" w:cs="Calibri" w:eastAsia="Calibri" w:hAnsi="Calibri"/>
          <w:sz w:val="16"/>
          <w:szCs w:val="16"/>
          <w:color w:val="auto"/>
        </w:rPr>
        <w:t>. Program Manager acknowledges and agrees that “Non Public Personal Informaton” and “Personally Identfable Financial</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Informaton” (as defned in Sectons 1016.3(p) and (q) respectvely of the Consumer Financial Protecton Bureau rules on Privacy of Consumer Informaton published at 12 CFR Chapter X) about Bank’s customers and Cardholders (but excluding transacton data to the extent such informaton is not Non Public Personal Informaton and Personally Identfable Financial Informaton) shall be considered as confdental and proprietary informaton of Bank, and shall not be disclosed to or shared with any third party without prior writen consent of Bank or the Cardholder, except as necessary or useful for Program Manager to exercise its rights or perform its obligatons hereunder and in compliance with Secton 20 (Confdentality). Bank hereby grants Program Manager a non-exclusive, transferrable, worldwide right and license to use Cardholder Informaton to exercise its rights and perform its obligatons under this Agreement. Except as provided in, and subject to the limitatons stated herein, Program Manager will not compile, use, sell or otherwise distribute any lists of Bank’s customers/Cardholders nor use the names, account numbers or any other Non Public Personal Informaton and Personally Identfable Financial Informaton about customers or Cardholders to compile, use, sell or distribute lists or data for use by Program Manager, its Agents, subsidiaries or afliates, or by any third partes without the prior writen consent of Bank, which may not unreasonably withheld or delayed. Each Party will instruct its relevant employees, agents and contractors as to the confdentality of the Non Public Personal Informaton and Personally Identfable Financial Informaton and will not disclose any such Non Public Personal Informaton or Personally Identfable Financial Informaton to any third party or entty, except as necessary or useful to exercise its rights or perform its obligatons hereunder and in compliance with Secton 20 (Confdentality). Each Party also agrees that any disseminaton of the aforementoned confdental Non Public Informaton or Personally Identfable Financial Informaton within its own business entty and to agents and contractors shall be restricted to “a need to know basis” for the purpose of performance hereunder. Subject to Secton 19(d)(v)-(vi), all obligatons under this Secton 16 and undertakings relatng to Non Public Personal Informaton and Personally Identfable Financial Informaton shall survive the expiraton or terminaton of this Agreement for whatever reason.</w:t>
      </w:r>
    </w:p>
    <w:p>
      <w:pPr>
        <w:spacing w:after="0" w:line="321" w:lineRule="exact"/>
        <w:rPr>
          <w:sz w:val="20"/>
          <w:szCs w:val="20"/>
          <w:color w:val="auto"/>
        </w:rPr>
      </w:pPr>
    </w:p>
    <w:p>
      <w:pPr>
        <w:jc w:val="both"/>
        <w:spacing w:after="0" w:line="248" w:lineRule="auto"/>
        <w:rPr>
          <w:sz w:val="20"/>
          <w:szCs w:val="20"/>
          <w:color w:val="auto"/>
        </w:rPr>
      </w:pPr>
      <w:r>
        <w:rPr>
          <w:rFonts w:ascii="Calibri" w:cs="Calibri" w:eastAsia="Calibri" w:hAnsi="Calibri"/>
          <w:sz w:val="16"/>
          <w:szCs w:val="16"/>
          <w:color w:val="auto"/>
        </w:rPr>
        <w:t>All Aggregated De-identfed Data will be owned by Program Manager, and Bank acknowledges that Program Manager may use, store, analyze and disclose the Aggregated De-identfed Data (i) for its own internal, statstcal and trend analysis, (ii) to develop and improve its products and services, and (iii) to create and distribute data, reports and other materials regarding access and use of the Program. For clarity, nothing in this Secton 16 gives Program Manager the right to publicly identfy Bank as the source of any Aggregated De-identfed Data without Bank's prior writen approval. “Aggregated De-identfed Data” means Cardholder Informaton aggregated by Program Manager with other data such that the resultng data does not contain any informaton identfable or atributable to Bank or any natural person.</w:t>
      </w:r>
    </w:p>
    <w:p>
      <w:pPr>
        <w:spacing w:after="0" w:line="111" w:lineRule="exact"/>
        <w:rPr>
          <w:sz w:val="20"/>
          <w:szCs w:val="20"/>
          <w:color w:val="auto"/>
        </w:rPr>
      </w:pPr>
    </w:p>
    <w:p>
      <w:pPr>
        <w:jc w:val="both"/>
        <w:spacing w:after="0" w:line="248" w:lineRule="auto"/>
        <w:rPr>
          <w:sz w:val="20"/>
          <w:szCs w:val="20"/>
          <w:color w:val="auto"/>
        </w:rPr>
      </w:pPr>
      <w:r>
        <w:rPr>
          <w:rFonts w:ascii="Calibri" w:cs="Calibri" w:eastAsia="Calibri" w:hAnsi="Calibri"/>
          <w:sz w:val="16"/>
          <w:szCs w:val="16"/>
          <w:color w:val="auto"/>
        </w:rPr>
        <w:t>Bank acknowledges that Program Manager owns all Card-related transacton data that does not consttute Cardholder Data (as defned by PCI-DSS), including both informaton that is: (i) provided or made available by Program Manager under this Agreement, or (ii) generated through the Program which is derived from such data. For clarity, nothing will afect either Party’s rights with respect to informaton or data already in such Party’s possession or control or developed or collected by such Party outside the scope of this Agreement.</w:t>
      </w:r>
    </w:p>
    <w:p>
      <w:pPr>
        <w:spacing w:after="0" w:line="109" w:lineRule="exact"/>
        <w:rPr>
          <w:sz w:val="20"/>
          <w:szCs w:val="20"/>
          <w:color w:val="auto"/>
        </w:rPr>
      </w:pPr>
    </w:p>
    <w:p>
      <w:pPr>
        <w:ind w:left="1040" w:hanging="283"/>
        <w:spacing w:after="0"/>
        <w:tabs>
          <w:tab w:leader="none" w:pos="1040" w:val="left"/>
        </w:tabs>
        <w:numPr>
          <w:ilvl w:val="0"/>
          <w:numId w:val="106"/>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Indemnifcaton</w:t>
      </w:r>
      <w:r>
        <w:rPr>
          <w:rFonts w:ascii="Calibri" w:cs="Calibri" w:eastAsia="Calibri" w:hAnsi="Calibri"/>
          <w:sz w:val="16"/>
          <w:szCs w:val="16"/>
          <w:color w:val="auto"/>
        </w:rPr>
        <w:t>.</w:t>
      </w:r>
    </w:p>
    <w:p>
      <w:pPr>
        <w:spacing w:after="0" w:line="130" w:lineRule="exact"/>
        <w:rPr>
          <w:sz w:val="20"/>
          <w:szCs w:val="20"/>
          <w:color w:val="auto"/>
        </w:rPr>
      </w:pPr>
    </w:p>
    <w:p>
      <w:pPr>
        <w:jc w:val="both"/>
        <w:ind w:firstLine="757"/>
        <w:spacing w:after="0" w:line="248" w:lineRule="auto"/>
        <w:tabs>
          <w:tab w:leader="none" w:pos="1018" w:val="left"/>
        </w:tabs>
        <w:numPr>
          <w:ilvl w:val="1"/>
          <w:numId w:val="107"/>
        </w:numPr>
        <w:rPr>
          <w:rFonts w:ascii="Times New Roman" w:cs="Times New Roman" w:eastAsia="Times New Roman" w:hAnsi="Times New Roman"/>
          <w:sz w:val="16"/>
          <w:szCs w:val="16"/>
          <w:color w:val="auto"/>
        </w:rPr>
      </w:pPr>
      <w:r>
        <w:rPr>
          <w:rFonts w:ascii="Calibri" w:cs="Calibri" w:eastAsia="Calibri" w:hAnsi="Calibri"/>
          <w:sz w:val="16"/>
          <w:szCs w:val="16"/>
          <w:color w:val="auto"/>
        </w:rPr>
        <w:t>Bank agrees to indemnify and hold harmless Program Manager and its Afliates, and the ofcers, directors, members, employees, representatves, shareholders, agents and atorneys of such enttes (the “Program Manager Indemnifed Partes”) from and against any and all third party claims, actons, liability, judgments, damages, costs and expenses, including reasonable atorneys’ fees (“Losses”), that may arise from: (i) the gross negligence or willful misconduct of Bank or its agents or representatves (other than Program Manager or its Agents or assigns) in connecton with Bank’s performance of its obligatons under this Agreement, (ii) material breaches of any of Bank’s obligatons or undertakings or representatons or warrantes under the Program Documents (other than any breach resultng from Program Manager’s performance of Program Manager’s obligatons under the Program Documents) by Bank or its agents or representatves (other than Program Manager or its Agents or assigns), or (iii) violaton by Bank or its agents or representatves (other than Program Manager or its Agents or assigns) of any Applicable Law.</w:t>
      </w:r>
    </w:p>
    <w:p>
      <w:pPr>
        <w:spacing w:after="0" w:line="126"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1"/>
          <w:numId w:val="107"/>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agrees to indemnify, defend and hold harmless Bank and its Afliates, and the ofcers, directors, members, employees, representatves, shareholders, agents and atorneys of such enttes (the “Bank Indemnifed Partes”) from and against any and all Losses that may arise from: (i) the negligence or willful misconduct of Program Manager, or its Afliates, Agents or representatves (other than Bank or its agents or assigns (excluding Program Manager)), in connecton with Program Manager’s performance of its obligatons under this Agreement, (ii) breach of any of Program Manager’s obligatons or undertakings or representatons or warrantes under the Program Documents by Program Manager or its Afliates, Agents or representatves (other than Bank or its agents or assigns (excluding Program Manager)), including any failure to perform any obligatons of Bank which Program Manager has undertaken on behalf of Bank pursuant to the Program Documents, (iii) violaton by Program Manager, its Afliates or its Agents or representatves (other than Bank or its agents or assigns (excluding Program Manager)) of any Applicable Law;</w:t>
      </w:r>
    </w:p>
    <w:p>
      <w:pPr>
        <w:spacing w:after="0" w:line="4" w:lineRule="exact"/>
        <w:rPr>
          <w:rFonts w:ascii="Times New Roman" w:cs="Times New Roman" w:eastAsia="Times New Roman" w:hAnsi="Times New Roman"/>
          <w:sz w:val="16"/>
          <w:szCs w:val="16"/>
          <w:color w:val="auto"/>
        </w:rPr>
      </w:pPr>
    </w:p>
    <w:p>
      <w:pPr>
        <w:jc w:val="both"/>
        <w:ind w:firstLine="8"/>
        <w:spacing w:after="0" w:line="248" w:lineRule="auto"/>
        <w:tabs>
          <w:tab w:leader="none" w:pos="248" w:val="left"/>
        </w:tabs>
        <w:numPr>
          <w:ilvl w:val="0"/>
          <w:numId w:val="108"/>
        </w:numPr>
        <w:rPr>
          <w:rFonts w:ascii="Calibri" w:cs="Calibri" w:eastAsia="Calibri" w:hAnsi="Calibri"/>
          <w:sz w:val="16"/>
          <w:szCs w:val="16"/>
          <w:color w:val="auto"/>
        </w:rPr>
      </w:pPr>
      <w:r>
        <w:rPr>
          <w:rFonts w:ascii="Calibri" w:cs="Calibri" w:eastAsia="Calibri" w:hAnsi="Calibri"/>
          <w:sz w:val="16"/>
          <w:szCs w:val="16"/>
          <w:color w:val="auto"/>
        </w:rPr>
        <w:t>any fraudulent actvity related to an Account, including unauthorized use of the Account or Card; (iv) any inquiry specifcally relatng to Program Manager or its Agents or the Program by any law enforcement, regulatory, or administratve agency, whether local, state, or federal, or self-regulatory, including but not limited to a civil investgatve demand, subpoena, or any other formal or informal request for informaton or documents; or (v) any fnes or assessments by a Regulatory Authority or Card Associaton based on the actons or omissions of Program Manager.</w:t>
      </w:r>
    </w:p>
    <w:p>
      <w:pPr>
        <w:spacing w:after="0" w:line="1"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13</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07" w:name="page108"/>
    <w:bookmarkEnd w:id="107"/>
    <w:p>
      <w:pPr>
        <w:jc w:val="both"/>
        <w:ind w:left="-8" w:firstLine="757"/>
        <w:spacing w:after="0" w:line="248" w:lineRule="auto"/>
        <w:tabs>
          <w:tab w:leader="none" w:pos="1010" w:val="left"/>
        </w:tabs>
        <w:numPr>
          <w:ilvl w:val="0"/>
          <w:numId w:val="109"/>
        </w:numPr>
        <w:rPr>
          <w:rFonts w:ascii="Times New Roman" w:cs="Times New Roman" w:eastAsia="Times New Roman" w:hAnsi="Times New Roman"/>
          <w:sz w:val="16"/>
          <w:szCs w:val="16"/>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Program Manager Indemnifed Partes and Bank Indemnifed Partes are sometmes referred to herein as the “Indemnifed Partes”, and Program Manager or Bank, as indemnitor hereunder, is sometmes referred to herein as the “Indemnifying Party”. Any Indemnifed Party seeking indemnifcaton hereunder shall promptly notfy the Indemnifying Party, in writng, of any notce of the asserton by any third party of any claim or of the commencement by any third party of any legal or regulatory proceeding, arbitraton or acton, or if the Indemnifed Party determines the existence of any such claim or the commencement by any third party of any such legal or regulatory proceeding, arbitraton or acton, whether or not the same shall have been asserted or initated, in any case with respect to which the Indemnifying Party is or may be obligated to provide indemnifcaton (an “Indemnifable Claim”), specifying in reasonable detail the nature of the Loss, and, if known, the amount, or an estmate of the amount, of the Loss, provided that failure to promptly give such notce shall only limit the liability of the Indemnifying Party to the extent of the actual prejudice, if any, sufered by such Indemnifying Party as a result of such failure. The Indemnifed Party shall provide to the Indemnifying Party as promptly as practcable thereafer informaton and documentaton reasonably requested by such Indemnifying Party to defend against the claim asserted.</w:t>
      </w:r>
    </w:p>
    <w:p>
      <w:pPr>
        <w:spacing w:after="0" w:line="127" w:lineRule="exact"/>
        <w:rPr>
          <w:rFonts w:ascii="Times New Roman" w:cs="Times New Roman" w:eastAsia="Times New Roman" w:hAnsi="Times New Roman"/>
          <w:sz w:val="16"/>
          <w:szCs w:val="16"/>
          <w:color w:val="auto"/>
        </w:rPr>
      </w:pPr>
    </w:p>
    <w:p>
      <w:pPr>
        <w:jc w:val="both"/>
        <w:ind w:left="-8" w:firstLine="757"/>
        <w:spacing w:after="0" w:line="248" w:lineRule="auto"/>
        <w:tabs>
          <w:tab w:leader="none" w:pos="1010" w:val="left"/>
        </w:tabs>
        <w:numPr>
          <w:ilvl w:val="0"/>
          <w:numId w:val="109"/>
        </w:numPr>
        <w:rPr>
          <w:rFonts w:ascii="Times New Roman" w:cs="Times New Roman" w:eastAsia="Times New Roman" w:hAnsi="Times New Roman"/>
          <w:sz w:val="16"/>
          <w:szCs w:val="16"/>
          <w:color w:val="auto"/>
        </w:rPr>
      </w:pPr>
      <w:r>
        <w:rPr>
          <w:rFonts w:ascii="Calibri" w:cs="Calibri" w:eastAsia="Calibri" w:hAnsi="Calibri"/>
          <w:sz w:val="16"/>
          <w:szCs w:val="16"/>
          <w:color w:val="auto"/>
        </w:rPr>
        <w:t>The Indemnifying Party shall have thirty (30) days afer receipt of any notfcaton of an Indemnifable Claim (a “Claim Notce”) to undertake, conduct and control, through counsel of its own choosing, and at its own expense, the setlement or defense thereof and the Indemnifed Party shall cooperate with the Indemnifying Party in connecton therewith if such cooperaton is so requested and the request is reasonable; provided that the Indemnifying Party shall hold the Indemnifed Party harmless from all its out-of-pocket expenses, including reasonable atorneys’ fees incurred in connecton with the Indemnifed Party’s cooperaton. If the Indemnifying Party assumes responsibility for the setlement or defense of any such claim, (i) the Indemnifying Party shall permit the Indemnifed Party to partcipate in such setlement or defense through counsel chosen by the Indemnifed Party (subject to the consent of the Indemnifying Party, which consent shall not be unreasonably withheld); provided that, other than in the event of a confict of interest requiring the retenton of separate counsel, the fees and expenses of such counsel shall not be borne by the Indemnifying Party; and (ii) the Indemnifying Party shall not setle any Indemnifable Claim without the Indemnifed Party’s consent, which involves anything other than the payment of money, including any admission by the Indemnifed Party. So long as the Indemnifying Party is vigorously contestng any such Indemnifable Claim in good faith, the Indemnifed Party shall not pay or setle such claim without the Indemnifying Party’s consent.</w:t>
      </w:r>
    </w:p>
    <w:p>
      <w:pPr>
        <w:spacing w:after="0" w:line="128" w:lineRule="exact"/>
        <w:rPr>
          <w:rFonts w:ascii="Times New Roman" w:cs="Times New Roman" w:eastAsia="Times New Roman" w:hAnsi="Times New Roman"/>
          <w:sz w:val="16"/>
          <w:szCs w:val="16"/>
          <w:color w:val="auto"/>
        </w:rPr>
      </w:pPr>
    </w:p>
    <w:p>
      <w:pPr>
        <w:jc w:val="both"/>
        <w:ind w:left="-8" w:firstLine="757"/>
        <w:spacing w:after="0" w:line="248" w:lineRule="auto"/>
        <w:tabs>
          <w:tab w:leader="none" w:pos="1010" w:val="left"/>
        </w:tabs>
        <w:numPr>
          <w:ilvl w:val="0"/>
          <w:numId w:val="109"/>
        </w:numPr>
        <w:rPr>
          <w:rFonts w:ascii="Times New Roman" w:cs="Times New Roman" w:eastAsia="Times New Roman" w:hAnsi="Times New Roman"/>
          <w:sz w:val="16"/>
          <w:szCs w:val="16"/>
          <w:color w:val="auto"/>
        </w:rPr>
      </w:pPr>
      <w:r>
        <w:rPr>
          <w:rFonts w:ascii="Calibri" w:cs="Calibri" w:eastAsia="Calibri" w:hAnsi="Calibri"/>
          <w:sz w:val="16"/>
          <w:szCs w:val="16"/>
          <w:color w:val="auto"/>
        </w:rPr>
        <w:t>If the Indemnifying Party does not notfy the Indemnifed Party within thirty (30) days afer receipt of the Claim Notce that it elects to undertake the defense of the Indemnifable Claim described therein, or if the Indemnifying Party fails to contest vigorously any such Indemnifable Claim, the Indemnifed Party shall have the right, upon notce to the Indemnifying Party, to contest, setle or compromise the Indemnifable Claim in the exercise of its reasonable discreton; provided that the Indemnifed Party shall notfy the Indemnifying Party of any compromise or setlement of any such Indemnifable Claim. No acton taken by the Indemnifed Party pursuant to this Secton 17(e) shall deprive the Indemnifed Party of its rights to indemnifcaton pursuant to this Secton 17 (Indemnifcaton).</w:t>
      </w:r>
    </w:p>
    <w:p>
      <w:pPr>
        <w:spacing w:after="0" w:line="110" w:lineRule="exact"/>
        <w:rPr>
          <w:sz w:val="20"/>
          <w:szCs w:val="20"/>
          <w:color w:val="auto"/>
        </w:rPr>
      </w:pPr>
    </w:p>
    <w:p>
      <w:pPr>
        <w:ind w:left="1032" w:hanging="283"/>
        <w:spacing w:after="0"/>
        <w:tabs>
          <w:tab w:leader="none" w:pos="1032" w:val="left"/>
        </w:tabs>
        <w:numPr>
          <w:ilvl w:val="0"/>
          <w:numId w:val="110"/>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Limitaton of Liability</w:t>
      </w:r>
      <w:r>
        <w:rPr>
          <w:rFonts w:ascii="Calibri" w:cs="Calibri" w:eastAsia="Calibri" w:hAnsi="Calibri"/>
          <w:sz w:val="16"/>
          <w:szCs w:val="16"/>
          <w:color w:val="auto"/>
        </w:rPr>
        <w:t>.</w:t>
      </w:r>
    </w:p>
    <w:p>
      <w:pPr>
        <w:spacing w:after="0" w:line="130" w:lineRule="exact"/>
        <w:rPr>
          <w:sz w:val="20"/>
          <w:szCs w:val="20"/>
          <w:color w:val="auto"/>
        </w:rPr>
      </w:pPr>
    </w:p>
    <w:p>
      <w:pPr>
        <w:jc w:val="both"/>
        <w:ind w:left="-8" w:firstLine="757"/>
        <w:spacing w:after="0" w:line="248" w:lineRule="auto"/>
        <w:tabs>
          <w:tab w:leader="none" w:pos="1010" w:val="left"/>
        </w:tabs>
        <w:numPr>
          <w:ilvl w:val="0"/>
          <w:numId w:val="111"/>
        </w:numPr>
        <w:rPr>
          <w:rFonts w:ascii="Times New Roman" w:cs="Times New Roman" w:eastAsia="Times New Roman" w:hAnsi="Times New Roman"/>
          <w:sz w:val="16"/>
          <w:szCs w:val="16"/>
          <w:color w:val="auto"/>
        </w:rPr>
      </w:pPr>
      <w:r>
        <w:rPr>
          <w:rFonts w:ascii="Calibri" w:cs="Calibri" w:eastAsia="Calibri" w:hAnsi="Calibri"/>
          <w:sz w:val="16"/>
          <w:szCs w:val="16"/>
          <w:color w:val="auto"/>
        </w:rPr>
        <w:t>No Special Damages. No Party shall be liable to any other Party for any special, indirect, incidental, consequental, punitve or exemplary damages, including, but not limited to, lost profts, even if such Party has knowledge of the possibility of such damages; provided, however, that the limitatons set forth in this Secton 18 shall not apply to or in any way limit a claim that arises out of a Party’s gross negligence, willful misconduct or fraud and shall not apply to or in any way limit the obligatons of a Party to indemnify another Party for third party claims which are otherwise covered by the indemnity obligatons under this Agreement.</w:t>
      </w:r>
    </w:p>
    <w:p>
      <w:pPr>
        <w:spacing w:after="0" w:line="124" w:lineRule="exact"/>
        <w:rPr>
          <w:rFonts w:ascii="Times New Roman" w:cs="Times New Roman" w:eastAsia="Times New Roman" w:hAnsi="Times New Roman"/>
          <w:sz w:val="16"/>
          <w:szCs w:val="16"/>
          <w:color w:val="auto"/>
        </w:rPr>
      </w:pPr>
    </w:p>
    <w:p>
      <w:pPr>
        <w:jc w:val="both"/>
        <w:ind w:left="-8" w:firstLine="757"/>
        <w:spacing w:after="0" w:line="248" w:lineRule="auto"/>
        <w:tabs>
          <w:tab w:leader="none" w:pos="1010" w:val="left"/>
        </w:tabs>
        <w:numPr>
          <w:ilvl w:val="0"/>
          <w:numId w:val="111"/>
        </w:numPr>
        <w:rPr>
          <w:rFonts w:ascii="Times New Roman" w:cs="Times New Roman" w:eastAsia="Times New Roman" w:hAnsi="Times New Roman"/>
          <w:sz w:val="16"/>
          <w:szCs w:val="16"/>
          <w:color w:val="auto"/>
        </w:rPr>
      </w:pPr>
      <w:r>
        <w:rPr>
          <w:rFonts w:ascii="Calibri" w:cs="Calibri" w:eastAsia="Calibri" w:hAnsi="Calibri"/>
          <w:sz w:val="16"/>
          <w:szCs w:val="16"/>
          <w:color w:val="auto"/>
        </w:rPr>
        <w:t xml:space="preserve">Subject to Secton 18(a), the maximum aggregate liability of Bank to Program Manager for all claims arising out of or relatng to this Agreement, regardless of the form of any such claim, shall not exceed [**]; provided, however, Bank shall have no liability under this Agreement for any claim or causes of acton that may arise from a set of facts or circumstances that gives rise to liability to Bank under the Bank Services Agreement. For the avoidance of doubt, Program Manager may not recover costs or liability against Bank based on a common set of facts or circumstances under both this Agreement and the Bank Services Agreement. Notwithstanding anything to the contrary, Bank’s maximum aggregate liability for all claims arising out of or relatng to this Agreement </w:t>
      </w:r>
      <w:r>
        <w:rPr>
          <w:rFonts w:ascii="Calibri" w:cs="Calibri" w:eastAsia="Calibri" w:hAnsi="Calibri"/>
          <w:sz w:val="16"/>
          <w:szCs w:val="16"/>
          <w:u w:val="single" w:color="auto"/>
          <w:color w:val="auto"/>
        </w:rPr>
        <w:t>and</w:t>
      </w:r>
      <w:r>
        <w:rPr>
          <w:rFonts w:ascii="Calibri" w:cs="Calibri" w:eastAsia="Calibri" w:hAnsi="Calibri"/>
          <w:sz w:val="16"/>
          <w:szCs w:val="16"/>
          <w:color w:val="auto"/>
        </w:rPr>
        <w:t xml:space="preserve"> the Bank Services Agreement shall not exceed [**].</w:t>
      </w:r>
    </w:p>
    <w:p>
      <w:pPr>
        <w:spacing w:after="0" w:line="124" w:lineRule="exact"/>
        <w:rPr>
          <w:rFonts w:ascii="Times New Roman" w:cs="Times New Roman" w:eastAsia="Times New Roman" w:hAnsi="Times New Roman"/>
          <w:sz w:val="16"/>
          <w:szCs w:val="16"/>
          <w:color w:val="auto"/>
        </w:rPr>
      </w:pPr>
    </w:p>
    <w:p>
      <w:pPr>
        <w:jc w:val="both"/>
        <w:ind w:left="-8" w:firstLine="757"/>
        <w:spacing w:after="0" w:line="247" w:lineRule="auto"/>
        <w:tabs>
          <w:tab w:leader="none" w:pos="1010" w:val="left"/>
        </w:tabs>
        <w:numPr>
          <w:ilvl w:val="0"/>
          <w:numId w:val="111"/>
        </w:numPr>
        <w:rPr>
          <w:rFonts w:ascii="Times New Roman" w:cs="Times New Roman" w:eastAsia="Times New Roman" w:hAnsi="Times New Roman"/>
          <w:sz w:val="16"/>
          <w:szCs w:val="16"/>
          <w:color w:val="auto"/>
        </w:rPr>
      </w:pPr>
      <w:r>
        <w:rPr>
          <w:rFonts w:ascii="Calibri" w:cs="Calibri" w:eastAsia="Calibri" w:hAnsi="Calibri"/>
          <w:sz w:val="16"/>
          <w:szCs w:val="16"/>
          <w:color w:val="auto"/>
        </w:rPr>
        <w:t>Disclaimers of Warrantes. Except for the express warrantes contained in this Agreement, the Partes specifcally disclaim all warrantes of any kind, express or implied, arising out of or related to this Agreement, including without limitaton, any warranty of marketability, ftness for a partcular purpose or non-infringement, each of which is hereby excluded by agreement of the Partes.</w:t>
      </w:r>
    </w:p>
    <w:p>
      <w:pPr>
        <w:spacing w:after="0" w:line="111" w:lineRule="exact"/>
        <w:rPr>
          <w:sz w:val="20"/>
          <w:szCs w:val="20"/>
          <w:color w:val="auto"/>
        </w:rPr>
      </w:pPr>
    </w:p>
    <w:p>
      <w:pPr>
        <w:ind w:left="1032" w:hanging="283"/>
        <w:spacing w:after="0"/>
        <w:tabs>
          <w:tab w:leader="none" w:pos="1032" w:val="left"/>
        </w:tabs>
        <w:numPr>
          <w:ilvl w:val="0"/>
          <w:numId w:val="112"/>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Term and Terminaton</w:t>
      </w:r>
      <w:r>
        <w:rPr>
          <w:rFonts w:ascii="Calibri" w:cs="Calibri" w:eastAsia="Calibri" w:hAnsi="Calibri"/>
          <w:sz w:val="16"/>
          <w:szCs w:val="16"/>
          <w:color w:val="auto"/>
        </w:rPr>
        <w:t>.</w:t>
      </w:r>
    </w:p>
    <w:p>
      <w:pPr>
        <w:spacing w:after="0" w:line="130" w:lineRule="exact"/>
        <w:rPr>
          <w:sz w:val="20"/>
          <w:szCs w:val="20"/>
          <w:color w:val="auto"/>
        </w:rPr>
      </w:pPr>
    </w:p>
    <w:p>
      <w:pPr>
        <w:jc w:val="both"/>
        <w:ind w:left="-8" w:firstLine="757"/>
        <w:spacing w:after="0" w:line="247" w:lineRule="auto"/>
        <w:tabs>
          <w:tab w:leader="none" w:pos="1010" w:val="left"/>
        </w:tabs>
        <w:numPr>
          <w:ilvl w:val="1"/>
          <w:numId w:val="113"/>
        </w:numPr>
        <w:rPr>
          <w:rFonts w:ascii="Times New Roman" w:cs="Times New Roman" w:eastAsia="Times New Roman" w:hAnsi="Times New Roman"/>
          <w:sz w:val="16"/>
          <w:szCs w:val="16"/>
          <w:color w:val="auto"/>
        </w:rPr>
      </w:pPr>
      <w:r>
        <w:rPr>
          <w:rFonts w:ascii="Calibri" w:cs="Calibri" w:eastAsia="Calibri" w:hAnsi="Calibri"/>
          <w:sz w:val="16"/>
          <w:szCs w:val="16"/>
          <w:color w:val="auto"/>
        </w:rPr>
        <w:t>This Agreement shall take efect on the Efectve Date and contnue untl the second (2nd) anniversary of the Efectve Date (the “Inital Term”) and shall renew automatcally for successive additonal terms of one (1) year each (each, a “Renewal Term”), unless Program Manager notfes Bank of non-renewal at least one hundred and eighty (180) days prior to the end of the Inital Term or any Renewal Term or Bank notfes Program Manager of non-renewal at least one hundred and eighty</w:t>
      </w:r>
    </w:p>
    <w:p>
      <w:pPr>
        <w:spacing w:after="0" w:line="2" w:lineRule="exact"/>
        <w:rPr>
          <w:rFonts w:ascii="Times New Roman" w:cs="Times New Roman" w:eastAsia="Times New Roman" w:hAnsi="Times New Roman"/>
          <w:sz w:val="16"/>
          <w:szCs w:val="16"/>
          <w:color w:val="auto"/>
        </w:rPr>
      </w:pPr>
    </w:p>
    <w:p>
      <w:pPr>
        <w:ind w:left="372" w:hanging="372"/>
        <w:spacing w:after="0"/>
        <w:tabs>
          <w:tab w:leader="none" w:pos="372" w:val="left"/>
        </w:tabs>
        <w:numPr>
          <w:ilvl w:val="0"/>
          <w:numId w:val="114"/>
        </w:numPr>
        <w:rPr>
          <w:rFonts w:ascii="Calibri" w:cs="Calibri" w:eastAsia="Calibri" w:hAnsi="Calibri"/>
          <w:sz w:val="16"/>
          <w:szCs w:val="16"/>
          <w:color w:val="auto"/>
        </w:rPr>
      </w:pPr>
      <w:r>
        <w:rPr>
          <w:rFonts w:ascii="Calibri" w:cs="Calibri" w:eastAsia="Calibri" w:hAnsi="Calibri"/>
          <w:sz w:val="16"/>
          <w:szCs w:val="16"/>
          <w:color w:val="auto"/>
        </w:rPr>
        <w:t>days prior to the end of the Inital Term or any Renewal Term (together, the “Term”).</w:t>
      </w:r>
    </w:p>
    <w:p>
      <w:pPr>
        <w:spacing w:after="0" w:line="115" w:lineRule="exact"/>
        <w:rPr>
          <w:rFonts w:ascii="Calibri" w:cs="Calibri" w:eastAsia="Calibri" w:hAnsi="Calibri"/>
          <w:sz w:val="16"/>
          <w:szCs w:val="16"/>
          <w:color w:val="auto"/>
        </w:rPr>
      </w:pPr>
    </w:p>
    <w:p>
      <w:pPr>
        <w:ind w:left="1032" w:hanging="283"/>
        <w:spacing w:after="0"/>
        <w:tabs>
          <w:tab w:leader="none" w:pos="1032" w:val="left"/>
        </w:tabs>
        <w:numPr>
          <w:ilvl w:val="1"/>
          <w:numId w:val="114"/>
        </w:numPr>
        <w:rPr>
          <w:rFonts w:ascii="Calibri" w:cs="Calibri" w:eastAsia="Calibri" w:hAnsi="Calibri"/>
          <w:sz w:val="16"/>
          <w:szCs w:val="16"/>
          <w:color w:val="auto"/>
        </w:rPr>
      </w:pPr>
      <w:r>
        <w:rPr>
          <w:rFonts w:ascii="Calibri" w:cs="Calibri" w:eastAsia="Calibri" w:hAnsi="Calibri"/>
          <w:sz w:val="16"/>
          <w:szCs w:val="16"/>
          <w:color w:val="auto"/>
        </w:rPr>
        <w:t>Terminaton For Cause.</w:t>
      </w:r>
    </w:p>
    <w:p>
      <w:pPr>
        <w:spacing w:after="0" w:line="116" w:lineRule="exact"/>
        <w:rPr>
          <w:rFonts w:ascii="Calibri" w:cs="Calibri" w:eastAsia="Calibri" w:hAnsi="Calibri"/>
          <w:sz w:val="16"/>
          <w:szCs w:val="16"/>
          <w:color w:val="auto"/>
        </w:rPr>
      </w:pPr>
    </w:p>
    <w:p>
      <w:pPr>
        <w:jc w:val="both"/>
        <w:ind w:left="752" w:firstLine="745"/>
        <w:spacing w:after="0" w:line="246" w:lineRule="auto"/>
        <w:tabs>
          <w:tab w:leader="none" w:pos="1794" w:val="left"/>
        </w:tabs>
        <w:numPr>
          <w:ilvl w:val="2"/>
          <w:numId w:val="114"/>
        </w:numPr>
        <w:rPr>
          <w:rFonts w:ascii="Calibri" w:cs="Calibri" w:eastAsia="Calibri" w:hAnsi="Calibri"/>
          <w:sz w:val="16"/>
          <w:szCs w:val="16"/>
          <w:color w:val="auto"/>
        </w:rPr>
      </w:pPr>
      <w:r>
        <w:rPr>
          <w:rFonts w:ascii="Calibri" w:cs="Calibri" w:eastAsia="Calibri" w:hAnsi="Calibri"/>
          <w:sz w:val="16"/>
          <w:szCs w:val="16"/>
          <w:color w:val="auto"/>
        </w:rPr>
        <w:t>Except as otherwise provided in this Agreement, if either Party materially breaches a material term of this Agreement, the non-breaching Party may terminate this Agreement by giving notce, as provided in Secton 38 (Notce), to the breaching Party. This notce will: (1) describe the material breach; and</w:t>
      </w:r>
    </w:p>
    <w:p>
      <w:pPr>
        <w:spacing w:after="0" w:line="4" w:lineRule="exact"/>
        <w:rPr>
          <w:rFonts w:ascii="Calibri" w:cs="Calibri" w:eastAsia="Calibri" w:hAnsi="Calibri"/>
          <w:sz w:val="16"/>
          <w:szCs w:val="16"/>
          <w:color w:val="auto"/>
        </w:rPr>
      </w:pPr>
    </w:p>
    <w:p>
      <w:pPr>
        <w:jc w:val="both"/>
        <w:ind w:left="752"/>
        <w:spacing w:after="0" w:line="248" w:lineRule="auto"/>
        <w:rPr>
          <w:rFonts w:ascii="Calibri" w:cs="Calibri" w:eastAsia="Calibri" w:hAnsi="Calibri"/>
          <w:sz w:val="16"/>
          <w:szCs w:val="16"/>
          <w:color w:val="auto"/>
        </w:rPr>
      </w:pPr>
      <w:r>
        <w:rPr>
          <w:rFonts w:ascii="Calibri" w:cs="Calibri" w:eastAsia="Calibri" w:hAnsi="Calibri"/>
          <w:sz w:val="16"/>
          <w:szCs w:val="16"/>
          <w:color w:val="auto"/>
        </w:rPr>
        <w:t>(2) state the Party’s intenton to terminate this Agreement. If the breaching Party does not cure or substantally cure its material breach within ffeen (15) Business Days (or a shorter period if required by Applicable Law) afer receipt of notce as described in this Secton 19 (the “Cure Period”), then the non-breaching Party may immediately terminate this Agreement by giving notce at any tme following the end of such Cure Period; provided, however, that if such breach by Program Manager is not capable of being cured or substantally cured within such ffeen (15) Business Day period, then the tme period for curing or substantally curing such breach may be extended by Bank in its sole discreton so long as Program Manager contnues to diligently pursue such cure using commercially reasonable</w:t>
      </w:r>
    </w:p>
    <w:p>
      <w:pPr>
        <w:spacing w:after="0" w:line="204" w:lineRule="exact"/>
        <w:rPr>
          <w:sz w:val="20"/>
          <w:szCs w:val="20"/>
          <w:color w:val="auto"/>
        </w:rPr>
      </w:pPr>
    </w:p>
    <w:p>
      <w:pPr>
        <w:ind w:left="9832"/>
        <w:spacing w:after="0"/>
        <w:tabs>
          <w:tab w:leader="none" w:pos="10112" w:val="left"/>
        </w:tabs>
        <w:rPr>
          <w:sz w:val="20"/>
          <w:szCs w:val="20"/>
          <w:color w:val="auto"/>
        </w:rPr>
      </w:pPr>
      <w:r>
        <w:rPr>
          <w:rFonts w:ascii="Calibri" w:cs="Calibri" w:eastAsia="Calibri" w:hAnsi="Calibri"/>
          <w:sz w:val="16"/>
          <w:szCs w:val="16"/>
          <w:color w:val="auto"/>
        </w:rPr>
        <w:t>14</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467360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82" w:right="339" w:bottom="1440" w:gutter="0" w:footer="0" w:header="0"/>
        </w:sectPr>
      </w:pPr>
    </w:p>
    <w:bookmarkStart w:id="108" w:name="page109"/>
    <w:bookmarkEnd w:id="108"/>
    <w:p>
      <w:pPr>
        <w:ind w:left="3"/>
        <w:spacing w:after="0"/>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eforts. Neither Party will be held in breach for failure to perform under this Agreement if such failure is due to compliance with Applicable Law.</w:t>
      </w:r>
    </w:p>
    <w:p>
      <w:pPr>
        <w:spacing w:after="0" w:line="117" w:lineRule="exact"/>
        <w:rPr>
          <w:sz w:val="20"/>
          <w:szCs w:val="20"/>
          <w:color w:val="auto"/>
        </w:rPr>
      </w:pPr>
    </w:p>
    <w:p>
      <w:pPr>
        <w:jc w:val="both"/>
        <w:ind w:left="3" w:firstLine="745"/>
        <w:spacing w:after="0" w:line="248" w:lineRule="auto"/>
        <w:tabs>
          <w:tab w:leader="none" w:pos="1045"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Either Party may terminate this Agreement on the efectve date of any change in the legal or regulatory requirements applicable to the Program, or in the Card Associaton rules applicable to the Program, that: (1) has a substantal negatve impact on the fnancial burdens or rewards of the terminatng Party with respect to the Program, which the non-terminatng Party is unwilling or unable to accommodate; or (2) would render performance of a material obligaton of the terminatng Party hereunder a violaton of the Card Associaton rules, or illegal or otherwise subject to legal challenge, unless performance of such material obligaton is waived by the non-terminatng Party. The terminatng Party will notfy the other Party of such change within ten (10) Business Days of becoming aware of such change.</w:t>
      </w:r>
    </w:p>
    <w:p>
      <w:pPr>
        <w:spacing w:after="0" w:line="112" w:lineRule="exact"/>
        <w:rPr>
          <w:rFonts w:ascii="Calibri" w:cs="Calibri" w:eastAsia="Calibri" w:hAnsi="Calibri"/>
          <w:sz w:val="16"/>
          <w:szCs w:val="16"/>
          <w:color w:val="auto"/>
        </w:rPr>
      </w:pPr>
    </w:p>
    <w:p>
      <w:pPr>
        <w:ind w:left="3" w:firstLine="745"/>
        <w:spacing w:after="0" w:line="246" w:lineRule="auto"/>
        <w:tabs>
          <w:tab w:leader="none" w:pos="1045"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Either Party may terminate this Agreement upon writen notce to the other Party if the other Party becomes Insolvent or bankrupt or becomes subject to a receivership proceeding.</w:t>
      </w:r>
    </w:p>
    <w:p>
      <w:pPr>
        <w:spacing w:after="0" w:line="112" w:lineRule="exact"/>
        <w:rPr>
          <w:rFonts w:ascii="Calibri" w:cs="Calibri" w:eastAsia="Calibri" w:hAnsi="Calibri"/>
          <w:sz w:val="16"/>
          <w:szCs w:val="16"/>
          <w:color w:val="auto"/>
        </w:rPr>
      </w:pPr>
    </w:p>
    <w:p>
      <w:pPr>
        <w:jc w:val="both"/>
        <w:ind w:left="3" w:firstLine="745"/>
        <w:spacing w:after="0" w:line="248" w:lineRule="auto"/>
        <w:tabs>
          <w:tab w:leader="none" w:pos="1045"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Either Party may terminate this Agreement upon ffeen (15) Business Days’ advance writen notce to the other Party of such intent to terminate if, at any tme during the Term of this Agreement, the other party is conductng actvites that the terminatng Party reasonably determines are materially harmful to relatonships with its federal or state supervisory or law enforcement agencies; provided that the terminatng Party promptly notfes the other Party of such actvity, provides evidence of such actvity, and the other Party does not cure such actvity to the terminatng Party’s sole and reasonable satsfacton within ffeen (15) Business Days of notfcaton to the terminatng Party.</w:t>
      </w:r>
    </w:p>
    <w:p>
      <w:pPr>
        <w:spacing w:after="0" w:line="109" w:lineRule="exact"/>
        <w:rPr>
          <w:rFonts w:ascii="Calibri" w:cs="Calibri" w:eastAsia="Calibri" w:hAnsi="Calibri"/>
          <w:sz w:val="16"/>
          <w:szCs w:val="16"/>
          <w:color w:val="auto"/>
        </w:rPr>
      </w:pPr>
    </w:p>
    <w:p>
      <w:pPr>
        <w:ind w:left="1043" w:hanging="295"/>
        <w:spacing w:after="0"/>
        <w:tabs>
          <w:tab w:leader="none" w:pos="1043"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Either Party may terminate this Agreement as permited by Sectons 27 (Agreement Subject to Applicable Laws) or 43 (Force Majeure).</w:t>
      </w:r>
    </w:p>
    <w:p>
      <w:pPr>
        <w:spacing w:after="0" w:line="115" w:lineRule="exact"/>
        <w:rPr>
          <w:rFonts w:ascii="Calibri" w:cs="Calibri" w:eastAsia="Calibri" w:hAnsi="Calibri"/>
          <w:sz w:val="16"/>
          <w:szCs w:val="16"/>
          <w:color w:val="auto"/>
        </w:rPr>
      </w:pPr>
    </w:p>
    <w:p>
      <w:pPr>
        <w:ind w:left="1043" w:hanging="295"/>
        <w:spacing w:after="0"/>
        <w:tabs>
          <w:tab w:leader="none" w:pos="1043"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Either Party may terminate this Agreement in the event of an act of fraud or willful misconduct of the other Party.</w:t>
      </w:r>
    </w:p>
    <w:p>
      <w:pPr>
        <w:spacing w:after="0" w:line="117" w:lineRule="exact"/>
        <w:rPr>
          <w:rFonts w:ascii="Calibri" w:cs="Calibri" w:eastAsia="Calibri" w:hAnsi="Calibri"/>
          <w:sz w:val="16"/>
          <w:szCs w:val="16"/>
          <w:color w:val="auto"/>
        </w:rPr>
      </w:pPr>
    </w:p>
    <w:p>
      <w:pPr>
        <w:jc w:val="both"/>
        <w:ind w:left="3" w:firstLine="745"/>
        <w:spacing w:after="0" w:line="248" w:lineRule="auto"/>
        <w:tabs>
          <w:tab w:leader="none" w:pos="1045"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Bank may immediately suspend any services under this Agreement in the event of: (1) any failure by Program Manager to remain PCI Compliant as provided in this Agreement, to the extent applicable; or (2) any failure by Program Manager to remit to Bank the Setlement Amount or maintain account balances in accordance with Sectons 29 (Program Manager Reserve Account) or 30 (Program Manager Revenue Account) of this Agreement, subject to applicable cure periods.</w:t>
      </w:r>
    </w:p>
    <w:p>
      <w:pPr>
        <w:spacing w:after="0" w:line="110" w:lineRule="exact"/>
        <w:rPr>
          <w:rFonts w:ascii="Calibri" w:cs="Calibri" w:eastAsia="Calibri" w:hAnsi="Calibri"/>
          <w:sz w:val="16"/>
          <w:szCs w:val="16"/>
          <w:color w:val="auto"/>
        </w:rPr>
      </w:pPr>
    </w:p>
    <w:p>
      <w:pPr>
        <w:ind w:left="3" w:firstLine="745"/>
        <w:spacing w:after="0" w:line="246" w:lineRule="auto"/>
        <w:tabs>
          <w:tab w:leader="none" w:pos="1338"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Bank may terminate this Agreement without liability if Program Manager materially breaches this Agreement on three (3) or more separate occasions within twelve (12) consecutve months.</w:t>
      </w:r>
    </w:p>
    <w:p>
      <w:pPr>
        <w:spacing w:after="0" w:line="112" w:lineRule="exact"/>
        <w:rPr>
          <w:rFonts w:ascii="Calibri" w:cs="Calibri" w:eastAsia="Calibri" w:hAnsi="Calibri"/>
          <w:sz w:val="16"/>
          <w:szCs w:val="16"/>
          <w:color w:val="auto"/>
        </w:rPr>
      </w:pPr>
    </w:p>
    <w:p>
      <w:pPr>
        <w:jc w:val="both"/>
        <w:ind w:left="3" w:firstLine="745"/>
        <w:spacing w:after="0" w:line="248" w:lineRule="auto"/>
        <w:tabs>
          <w:tab w:leader="none" w:pos="1045" w:val="left"/>
        </w:tabs>
        <w:numPr>
          <w:ilvl w:val="1"/>
          <w:numId w:val="115"/>
        </w:numPr>
        <w:rPr>
          <w:rFonts w:ascii="Calibri" w:cs="Calibri" w:eastAsia="Calibri" w:hAnsi="Calibri"/>
          <w:sz w:val="16"/>
          <w:szCs w:val="16"/>
          <w:color w:val="auto"/>
        </w:rPr>
      </w:pPr>
      <w:r>
        <w:rPr>
          <w:rFonts w:ascii="Calibri" w:cs="Calibri" w:eastAsia="Calibri" w:hAnsi="Calibri"/>
          <w:sz w:val="16"/>
          <w:szCs w:val="16"/>
          <w:color w:val="auto"/>
        </w:rPr>
        <w:t>Either Party may terminate this Agreement: (1) if the other Party materially violates Applicable Law in connecton with its performance of its obligatons under this Agreement; (2) upon directon from any Regulatory Authority or Card Associaton to cease or materially limit performance of the rights or obligatons under this Agreement or the inability to obtain any required regulatory approvals; or (3) in the event any fnancial statement, representaton, warranty, statement or certfcate furnished to it by the other Party in connecton with or arising out of this Agreement is adverse to the terminatng Party and is untrue, misleading or omits material informaton, as of the date made or delivered.</w:t>
      </w:r>
    </w:p>
    <w:p>
      <w:pPr>
        <w:spacing w:after="0" w:line="109" w:lineRule="exact"/>
        <w:rPr>
          <w:rFonts w:ascii="Calibri" w:cs="Calibri" w:eastAsia="Calibri" w:hAnsi="Calibri"/>
          <w:sz w:val="16"/>
          <w:szCs w:val="16"/>
          <w:color w:val="auto"/>
        </w:rPr>
      </w:pPr>
    </w:p>
    <w:p>
      <w:pPr>
        <w:ind w:left="283" w:hanging="283"/>
        <w:spacing w:after="0"/>
        <w:tabs>
          <w:tab w:leader="none" w:pos="283" w:val="left"/>
        </w:tabs>
        <w:numPr>
          <w:ilvl w:val="0"/>
          <w:numId w:val="116"/>
        </w:numPr>
        <w:rPr>
          <w:rFonts w:ascii="Calibri" w:cs="Calibri" w:eastAsia="Calibri" w:hAnsi="Calibri"/>
          <w:sz w:val="16"/>
          <w:szCs w:val="16"/>
          <w:color w:val="auto"/>
        </w:rPr>
      </w:pPr>
      <w:r>
        <w:rPr>
          <w:rFonts w:ascii="Calibri" w:cs="Calibri" w:eastAsia="Calibri" w:hAnsi="Calibri"/>
          <w:sz w:val="16"/>
          <w:szCs w:val="16"/>
          <w:color w:val="auto"/>
        </w:rPr>
        <w:t>Reserved.</w:t>
      </w:r>
    </w:p>
    <w:p>
      <w:pPr>
        <w:spacing w:after="0" w:line="115" w:lineRule="exact"/>
        <w:rPr>
          <w:rFonts w:ascii="Calibri" w:cs="Calibri" w:eastAsia="Calibri" w:hAnsi="Calibri"/>
          <w:sz w:val="16"/>
          <w:szCs w:val="16"/>
          <w:color w:val="auto"/>
        </w:rPr>
      </w:pPr>
    </w:p>
    <w:p>
      <w:pPr>
        <w:ind w:left="283" w:hanging="283"/>
        <w:spacing w:after="0"/>
        <w:tabs>
          <w:tab w:leader="none" w:pos="283" w:val="left"/>
        </w:tabs>
        <w:numPr>
          <w:ilvl w:val="0"/>
          <w:numId w:val="116"/>
        </w:numPr>
        <w:rPr>
          <w:rFonts w:ascii="Calibri" w:cs="Calibri" w:eastAsia="Calibri" w:hAnsi="Calibri"/>
          <w:sz w:val="16"/>
          <w:szCs w:val="16"/>
          <w:color w:val="auto"/>
        </w:rPr>
      </w:pPr>
      <w:r>
        <w:rPr>
          <w:rFonts w:ascii="Calibri" w:cs="Calibri" w:eastAsia="Calibri" w:hAnsi="Calibri"/>
          <w:sz w:val="16"/>
          <w:szCs w:val="16"/>
          <w:color w:val="auto"/>
        </w:rPr>
        <w:t>This Agreement will terminate upon the terminaton of the Bank Services Agreement.</w:t>
      </w:r>
    </w:p>
    <w:p>
      <w:pPr>
        <w:spacing w:after="0" w:line="115" w:lineRule="exact"/>
        <w:rPr>
          <w:rFonts w:ascii="Calibri" w:cs="Calibri" w:eastAsia="Calibri" w:hAnsi="Calibri"/>
          <w:sz w:val="16"/>
          <w:szCs w:val="16"/>
          <w:color w:val="auto"/>
        </w:rPr>
      </w:pPr>
    </w:p>
    <w:p>
      <w:pPr>
        <w:ind w:left="283" w:hanging="283"/>
        <w:spacing w:after="0"/>
        <w:tabs>
          <w:tab w:leader="none" w:pos="283" w:val="left"/>
        </w:tabs>
        <w:numPr>
          <w:ilvl w:val="0"/>
          <w:numId w:val="116"/>
        </w:numPr>
        <w:rPr>
          <w:rFonts w:ascii="Calibri" w:cs="Calibri" w:eastAsia="Calibri" w:hAnsi="Calibri"/>
          <w:sz w:val="16"/>
          <w:szCs w:val="16"/>
          <w:color w:val="auto"/>
        </w:rPr>
      </w:pPr>
      <w:r>
        <w:rPr>
          <w:rFonts w:ascii="Calibri" w:cs="Calibri" w:eastAsia="Calibri" w:hAnsi="Calibri"/>
          <w:sz w:val="16"/>
          <w:szCs w:val="16"/>
          <w:color w:val="auto"/>
        </w:rPr>
        <w:t>Efect of Terminaton.</w:t>
      </w:r>
    </w:p>
    <w:p>
      <w:pPr>
        <w:spacing w:after="0" w:line="116" w:lineRule="exact"/>
        <w:rPr>
          <w:rFonts w:ascii="Calibri" w:cs="Calibri" w:eastAsia="Calibri" w:hAnsi="Calibri"/>
          <w:sz w:val="16"/>
          <w:szCs w:val="16"/>
          <w:color w:val="auto"/>
        </w:rPr>
      </w:pPr>
    </w:p>
    <w:p>
      <w:pPr>
        <w:ind w:left="3" w:right="20" w:firstLine="745"/>
        <w:spacing w:after="0" w:line="246" w:lineRule="auto"/>
        <w:tabs>
          <w:tab w:leader="none" w:pos="1045" w:val="left"/>
        </w:tabs>
        <w:numPr>
          <w:ilvl w:val="1"/>
          <w:numId w:val="116"/>
        </w:numPr>
        <w:rPr>
          <w:rFonts w:ascii="Calibri" w:cs="Calibri" w:eastAsia="Calibri" w:hAnsi="Calibri"/>
          <w:sz w:val="16"/>
          <w:szCs w:val="16"/>
          <w:color w:val="auto"/>
        </w:rPr>
      </w:pPr>
      <w:r>
        <w:rPr>
          <w:rFonts w:ascii="Calibri" w:cs="Calibri" w:eastAsia="Calibri" w:hAnsi="Calibri"/>
          <w:sz w:val="16"/>
          <w:szCs w:val="16"/>
          <w:color w:val="auto"/>
        </w:rPr>
        <w:t>The terminaton of this Agreement shall not terminate, afect, or impair any rights, obligatons or liabilites of any Party that accrue prior to terminaton or with respect to the Program occurring or arising prior to terminaton, or which, under this Agreement, contnue afer terminaton.</w:t>
      </w:r>
    </w:p>
    <w:p>
      <w:pPr>
        <w:spacing w:after="0" w:line="112" w:lineRule="exact"/>
        <w:rPr>
          <w:rFonts w:ascii="Calibri" w:cs="Calibri" w:eastAsia="Calibri" w:hAnsi="Calibri"/>
          <w:sz w:val="16"/>
          <w:szCs w:val="16"/>
          <w:color w:val="auto"/>
        </w:rPr>
      </w:pPr>
    </w:p>
    <w:p>
      <w:pPr>
        <w:ind w:left="3" w:right="20" w:firstLine="745"/>
        <w:spacing w:after="0" w:line="246" w:lineRule="auto"/>
        <w:tabs>
          <w:tab w:leader="none" w:pos="1045" w:val="left"/>
        </w:tabs>
        <w:numPr>
          <w:ilvl w:val="1"/>
          <w:numId w:val="116"/>
        </w:numPr>
        <w:rPr>
          <w:rFonts w:ascii="Calibri" w:cs="Calibri" w:eastAsia="Calibri" w:hAnsi="Calibri"/>
          <w:sz w:val="16"/>
          <w:szCs w:val="16"/>
          <w:color w:val="auto"/>
        </w:rPr>
      </w:pPr>
      <w:r>
        <w:rPr>
          <w:rFonts w:ascii="Calibri" w:cs="Calibri" w:eastAsia="Calibri" w:hAnsi="Calibri"/>
          <w:sz w:val="16"/>
          <w:szCs w:val="16"/>
          <w:color w:val="auto"/>
        </w:rPr>
        <w:t>Subject to Secton 20(c), following terminaton or expiraton of this Agreement, each Party will: (1) return all property belonging to the other Party which is in its possession or control at the tme of terminaton or expiraton; and (2) discontnue using the other Party’s trademarks.</w:t>
      </w:r>
    </w:p>
    <w:p>
      <w:pPr>
        <w:spacing w:after="0" w:line="112" w:lineRule="exact"/>
        <w:rPr>
          <w:rFonts w:ascii="Calibri" w:cs="Calibri" w:eastAsia="Calibri" w:hAnsi="Calibri"/>
          <w:sz w:val="16"/>
          <w:szCs w:val="16"/>
          <w:color w:val="auto"/>
        </w:rPr>
      </w:pPr>
    </w:p>
    <w:p>
      <w:pPr>
        <w:ind w:left="3" w:right="20" w:firstLine="745"/>
        <w:spacing w:after="0" w:line="246" w:lineRule="auto"/>
        <w:tabs>
          <w:tab w:leader="none" w:pos="1045" w:val="left"/>
        </w:tabs>
        <w:numPr>
          <w:ilvl w:val="1"/>
          <w:numId w:val="116"/>
        </w:numPr>
        <w:rPr>
          <w:rFonts w:ascii="Calibri" w:cs="Calibri" w:eastAsia="Calibri" w:hAnsi="Calibri"/>
          <w:sz w:val="16"/>
          <w:szCs w:val="16"/>
          <w:color w:val="auto"/>
        </w:rPr>
      </w:pPr>
      <w:r>
        <w:rPr>
          <w:rFonts w:ascii="Calibri" w:cs="Calibri" w:eastAsia="Calibri" w:hAnsi="Calibri"/>
          <w:sz w:val="16"/>
          <w:szCs w:val="16"/>
          <w:color w:val="auto"/>
        </w:rPr>
        <w:t>If Program Manager terminates this Agreement for any reason other than insolvency, it will be responsible for maintaining cash funding at Bank equivalent to thirty (30) days of expected payments to Bank and the Card Associaton, including Chargebacks and losses.</w:t>
      </w:r>
    </w:p>
    <w:p>
      <w:pPr>
        <w:spacing w:after="0" w:line="112" w:lineRule="exact"/>
        <w:rPr>
          <w:rFonts w:ascii="Calibri" w:cs="Calibri" w:eastAsia="Calibri" w:hAnsi="Calibri"/>
          <w:sz w:val="16"/>
          <w:szCs w:val="16"/>
          <w:color w:val="auto"/>
        </w:rPr>
      </w:pPr>
    </w:p>
    <w:p>
      <w:pPr>
        <w:jc w:val="both"/>
        <w:ind w:left="3" w:firstLine="745"/>
        <w:spacing w:after="0" w:line="248" w:lineRule="auto"/>
        <w:tabs>
          <w:tab w:leader="none" w:pos="1045" w:val="left"/>
        </w:tabs>
        <w:numPr>
          <w:ilvl w:val="1"/>
          <w:numId w:val="116"/>
        </w:numPr>
        <w:rPr>
          <w:rFonts w:ascii="Calibri" w:cs="Calibri" w:eastAsia="Calibri" w:hAnsi="Calibri"/>
          <w:sz w:val="16"/>
          <w:szCs w:val="16"/>
          <w:color w:val="auto"/>
        </w:rPr>
      </w:pPr>
      <w:r>
        <w:rPr>
          <w:rFonts w:ascii="Calibri" w:cs="Calibri" w:eastAsia="Calibri" w:hAnsi="Calibri"/>
          <w:sz w:val="16"/>
          <w:szCs w:val="16"/>
          <w:color w:val="auto"/>
        </w:rPr>
        <w:t>In the event of terminaton pursuant to Secton 19 (Term and Terminaton), Bank may cease issuing Cards to and establishing Accounts for Cardholders or Applicants under this Agreement, subject to the terms set forth in this Secton 19(e)(iv). Upon the expiraton or terminaton of this Agreement pursuant to this Secton 19 (Term and Terminaton) and provided Program Manager is not in default of any provision of this Agreement, Program Manager shall have the right to cause Bank to transfer all of its right, ttle and interest in and to all of the Accounts held by Bank under the Program to a successor sponsor bank (“Successor Bank”) to assume all of Bank’s obligatons under this Agreement, subject to satsfactory and good faith negotaton of the terms of an assumpton agreement by and between Successor Bank and Bank. Upon agreement on the terms of such assumpton agreement Bank will allow such assumpton and will execute any documents necessary to efect the assumpton. If this Agreement is terminated pursuant to Secton 19(a) or if Program Manager terminates this Agreement pursuant to Secton 19(b), for a period of up to one hundred eighty (180) days from the date of the end of the Inital Term or such Renewal Term (“Wind Down Period”), Bank shall contnue to sponsor the Program on the terms set forth in this Agreement and will cooperate with and provide necessary services to Program Manager to facilitate the orderly transfer of the Accounts to such Successor Bank. Each Party acknowledges that the main goals of the Wind Down Period are (in order or priority) (i) to beneft the Cardholders by minimizing any possible</w:t>
      </w:r>
    </w:p>
    <w:p>
      <w:pPr>
        <w:spacing w:after="0" w:line="6"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15</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467360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67" w:right="339" w:bottom="1440" w:gutter="0" w:footer="0" w:header="0"/>
        </w:sectPr>
      </w:pPr>
    </w:p>
    <w:bookmarkStart w:id="109" w:name="page110"/>
    <w:bookmarkEnd w:id="109"/>
    <w:p>
      <w:pPr>
        <w:jc w:val="both"/>
        <w:ind w:left="3"/>
        <w:spacing w:after="0" w:line="248"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burdens or confusion and (ii) to protect and enhance the names and reputatons of the Partes, both of whom have invested their names and reputatons in the Programs, the Programs and Cards issued hereunder. Subject to the terms herein and provided Program Manager is not in default of any provision of this Agreement (or has otherwise cured any default of this Agreement), upon the expiraton or terminaton of this Agreement for any reason, the Partes agree to cooperate in good faith to wind down or transiton each Program in a commercially reasonable way as soon as reasonably possible to provide for a smooth and orderly transiton or wind-down, unless otherwise prohibited by Applicable Law or any Regulatory Authority. Such cooperaton will include contnued</w:t>
      </w:r>
    </w:p>
    <w:p>
      <w:pPr>
        <w:spacing w:after="0" w:line="44" w:lineRule="exact"/>
        <w:rPr>
          <w:sz w:val="20"/>
          <w:szCs w:val="20"/>
          <w:color w:val="auto"/>
        </w:rPr>
      </w:pPr>
    </w:p>
    <w:p>
      <w:pPr>
        <w:jc w:val="both"/>
        <w:ind w:left="3"/>
        <w:spacing w:after="0" w:line="248" w:lineRule="auto"/>
        <w:rPr>
          <w:sz w:val="20"/>
          <w:szCs w:val="20"/>
          <w:color w:val="auto"/>
        </w:rPr>
      </w:pPr>
      <w:r>
        <w:rPr>
          <w:rFonts w:ascii="Calibri" w:cs="Calibri" w:eastAsia="Calibri" w:hAnsi="Calibri"/>
          <w:sz w:val="16"/>
          <w:szCs w:val="16"/>
          <w:color w:val="auto"/>
        </w:rPr>
        <w:t>acceptance of Cards presented for payment untl the conclusion of the Wind Down Period or successful transfer of Accounts to Successor Bank. Notwithstanding anything to the contrary, Bank is excused from providing transiton services contemplated herein if it determines afer reasonable investgaton that the contnuing operaton of the Program or the provisioning of transiton services or any services incidental thereof would violate Applicable Law, Card Associaton rules or any guidance provided by its Regulatory Authority. Program Manager shall be responsible for all costs, including reasonable atorneys’ fees, associated with any transiton contemplated herein, unless the Agreement is terminated by Program Manager for cause pursuant to Secton 19(b)(i), (vi).</w:t>
      </w:r>
    </w:p>
    <w:p>
      <w:pPr>
        <w:spacing w:after="0" w:line="314" w:lineRule="exact"/>
        <w:rPr>
          <w:sz w:val="20"/>
          <w:szCs w:val="20"/>
          <w:color w:val="auto"/>
        </w:rPr>
      </w:pPr>
    </w:p>
    <w:p>
      <w:pPr>
        <w:jc w:val="both"/>
        <w:ind w:left="3" w:firstLine="745"/>
        <w:spacing w:after="0" w:line="248" w:lineRule="auto"/>
        <w:tabs>
          <w:tab w:leader="none" w:pos="1045" w:val="left"/>
        </w:tabs>
        <w:numPr>
          <w:ilvl w:val="1"/>
          <w:numId w:val="117"/>
        </w:numPr>
        <w:rPr>
          <w:rFonts w:ascii="Calibri" w:cs="Calibri" w:eastAsia="Calibri" w:hAnsi="Calibri"/>
          <w:sz w:val="16"/>
          <w:szCs w:val="16"/>
          <w:color w:val="auto"/>
        </w:rPr>
      </w:pPr>
      <w:r>
        <w:rPr>
          <w:rFonts w:ascii="Calibri" w:cs="Calibri" w:eastAsia="Calibri" w:hAnsi="Calibri"/>
          <w:sz w:val="16"/>
          <w:szCs w:val="16"/>
          <w:color w:val="auto"/>
        </w:rPr>
        <w:t xml:space="preserve">As soon as reasonably practcable afer expiraton of this Agreement or receipt of delivery of a terminaton notce with respect to this Agreement or one or more Programs and subject to Secton 19(e)(iv), Program Manager shall provide to Bank in writng a proposed transiton or wind-down plan, detailing (i) whether the afected Program(s) are to be wound down or transferred to a Successor Bank; and (ii) a proposed tmeline, which shall designate a date as of which the afected Programs shall be wound down or transferred from Bank to a Successor Bank. Bank and Program Manager shall meet promptly thereafer to review such proposed plan and to determine a mutually acceptable transiton or wind-down plan. The wind-down or transiton of any afected Program(s) shall occur as soon as reasonably possible and in no event later than one hundred eighty (180) days afer expiraton or terminaton of this Agreement; </w:t>
      </w:r>
      <w:r>
        <w:rPr>
          <w:rFonts w:ascii="Calibri" w:cs="Calibri" w:eastAsia="Calibri" w:hAnsi="Calibri"/>
          <w:sz w:val="16"/>
          <w:szCs w:val="16"/>
          <w:u w:val="single" w:color="auto"/>
          <w:color w:val="auto"/>
        </w:rPr>
        <w:t>provided</w:t>
      </w:r>
      <w:r>
        <w:rPr>
          <w:rFonts w:ascii="Calibri" w:cs="Calibri" w:eastAsia="Calibri" w:hAnsi="Calibri"/>
          <w:sz w:val="16"/>
          <w:szCs w:val="16"/>
          <w:color w:val="auto"/>
        </w:rPr>
        <w:t xml:space="preserve">, </w:t>
      </w:r>
      <w:r>
        <w:rPr>
          <w:rFonts w:ascii="Calibri" w:cs="Calibri" w:eastAsia="Calibri" w:hAnsi="Calibri"/>
          <w:sz w:val="16"/>
          <w:szCs w:val="16"/>
          <w:u w:val="single" w:color="auto"/>
          <w:color w:val="auto"/>
        </w:rPr>
        <w:t>however</w:t>
      </w:r>
      <w:r>
        <w:rPr>
          <w:rFonts w:ascii="Calibri" w:cs="Calibri" w:eastAsia="Calibri" w:hAnsi="Calibri"/>
          <w:sz w:val="16"/>
          <w:szCs w:val="16"/>
          <w:color w:val="auto"/>
        </w:rPr>
        <w:t>, that such tme period may extended by mutual writen agreement of the Partes.</w:t>
      </w:r>
    </w:p>
    <w:p>
      <w:pPr>
        <w:spacing w:after="0" w:line="112" w:lineRule="exact"/>
        <w:rPr>
          <w:rFonts w:ascii="Calibri" w:cs="Calibri" w:eastAsia="Calibri" w:hAnsi="Calibri"/>
          <w:sz w:val="16"/>
          <w:szCs w:val="16"/>
          <w:color w:val="auto"/>
        </w:rPr>
      </w:pPr>
    </w:p>
    <w:p>
      <w:pPr>
        <w:jc w:val="both"/>
        <w:ind w:left="3" w:firstLine="745"/>
        <w:spacing w:after="0" w:line="247" w:lineRule="auto"/>
        <w:tabs>
          <w:tab w:leader="none" w:pos="1045" w:val="left"/>
        </w:tabs>
        <w:numPr>
          <w:ilvl w:val="1"/>
          <w:numId w:val="117"/>
        </w:numPr>
        <w:rPr>
          <w:rFonts w:ascii="Calibri" w:cs="Calibri" w:eastAsia="Calibri" w:hAnsi="Calibri"/>
          <w:sz w:val="16"/>
          <w:szCs w:val="16"/>
          <w:color w:val="auto"/>
        </w:rPr>
      </w:pPr>
      <w:r>
        <w:rPr>
          <w:rFonts w:ascii="Calibri" w:cs="Calibri" w:eastAsia="Calibri" w:hAnsi="Calibri"/>
          <w:sz w:val="16"/>
          <w:szCs w:val="16"/>
          <w:color w:val="auto"/>
        </w:rPr>
        <w:t>Provisions of this Agreement that, by their nature, should survive terminaton of this Agreement shall survive terminaton (including, but not limited to, Sectons 1 (Defnitons), 10 (Fraud and Risk Management), 11 (Applicable Law), 13 (Representatons, Warrantes and Covenants), 14 (Other Relatonships with Cardholders), 16 (Cardholder Informaton), 17 (Indemnifcaton), 18 (Limitaton of Liability), 19 (Term and Terminaton) , 20 (Confdentality),</w:t>
      </w:r>
    </w:p>
    <w:p>
      <w:pPr>
        <w:spacing w:after="0" w:line="4" w:lineRule="exact"/>
        <w:rPr>
          <w:rFonts w:ascii="Calibri" w:cs="Calibri" w:eastAsia="Calibri" w:hAnsi="Calibri"/>
          <w:sz w:val="16"/>
          <w:szCs w:val="16"/>
          <w:color w:val="auto"/>
        </w:rPr>
      </w:pPr>
    </w:p>
    <w:p>
      <w:pPr>
        <w:jc w:val="both"/>
        <w:ind w:left="3" w:hanging="3"/>
        <w:spacing w:after="0" w:line="247" w:lineRule="auto"/>
        <w:tabs>
          <w:tab w:leader="none" w:pos="230" w:val="left"/>
        </w:tabs>
        <w:numPr>
          <w:ilvl w:val="0"/>
          <w:numId w:val="118"/>
        </w:numPr>
        <w:rPr>
          <w:rFonts w:ascii="Calibri" w:cs="Calibri" w:eastAsia="Calibri" w:hAnsi="Calibri"/>
          <w:sz w:val="16"/>
          <w:szCs w:val="16"/>
          <w:color w:val="auto"/>
        </w:rPr>
      </w:pPr>
      <w:r>
        <w:rPr>
          <w:rFonts w:ascii="Calibri" w:cs="Calibri" w:eastAsia="Calibri" w:hAnsi="Calibri"/>
          <w:sz w:val="16"/>
          <w:szCs w:val="16"/>
          <w:color w:val="auto"/>
        </w:rPr>
        <w:t>(Proprietary Materials), 33 (Relatonship of Partes), 34 (Governing Law; Waiver of Jury Trial; Dispute Resoluton and Arbitraton), 35 (Severability), 36 (Assignment), 37 (Third Party Benefciaries), 38 (Notces), 39 (Amendment and Waiver), 40 (Entre Agreement), 41 (Conficts), 42 (Counterparts), 43 (Interpretaton) and 45 (Headings)).</w:t>
      </w:r>
    </w:p>
    <w:p>
      <w:pPr>
        <w:spacing w:after="0" w:line="110" w:lineRule="exact"/>
        <w:rPr>
          <w:rFonts w:ascii="Calibri" w:cs="Calibri" w:eastAsia="Calibri" w:hAnsi="Calibri"/>
          <w:sz w:val="16"/>
          <w:szCs w:val="16"/>
          <w:color w:val="auto"/>
        </w:rPr>
      </w:pPr>
    </w:p>
    <w:p>
      <w:pPr>
        <w:ind w:left="283" w:hanging="283"/>
        <w:spacing w:after="0"/>
        <w:tabs>
          <w:tab w:leader="none" w:pos="283" w:val="left"/>
        </w:tabs>
        <w:numPr>
          <w:ilvl w:val="0"/>
          <w:numId w:val="119"/>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Confdentality</w:t>
      </w:r>
      <w:r>
        <w:rPr>
          <w:rFonts w:ascii="Calibri" w:cs="Calibri" w:eastAsia="Calibri" w:hAnsi="Calibri"/>
          <w:sz w:val="16"/>
          <w:szCs w:val="16"/>
          <w:color w:val="auto"/>
        </w:rPr>
        <w:t>.</w:t>
      </w:r>
    </w:p>
    <w:p>
      <w:pPr>
        <w:spacing w:after="0" w:line="130" w:lineRule="exact"/>
        <w:rPr>
          <w:sz w:val="20"/>
          <w:szCs w:val="20"/>
          <w:color w:val="auto"/>
        </w:rPr>
      </w:pPr>
    </w:p>
    <w:p>
      <w:pPr>
        <w:jc w:val="both"/>
        <w:ind w:left="-757" w:firstLine="757"/>
        <w:spacing w:after="0" w:line="248" w:lineRule="auto"/>
        <w:tabs>
          <w:tab w:leader="none" w:pos="261" w:val="left"/>
        </w:tabs>
        <w:numPr>
          <w:ilvl w:val="0"/>
          <w:numId w:val="120"/>
        </w:numPr>
        <w:rPr>
          <w:rFonts w:ascii="Times New Roman" w:cs="Times New Roman" w:eastAsia="Times New Roman" w:hAnsi="Times New Roman"/>
          <w:sz w:val="16"/>
          <w:szCs w:val="16"/>
          <w:color w:val="auto"/>
        </w:rPr>
      </w:pPr>
      <w:r>
        <w:rPr>
          <w:rFonts w:ascii="Calibri" w:cs="Calibri" w:eastAsia="Calibri" w:hAnsi="Calibri"/>
          <w:sz w:val="16"/>
          <w:szCs w:val="16"/>
          <w:color w:val="auto"/>
        </w:rPr>
        <w:t>Each Party agrees that Confdental Informaton of the other Party shall be used by such Party solely in the performance of its obligatons and exercise of its rights pursuant to the Program Documents. Except as required by Applicable Law, a Regulatory Authority or legal process, neither Party (the “Restricted Party”) shall disclose Confdental Informaton of the other Party (the “Disclosing Party”) to third partes; provided, however, that the Restricted Party may disclose Confdental Informaton of the Disclosing Party (i) to the Restricted Party’s Afliates, agents, representatves or subcontractors for the sole purpose of fulflling the Restricted Party’s obligatons under this Agreement (as long as the Restricted Party exercises best eforts to prohibit any further disclosure by its Afliates, agents, representatves or subcontractors), (ii) to the Restricted Party’s auditors, accountants and other professional advisors, and (iii) to any other third party as mutually agreed by the Partes.</w:t>
      </w:r>
    </w:p>
    <w:p>
      <w:pPr>
        <w:spacing w:after="0" w:line="125"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20"/>
        </w:numPr>
        <w:rPr>
          <w:rFonts w:ascii="Times New Roman" w:cs="Times New Roman" w:eastAsia="Times New Roman" w:hAnsi="Times New Roman"/>
          <w:sz w:val="16"/>
          <w:szCs w:val="16"/>
          <w:color w:val="auto"/>
        </w:rPr>
      </w:pPr>
      <w:r>
        <w:rPr>
          <w:rFonts w:ascii="Calibri" w:cs="Calibri" w:eastAsia="Calibri" w:hAnsi="Calibri"/>
          <w:sz w:val="16"/>
          <w:szCs w:val="16"/>
          <w:color w:val="auto"/>
        </w:rPr>
        <w:t>A Party’s Confdental Informaton shall not include informaton that: (i) is or becomes generally available to the public, (ii) has become publicly known, without fault on the part of the Restricted Party, (iii) is independently developed or arrived at by the Restricted Party without use of or reference to Confdental Informaton, (iv) was otherwise known by, or available to, the Restricted Party prior to entering into this Agreement, or (v) becomes available to the Restricted Party on a non-confdental basis from a third-party , who is not in breach of any obligaton of confdentality with the non-Disclosing Party or otherwise prohibited from transmitng the informaton to the Restricted Party.</w:t>
      </w:r>
    </w:p>
    <w:p>
      <w:pPr>
        <w:spacing w:after="0" w:line="111"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85" w:val="left"/>
        </w:tabs>
        <w:numPr>
          <w:ilvl w:val="0"/>
          <w:numId w:val="120"/>
        </w:numPr>
        <w:rPr>
          <w:rFonts w:ascii="Calibri" w:cs="Calibri" w:eastAsia="Calibri" w:hAnsi="Calibri"/>
          <w:sz w:val="16"/>
          <w:szCs w:val="16"/>
          <w:color w:val="auto"/>
        </w:rPr>
      </w:pPr>
      <w:r>
        <w:rPr>
          <w:rFonts w:ascii="Calibri" w:cs="Calibri" w:eastAsia="Calibri" w:hAnsi="Calibri"/>
          <w:sz w:val="16"/>
          <w:szCs w:val="16"/>
          <w:color w:val="auto"/>
        </w:rPr>
        <w:t>Upon writen request or upon the terminaton or expiraton of this Agreement, each Party shall return to the other Party or destroy all Confdental Informaton of the other Party in its possession or control that is in writen form, including by way of example, but not limited to, reports, plans, and manuals, and delete any digitally or optcally stored versions of Confdental Informaton of the other Party; provided, however, that each Party may maintain in its possession all such Confdental Informaton required to be maintained under Applicable Law or internal archival or document retenton policies relatng to the retenton of records for the period of tme required thereunder, subject to the confdentality obligatons set forth in this Agreement.</w:t>
      </w:r>
    </w:p>
    <w:p>
      <w:pPr>
        <w:spacing w:after="0" w:line="124" w:lineRule="exact"/>
        <w:rPr>
          <w:rFonts w:ascii="Calibri" w:cs="Calibri" w:eastAsia="Calibri" w:hAnsi="Calibri"/>
          <w:sz w:val="16"/>
          <w:szCs w:val="16"/>
          <w:color w:val="auto"/>
        </w:rPr>
      </w:pPr>
    </w:p>
    <w:p>
      <w:pPr>
        <w:jc w:val="both"/>
        <w:ind w:left="-757" w:firstLine="757"/>
        <w:spacing w:after="0" w:line="247" w:lineRule="auto"/>
        <w:tabs>
          <w:tab w:leader="none" w:pos="261" w:val="left"/>
        </w:tabs>
        <w:numPr>
          <w:ilvl w:val="0"/>
          <w:numId w:val="120"/>
        </w:numPr>
        <w:rPr>
          <w:rFonts w:ascii="Times New Roman" w:cs="Times New Roman" w:eastAsia="Times New Roman" w:hAnsi="Times New Roman"/>
          <w:sz w:val="16"/>
          <w:szCs w:val="16"/>
          <w:color w:val="auto"/>
        </w:rPr>
      </w:pPr>
      <w:r>
        <w:rPr>
          <w:rFonts w:ascii="Calibri" w:cs="Calibri" w:eastAsia="Calibri" w:hAnsi="Calibri"/>
          <w:sz w:val="16"/>
          <w:szCs w:val="16"/>
          <w:color w:val="auto"/>
        </w:rPr>
        <w:t>Each Party shall require its subcontractors having access to Confdental Informaton to agree in writng to be bound by the provisions of this Secton 20 prior to disclosure of any Confdental Informaton to such subcontractors. Such Party shall keep and maintain such protectve agreements and shall promptly provide the other Party with copies thereof upon request. Such permissible disclosure shall not relieve the Disclosing Party of liability for such disclosure.</w:t>
      </w:r>
    </w:p>
    <w:p>
      <w:pPr>
        <w:spacing w:after="0" w:line="125"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20"/>
        </w:numPr>
        <w:rPr>
          <w:rFonts w:ascii="Times New Roman" w:cs="Times New Roman" w:eastAsia="Times New Roman" w:hAnsi="Times New Roman"/>
          <w:sz w:val="16"/>
          <w:szCs w:val="16"/>
          <w:color w:val="auto"/>
        </w:rPr>
      </w:pPr>
      <w:r>
        <w:rPr>
          <w:rFonts w:ascii="Calibri" w:cs="Calibri" w:eastAsia="Calibri" w:hAnsi="Calibri"/>
          <w:sz w:val="16"/>
          <w:szCs w:val="16"/>
          <w:color w:val="auto"/>
        </w:rPr>
        <w:t>In the event that a Restricted Party is requested or required, by oral questons, interrogatories, requests for informaton or documents, subpoena, civil investgatve demand or similar process, to disclose any Confdental Informaton of the other Party, the Restricted Party will provide the other Party with prompt notce of such request(s) so that the other Party may seek an appropriate protectve order or other appropriate remedy. In the event that the other Party does not seek such a protectve order or other remedy, or such protectve order or other remedy is not obtained, the Restricted Party may furnish that porton (and only that porton) of the Confdental Informaton of the other Party which the Restricted Party is legally compelled to disclose and will exercise such eforts to obtain reasonable assurance that confdental treatment will be accorded any Confdental Informaton of the other Party so furnished as the Restricted Party would exercise in assuring the confdentality of any of its own Confdental Informaton.</w:t>
      </w:r>
    </w:p>
    <w:p>
      <w:pPr>
        <w:spacing w:after="0" w:line="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16</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467360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68" w:right="339" w:bottom="1440" w:gutter="0" w:footer="0" w:header="0"/>
        </w:sectPr>
      </w:pPr>
    </w:p>
    <w:bookmarkStart w:id="110" w:name="page111"/>
    <w:bookmarkEnd w:id="110"/>
    <w:p>
      <w:pPr>
        <w:ind w:left="-757" w:firstLine="757"/>
        <w:spacing w:after="0" w:line="246" w:lineRule="auto"/>
        <w:tabs>
          <w:tab w:leader="none" w:pos="261" w:val="left"/>
        </w:tabs>
        <w:numPr>
          <w:ilvl w:val="0"/>
          <w:numId w:val="121"/>
        </w:numPr>
        <w:rPr>
          <w:rFonts w:ascii="Times New Roman" w:cs="Times New Roman" w:eastAsia="Times New Roman" w:hAnsi="Times New Roman"/>
          <w:sz w:val="16"/>
          <w:szCs w:val="16"/>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Nothing in this Secton 20 shall restrict or prohibit Program Manager from using Cardholder Informaton in any manner permited by Secton 14 (Other Relatonships with Cardholders).</w:t>
      </w:r>
    </w:p>
    <w:p>
      <w:pPr>
        <w:spacing w:after="0" w:line="111" w:lineRule="exact"/>
        <w:rPr>
          <w:sz w:val="20"/>
          <w:szCs w:val="20"/>
          <w:color w:val="auto"/>
        </w:rPr>
      </w:pPr>
    </w:p>
    <w:p>
      <w:pPr>
        <w:ind w:left="283" w:hanging="283"/>
        <w:spacing w:after="0"/>
        <w:tabs>
          <w:tab w:leader="none" w:pos="283" w:val="left"/>
        </w:tabs>
        <w:numPr>
          <w:ilvl w:val="0"/>
          <w:numId w:val="122"/>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Proprietary Materials</w:t>
      </w:r>
      <w:r>
        <w:rPr>
          <w:rFonts w:ascii="Calibri" w:cs="Calibri" w:eastAsia="Calibri" w:hAnsi="Calibri"/>
          <w:sz w:val="16"/>
          <w:szCs w:val="16"/>
          <w:color w:val="auto"/>
        </w:rPr>
        <w:t>.</w:t>
      </w:r>
    </w:p>
    <w:p>
      <w:pPr>
        <w:spacing w:after="0" w:line="131" w:lineRule="exact"/>
        <w:rPr>
          <w:sz w:val="20"/>
          <w:szCs w:val="20"/>
          <w:color w:val="auto"/>
        </w:rPr>
      </w:pPr>
    </w:p>
    <w:p>
      <w:pPr>
        <w:jc w:val="both"/>
        <w:ind w:left="-757" w:firstLine="757"/>
        <w:spacing w:after="0" w:line="248" w:lineRule="auto"/>
        <w:tabs>
          <w:tab w:leader="none" w:pos="261" w:val="left"/>
        </w:tabs>
        <w:numPr>
          <w:ilvl w:val="0"/>
          <w:numId w:val="123"/>
        </w:numPr>
        <w:rPr>
          <w:rFonts w:ascii="Times New Roman" w:cs="Times New Roman" w:eastAsia="Times New Roman" w:hAnsi="Times New Roman"/>
          <w:sz w:val="16"/>
          <w:szCs w:val="16"/>
          <w:color w:val="auto"/>
        </w:rPr>
      </w:pPr>
      <w:r>
        <w:rPr>
          <w:rFonts w:ascii="Calibri" w:cs="Calibri" w:eastAsia="Calibri" w:hAnsi="Calibri"/>
          <w:sz w:val="16"/>
          <w:szCs w:val="16"/>
          <w:color w:val="auto"/>
        </w:rPr>
        <w:t>Bank Marks. Bank hereby grants to Program Manager a non-exclusive, non-transferable, revocable limited license to use and reproduce the name, logo and specifed trademarks of Bank (“Bank Marks”), which Bank has made available to Program Manager, solely in connecton with the Card Program Materials or as required under the Card Associaton rules, provided that any such use shall require the prior writen approval of Bank, such approval not to be unreasonably withheld or delayed and consistent with any Bank usage guidelines. If such approval is granted, Program Manager may utlize such Bank Marks subject to Bank’s prior approval of such materials. This use terminates upon terminaton of this Agreement and any agreed upon Wind Down Period (if applicable).</w:t>
      </w:r>
    </w:p>
    <w:p>
      <w:pPr>
        <w:spacing w:after="0" w:line="124"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23"/>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Marks. Program Manager grants to Bank a non-exclusive, non-transferable, revocable limited license to use and reproduce the name, logo and specifed trademarks of Program Manager (“Program Manager Marks”), which Program Manager has made available to Bank, solely in connecton with the Program as required under the Card Associaton rules provided that any such use shall require the prior writen approval of Program Manager, such approval not to be unreasonably withheld or delayed and consistent with any Program Manager usage guidelines. If such approval is granted, Bank may utlize such Program Manager Marks subject to Program Manager’s prior approval of such materials. This use terminates upon terminaton of this Agreement and any agreed upon Wind Down Period (if applicable).</w:t>
      </w:r>
    </w:p>
    <w:p>
      <w:pPr>
        <w:spacing w:after="0" w:line="327"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23"/>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Intellectual Property. Bank acknowledges and agrees that Program Manager shall retain all right, ttle, and interest in and to all Intellectual Property of Program Manager that is developed, established or otherwise created by Program Manager in connecton with the Program. Nothing in this Agreement shall be construed as grantng Bank a license to use in any way the Intellectual Property of Program Manager, except as provided in Secton 21(b) or to the extent Program Manager may make use of its Intellectual Property in connecton with the services to be provided hereunder. Bank shall not take any acton that interferes with the Intellectual Property of Program Manager or atempt to copyright or patent any part of the Intellectual Property of Program Manager or atempt to register any trademark, service mark, trade name, or company name which is identcal or confusingly similar to Program Manager Marks.</w:t>
      </w:r>
    </w:p>
    <w:p>
      <w:pPr>
        <w:spacing w:after="0" w:line="110" w:lineRule="exact"/>
        <w:rPr>
          <w:sz w:val="20"/>
          <w:szCs w:val="20"/>
          <w:color w:val="auto"/>
        </w:rPr>
      </w:pPr>
    </w:p>
    <w:p>
      <w:pPr>
        <w:ind w:left="283" w:hanging="283"/>
        <w:spacing w:after="0"/>
        <w:tabs>
          <w:tab w:leader="none" w:pos="283" w:val="left"/>
        </w:tabs>
        <w:numPr>
          <w:ilvl w:val="0"/>
          <w:numId w:val="124"/>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Expenses</w:t>
      </w:r>
      <w:r>
        <w:rPr>
          <w:rFonts w:ascii="Calibri" w:cs="Calibri" w:eastAsia="Calibri" w:hAnsi="Calibri"/>
          <w:sz w:val="16"/>
          <w:szCs w:val="16"/>
          <w:color w:val="auto"/>
        </w:rPr>
        <w:t>.</w:t>
      </w:r>
    </w:p>
    <w:p>
      <w:pPr>
        <w:spacing w:after="0" w:line="131" w:lineRule="exact"/>
        <w:rPr>
          <w:sz w:val="20"/>
          <w:szCs w:val="20"/>
          <w:color w:val="auto"/>
        </w:rPr>
      </w:pPr>
    </w:p>
    <w:p>
      <w:pPr>
        <w:jc w:val="both"/>
        <w:ind w:left="-757" w:firstLine="757"/>
        <w:spacing w:after="0" w:line="248" w:lineRule="auto"/>
        <w:tabs>
          <w:tab w:leader="none" w:pos="261" w:val="left"/>
        </w:tabs>
        <w:numPr>
          <w:ilvl w:val="0"/>
          <w:numId w:val="125"/>
        </w:numPr>
        <w:rPr>
          <w:rFonts w:ascii="Times New Roman" w:cs="Times New Roman" w:eastAsia="Times New Roman" w:hAnsi="Times New Roman"/>
          <w:sz w:val="16"/>
          <w:szCs w:val="16"/>
          <w:color w:val="auto"/>
        </w:rPr>
      </w:pPr>
      <w:r>
        <w:rPr>
          <w:rFonts w:ascii="Calibri" w:cs="Calibri" w:eastAsia="Calibri" w:hAnsi="Calibri"/>
          <w:sz w:val="16"/>
          <w:szCs w:val="16"/>
          <w:color w:val="auto"/>
        </w:rPr>
        <w:t>General. Except as otherwise provided in the Program Documents or this Agreement, the Partes shall pay their own expenses (including, without limitaton, the fees and expenses of their own agents, representatves, counsel, and accountants) incidental to the preparaton and performance of this Agreement. Each Party shall further be responsible for payment of any federal, state, or local taxes or assessments associated with the performance of its obligatons under this Agreement and for compliance with all fling, registraton and other requirements with regard thereto. Program Manager shall be responsible for any cost incurred from the Card Associaton related to the Program including any cost of registraton of any subcontractors of Program Manager as third-party agents. Except as otherwise provided in this Agreement, Program Manager shall be responsible for any cost, fee, fne or audit charged directly to Bank by any Regulatory Authority or Card Associaton due to the Program (other than any cost, fee, fne or audit charged directly to Bank due to Bank’s gross negligence, willful misconduct or breach of this Agreement or due to any act or omission of Bank or any acts or omission of any contractor, agent or representatve retained by Bank (other than Program Manager and its Agents)).</w:t>
      </w:r>
    </w:p>
    <w:p>
      <w:pPr>
        <w:spacing w:after="0" w:line="126" w:lineRule="exact"/>
        <w:rPr>
          <w:rFonts w:ascii="Times New Roman" w:cs="Times New Roman" w:eastAsia="Times New Roman" w:hAnsi="Times New Roman"/>
          <w:sz w:val="16"/>
          <w:szCs w:val="16"/>
          <w:color w:val="auto"/>
        </w:rPr>
      </w:pPr>
    </w:p>
    <w:p>
      <w:pPr>
        <w:jc w:val="both"/>
        <w:ind w:left="-757" w:firstLine="757"/>
        <w:spacing w:after="0" w:line="247" w:lineRule="auto"/>
        <w:tabs>
          <w:tab w:leader="none" w:pos="261" w:val="left"/>
        </w:tabs>
        <w:numPr>
          <w:ilvl w:val="0"/>
          <w:numId w:val="125"/>
        </w:numPr>
        <w:rPr>
          <w:rFonts w:ascii="Times New Roman" w:cs="Times New Roman" w:eastAsia="Times New Roman" w:hAnsi="Times New Roman"/>
          <w:sz w:val="16"/>
          <w:szCs w:val="16"/>
          <w:color w:val="auto"/>
        </w:rPr>
      </w:pPr>
      <w:r>
        <w:rPr>
          <w:rFonts w:ascii="Calibri" w:cs="Calibri" w:eastAsia="Calibri" w:hAnsi="Calibri"/>
          <w:sz w:val="16"/>
          <w:szCs w:val="16"/>
          <w:color w:val="auto"/>
        </w:rPr>
        <w:t xml:space="preserve">Allocaton of Costs for Program. Except as otherwise provided in this Agreement, as between the Partes, any and all costs and expenses related to Program Manager Card Services, any other legal expenses, fees or fnes related to Program Manager’s actvites under the Program and any fees specifed in </w:t>
      </w:r>
      <w:r>
        <w:rPr>
          <w:rFonts w:ascii="Calibri" w:cs="Calibri" w:eastAsia="Calibri" w:hAnsi="Calibri"/>
          <w:sz w:val="16"/>
          <w:szCs w:val="16"/>
          <w:u w:val="single" w:color="auto"/>
          <w:color w:val="auto"/>
        </w:rPr>
        <w:t>Exhibit B</w:t>
      </w:r>
      <w:r>
        <w:rPr>
          <w:rFonts w:ascii="Calibri" w:cs="Calibri" w:eastAsia="Calibri" w:hAnsi="Calibri"/>
          <w:sz w:val="16"/>
          <w:szCs w:val="16"/>
          <w:color w:val="auto"/>
        </w:rPr>
        <w:t xml:space="preserve"> shall be paid by Program Manager.</w:t>
      </w:r>
    </w:p>
    <w:p>
      <w:pPr>
        <w:spacing w:after="0" w:line="125"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25"/>
        </w:numPr>
        <w:rPr>
          <w:rFonts w:ascii="Times New Roman" w:cs="Times New Roman" w:eastAsia="Times New Roman" w:hAnsi="Times New Roman"/>
          <w:sz w:val="16"/>
          <w:szCs w:val="16"/>
          <w:color w:val="auto"/>
        </w:rPr>
      </w:pPr>
      <w:r>
        <w:rPr>
          <w:rFonts w:ascii="Calibri" w:cs="Calibri" w:eastAsia="Calibri" w:hAnsi="Calibri"/>
          <w:sz w:val="16"/>
          <w:szCs w:val="16"/>
          <w:color w:val="auto"/>
        </w:rPr>
        <w:t>Costs and Expenses Paid by Bank. Except as otherwise provided in this Agreement, Bank shall be solely responsible for all fnes, penaltes and other amounts assessed by any Regulatory Authority or Card Associaton due to any act or omission of Bank or any acts or omission of any contractor, agent or representatve retained by Bank (other than Program Manager and its Agents); provided, it is understood that approval, acquiescence or failure by Bank or its agents to reject any proposal, acton, or actvity by Program Manager shall not relieve Program Manager of any obligaton under this Agreement.</w:t>
      </w:r>
    </w:p>
    <w:p>
      <w:pPr>
        <w:spacing w:after="0" w:line="124" w:lineRule="exact"/>
        <w:rPr>
          <w:rFonts w:ascii="Times New Roman" w:cs="Times New Roman" w:eastAsia="Times New Roman" w:hAnsi="Times New Roman"/>
          <w:sz w:val="16"/>
          <w:szCs w:val="16"/>
          <w:color w:val="auto"/>
        </w:rPr>
      </w:pPr>
    </w:p>
    <w:p>
      <w:pPr>
        <w:jc w:val="both"/>
        <w:ind w:left="-757" w:firstLine="757"/>
        <w:spacing w:after="0" w:line="248" w:lineRule="auto"/>
        <w:tabs>
          <w:tab w:leader="none" w:pos="261" w:val="left"/>
        </w:tabs>
        <w:numPr>
          <w:ilvl w:val="0"/>
          <w:numId w:val="125"/>
        </w:numPr>
        <w:rPr>
          <w:rFonts w:ascii="Times New Roman" w:cs="Times New Roman" w:eastAsia="Times New Roman" w:hAnsi="Times New Roman"/>
          <w:sz w:val="16"/>
          <w:szCs w:val="16"/>
          <w:color w:val="auto"/>
        </w:rPr>
      </w:pPr>
      <w:r>
        <w:rPr>
          <w:rFonts w:ascii="Calibri" w:cs="Calibri" w:eastAsia="Calibri" w:hAnsi="Calibri"/>
          <w:sz w:val="16"/>
          <w:szCs w:val="16"/>
          <w:color w:val="auto"/>
        </w:rPr>
        <w:t>Costs and Expenses Paid by Program Manager. In additon to any expenses specifcally set forth elsewhere in this Agreement, Program Manager shall be solely responsible for the following: (i) all expenses associated with Cardholder or third party fraud (other than third partes retained by Bank, excluding Program Manager and its Agents), (ii) all fnes, penaltes, reimbursements, and other amounts assessed by any Regulatory Authority or Card Associaton due to Program Manager’s actons or omissions or the actons or omissions of any third party retained by Program Manager, (iii) all third-party expenses associated with completng required due diligence and annual reviews on Program Manager or its service providers from third party outsourced vendor relatonships contemplated in this Agreement, and (iv) any and all losses incurred by Bank in connecton with Chargebacks, Cardholder Fund defciencies or other Cardholder refunds.</w:t>
      </w:r>
    </w:p>
    <w:p>
      <w:pPr>
        <w:spacing w:after="0" w:line="123" w:lineRule="exact"/>
        <w:rPr>
          <w:rFonts w:ascii="Times New Roman" w:cs="Times New Roman" w:eastAsia="Times New Roman" w:hAnsi="Times New Roman"/>
          <w:sz w:val="16"/>
          <w:szCs w:val="16"/>
          <w:color w:val="auto"/>
        </w:rPr>
      </w:pPr>
    </w:p>
    <w:p>
      <w:pPr>
        <w:ind w:left="263" w:hanging="263"/>
        <w:spacing w:after="0"/>
        <w:tabs>
          <w:tab w:leader="none" w:pos="263" w:val="left"/>
        </w:tabs>
        <w:numPr>
          <w:ilvl w:val="0"/>
          <w:numId w:val="125"/>
        </w:numPr>
        <w:rPr>
          <w:rFonts w:ascii="Times New Roman" w:cs="Times New Roman" w:eastAsia="Times New Roman" w:hAnsi="Times New Roman"/>
          <w:sz w:val="16"/>
          <w:szCs w:val="16"/>
          <w:color w:val="auto"/>
        </w:rPr>
      </w:pPr>
      <w:r>
        <w:rPr>
          <w:rFonts w:ascii="Calibri" w:cs="Calibri" w:eastAsia="Calibri" w:hAnsi="Calibri"/>
          <w:sz w:val="16"/>
          <w:szCs w:val="16"/>
          <w:color w:val="auto"/>
        </w:rPr>
        <w:t>Any costs resultng from Program Manager’s actons or omissions that cause an error or omission by Bank.</w:t>
      </w:r>
    </w:p>
    <w:p>
      <w:pPr>
        <w:spacing w:after="0" w:line="115" w:lineRule="exact"/>
        <w:rPr>
          <w:sz w:val="20"/>
          <w:szCs w:val="20"/>
          <w:color w:val="auto"/>
        </w:rPr>
      </w:pPr>
    </w:p>
    <w:p>
      <w:pPr>
        <w:ind w:left="283" w:hanging="283"/>
        <w:spacing w:after="0"/>
        <w:tabs>
          <w:tab w:leader="none" w:pos="283" w:val="left"/>
        </w:tabs>
        <w:numPr>
          <w:ilvl w:val="0"/>
          <w:numId w:val="126"/>
        </w:numPr>
        <w:rPr>
          <w:rFonts w:ascii="Calibri" w:cs="Calibri" w:eastAsia="Calibri" w:hAnsi="Calibri"/>
          <w:sz w:val="16"/>
          <w:szCs w:val="16"/>
          <w:color w:val="auto"/>
        </w:rPr>
      </w:pPr>
      <w:r>
        <w:rPr>
          <w:rFonts w:ascii="Calibri" w:cs="Calibri" w:eastAsia="Calibri" w:hAnsi="Calibri"/>
          <w:sz w:val="16"/>
          <w:szCs w:val="16"/>
          <w:b w:val="1"/>
          <w:bCs w:val="1"/>
          <w:u w:val="single" w:color="auto"/>
          <w:color w:val="auto"/>
        </w:rPr>
        <w:t>Subcontractors</w:t>
      </w:r>
      <w:r>
        <w:rPr>
          <w:rFonts w:ascii="Calibri" w:cs="Calibri" w:eastAsia="Calibri" w:hAnsi="Calibri"/>
          <w:sz w:val="16"/>
          <w:szCs w:val="16"/>
          <w:color w:val="auto"/>
        </w:rPr>
        <w:t>.</w:t>
      </w:r>
    </w:p>
    <w:p>
      <w:pPr>
        <w:spacing w:after="0" w:line="130" w:lineRule="exact"/>
        <w:rPr>
          <w:sz w:val="20"/>
          <w:szCs w:val="20"/>
          <w:color w:val="auto"/>
        </w:rPr>
      </w:pPr>
    </w:p>
    <w:p>
      <w:pPr>
        <w:jc w:val="both"/>
        <w:ind w:left="-757" w:firstLine="757"/>
        <w:spacing w:after="0" w:line="248" w:lineRule="auto"/>
        <w:tabs>
          <w:tab w:leader="none" w:pos="261" w:val="left"/>
        </w:tabs>
        <w:numPr>
          <w:ilvl w:val="0"/>
          <w:numId w:val="127"/>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may from tme to tme retain the services of one or more Agents to perform some of the services and obligatons Program Manager has agreed to perform pursuant to this Agreement; provided, however, it must frst obtain Bank’s writen approval in the event such subcontractor is performing a Critcal Service (“Critcal Service Provider”). “Critcal Services” shall mean services that (i) grants, permits or require a third party to access, store, transmit or process Cardholder Informaton or Bank’s Confdental Informaton in connecton with a Program, (ii) involve signifcant bank functons or other actvites that could cause Bank to face signifcant risk if the third party fails to meet expectatons, (iii) could have signifcant applicant, consumer or Cardholder impacts, (iv) require signifcant Bank investment in resources to implement the third-party relatonship and manage</w:t>
      </w:r>
    </w:p>
    <w:p>
      <w:pPr>
        <w:spacing w:after="0" w:line="2"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17</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467360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282" w:right="339" w:bottom="1440" w:gutter="0" w:footer="0" w:header="0"/>
        </w:sectPr>
      </w:pPr>
    </w:p>
    <w:bookmarkStart w:id="111" w:name="page112"/>
    <w:bookmarkEnd w:id="111"/>
    <w:p>
      <w:pPr>
        <w:spacing w:after="0" w:line="246"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the risk, (v) could have a material impact on Bank operatons if the Bank has to fnd an alternate third party or if the outsourced actvity has to be brought in-house; or (vi) any other service determined by Bank to be critcal in its reasonable discreton.</w:t>
      </w:r>
    </w:p>
    <w:p>
      <w:pPr>
        <w:spacing w:after="0" w:line="126" w:lineRule="exact"/>
        <w:rPr>
          <w:sz w:val="20"/>
          <w:szCs w:val="20"/>
          <w:color w:val="auto"/>
        </w:rPr>
      </w:pPr>
    </w:p>
    <w:p>
      <w:pPr>
        <w:jc w:val="both"/>
        <w:ind w:firstLine="757"/>
        <w:spacing w:after="0" w:line="248" w:lineRule="auto"/>
        <w:tabs>
          <w:tab w:leader="none" w:pos="1018" w:val="left"/>
        </w:tabs>
        <w:numPr>
          <w:ilvl w:val="0"/>
          <w:numId w:val="128"/>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be responsible for obtaining a writen agreement with all Agents for the rendering of such services and shall be responsible for all obligatons with each Agent. Such writen agreements shall be available to Bank for review upon its request. Bank may, in its sole discreton, require any writen agreement with a Critcal Service Provider to be amended or modifed to comply with Bank’s policies and procedures, Applicable Law, Card Associaton rules, payment network rules or any instructon of Regulatory Authority. Bank may require Program Manager to terminate or replace any Agent in the event Bank or a Regulatory Authority determines that such Agent’s performance violates Applicable Law or the terms of this Agreement. Program Manager understands that it must inform Bank in writng regarding the use of any Critcal Service Provider so that Bank may complete a due diligence review of such Critcal Service Provider in compliance with Bank’s policies and procedures and Applicable Law, including, but not limited to, compliance with FFIEC guidance on Vendor and Third Party Management. Program Manager shall be responsible for all costs and expenses, including reasonable atorneys’ fees, incurred by Bank in connecton with diligence of and approval of any Critcal Service Provider.</w:t>
      </w:r>
    </w:p>
    <w:p>
      <w:pPr>
        <w:spacing w:after="0" w:line="329"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0"/>
          <w:numId w:val="128"/>
        </w:numPr>
        <w:rPr>
          <w:rFonts w:ascii="Times New Roman" w:cs="Times New Roman" w:eastAsia="Times New Roman" w:hAnsi="Times New Roman"/>
          <w:sz w:val="16"/>
          <w:szCs w:val="16"/>
          <w:color w:val="auto"/>
        </w:rPr>
      </w:pPr>
      <w:r>
        <w:rPr>
          <w:rFonts w:ascii="Calibri" w:cs="Calibri" w:eastAsia="Calibri" w:hAnsi="Calibri"/>
          <w:sz w:val="16"/>
          <w:szCs w:val="16"/>
          <w:color w:val="auto"/>
        </w:rPr>
        <w:t>Program Manager shall remain liable for any services performed by any and all Agents. Program Manager shall include provisions in any agreement with a Critcal Service Provider requiring the Critcal Service Provider to allow Bank and any Regulatory Authority having jurisdicton over Bank to audit, inspect and review their facilites, personnel, fles and records insofar as they relate to Cards or the Program. Any audit, inspecton or review as provided hereunder shall be on terms reasonably similar to the audit terms set forth in Secton 26. Program Manager shall also use commercially reasonable eforts to include provisions in any new or existng agreement with any other Critcal Service Provider requiring the Critcal Service Provider to allow Bank and any Regulatory Authority having jurisdicton over Bank to audit, inspect and review their facilites, personnel, fles and records insofar as they relate to the Cards or the Program.</w:t>
      </w:r>
    </w:p>
    <w:p>
      <w:pPr>
        <w:spacing w:after="0" w:line="112" w:lineRule="exact"/>
        <w:rPr>
          <w:sz w:val="20"/>
          <w:szCs w:val="20"/>
          <w:color w:val="auto"/>
        </w:rPr>
      </w:pPr>
    </w:p>
    <w:p>
      <w:pPr>
        <w:jc w:val="both"/>
        <w:ind w:firstLine="757"/>
        <w:spacing w:after="0" w:line="248" w:lineRule="auto"/>
        <w:tabs>
          <w:tab w:leader="none" w:pos="1018" w:val="left"/>
        </w:tabs>
        <w:numPr>
          <w:ilvl w:val="0"/>
          <w:numId w:val="129"/>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Relatonship Managers</w:t>
      </w:r>
      <w:r>
        <w:rPr>
          <w:rFonts w:ascii="Calibri" w:cs="Calibri" w:eastAsia="Calibri" w:hAnsi="Calibri"/>
          <w:sz w:val="16"/>
          <w:szCs w:val="16"/>
          <w:color w:val="auto"/>
        </w:rPr>
        <w:t>. The Partes shall each appoint, no later than the Efectve Date, a relatonship manager with responsibilites for the day-to-day</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management and administraton of this Agreement and to work closely with the relatonship manager of the other Party regarding Agreement-related issues. Each Party shall be enttled to remove its relatonship manager and appoint a substtute relatonship manager at any tme during the Term of this Agreement upon writen notce to the other Party.</w:t>
      </w:r>
    </w:p>
    <w:p>
      <w:pPr>
        <w:spacing w:after="0" w:line="110" w:lineRule="exact"/>
        <w:rPr>
          <w:rFonts w:ascii="Calibri" w:cs="Calibri" w:eastAsia="Calibri" w:hAnsi="Calibri"/>
          <w:sz w:val="16"/>
          <w:szCs w:val="16"/>
          <w:u w:val="single" w:color="auto"/>
          <w:color w:val="auto"/>
        </w:rPr>
      </w:pPr>
    </w:p>
    <w:p>
      <w:pPr>
        <w:ind w:left="80" w:right="20" w:firstLine="677"/>
        <w:spacing w:after="0" w:line="246" w:lineRule="auto"/>
        <w:tabs>
          <w:tab w:leader="none" w:pos="1023" w:val="left"/>
        </w:tabs>
        <w:numPr>
          <w:ilvl w:val="0"/>
          <w:numId w:val="129"/>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Examinaton</w:t>
      </w:r>
      <w:r>
        <w:rPr>
          <w:rFonts w:ascii="Calibri" w:cs="Calibri" w:eastAsia="Calibri" w:hAnsi="Calibri"/>
          <w:sz w:val="16"/>
          <w:szCs w:val="16"/>
          <w:color w:val="auto"/>
        </w:rPr>
        <w:t>. Each Party agrees to submit to any examinaton that may be required by a Regulatory Authority having jurisdicton over Bank and to</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otherwise provide reasonable cooperaton to the other Party in responding to such Regulatory Authorites’ inquiries and requests relatng to the Program.</w:t>
      </w:r>
    </w:p>
    <w:p>
      <w:pPr>
        <w:spacing w:after="0" w:line="110" w:lineRule="exact"/>
        <w:rPr>
          <w:rFonts w:ascii="Calibri" w:cs="Calibri" w:eastAsia="Calibri" w:hAnsi="Calibri"/>
          <w:sz w:val="16"/>
          <w:szCs w:val="16"/>
          <w:u w:val="single" w:color="auto"/>
          <w:color w:val="auto"/>
        </w:rPr>
      </w:pPr>
    </w:p>
    <w:p>
      <w:pPr>
        <w:ind w:left="1020" w:hanging="263"/>
        <w:spacing w:after="0"/>
        <w:tabs>
          <w:tab w:leader="none" w:pos="1020" w:val="left"/>
        </w:tabs>
        <w:numPr>
          <w:ilvl w:val="0"/>
          <w:numId w:val="129"/>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Audit/Inspecton</w:t>
      </w:r>
      <w:r>
        <w:rPr>
          <w:rFonts w:ascii="Calibri" w:cs="Calibri" w:eastAsia="Calibri" w:hAnsi="Calibri"/>
          <w:sz w:val="16"/>
          <w:szCs w:val="16"/>
          <w:color w:val="auto"/>
        </w:rPr>
        <w:t>.</w:t>
      </w:r>
    </w:p>
    <w:p>
      <w:pPr>
        <w:spacing w:after="0" w:line="117" w:lineRule="exact"/>
        <w:rPr>
          <w:sz w:val="20"/>
          <w:szCs w:val="20"/>
          <w:color w:val="auto"/>
        </w:rPr>
      </w:pPr>
    </w:p>
    <w:p>
      <w:pPr>
        <w:jc w:val="both"/>
        <w:ind w:firstLine="757"/>
        <w:spacing w:after="0" w:line="248" w:lineRule="auto"/>
        <w:tabs>
          <w:tab w:leader="none" w:pos="1042" w:val="left"/>
        </w:tabs>
        <w:numPr>
          <w:ilvl w:val="0"/>
          <w:numId w:val="130"/>
        </w:numPr>
        <w:rPr>
          <w:rFonts w:ascii="Calibri" w:cs="Calibri" w:eastAsia="Calibri" w:hAnsi="Calibri"/>
          <w:sz w:val="16"/>
          <w:szCs w:val="16"/>
          <w:color w:val="auto"/>
        </w:rPr>
      </w:pPr>
      <w:r>
        <w:rPr>
          <w:rFonts w:ascii="Calibri" w:cs="Calibri" w:eastAsia="Calibri" w:hAnsi="Calibri"/>
          <w:sz w:val="16"/>
          <w:szCs w:val="16"/>
          <w:color w:val="auto"/>
        </w:rPr>
        <w:t>Each Party shall allow the other to audit and/or inspect its books and records relatng to the Program during regular business hours and upon reasonable prior notce. Each Party, upon reasonable prior notce from the other Party, agrees to submit to an audit and/or inspecton of its books, records, accounts, personnel, and facilites relevant to the Program, from tme to tme, during regular business hours upon reasonable prior notce. Except as otherwise set forth in this Agreement, all expenses of the audit or inspecton shall be borne by the Party conductng the audit or inspecton. Program Manager shall store all Records related to the Accounts, and the Program and shall make such Records available during any audit or inspecton by Bank or its designee for such period as required by Applicable Law. Without limitng any other provision of this Agreement, reasonable audit expenses specifcally related to the Card Associaton in connecton with the Program or Program Manager’s compliance with Applicable Law shall be borne by Program Manager.</w:t>
      </w:r>
    </w:p>
    <w:p>
      <w:pPr>
        <w:spacing w:after="0" w:line="112" w:lineRule="exact"/>
        <w:rPr>
          <w:rFonts w:ascii="Calibri" w:cs="Calibri" w:eastAsia="Calibri" w:hAnsi="Calibri"/>
          <w:sz w:val="16"/>
          <w:szCs w:val="16"/>
          <w:color w:val="auto"/>
        </w:rPr>
      </w:pPr>
    </w:p>
    <w:p>
      <w:pPr>
        <w:jc w:val="both"/>
        <w:ind w:firstLine="757"/>
        <w:spacing w:after="0" w:line="248" w:lineRule="auto"/>
        <w:tabs>
          <w:tab w:leader="none" w:pos="1042" w:val="left"/>
        </w:tabs>
        <w:numPr>
          <w:ilvl w:val="0"/>
          <w:numId w:val="130"/>
        </w:numPr>
        <w:rPr>
          <w:rFonts w:ascii="Calibri" w:cs="Calibri" w:eastAsia="Calibri" w:hAnsi="Calibri"/>
          <w:sz w:val="16"/>
          <w:szCs w:val="16"/>
          <w:color w:val="auto"/>
        </w:rPr>
      </w:pPr>
      <w:r>
        <w:rPr>
          <w:rFonts w:ascii="Calibri" w:cs="Calibri" w:eastAsia="Calibri" w:hAnsi="Calibri"/>
          <w:sz w:val="16"/>
          <w:szCs w:val="16"/>
          <w:color w:val="auto"/>
        </w:rPr>
        <w:t>Notwithstanding anything to the contrary, within one hundred eighty (180) days of the Efectve Date, Program Manager will submit to and complete a compliance audit of its operatons to ensure compliance with consumer, privacy, cybersecurity and fnancial requirements and shall submit to and complete a fnancial reportng audit (collectvely, “Compliance Audit”). The Compliance Audit shall be conducted by third party auditor mutually agreed to by Program Manager and Bank, and shall be conducted in compliance with all Applicable Laws, including, any laws applicable to the Program, the Program Manager Services or this Agreement, including, but not limited to, Sarbanes-Oxley Act. Program Manager shall furnish within a reasonable tme copies of SSAE-16 reports upon request from third party auditor in connecton with the Compliance Audit. Program Manager shall be responsible for all expenses related to Compliance Audit.</w:t>
      </w:r>
    </w:p>
    <w:p>
      <w:pPr>
        <w:spacing w:after="0" w:line="112" w:lineRule="exact"/>
        <w:rPr>
          <w:rFonts w:ascii="Calibri" w:cs="Calibri" w:eastAsia="Calibri" w:hAnsi="Calibri"/>
          <w:sz w:val="16"/>
          <w:szCs w:val="16"/>
          <w:color w:val="auto"/>
        </w:rPr>
      </w:pPr>
    </w:p>
    <w:p>
      <w:pPr>
        <w:jc w:val="both"/>
        <w:ind w:firstLine="757"/>
        <w:spacing w:after="0" w:line="248" w:lineRule="auto"/>
        <w:tabs>
          <w:tab w:leader="none" w:pos="1042" w:val="left"/>
        </w:tabs>
        <w:numPr>
          <w:ilvl w:val="0"/>
          <w:numId w:val="130"/>
        </w:numPr>
        <w:rPr>
          <w:rFonts w:ascii="Calibri" w:cs="Calibri" w:eastAsia="Calibri" w:hAnsi="Calibri"/>
          <w:sz w:val="16"/>
          <w:szCs w:val="16"/>
          <w:color w:val="auto"/>
        </w:rPr>
      </w:pPr>
      <w:r>
        <w:rPr>
          <w:rFonts w:ascii="Calibri" w:cs="Calibri" w:eastAsia="Calibri" w:hAnsi="Calibri"/>
          <w:sz w:val="16"/>
          <w:szCs w:val="16"/>
          <w:color w:val="auto"/>
        </w:rPr>
        <w:t>During the Term of this Agreement, Program Manager will provide Bank with unaudited quarterly fnancial statements within forty-fve (45) days following the end of each calendar quarter, which shall include, at a minimum, a balance sheet, income statement and cash fow statement, debt covenant calculatons (if applicable), amount of any guaranteed loans and current loss rates on guaranteed loans (if applicable) in such detail reasonably acceptable to Bank and certfed by Program Manager’s Treasurer or Chief Financial Ofcer, and audited annual fnancial statements within one hundred eighty (180) days afer the end of Program Manager’s fscal year, which shall include, at a minimum, a balance sheet, income statement, and cash fow statement, debt covenant calculatons (if applicable), amount of any guaranteed loans and current loss rates on guaranteed loans (if applicable) and notes to fnancial statements in such detail customary for such fnancial statements and prepared by an independent certfed public accountant in accordance with generally accepted accountng principles consistently applied.</w:t>
      </w:r>
    </w:p>
    <w:p>
      <w:pPr>
        <w:spacing w:after="0" w:line="112" w:lineRule="exact"/>
        <w:rPr>
          <w:rFonts w:ascii="Calibri" w:cs="Calibri" w:eastAsia="Calibri" w:hAnsi="Calibri"/>
          <w:sz w:val="16"/>
          <w:szCs w:val="16"/>
          <w:color w:val="auto"/>
        </w:rPr>
      </w:pPr>
    </w:p>
    <w:p>
      <w:pPr>
        <w:jc w:val="both"/>
        <w:ind w:firstLine="757"/>
        <w:spacing w:after="0" w:line="248" w:lineRule="auto"/>
        <w:tabs>
          <w:tab w:leader="none" w:pos="1042" w:val="left"/>
        </w:tabs>
        <w:numPr>
          <w:ilvl w:val="0"/>
          <w:numId w:val="130"/>
        </w:numPr>
        <w:rPr>
          <w:rFonts w:ascii="Calibri" w:cs="Calibri" w:eastAsia="Calibri" w:hAnsi="Calibri"/>
          <w:sz w:val="16"/>
          <w:szCs w:val="16"/>
          <w:color w:val="auto"/>
        </w:rPr>
      </w:pPr>
      <w:r>
        <w:rPr>
          <w:rFonts w:ascii="Calibri" w:cs="Calibri" w:eastAsia="Calibri" w:hAnsi="Calibri"/>
          <w:sz w:val="16"/>
          <w:szCs w:val="16"/>
          <w:color w:val="auto"/>
        </w:rPr>
        <w:t>At least annually, Program Manager will have a certfed independent public accountng frm or another independent third party reasonably acceptable to Bank: (i)(a) conduct a review or assessment and provide a full atestaton, review or report under SSAE 16 (Statement on Standards for Atestaton Engagements No. 16) SOC (Service Organizaton Control) 1 Type II or SOC 2 Type II; (b) a replacement for one of the foregoing approved by Bank; or (c) other third party reviews and reports reasonably acceptable to Bank, in each case, of all key systems and operatonal controls used in connecton with any Confdental Informaton or Depositor Informaton; and (ii) conduct and provide a full report of an independent network and applicaton penetraton test. Each of these atestatons, reviews, reports and tests will be for a scope approved by Bank in its reasonable discreton. Program Manager will provide all fndings from these atestatons, reviews and tests to Bank upon receipt from the third party. Program Manager will (x) implement all material recommendatons set forth in such atestatons, reviews, reports and any other reasonable recommendatons made by Bank</w:t>
      </w:r>
    </w:p>
    <w:p>
      <w:pPr>
        <w:spacing w:after="0" w:line="205"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18</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12" w:name="page113"/>
    <w:bookmarkEnd w:id="112"/>
    <w:p>
      <w:pPr>
        <w:jc w:val="both"/>
        <w:spacing w:after="0" w:line="247"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arising out of Bank’s analysis of such reviews and (y) upon Bank’s request, provide Bank with the status of the implementaton. If Program Manager fails to conduct the required reviews and assessments and provide the required reports set forth in clauses (i) and (ii) above, as determined by Bank, Bank may perform its own reviews and assessments, and Program Manager will promptly reimburse Program Manager for all reasonable costs associated with its eforts.</w:t>
      </w:r>
    </w:p>
    <w:p>
      <w:pPr>
        <w:spacing w:after="0" w:line="112" w:lineRule="exact"/>
        <w:rPr>
          <w:sz w:val="20"/>
          <w:szCs w:val="20"/>
          <w:color w:val="auto"/>
        </w:rPr>
      </w:pPr>
    </w:p>
    <w:p>
      <w:pPr>
        <w:jc w:val="both"/>
        <w:ind w:firstLine="757"/>
        <w:spacing w:after="0" w:line="248" w:lineRule="auto"/>
        <w:tabs>
          <w:tab w:leader="none" w:pos="1018" w:val="left"/>
        </w:tabs>
        <w:numPr>
          <w:ilvl w:val="0"/>
          <w:numId w:val="131"/>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Agreement Subject to Applicable Laws</w:t>
      </w:r>
      <w:r>
        <w:rPr>
          <w:rFonts w:ascii="Calibri" w:cs="Calibri" w:eastAsia="Calibri" w:hAnsi="Calibri"/>
          <w:sz w:val="16"/>
          <w:szCs w:val="16"/>
          <w:color w:val="auto"/>
        </w:rPr>
        <w:t>. Subject to Secton 19 (Term and Terminaton), if (a) either Party has been advised by legal counsel of a change in</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Applicable Laws or any judicial decision of a court having jurisdicton over such Party or any interpretaton of a Regulatory Authority that, in the view of such legal counsel, would have a materially adverse efect on the Program, the rights or obligatons of such Party under this Agreement or the fnancial conditon of such Party; (b) either Party shall receive a lawful writen request of any Regulatory Authority having jurisdicton over such Party, including any leter or directve of any kind from any such Regulatory Authority, that prohibits or restricts such Party from carrying out its obligatons under this Agreement; (c) either Party has been advised by legal counsel that there is a material risk that such Party’s or the other Party’s contnued performance under this Agreement would violate Applicable Laws; (d) any Regulatory Authority shall have determined and notfed either Party that the arrangement between the Partes contemplated by the Program Documents consttutes an unsafe or unsound banking practce or is in violaton of Applicable Law; or (e) a Regulatory Authority has commenced an investgaton or acton against a Party which the other Party, in its reasonable judgment, determines that it threatens such Party’s ability to perform its obligatons under the Program Documents, then, in each case, the Partes shall meet and consider in good faith any modifcatons, changes or additons to the Program or the Program Documents that may be necessary to eliminate such result. Notwithstanding any other provision of the Program Documents, if the Partes are unable to reach agreement regarding modifcatons, changes or additons to the Program or the Program Documents within ffeen (15) Business Days afer the Partes initally meet, either Party may terminate this Agreement upon thirty (30) days prior writen notce to the other Party and without payment of a terminaton fee or other penalty. A Party shall be able to suspend performance of its obligatons under this Agreement, or require the other Party to suspend its performance of its obligatons under this Agreement, if (i) any event described in clause (b) above occurs and (ii) such Party reasonably determines that contnued performance hereunder may result in a fne, penalty or other sancton being imposed by the applicable Regulatory Authority, or in material civil liability, unless with regards to civil liability, the other Party agrees to indemnify the Party. For the avoidance of doubt, nothing in this Secton 27 shall obligate a Party to disclose, share, or discuss any informaton to the extent prohibited by Applicable Law or a Regulatory Authority.</w:t>
      </w:r>
    </w:p>
    <w:p>
      <w:pPr>
        <w:spacing w:after="0" w:line="117" w:lineRule="exact"/>
        <w:rPr>
          <w:rFonts w:ascii="Calibri" w:cs="Calibri" w:eastAsia="Calibri" w:hAnsi="Calibri"/>
          <w:sz w:val="16"/>
          <w:szCs w:val="16"/>
          <w:u w:val="single" w:color="auto"/>
          <w:color w:val="auto"/>
        </w:rPr>
      </w:pPr>
    </w:p>
    <w:p>
      <w:pPr>
        <w:ind w:left="1020" w:hanging="263"/>
        <w:spacing w:after="0"/>
        <w:tabs>
          <w:tab w:leader="none" w:pos="1020" w:val="left"/>
        </w:tabs>
        <w:numPr>
          <w:ilvl w:val="0"/>
          <w:numId w:val="131"/>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Reserved</w:t>
      </w:r>
      <w:r>
        <w:rPr>
          <w:rFonts w:ascii="Calibri" w:cs="Calibri" w:eastAsia="Calibri" w:hAnsi="Calibri"/>
          <w:sz w:val="16"/>
          <w:szCs w:val="16"/>
          <w:b w:val="1"/>
          <w:bCs w:val="1"/>
          <w:color w:val="auto"/>
        </w:rPr>
        <w:t>.</w:t>
      </w:r>
    </w:p>
    <w:p>
      <w:pPr>
        <w:spacing w:after="0" w:line="117" w:lineRule="exact"/>
        <w:rPr>
          <w:rFonts w:ascii="Calibri" w:cs="Calibri" w:eastAsia="Calibri" w:hAnsi="Calibri"/>
          <w:sz w:val="16"/>
          <w:szCs w:val="16"/>
          <w:u w:val="single" w:color="auto"/>
          <w:color w:val="auto"/>
        </w:rPr>
      </w:pPr>
    </w:p>
    <w:p>
      <w:pPr>
        <w:jc w:val="both"/>
        <w:ind w:firstLine="757"/>
        <w:spacing w:after="0" w:line="248" w:lineRule="auto"/>
        <w:tabs>
          <w:tab w:leader="none" w:pos="1018" w:val="left"/>
        </w:tabs>
        <w:numPr>
          <w:ilvl w:val="0"/>
          <w:numId w:val="131"/>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Program Manager Reserve Account</w:t>
      </w:r>
      <w:r>
        <w:rPr>
          <w:rFonts w:ascii="Calibri" w:cs="Calibri" w:eastAsia="Calibri" w:hAnsi="Calibri"/>
          <w:sz w:val="16"/>
          <w:szCs w:val="16"/>
          <w:color w:val="auto"/>
        </w:rPr>
        <w:t>. Prior to the Efectve Date of this Agreement, Program Manager shall establish a non-interest bearing deposit account</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 xml:space="preserve">(the “Program Manager Reserve Account”) at Bank which fund transfers may be initated by Bank. Program Manager Reserve Account shall be a segregated deposit account that shall hold only the funds to be provided by Program Manager to Bank, whether as collateral or as funds owed in connecton with this Agreement. At all tmes, it is Program Manager’s responsibility to maintain funds in Program Manager Reserve Account at least equal to the amount set forth in Schedule </w:t>
      </w:r>
      <w:r>
        <w:rPr>
          <w:rFonts w:ascii="Calibri" w:cs="Calibri" w:eastAsia="Calibri" w:hAnsi="Calibri"/>
          <w:sz w:val="16"/>
          <w:szCs w:val="16"/>
          <w:u w:val="single" w:color="auto"/>
          <w:color w:val="auto"/>
        </w:rPr>
        <w:t>B</w:t>
      </w:r>
      <w:r>
        <w:rPr>
          <w:rFonts w:ascii="Calibri" w:cs="Calibri" w:eastAsia="Calibri" w:hAnsi="Calibri"/>
          <w:sz w:val="16"/>
          <w:szCs w:val="16"/>
          <w:color w:val="auto"/>
        </w:rPr>
        <w:t xml:space="preserve"> of the Bank Issuing Agreement, incorporated herein by reference (the “Reserve Balance”). For the avoidance of doubt the Reserve Balance is synonymous to the Reserve Amount in the Bank Services Agreement.</w:t>
      </w:r>
    </w:p>
    <w:p>
      <w:pPr>
        <w:spacing w:after="0" w:line="125" w:lineRule="exact"/>
        <w:rPr>
          <w:rFonts w:ascii="Calibri" w:cs="Calibri" w:eastAsia="Calibri" w:hAnsi="Calibri"/>
          <w:sz w:val="16"/>
          <w:szCs w:val="16"/>
          <w:u w:val="single" w:color="auto"/>
          <w:color w:val="auto"/>
        </w:rPr>
      </w:pPr>
    </w:p>
    <w:p>
      <w:pPr>
        <w:jc w:val="both"/>
        <w:ind w:left="80" w:firstLine="751"/>
        <w:spacing w:after="0" w:line="248" w:lineRule="auto"/>
        <w:tabs>
          <w:tab w:leader="none" w:pos="1023" w:val="left"/>
        </w:tabs>
        <w:numPr>
          <w:ilvl w:val="1"/>
          <w:numId w:val="131"/>
        </w:numPr>
        <w:rPr>
          <w:rFonts w:ascii="Times New Roman" w:cs="Times New Roman" w:eastAsia="Times New Roman" w:hAnsi="Times New Roman"/>
          <w:sz w:val="16"/>
          <w:szCs w:val="16"/>
          <w:color w:val="auto"/>
        </w:rPr>
      </w:pPr>
      <w:r>
        <w:rPr>
          <w:rFonts w:ascii="Calibri" w:cs="Calibri" w:eastAsia="Calibri" w:hAnsi="Calibri"/>
          <w:sz w:val="16"/>
          <w:szCs w:val="16"/>
          <w:color w:val="auto"/>
        </w:rPr>
        <w:t>Security Interest. To secure Program Manager’s obligatons under the Program Documents, Program Manager hereby grants Bank a frst priority security interest in Program Manager Reserve Account and the funds therein or proceeds thereof, and agrees that Bank has control of Program Manager Reserve Account for purposes of the Uniform Commercial Code, Artcle 9-314. Program Manager further agrees to take such steps as Bank may reasonably require to perfect or protect such frst priority security interest. Bank shall have all of the rights and remedies of a secured party under Applicable Laws with respect to Program Manager Reserve Account and the funds therein or proceeds thereof; and shall be enttled to exercise those rights and remedies in its discreton. Program Manager agrees that it will maintain the lien against Program Manager Reserve Account in favor of Bank and agrees that it will not grant any other party an interest in Program Manager Reserve Account.</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(b)</w:t>
      </w:r>
      <w:r>
        <w:rPr>
          <w:rFonts w:ascii="Calibri" w:cs="Calibri" w:eastAsia="Calibri" w:hAnsi="Calibri"/>
          <w:sz w:val="16"/>
          <w:szCs w:val="16"/>
          <w:color w:val="auto"/>
        </w:rPr>
        <w:t>Program Manager Reserve Account can be applied by Bank to cover any requirements under this Agreement.</w:t>
      </w:r>
    </w:p>
    <w:p>
      <w:pPr>
        <w:spacing w:after="0" w:line="138" w:lineRule="exact"/>
        <w:rPr>
          <w:sz w:val="20"/>
          <w:szCs w:val="20"/>
          <w:color w:val="auto"/>
        </w:rPr>
      </w:pPr>
    </w:p>
    <w:p>
      <w:pPr>
        <w:jc w:val="both"/>
        <w:ind w:left="80" w:firstLine="751"/>
        <w:spacing w:after="0" w:line="248" w:lineRule="auto"/>
        <w:tabs>
          <w:tab w:leader="none" w:pos="1023" w:val="left"/>
        </w:tabs>
        <w:numPr>
          <w:ilvl w:val="2"/>
          <w:numId w:val="132"/>
        </w:numPr>
        <w:rPr>
          <w:rFonts w:ascii="Times New Roman" w:cs="Times New Roman" w:eastAsia="Times New Roman" w:hAnsi="Times New Roman"/>
          <w:sz w:val="16"/>
          <w:szCs w:val="16"/>
          <w:color w:val="auto"/>
        </w:rPr>
      </w:pPr>
      <w:r>
        <w:rPr>
          <w:rFonts w:ascii="Calibri" w:cs="Calibri" w:eastAsia="Calibri" w:hAnsi="Calibri"/>
          <w:sz w:val="16"/>
          <w:szCs w:val="16"/>
          <w:color w:val="auto"/>
        </w:rPr>
        <w:t>Terminaton of Program Manager Reserve Account. Bank shall release any funds remaining in Program Manager Reserve Account within one hundred and twenty (120) days afer the latest to occur of: (i) expiraton or terminaton of this Agreement; and (ii) the date when obligatons of Program Manager under the Program Documents have been satsfed in full by Program Manager; however, Bank shall release funds from Program Manager Reserve Account no sooner than the expiraton or terminaton of all Chargeback rights.</w:t>
      </w:r>
    </w:p>
    <w:p>
      <w:pPr>
        <w:spacing w:after="0" w:line="110" w:lineRule="exact"/>
        <w:rPr>
          <w:rFonts w:ascii="Times New Roman" w:cs="Times New Roman" w:eastAsia="Times New Roman" w:hAnsi="Times New Roman"/>
          <w:sz w:val="16"/>
          <w:szCs w:val="16"/>
          <w:color w:val="auto"/>
        </w:rPr>
      </w:pPr>
    </w:p>
    <w:p>
      <w:pPr>
        <w:jc w:val="both"/>
        <w:ind w:firstLine="757"/>
        <w:spacing w:after="0" w:line="248" w:lineRule="auto"/>
        <w:tabs>
          <w:tab w:leader="none" w:pos="1018" w:val="left"/>
        </w:tabs>
        <w:numPr>
          <w:ilvl w:val="1"/>
          <w:numId w:val="133"/>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Program Manager Revenue Account</w:t>
      </w:r>
      <w:r>
        <w:rPr>
          <w:rFonts w:ascii="Calibri" w:cs="Calibri" w:eastAsia="Calibri" w:hAnsi="Calibri"/>
          <w:sz w:val="16"/>
          <w:szCs w:val="16"/>
          <w:color w:val="auto"/>
        </w:rPr>
        <w:t>. Prior to the Efectve Date of this Agreement, Program Manager shall establish a deposit account (the “Program</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Manager Revenue Account”) with a fnancial insttuton which fund transfers may be initated by Bank. Bank shall transfer all amounts as required by Secton 9 (Fees) to Program Manager Revenue Account from tme to tme. Program Manager shall provide Bank with thirty (30) days’ notce prior to changing or transferring to another fnancial insttuton Program Manager Revenue Account.</w:t>
      </w:r>
    </w:p>
    <w:p>
      <w:pPr>
        <w:spacing w:after="0" w:line="110" w:lineRule="exact"/>
        <w:rPr>
          <w:rFonts w:ascii="Calibri" w:cs="Calibri" w:eastAsia="Calibri" w:hAnsi="Calibri"/>
          <w:sz w:val="16"/>
          <w:szCs w:val="16"/>
          <w:u w:val="single" w:color="auto"/>
          <w:color w:val="auto"/>
        </w:rPr>
      </w:pPr>
    </w:p>
    <w:p>
      <w:pPr>
        <w:jc w:val="both"/>
        <w:ind w:firstLine="757"/>
        <w:spacing w:after="0" w:line="247" w:lineRule="auto"/>
        <w:tabs>
          <w:tab w:leader="none" w:pos="1018" w:val="left"/>
        </w:tabs>
        <w:numPr>
          <w:ilvl w:val="1"/>
          <w:numId w:val="133"/>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Insurance</w:t>
      </w:r>
      <w:r>
        <w:rPr>
          <w:rFonts w:ascii="Calibri" w:cs="Calibri" w:eastAsia="Calibri" w:hAnsi="Calibri"/>
          <w:sz w:val="16"/>
          <w:szCs w:val="16"/>
          <w:color w:val="auto"/>
        </w:rPr>
        <w:t>. Program Manager shall procure, pay for and maintain the minimum insurance coverage set forth below for the entre term of the Agreement.</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All insurance coverage is subject to the approval of Bank and shall be issued by a fscally sound insurance carrier which maintains an A.M. Best Ratng of A- VII or beter. The General Liability policy shall name Bank as additonal insured on the General Liability policy:</w:t>
      </w:r>
    </w:p>
    <w:p>
      <w:pPr>
        <w:spacing w:after="0" w:line="124" w:lineRule="exact"/>
        <w:rPr>
          <w:rFonts w:ascii="Calibri" w:cs="Calibri" w:eastAsia="Calibri" w:hAnsi="Calibri"/>
          <w:sz w:val="16"/>
          <w:szCs w:val="16"/>
          <w:u w:val="single" w:color="auto"/>
          <w:color w:val="auto"/>
        </w:rPr>
      </w:pPr>
    </w:p>
    <w:p>
      <w:pPr>
        <w:ind w:left="2040" w:hanging="535"/>
        <w:spacing w:after="0"/>
        <w:tabs>
          <w:tab w:leader="none" w:pos="2040" w:val="left"/>
        </w:tabs>
        <w:numPr>
          <w:ilvl w:val="3"/>
          <w:numId w:val="133"/>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Workers’ Compensaton insurance providing coverage pursuant to statutory requirements.</w:t>
      </w:r>
    </w:p>
    <w:p>
      <w:pPr>
        <w:spacing w:after="0" w:line="130" w:lineRule="exact"/>
        <w:rPr>
          <w:rFonts w:ascii="Times New Roman" w:cs="Times New Roman" w:eastAsia="Times New Roman" w:hAnsi="Times New Roman"/>
          <w:sz w:val="16"/>
          <w:szCs w:val="16"/>
          <w:u w:val="single" w:color="auto"/>
          <w:color w:val="auto"/>
        </w:rPr>
      </w:pPr>
    </w:p>
    <w:p>
      <w:pPr>
        <w:jc w:val="both"/>
        <w:ind w:firstLine="1505"/>
        <w:spacing w:after="0" w:line="248" w:lineRule="auto"/>
        <w:tabs>
          <w:tab w:leader="none" w:pos="2036" w:val="left"/>
        </w:tabs>
        <w:numPr>
          <w:ilvl w:val="3"/>
          <w:numId w:val="133"/>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Commercial General Liability insurance with Completed Product and Operatons covering bodily injury, property damage, and including contractual liability coverage with a combined limit of [**] per occurrence and [**] general aggregate. The Commercial General Liability insurance policy shall name Bank as additonal insured but solely as it relates to insurable losses and expenses that result from Program Manager’s actvites in the servicing of the Program. Such policy shall contain a waiver of subrogaton in favor of Bank.</w:t>
      </w:r>
    </w:p>
    <w:p>
      <w:pPr>
        <w:spacing w:after="0" w:line="122" w:lineRule="exact"/>
        <w:rPr>
          <w:rFonts w:ascii="Times New Roman" w:cs="Times New Roman" w:eastAsia="Times New Roman" w:hAnsi="Times New Roman"/>
          <w:sz w:val="16"/>
          <w:szCs w:val="16"/>
          <w:u w:val="single" w:color="auto"/>
          <w:color w:val="auto"/>
        </w:rPr>
      </w:pPr>
    </w:p>
    <w:p>
      <w:pPr>
        <w:ind w:left="2040" w:hanging="535"/>
        <w:spacing w:after="0"/>
        <w:tabs>
          <w:tab w:leader="none" w:pos="2040" w:val="left"/>
        </w:tabs>
        <w:numPr>
          <w:ilvl w:val="3"/>
          <w:numId w:val="133"/>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Commercial Umbrella Liability insurance with per occurrence and aggregate limits of [**] with the liability insurance required under clauses</w:t>
      </w:r>
    </w:p>
    <w:p>
      <w:pPr>
        <w:spacing w:after="0" w:line="7" w:lineRule="exact"/>
        <w:rPr>
          <w:rFonts w:ascii="Times New Roman" w:cs="Times New Roman" w:eastAsia="Times New Roman" w:hAnsi="Times New Roman"/>
          <w:sz w:val="16"/>
          <w:szCs w:val="16"/>
          <w:u w:val="single" w:color="auto"/>
          <w:color w:val="auto"/>
        </w:rPr>
      </w:pPr>
    </w:p>
    <w:p>
      <w:pPr>
        <w:ind w:left="220" w:hanging="212"/>
        <w:spacing w:after="0"/>
        <w:tabs>
          <w:tab w:leader="none" w:pos="220" w:val="left"/>
        </w:tabs>
        <w:numPr>
          <w:ilvl w:val="0"/>
          <w:numId w:val="134"/>
        </w:numPr>
        <w:rPr>
          <w:rFonts w:ascii="Calibri" w:cs="Calibri" w:eastAsia="Calibri" w:hAnsi="Calibri"/>
          <w:sz w:val="16"/>
          <w:szCs w:val="16"/>
          <w:color w:val="auto"/>
        </w:rPr>
      </w:pPr>
      <w:r>
        <w:rPr>
          <w:rFonts w:ascii="Calibri" w:cs="Calibri" w:eastAsia="Calibri" w:hAnsi="Calibri"/>
          <w:sz w:val="16"/>
          <w:szCs w:val="16"/>
          <w:color w:val="auto"/>
        </w:rPr>
        <w:t>and (b) above scheduled as underlying.</w:t>
      </w:r>
    </w:p>
    <w:p>
      <w:pPr>
        <w:spacing w:after="0" w:line="6"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19</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13" w:name="page114"/>
    <w:bookmarkEnd w:id="113"/>
    <w:p>
      <w:pPr>
        <w:jc w:val="both"/>
        <w:ind w:firstLine="1505"/>
        <w:spacing w:after="0" w:line="247" w:lineRule="auto"/>
        <w:tabs>
          <w:tab w:leader="none" w:pos="2036" w:val="left"/>
        </w:tabs>
        <w:numPr>
          <w:ilvl w:val="0"/>
          <w:numId w:val="135"/>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Commercial Crime insurance covering Employee Thef and Computer Fraud with limits of [**] per loss for loss or damage arising out of fraudulent or dishonest acts commited by the employees of Program Manager, actng alone or in collusion with others, including the property and funds of others in their possession, care, custody, or control.</w:t>
      </w:r>
    </w:p>
    <w:p>
      <w:pPr>
        <w:spacing w:after="0" w:line="124" w:lineRule="exact"/>
        <w:rPr>
          <w:rFonts w:ascii="Times New Roman" w:cs="Times New Roman" w:eastAsia="Times New Roman" w:hAnsi="Times New Roman"/>
          <w:sz w:val="16"/>
          <w:szCs w:val="16"/>
          <w:u w:val="single" w:color="auto"/>
          <w:color w:val="auto"/>
        </w:rPr>
      </w:pPr>
    </w:p>
    <w:p>
      <w:pPr>
        <w:ind w:left="2040" w:hanging="535"/>
        <w:spacing w:after="0"/>
        <w:tabs>
          <w:tab w:leader="none" w:pos="2040" w:val="left"/>
        </w:tabs>
        <w:numPr>
          <w:ilvl w:val="0"/>
          <w:numId w:val="135"/>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Technology Errors and Omissions Liability insurance in the amount of [**] per claim and aggregate.</w:t>
      </w:r>
    </w:p>
    <w:p>
      <w:pPr>
        <w:spacing w:after="0" w:line="117" w:lineRule="exact"/>
        <w:rPr>
          <w:sz w:val="20"/>
          <w:szCs w:val="20"/>
          <w:color w:val="auto"/>
        </w:rPr>
      </w:pPr>
    </w:p>
    <w:p>
      <w:pPr>
        <w:jc w:val="both"/>
        <w:spacing w:after="0" w:line="248" w:lineRule="auto"/>
        <w:rPr>
          <w:sz w:val="20"/>
          <w:szCs w:val="20"/>
          <w:color w:val="auto"/>
        </w:rPr>
      </w:pPr>
      <w:r>
        <w:rPr>
          <w:rFonts w:ascii="Calibri" w:cs="Calibri" w:eastAsia="Calibri" w:hAnsi="Calibri"/>
          <w:sz w:val="16"/>
          <w:szCs w:val="16"/>
          <w:color w:val="auto"/>
        </w:rPr>
        <w:t>Program Manager must furnish Bank with certfcates of insurance as evidence of the above insurance requirements prior to commencement of operatons under the Agreement. Such certfcates shall verify that Bank is named as additonal insured and the waiver of subrogaton in favor of Bank under the Commercial General Liability policy as required herein, and that in the event of a cancellaton or material change in coverage, Bank would be given thirty (30) days prior writen notce. In the event Program Manager receives notce of cancellaton for any of the required policies, Program Manager shall use commercially reasonable eforts to provide at least thirty (30) days prior notce of such event to Bank, unless the required coverage is immediately replaced by similar coverage in scope and limits. Failure of Program Manager to provide or of Bank to request a certfcate of insurance shall not waive Program Manager’s obligaton under this Agreement to maintain the insurance required herein. In the event Program Manager fails to maintain the insurance set forth herein Bank shall have the right to terminate this Agreement immediately upon writen notce.</w:t>
      </w:r>
    </w:p>
    <w:p>
      <w:pPr>
        <w:spacing w:after="0" w:line="113" w:lineRule="exact"/>
        <w:rPr>
          <w:sz w:val="20"/>
          <w:szCs w:val="20"/>
          <w:color w:val="auto"/>
        </w:rPr>
      </w:pPr>
    </w:p>
    <w:p>
      <w:pPr>
        <w:jc w:val="both"/>
        <w:ind w:right="20" w:firstLine="757"/>
        <w:spacing w:after="0" w:line="247" w:lineRule="auto"/>
        <w:tabs>
          <w:tab w:leader="none" w:pos="1018" w:val="left"/>
        </w:tabs>
        <w:numPr>
          <w:ilvl w:val="0"/>
          <w:numId w:val="136"/>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Cooperaton</w:t>
      </w:r>
      <w:r>
        <w:rPr>
          <w:rFonts w:ascii="Calibri" w:cs="Calibri" w:eastAsia="Calibri" w:hAnsi="Calibri"/>
          <w:sz w:val="16"/>
          <w:szCs w:val="16"/>
          <w:color w:val="auto"/>
        </w:rPr>
        <w:t>. Each Party hereto agrees to cooperate fully with the other Party hereto in furnishing any informaton or performing any acton reasonably</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requested by such Party that is needed by the requestng Party to perform its obligatons under this Agreement or to comply with Applicable Law or any request from a Regulatory Authority.</w:t>
      </w:r>
    </w:p>
    <w:p>
      <w:pPr>
        <w:spacing w:after="0" w:line="112" w:lineRule="exact"/>
        <w:rPr>
          <w:rFonts w:ascii="Calibri" w:cs="Calibri" w:eastAsia="Calibri" w:hAnsi="Calibri"/>
          <w:sz w:val="16"/>
          <w:szCs w:val="16"/>
          <w:u w:val="single" w:color="auto"/>
          <w:color w:val="auto"/>
        </w:rPr>
      </w:pPr>
    </w:p>
    <w:p>
      <w:pPr>
        <w:jc w:val="both"/>
        <w:ind w:firstLine="757"/>
        <w:spacing w:after="0" w:line="247" w:lineRule="auto"/>
        <w:tabs>
          <w:tab w:leader="none" w:pos="1018" w:val="left"/>
        </w:tabs>
        <w:numPr>
          <w:ilvl w:val="0"/>
          <w:numId w:val="136"/>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Relatonship of Partes</w:t>
      </w:r>
      <w:r>
        <w:rPr>
          <w:rFonts w:ascii="Calibri" w:cs="Calibri" w:eastAsia="Calibri" w:hAnsi="Calibri"/>
          <w:sz w:val="16"/>
          <w:szCs w:val="16"/>
          <w:color w:val="auto"/>
        </w:rPr>
        <w:t>. Unless otherwise provided in this Agreement, the Partes agree that in performing their responsibilites pursuant to this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Agreement, they are in the positon of independent contractors. This Agreement is not intended to create, nor does it create and shall not be construed to create, a relatonship of partner or joint venturer or any associaton for proft between Bank and Program Manager.</w:t>
      </w:r>
    </w:p>
    <w:p>
      <w:pPr>
        <w:spacing w:after="0" w:line="110" w:lineRule="exact"/>
        <w:rPr>
          <w:rFonts w:ascii="Calibri" w:cs="Calibri" w:eastAsia="Calibri" w:hAnsi="Calibri"/>
          <w:sz w:val="16"/>
          <w:szCs w:val="16"/>
          <w:u w:val="single" w:color="auto"/>
          <w:color w:val="auto"/>
        </w:rPr>
      </w:pPr>
    </w:p>
    <w:p>
      <w:pPr>
        <w:ind w:left="1020" w:hanging="263"/>
        <w:spacing w:after="0"/>
        <w:tabs>
          <w:tab w:leader="none" w:pos="1020" w:val="left"/>
        </w:tabs>
        <w:numPr>
          <w:ilvl w:val="0"/>
          <w:numId w:val="136"/>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Governing Law; Waiver of Jury Trial; Dispute Resoluton and Arbitraton</w:t>
      </w:r>
      <w:r>
        <w:rPr>
          <w:rFonts w:ascii="Calibri" w:cs="Calibri" w:eastAsia="Calibri" w:hAnsi="Calibri"/>
          <w:sz w:val="16"/>
          <w:szCs w:val="16"/>
          <w:color w:val="auto"/>
        </w:rPr>
        <w:t>.</w:t>
      </w:r>
    </w:p>
    <w:p>
      <w:pPr>
        <w:spacing w:after="0" w:line="130" w:lineRule="exact"/>
        <w:rPr>
          <w:rFonts w:ascii="Calibri" w:cs="Calibri" w:eastAsia="Calibri" w:hAnsi="Calibri"/>
          <w:sz w:val="16"/>
          <w:szCs w:val="16"/>
          <w:u w:val="single" w:color="auto"/>
          <w:color w:val="auto"/>
        </w:rPr>
      </w:pPr>
    </w:p>
    <w:p>
      <w:pPr>
        <w:jc w:val="both"/>
        <w:ind w:firstLine="1505"/>
        <w:spacing w:after="0" w:line="247" w:lineRule="auto"/>
        <w:tabs>
          <w:tab w:leader="none" w:pos="2036" w:val="left"/>
        </w:tabs>
        <w:numPr>
          <w:ilvl w:val="1"/>
          <w:numId w:val="136"/>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This Agreement shall be interpreted and construed in accordance with the laws of the State of Tennessee, without giving efect to the rules, policies, or principles thereof with respect to conficts of laws. Each Party hereby submits to the jurisdicton of the courts of Tennessee, and (subject to Bank’s reservaton of preempton rights herein).</w:t>
      </w:r>
    </w:p>
    <w:p>
      <w:pPr>
        <w:spacing w:after="0" w:line="125" w:lineRule="exact"/>
        <w:rPr>
          <w:rFonts w:ascii="Times New Roman" w:cs="Times New Roman" w:eastAsia="Times New Roman" w:hAnsi="Times New Roman"/>
          <w:sz w:val="16"/>
          <w:szCs w:val="16"/>
          <w:u w:val="single" w:color="auto"/>
          <w:color w:val="auto"/>
        </w:rPr>
      </w:pPr>
    </w:p>
    <w:p>
      <w:pPr>
        <w:ind w:firstLine="1505"/>
        <w:spacing w:after="0" w:line="246" w:lineRule="auto"/>
        <w:tabs>
          <w:tab w:leader="none" w:pos="2036" w:val="left"/>
        </w:tabs>
        <w:numPr>
          <w:ilvl w:val="1"/>
          <w:numId w:val="136"/>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TO THE EXTENT PERMITTED BY APPLICABLE LAW, THE PARTIES HEREBY EXPRESSLY WAIVE ANY RIGHT TO TRIAL BY JURY OF ANY CLAIM, DEMAND, ACTION OR CAUSE OF ACTION ARISING HEREUNDER.</w:t>
      </w:r>
    </w:p>
    <w:p>
      <w:pPr>
        <w:spacing w:after="0" w:line="124" w:lineRule="exact"/>
        <w:rPr>
          <w:rFonts w:ascii="Times New Roman" w:cs="Times New Roman" w:eastAsia="Times New Roman" w:hAnsi="Times New Roman"/>
          <w:sz w:val="16"/>
          <w:szCs w:val="16"/>
          <w:u w:val="single" w:color="auto"/>
          <w:color w:val="auto"/>
        </w:rPr>
      </w:pPr>
    </w:p>
    <w:p>
      <w:pPr>
        <w:ind w:left="2040" w:hanging="535"/>
        <w:spacing w:after="0"/>
        <w:tabs>
          <w:tab w:leader="none" w:pos="2040" w:val="left"/>
        </w:tabs>
        <w:numPr>
          <w:ilvl w:val="1"/>
          <w:numId w:val="136"/>
        </w:numPr>
        <w:rPr>
          <w:rFonts w:ascii="Times New Roman" w:cs="Times New Roman" w:eastAsia="Times New Roman" w:hAnsi="Times New Roman"/>
          <w:sz w:val="16"/>
          <w:szCs w:val="16"/>
          <w:u w:val="single" w:color="auto"/>
          <w:color w:val="auto"/>
        </w:rPr>
      </w:pPr>
      <w:r>
        <w:rPr>
          <w:rFonts w:ascii="Calibri" w:cs="Calibri" w:eastAsia="Calibri" w:hAnsi="Calibri"/>
          <w:sz w:val="16"/>
          <w:szCs w:val="16"/>
          <w:color w:val="auto"/>
        </w:rPr>
        <w:t>Dispute Resoluton and Arbitraton.</w:t>
      </w:r>
    </w:p>
    <w:p>
      <w:pPr>
        <w:spacing w:after="0" w:line="117" w:lineRule="exact"/>
        <w:rPr>
          <w:sz w:val="20"/>
          <w:szCs w:val="20"/>
          <w:color w:val="auto"/>
        </w:rPr>
      </w:pPr>
    </w:p>
    <w:p>
      <w:pPr>
        <w:jc w:val="both"/>
        <w:ind w:left="760" w:firstLine="745"/>
        <w:spacing w:after="0" w:line="248" w:lineRule="auto"/>
        <w:tabs>
          <w:tab w:leader="none" w:pos="2048" w:val="left"/>
        </w:tabs>
        <w:numPr>
          <w:ilvl w:val="1"/>
          <w:numId w:val="137"/>
        </w:numPr>
        <w:rPr>
          <w:rFonts w:ascii="Calibri" w:cs="Calibri" w:eastAsia="Calibri" w:hAnsi="Calibri"/>
          <w:sz w:val="16"/>
          <w:szCs w:val="16"/>
          <w:u w:val="single" w:color="auto"/>
          <w:color w:val="auto"/>
        </w:rPr>
      </w:pPr>
      <w:r>
        <w:rPr>
          <w:rFonts w:ascii="Calibri" w:cs="Calibri" w:eastAsia="Calibri" w:hAnsi="Calibri"/>
          <w:sz w:val="16"/>
          <w:szCs w:val="16"/>
          <w:color w:val="auto"/>
        </w:rPr>
        <w:t>Cooperaton to Resolve Disputes. The Partes shall cooperate and atempt in good faith to resolve any dispute, controversy, or claim arising out of or relatng to this Agreement or the constructon, interpretaton, performance, breach, terminaton, enforceability or validity thereof (a “Dispute”) promptly by negotatng between persons who have authority to setle the Dispute and who are at a higher level of management than the persons with direct responsibility for administraton and performance of the provisions or obligatons of this Agreement that are the subject of the Dispute.</w:t>
      </w:r>
    </w:p>
    <w:p>
      <w:pPr>
        <w:spacing w:after="0" w:line="110" w:lineRule="exact"/>
        <w:rPr>
          <w:rFonts w:ascii="Calibri" w:cs="Calibri" w:eastAsia="Calibri" w:hAnsi="Calibri"/>
          <w:sz w:val="16"/>
          <w:szCs w:val="16"/>
          <w:u w:val="single" w:color="auto"/>
          <w:color w:val="auto"/>
        </w:rPr>
      </w:pPr>
    </w:p>
    <w:p>
      <w:pPr>
        <w:jc w:val="both"/>
        <w:ind w:left="760" w:firstLine="745"/>
        <w:spacing w:after="0" w:line="248" w:lineRule="auto"/>
        <w:tabs>
          <w:tab w:leader="none" w:pos="2048" w:val="left"/>
        </w:tabs>
        <w:numPr>
          <w:ilvl w:val="1"/>
          <w:numId w:val="137"/>
        </w:numPr>
        <w:rPr>
          <w:rFonts w:ascii="Calibri" w:cs="Calibri" w:eastAsia="Calibri" w:hAnsi="Calibri"/>
          <w:sz w:val="16"/>
          <w:szCs w:val="16"/>
          <w:u w:val="single" w:color="auto"/>
          <w:color w:val="auto"/>
        </w:rPr>
      </w:pPr>
      <w:r>
        <w:rPr>
          <w:rFonts w:ascii="Calibri" w:cs="Calibri" w:eastAsia="Calibri" w:hAnsi="Calibri"/>
          <w:sz w:val="16"/>
          <w:szCs w:val="16"/>
          <w:color w:val="auto"/>
        </w:rPr>
        <w:t>Arbitraton. Any Dispute which cannot otherwise be resolved as provided in subsecton (i) above shall be resolved by arbitraton conducted in accordance with the commercial arbitraton rules of the American Arbitraton Associaton, and judgment upon the award rendered by the arbitral tribunal may be entered in any court having jurisdicton thereof. The arbitraton tribunal shall consist of a single arbitrator mutually agreed upon by the Partes, or in the absence of such agreement within 30 days from the frst referral of the Dispute to the American Arbitraton Associaton, designated by the American Arbitraton Associaton. The place of arbitraton shall be Memphis, Tennessee, unless the Partes shall have agreed to another locaton within 15 days from the frst referral of the Dispute to the American Arbitraton Associaton. The arbitral award shall be fnal and binding. The Partes waive any right to appeal the arbitral award, to the extent a right to appeal may be lawfully waived. Each Party retains the right to seek judicial assistance: (1) to compel arbitraton, (2) to obtain interim measures of protecton prior to or pending arbitraton, (3) to seek injunctve relief in the courts of any jurisdicton as may be necessary and appropriate to protect the unauthorized disclosure of its proprietary or confdental informaton, and (4) to enforce any decision of the arbitrator, including the fnal award. In no event shall either Party be enttled to punitve, exemplary or similar damages.</w:t>
      </w:r>
    </w:p>
    <w:p>
      <w:pPr>
        <w:spacing w:after="0" w:line="114" w:lineRule="exact"/>
        <w:rPr>
          <w:rFonts w:ascii="Calibri" w:cs="Calibri" w:eastAsia="Calibri" w:hAnsi="Calibri"/>
          <w:sz w:val="16"/>
          <w:szCs w:val="16"/>
          <w:u w:val="single" w:color="auto"/>
          <w:color w:val="auto"/>
        </w:rPr>
      </w:pPr>
    </w:p>
    <w:p>
      <w:pPr>
        <w:jc w:val="both"/>
        <w:ind w:left="760" w:firstLine="745"/>
        <w:spacing w:after="0" w:line="248" w:lineRule="auto"/>
        <w:tabs>
          <w:tab w:leader="none" w:pos="2048" w:val="left"/>
        </w:tabs>
        <w:numPr>
          <w:ilvl w:val="1"/>
          <w:numId w:val="137"/>
        </w:numPr>
        <w:rPr>
          <w:rFonts w:ascii="Calibri" w:cs="Calibri" w:eastAsia="Calibri" w:hAnsi="Calibri"/>
          <w:sz w:val="16"/>
          <w:szCs w:val="16"/>
          <w:u w:val="single" w:color="auto"/>
          <w:color w:val="auto"/>
        </w:rPr>
      </w:pPr>
      <w:r>
        <w:rPr>
          <w:rFonts w:ascii="Calibri" w:cs="Calibri" w:eastAsia="Calibri" w:hAnsi="Calibri"/>
          <w:sz w:val="16"/>
          <w:szCs w:val="16"/>
          <w:color w:val="auto"/>
        </w:rPr>
        <w:t>Confdentality of Proceedings. The arbitraton proceedings contemplated by this subsecton shall be as confdental and private as permited by Applicable Law. To that end, the Partes shall not disclose the existence, content or results of any proceedings conducted in accordance with this subsecton, and materials submited in connecton with such proceedings shall not be admissible in any other proceeding, provided, however, that this confdentality provision shall not prevent a petton to vacate or enforce an arbitral award, and shall not bar disclosures required by any laws or regulatons.</w:t>
      </w:r>
    </w:p>
    <w:p>
      <w:pPr>
        <w:spacing w:after="0" w:line="110" w:lineRule="exact"/>
        <w:rPr>
          <w:rFonts w:ascii="Calibri" w:cs="Calibri" w:eastAsia="Calibri" w:hAnsi="Calibri"/>
          <w:sz w:val="16"/>
          <w:szCs w:val="16"/>
          <w:u w:val="single" w:color="auto"/>
          <w:color w:val="auto"/>
        </w:rPr>
      </w:pPr>
    </w:p>
    <w:p>
      <w:pPr>
        <w:jc w:val="both"/>
        <w:ind w:firstLine="757"/>
        <w:spacing w:after="0" w:line="247" w:lineRule="auto"/>
        <w:tabs>
          <w:tab w:leader="none" w:pos="1018" w:val="left"/>
        </w:tabs>
        <w:numPr>
          <w:ilvl w:val="0"/>
          <w:numId w:val="138"/>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Severability</w:t>
      </w:r>
      <w:r>
        <w:rPr>
          <w:rFonts w:ascii="Calibri" w:cs="Calibri" w:eastAsia="Calibri" w:hAnsi="Calibri"/>
          <w:sz w:val="16"/>
          <w:szCs w:val="16"/>
          <w:color w:val="auto"/>
        </w:rPr>
        <w:t>. Any provision of this Agreement which is deemed invalid, illegal or unenforceable in any jurisdicton, shall, as to that jurisdicton, be inefectve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to the extent of such invalidity, illegality or unenforceability, without afectng in any way the remaining portons hereof in such jurisdicton or rendering such provision or any other provision of this Agreement invalid, illegal, or unenforceable in any other jurisdicton.</w:t>
      </w:r>
    </w:p>
    <w:p>
      <w:pPr>
        <w:spacing w:after="0" w:line="112" w:lineRule="exact"/>
        <w:rPr>
          <w:rFonts w:ascii="Calibri" w:cs="Calibri" w:eastAsia="Calibri" w:hAnsi="Calibri"/>
          <w:sz w:val="16"/>
          <w:szCs w:val="16"/>
          <w:u w:val="single" w:color="auto"/>
          <w:color w:val="auto"/>
        </w:rPr>
      </w:pPr>
    </w:p>
    <w:p>
      <w:pPr>
        <w:jc w:val="both"/>
        <w:ind w:firstLine="757"/>
        <w:spacing w:after="0" w:line="248" w:lineRule="auto"/>
        <w:tabs>
          <w:tab w:leader="none" w:pos="1018" w:val="left"/>
        </w:tabs>
        <w:numPr>
          <w:ilvl w:val="0"/>
          <w:numId w:val="138"/>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Assignment</w:t>
      </w:r>
      <w:r>
        <w:rPr>
          <w:rFonts w:ascii="Calibri" w:cs="Calibri" w:eastAsia="Calibri" w:hAnsi="Calibri"/>
          <w:sz w:val="16"/>
          <w:szCs w:val="16"/>
          <w:color w:val="auto"/>
        </w:rPr>
        <w:t>. This Agreement and the rights and obligatons created under it shall be binding upon and inure solely to the beneft of the Partes and their</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respectve successors and permited assigns. Neither Party shall be enttled to assign or transfer any interest under this Agreement (including a transfer by a Change in Control) without the prior writen consent of the other Party, such consent not to be unreasonably withheld, delayed, conditoned except as follows: (i) Bank may assign this Agreement or any of its rights or obligatons arising hereunder in connecton with a Change of Ownership that does not rise to the level of a Change in Control; and (ii) Program Manager may assign this Agreement or any of its rights or obligatons</w:t>
      </w:r>
    </w:p>
    <w:p>
      <w:pPr>
        <w:spacing w:after="0" w:line="2"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20</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14" w:name="page115"/>
    <w:bookmarkEnd w:id="114"/>
    <w:p>
      <w:pPr>
        <w:ind w:right="20"/>
        <w:spacing w:after="0" w:line="246" w:lineRule="auto"/>
        <w:rPr>
          <w:sz w:val="20"/>
          <w:szCs w:val="20"/>
          <w:color w:val="auto"/>
        </w:rPr>
      </w:pPr>
      <w:r>
        <w:rPr>
          <w:rFonts w:ascii="Calibri" w:cs="Calibri" w:eastAsia="Calibri" w:hAnsi="Calibri"/>
          <w:sz w:val="16"/>
          <w:szCs w:val="16"/>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arising hereunder in connecton with a Change of Ownership that does not rise to the level of a Change in Control. No assignment under this Secton 37 shall relieve a Party of its obligatons under this Agreement.</w:t>
      </w:r>
    </w:p>
    <w:p>
      <w:pPr>
        <w:spacing w:after="0" w:line="111" w:lineRule="exact"/>
        <w:rPr>
          <w:sz w:val="20"/>
          <w:szCs w:val="20"/>
          <w:color w:val="auto"/>
        </w:rPr>
      </w:pPr>
    </w:p>
    <w:p>
      <w:pPr>
        <w:ind w:left="1020" w:hanging="263"/>
        <w:spacing w:after="0"/>
        <w:tabs>
          <w:tab w:leader="none" w:pos="1020" w:val="left"/>
        </w:tabs>
        <w:numPr>
          <w:ilvl w:val="0"/>
          <w:numId w:val="139"/>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Third Party Benefciaries</w:t>
      </w:r>
      <w:r>
        <w:rPr>
          <w:rFonts w:ascii="Calibri" w:cs="Calibri" w:eastAsia="Calibri" w:hAnsi="Calibri"/>
          <w:sz w:val="16"/>
          <w:szCs w:val="16"/>
          <w:color w:val="auto"/>
        </w:rPr>
        <w:t>. Nothing contained herein shall be construed as creatng a third-party benefciary relatonship between either Party and any other</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color w:val="auto"/>
        </w:rPr>
        <w:t>Person.</w:t>
      </w:r>
    </w:p>
    <w:p>
      <w:pPr>
        <w:spacing w:after="0" w:line="117" w:lineRule="exact"/>
        <w:rPr>
          <w:sz w:val="20"/>
          <w:szCs w:val="20"/>
          <w:color w:val="auto"/>
        </w:rPr>
      </w:pPr>
    </w:p>
    <w:p>
      <w:pPr>
        <w:jc w:val="both"/>
        <w:ind w:firstLine="757"/>
        <w:spacing w:after="0" w:line="248"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Notces</w:t>
      </w:r>
      <w:r>
        <w:rPr>
          <w:rFonts w:ascii="Calibri" w:cs="Calibri" w:eastAsia="Calibri" w:hAnsi="Calibri"/>
          <w:sz w:val="16"/>
          <w:szCs w:val="16"/>
          <w:color w:val="auto"/>
        </w:rPr>
        <w:t>. All notces and other communicatons that are required or may be given in connecton with this Agreement shall be in writng and shall be deemed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received (a) on the day delivered, if delivered by hand; (b) on the day transmited, if transmited by facsimile or e-mail with receipt confrmed; or (c) three (3) Business Days afer the date of mailing to the other Party, if mailed frst-class postage prepaid, at the address found on the frst page, or such other address as either Party shall specify in a notce to the other.</w:t>
      </w:r>
    </w:p>
    <w:p>
      <w:pPr>
        <w:spacing w:after="0" w:line="110" w:lineRule="exact"/>
        <w:rPr>
          <w:rFonts w:ascii="Calibri" w:cs="Calibri" w:eastAsia="Calibri" w:hAnsi="Calibri"/>
          <w:sz w:val="16"/>
          <w:szCs w:val="16"/>
          <w:u w:val="single" w:color="auto"/>
          <w:color w:val="auto"/>
        </w:rPr>
      </w:pPr>
    </w:p>
    <w:p>
      <w:pPr>
        <w:jc w:val="both"/>
        <w:ind w:firstLine="757"/>
        <w:spacing w:after="0" w:line="248"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Amendment and Waiver</w:t>
      </w:r>
      <w:r>
        <w:rPr>
          <w:rFonts w:ascii="Calibri" w:cs="Calibri" w:eastAsia="Calibri" w:hAnsi="Calibri"/>
          <w:sz w:val="16"/>
          <w:szCs w:val="16"/>
          <w:color w:val="auto"/>
        </w:rPr>
        <w:t>. This Agreement may be amended only by a writen instrument signed by each of the Partes. The failure of a Party to require the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performance of any Term of this Agreement or the waiver by a Party of any default under this Agreement shall not prevent a subsequent invalidity, illegality or unenforceability, without afectng in any way the remaining portons hereof in such jurisdicton or rendering such provision or any other provision of this Agreement invalid, illegal, or unenforceable in any other jurisdicton.</w:t>
      </w:r>
    </w:p>
    <w:p>
      <w:pPr>
        <w:spacing w:after="0" w:line="110" w:lineRule="exact"/>
        <w:rPr>
          <w:rFonts w:ascii="Calibri" w:cs="Calibri" w:eastAsia="Calibri" w:hAnsi="Calibri"/>
          <w:sz w:val="16"/>
          <w:szCs w:val="16"/>
          <w:u w:val="single" w:color="auto"/>
          <w:color w:val="auto"/>
        </w:rPr>
      </w:pPr>
    </w:p>
    <w:p>
      <w:pPr>
        <w:jc w:val="both"/>
        <w:ind w:firstLine="757"/>
        <w:spacing w:after="0" w:line="250"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Entre Agreement</w:t>
      </w:r>
      <w:r>
        <w:rPr>
          <w:rFonts w:ascii="Calibri" w:cs="Calibri" w:eastAsia="Calibri" w:hAnsi="Calibri"/>
          <w:sz w:val="16"/>
          <w:szCs w:val="16"/>
          <w:color w:val="auto"/>
        </w:rPr>
        <w:t>. The Program Documents, including the Exhibits and Addenda atached hereto, consttute the entre agreement between the Partes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with respect to the subject mater thereof, and supersede any prior or contemporaneous negotatons or oral or writen agreements with regard to the same subject mater.</w:t>
      </w:r>
    </w:p>
    <w:p>
      <w:pPr>
        <w:spacing w:after="0" w:line="349" w:lineRule="exact"/>
        <w:rPr>
          <w:rFonts w:ascii="Calibri" w:cs="Calibri" w:eastAsia="Calibri" w:hAnsi="Calibri"/>
          <w:sz w:val="16"/>
          <w:szCs w:val="16"/>
          <w:u w:val="single" w:color="auto"/>
          <w:color w:val="auto"/>
        </w:rPr>
      </w:pPr>
    </w:p>
    <w:p>
      <w:pPr>
        <w:jc w:val="both"/>
        <w:ind w:firstLine="757"/>
        <w:spacing w:after="0" w:line="247"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Conficts</w:t>
      </w:r>
      <w:r>
        <w:rPr>
          <w:rFonts w:ascii="Calibri" w:cs="Calibri" w:eastAsia="Calibri" w:hAnsi="Calibri"/>
          <w:sz w:val="16"/>
          <w:szCs w:val="16"/>
          <w:color w:val="auto"/>
        </w:rPr>
        <w:t>. Reference is made to Bank Services Agreement. In the event of confict between this Agreement and the Bank Services Agreement, the terms of</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this Agreement will prevail with respect to the Program, Bank Card Services, Program Manager Services, Processing Services and any Card issuance services provided by Bank or Program Manager under this Agreement.</w:t>
      </w:r>
    </w:p>
    <w:p>
      <w:pPr>
        <w:spacing w:after="0" w:line="112" w:lineRule="exact"/>
        <w:rPr>
          <w:rFonts w:ascii="Calibri" w:cs="Calibri" w:eastAsia="Calibri" w:hAnsi="Calibri"/>
          <w:sz w:val="16"/>
          <w:szCs w:val="16"/>
          <w:u w:val="single" w:color="auto"/>
          <w:color w:val="auto"/>
        </w:rPr>
      </w:pPr>
    </w:p>
    <w:p>
      <w:pPr>
        <w:jc w:val="both"/>
        <w:ind w:firstLine="757"/>
        <w:spacing w:after="0" w:line="247"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Counterparts</w:t>
      </w:r>
      <w:r>
        <w:rPr>
          <w:rFonts w:ascii="Calibri" w:cs="Calibri" w:eastAsia="Calibri" w:hAnsi="Calibri"/>
          <w:sz w:val="16"/>
          <w:szCs w:val="16"/>
          <w:color w:val="auto"/>
        </w:rPr>
        <w:t>. This Agreement may be executed in counterparts, each of which shall be deemed an original, but all of which together shall consttute one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and the same instrument. This Agreement may be executed and accepted by facsimile or portable data fle (PDF) signature and any such signature shall be of the same force and efect as an original signature.</w:t>
      </w:r>
    </w:p>
    <w:p>
      <w:pPr>
        <w:spacing w:after="0" w:line="112" w:lineRule="exact"/>
        <w:rPr>
          <w:rFonts w:ascii="Calibri" w:cs="Calibri" w:eastAsia="Calibri" w:hAnsi="Calibri"/>
          <w:sz w:val="16"/>
          <w:szCs w:val="16"/>
          <w:u w:val="single" w:color="auto"/>
          <w:color w:val="auto"/>
        </w:rPr>
      </w:pPr>
    </w:p>
    <w:p>
      <w:pPr>
        <w:jc w:val="both"/>
        <w:ind w:firstLine="757"/>
        <w:spacing w:after="0" w:line="248"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Interpretaton</w:t>
      </w:r>
      <w:r>
        <w:rPr>
          <w:rFonts w:ascii="Calibri" w:cs="Calibri" w:eastAsia="Calibri" w:hAnsi="Calibri"/>
          <w:sz w:val="16"/>
          <w:szCs w:val="16"/>
          <w:color w:val="auto"/>
        </w:rPr>
        <w:t>. The Partes acknowledge that each Party and its counsel have reviewed and revised this Agreement and that the normal rule of</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constructon to the efect that any ambiguites are to be resolved against the drafing Party shall not be employed in the interpretaton of this Agreement or any amendments thereto, and the same shall be construed neither for nor against either Party, but shall be given a reasonable interpretaton in accordance with the plain meaning of its terms and the intent of the Partes. The words “include,” “includes” or “including” mean without limitaton by reason of enumeraton. Words in singular number include the plural, and in the plural include the singular, unless the context otherwise requires.</w:t>
      </w:r>
    </w:p>
    <w:p>
      <w:pPr>
        <w:spacing w:after="0" w:line="111" w:lineRule="exact"/>
        <w:rPr>
          <w:rFonts w:ascii="Calibri" w:cs="Calibri" w:eastAsia="Calibri" w:hAnsi="Calibri"/>
          <w:sz w:val="16"/>
          <w:szCs w:val="16"/>
          <w:u w:val="single" w:color="auto"/>
          <w:color w:val="auto"/>
        </w:rPr>
      </w:pPr>
    </w:p>
    <w:p>
      <w:pPr>
        <w:jc w:val="both"/>
        <w:ind w:firstLine="757"/>
        <w:spacing w:after="0" w:line="248"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Force Majeure</w:t>
      </w:r>
      <w:r>
        <w:rPr>
          <w:rFonts w:ascii="Calibri" w:cs="Calibri" w:eastAsia="Calibri" w:hAnsi="Calibri"/>
          <w:sz w:val="16"/>
          <w:szCs w:val="16"/>
          <w:color w:val="auto"/>
        </w:rPr>
        <w:t>. If any Party shall be unable to carry out the whole or any part of its obligatons under this Agreement by reason of a Force Majeure Event,</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then the performance of the obligatons under this Agreement of such Party as they are afected by such cause shall be excused during the contnuance of the inability so caused, except that should such inability not be remedied within thirty (30) days afer the date of such cause, the Party not so afected may at any tme afer the expiraton of such thirty (30) day period, during the contnuance of such inability, terminate this Agreement on giving writen notce to the other Party. A “Force Majeure Event” as used in this Agreement means an unantcipated event that is not reasonably within the control of the afected Party or its subcontractors (including, but not limited to, acts of God, acts of governmental authorites, strikes, war, terrorist atacks, riot and any other causes of such nature), and which by exercise of reasonable due diligence, such afected Party or its subcontractors could not reasonably have been expected to avoid, overcome or obtain, or cause to be obtained, a commercially reasonable substtute therefore. No Party shall be relieved of its obligatons hereunder if its failure of performance is due to removable or remediable causes which such Party fails to remove or remedy using commercially reasonable eforts within a reasonable tme period. Either Party rendered unable to fulfll any of its obligatons under this Agreement by reason of a Force Majeure Event shall give prompt notce of such fact to the other Party, followed by writen confrmaton of notce, and shall exercise due diligence to remove such inability with all reasonable dispatch.</w:t>
      </w:r>
    </w:p>
    <w:p>
      <w:pPr>
        <w:spacing w:after="0" w:line="113" w:lineRule="exact"/>
        <w:rPr>
          <w:rFonts w:ascii="Calibri" w:cs="Calibri" w:eastAsia="Calibri" w:hAnsi="Calibri"/>
          <w:sz w:val="16"/>
          <w:szCs w:val="16"/>
          <w:u w:val="single" w:color="auto"/>
          <w:color w:val="auto"/>
        </w:rPr>
      </w:pPr>
    </w:p>
    <w:p>
      <w:pPr>
        <w:ind w:left="1020" w:hanging="263"/>
        <w:spacing w:after="0"/>
        <w:tabs>
          <w:tab w:leader="none" w:pos="1020"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Headings</w:t>
      </w:r>
      <w:r>
        <w:rPr>
          <w:rFonts w:ascii="Calibri" w:cs="Calibri" w:eastAsia="Calibri" w:hAnsi="Calibri"/>
          <w:sz w:val="16"/>
          <w:szCs w:val="16"/>
          <w:color w:val="auto"/>
        </w:rPr>
        <w:t>. Captons and headings in this Agreement are for convenience only and are not to be deemed part of this Agreement.</w:t>
      </w:r>
    </w:p>
    <w:p>
      <w:pPr>
        <w:spacing w:after="0" w:line="116" w:lineRule="exact"/>
        <w:rPr>
          <w:rFonts w:ascii="Calibri" w:cs="Calibri" w:eastAsia="Calibri" w:hAnsi="Calibri"/>
          <w:sz w:val="16"/>
          <w:szCs w:val="16"/>
          <w:u w:val="single" w:color="auto"/>
          <w:color w:val="auto"/>
        </w:rPr>
      </w:pPr>
    </w:p>
    <w:p>
      <w:pPr>
        <w:ind w:firstLine="757"/>
        <w:spacing w:after="0" w:line="246" w:lineRule="auto"/>
        <w:tabs>
          <w:tab w:leader="none" w:pos="1018" w:val="left"/>
        </w:tabs>
        <w:numPr>
          <w:ilvl w:val="0"/>
          <w:numId w:val="140"/>
        </w:numPr>
        <w:rPr>
          <w:rFonts w:ascii="Calibri" w:cs="Calibri" w:eastAsia="Calibri" w:hAnsi="Calibri"/>
          <w:sz w:val="16"/>
          <w:szCs w:val="16"/>
          <w:u w:val="single" w:color="auto"/>
          <w:color w:val="auto"/>
        </w:rPr>
      </w:pPr>
      <w:r>
        <w:rPr>
          <w:rFonts w:ascii="Calibri" w:cs="Calibri" w:eastAsia="Calibri" w:hAnsi="Calibri"/>
          <w:sz w:val="16"/>
          <w:szCs w:val="16"/>
          <w:b w:val="1"/>
          <w:bCs w:val="1"/>
          <w:u w:val="single" w:color="auto"/>
          <w:color w:val="auto"/>
        </w:rPr>
        <w:t>Referrals</w:t>
      </w:r>
      <w:r>
        <w:rPr>
          <w:rFonts w:ascii="Calibri" w:cs="Calibri" w:eastAsia="Calibri" w:hAnsi="Calibri"/>
          <w:sz w:val="16"/>
          <w:szCs w:val="16"/>
          <w:color w:val="auto"/>
        </w:rPr>
        <w:t>. Neither Party has agreed to pay any fee or commission to any agent, broker, fnder, or other Person for or on account of such Person’s services</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rendered in connecton with this Agreement that would give rise to any valid claim against the other Party for any commission, fnder’s fee or like payment.</w:t>
      </w:r>
    </w:p>
    <w:p>
      <w:pPr>
        <w:spacing w:after="0" w:line="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21</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8" w:right="339" w:bottom="1440" w:gutter="0" w:footer="0" w:header="0"/>
        </w:sectPr>
      </w:pPr>
    </w:p>
    <w:bookmarkStart w:id="115" w:name="page116"/>
    <w:bookmarkEnd w:id="115"/>
    <w:p>
      <w:pPr>
        <w:ind w:left="4180"/>
        <w:spacing w:after="0"/>
        <w:rPr>
          <w:sz w:val="20"/>
          <w:szCs w:val="20"/>
          <w:color w:val="auto"/>
        </w:rPr>
      </w:pPr>
      <w:r>
        <w:rPr>
          <w:rFonts w:ascii="Calibri" w:cs="Calibri" w:eastAsia="Calibri" w:hAnsi="Calibri"/>
          <w:sz w:val="16"/>
          <w:szCs w:val="16"/>
          <w:b w:val="1"/>
          <w:bCs w:val="1"/>
          <w:u w:val="single" w:color="auto"/>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EXHIBIT A</w:t>
      </w:r>
    </w:p>
    <w:p>
      <w:pPr>
        <w:spacing w:after="0" w:line="210" w:lineRule="exact"/>
        <w:rPr>
          <w:sz w:val="20"/>
          <w:szCs w:val="20"/>
          <w:color w:val="auto"/>
        </w:rPr>
      </w:pPr>
    </w:p>
    <w:p>
      <w:pPr>
        <w:ind w:left="3680"/>
        <w:spacing w:after="0"/>
        <w:rPr>
          <w:sz w:val="20"/>
          <w:szCs w:val="20"/>
          <w:color w:val="auto"/>
        </w:rPr>
      </w:pPr>
      <w:r>
        <w:rPr>
          <w:rFonts w:ascii="Calibri" w:cs="Calibri" w:eastAsia="Calibri" w:hAnsi="Calibri"/>
          <w:sz w:val="16"/>
          <w:szCs w:val="16"/>
          <w:b w:val="1"/>
          <w:bCs w:val="1"/>
          <w:u w:val="single" w:color="auto"/>
          <w:color w:val="auto"/>
        </w:rPr>
        <w:t>PROGRAM DESCRIPTION</w:t>
      </w:r>
    </w:p>
    <w:p>
      <w:pPr>
        <w:spacing w:after="0" w:line="210" w:lineRule="exact"/>
        <w:rPr>
          <w:sz w:val="20"/>
          <w:szCs w:val="20"/>
          <w:color w:val="auto"/>
        </w:rPr>
      </w:pPr>
    </w:p>
    <w:p>
      <w:pPr>
        <w:ind w:left="4380"/>
        <w:spacing w:after="0"/>
        <w:rPr>
          <w:sz w:val="20"/>
          <w:szCs w:val="20"/>
          <w:color w:val="auto"/>
        </w:rPr>
      </w:pPr>
      <w:r>
        <w:rPr>
          <w:rFonts w:ascii="Calibri" w:cs="Calibri" w:eastAsia="Calibri" w:hAnsi="Calibri"/>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22</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467360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7" w:right="339" w:bottom="1440" w:gutter="0" w:footer="0" w:header="0"/>
        </w:sectPr>
      </w:pPr>
    </w:p>
    <w:bookmarkStart w:id="116" w:name="page117"/>
    <w:bookmarkEnd w:id="116"/>
    <w:p>
      <w:pPr>
        <w:ind w:left="4180"/>
        <w:spacing w:after="0"/>
        <w:rPr>
          <w:sz w:val="20"/>
          <w:szCs w:val="20"/>
          <w:color w:val="auto"/>
        </w:rPr>
      </w:pPr>
      <w:r>
        <w:rPr>
          <w:rFonts w:ascii="Calibri" w:cs="Calibri" w:eastAsia="Calibri" w:hAnsi="Calibri"/>
          <w:sz w:val="16"/>
          <w:szCs w:val="16"/>
          <w:b w:val="1"/>
          <w:bCs w:val="1"/>
          <w:u w:val="single" w:color="auto"/>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EXHIBIT B</w:t>
      </w:r>
    </w:p>
    <w:p>
      <w:pPr>
        <w:spacing w:after="0" w:line="210" w:lineRule="exact"/>
        <w:rPr>
          <w:sz w:val="20"/>
          <w:szCs w:val="20"/>
          <w:color w:val="auto"/>
        </w:rPr>
      </w:pPr>
    </w:p>
    <w:p>
      <w:pPr>
        <w:ind w:left="3980"/>
        <w:spacing w:after="0"/>
        <w:rPr>
          <w:sz w:val="20"/>
          <w:szCs w:val="20"/>
          <w:color w:val="auto"/>
        </w:rPr>
      </w:pPr>
      <w:r>
        <w:rPr>
          <w:rFonts w:ascii="Calibri" w:cs="Calibri" w:eastAsia="Calibri" w:hAnsi="Calibri"/>
          <w:sz w:val="16"/>
          <w:szCs w:val="16"/>
          <w:b w:val="1"/>
          <w:bCs w:val="1"/>
          <w:u w:val="single" w:color="auto"/>
          <w:color w:val="auto"/>
        </w:rPr>
        <w:t>PROGRAM FEES</w:t>
      </w:r>
    </w:p>
    <w:p>
      <w:pPr>
        <w:spacing w:after="0" w:line="210" w:lineRule="exact"/>
        <w:rPr>
          <w:sz w:val="20"/>
          <w:szCs w:val="20"/>
          <w:color w:val="auto"/>
        </w:rPr>
      </w:pPr>
    </w:p>
    <w:p>
      <w:pPr>
        <w:ind w:left="4380"/>
        <w:spacing w:after="0"/>
        <w:rPr>
          <w:sz w:val="20"/>
          <w:szCs w:val="20"/>
          <w:color w:val="auto"/>
        </w:rPr>
      </w:pPr>
      <w:r>
        <w:rPr>
          <w:rFonts w:ascii="Calibri" w:cs="Calibri" w:eastAsia="Calibri" w:hAnsi="Calibri"/>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23</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467360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7" w:right="339" w:bottom="1440" w:gutter="0" w:footer="0" w:header="0"/>
        </w:sectPr>
      </w:pPr>
    </w:p>
    <w:bookmarkStart w:id="117" w:name="page118"/>
    <w:bookmarkEnd w:id="117"/>
    <w:p>
      <w:pPr>
        <w:ind w:left="4180"/>
        <w:spacing w:after="0"/>
        <w:rPr>
          <w:sz w:val="20"/>
          <w:szCs w:val="20"/>
          <w:color w:val="auto"/>
        </w:rPr>
      </w:pPr>
      <w:r>
        <w:rPr>
          <w:rFonts w:ascii="Calibri" w:cs="Calibri" w:eastAsia="Calibri" w:hAnsi="Calibri"/>
          <w:sz w:val="16"/>
          <w:szCs w:val="16"/>
          <w:b w:val="1"/>
          <w:bCs w:val="1"/>
          <w:u w:val="single" w:color="auto"/>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EXHIBIT C</w:t>
      </w:r>
    </w:p>
    <w:p>
      <w:pPr>
        <w:spacing w:after="0" w:line="210" w:lineRule="exact"/>
        <w:rPr>
          <w:sz w:val="20"/>
          <w:szCs w:val="20"/>
          <w:color w:val="auto"/>
        </w:rPr>
      </w:pPr>
    </w:p>
    <w:p>
      <w:pPr>
        <w:ind w:left="3780"/>
        <w:spacing w:after="0"/>
        <w:rPr>
          <w:sz w:val="20"/>
          <w:szCs w:val="20"/>
          <w:color w:val="auto"/>
        </w:rPr>
      </w:pPr>
      <w:r>
        <w:rPr>
          <w:rFonts w:ascii="Calibri" w:cs="Calibri" w:eastAsia="Calibri" w:hAnsi="Calibri"/>
          <w:sz w:val="16"/>
          <w:szCs w:val="16"/>
          <w:b w:val="1"/>
          <w:bCs w:val="1"/>
          <w:u w:val="single" w:color="auto"/>
          <w:color w:val="auto"/>
        </w:rPr>
        <w:t>BANK CARD SERVICES</w:t>
      </w:r>
    </w:p>
    <w:p>
      <w:pPr>
        <w:spacing w:after="0" w:line="210" w:lineRule="exact"/>
        <w:rPr>
          <w:sz w:val="20"/>
          <w:szCs w:val="20"/>
          <w:color w:val="auto"/>
        </w:rPr>
      </w:pPr>
    </w:p>
    <w:p>
      <w:pPr>
        <w:ind w:left="4360"/>
        <w:spacing w:after="0"/>
        <w:rPr>
          <w:sz w:val="20"/>
          <w:szCs w:val="20"/>
          <w:color w:val="auto"/>
        </w:rPr>
      </w:pPr>
      <w:r>
        <w:rPr>
          <w:rFonts w:ascii="Calibri" w:cs="Calibri" w:eastAsia="Calibri" w:hAnsi="Calibri"/>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24</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467360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7" w:right="339" w:bottom="1440" w:gutter="0" w:footer="0" w:header="0"/>
        </w:sectPr>
      </w:pPr>
    </w:p>
    <w:bookmarkStart w:id="118" w:name="page119"/>
    <w:bookmarkEnd w:id="118"/>
    <w:p>
      <w:pPr>
        <w:ind w:left="4180"/>
        <w:spacing w:after="0"/>
        <w:rPr>
          <w:sz w:val="20"/>
          <w:szCs w:val="20"/>
          <w:color w:val="auto"/>
        </w:rPr>
      </w:pPr>
      <w:r>
        <w:rPr>
          <w:rFonts w:ascii="Calibri" w:cs="Calibri" w:eastAsia="Calibri" w:hAnsi="Calibri"/>
          <w:sz w:val="16"/>
          <w:szCs w:val="16"/>
          <w:b w:val="1"/>
          <w:bCs w:val="1"/>
          <w:u w:val="single" w:color="auto"/>
          <w:color w:val="auto"/>
        </w:rPr>
        <w:drawing>
          <wp:anchor simplePos="0" relativeHeight="251657728" behindDoc="1" locked="0" layoutInCell="0" allowOverlap="1">
            <wp:simplePos x="0" y="0"/>
            <wp:positionH relativeFrom="page">
              <wp:posOffset>3397250</wp:posOffset>
            </wp:positionH>
            <wp:positionV relativeFrom="page">
              <wp:posOffset>337185</wp:posOffset>
            </wp:positionV>
            <wp:extent cx="685800" cy="3771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685800" cy="377190"/>
                    </a:xfrm>
                    <a:prstGeom prst="rect">
                      <a:avLst/>
                    </a:prstGeom>
                    <a:noFill/>
                  </pic:spPr>
                </pic:pic>
              </a:graphicData>
            </a:graphic>
          </wp:anchor>
        </w:drawing>
        <w:t>EXHIBIT D</w:t>
      </w:r>
    </w:p>
    <w:p>
      <w:pPr>
        <w:spacing w:after="0" w:line="210" w:lineRule="exact"/>
        <w:rPr>
          <w:sz w:val="20"/>
          <w:szCs w:val="20"/>
          <w:color w:val="auto"/>
        </w:rPr>
      </w:pPr>
    </w:p>
    <w:p>
      <w:pPr>
        <w:ind w:left="3240"/>
        <w:spacing w:after="0"/>
        <w:rPr>
          <w:sz w:val="20"/>
          <w:szCs w:val="20"/>
          <w:color w:val="auto"/>
        </w:rPr>
      </w:pPr>
      <w:r>
        <w:rPr>
          <w:rFonts w:ascii="Calibri" w:cs="Calibri" w:eastAsia="Calibri" w:hAnsi="Calibri"/>
          <w:sz w:val="16"/>
          <w:szCs w:val="16"/>
          <w:b w:val="1"/>
          <w:bCs w:val="1"/>
          <w:u w:val="single" w:color="auto"/>
          <w:color w:val="auto"/>
        </w:rPr>
        <w:t>PROGRAM MANAGER CARD SERVICES</w:t>
      </w:r>
    </w:p>
    <w:p>
      <w:pPr>
        <w:spacing w:after="0" w:line="210" w:lineRule="exact"/>
        <w:rPr>
          <w:sz w:val="20"/>
          <w:szCs w:val="20"/>
          <w:color w:val="auto"/>
        </w:rPr>
      </w:pPr>
    </w:p>
    <w:p>
      <w:pPr>
        <w:ind w:left="4360"/>
        <w:spacing w:after="0"/>
        <w:rPr>
          <w:sz w:val="20"/>
          <w:szCs w:val="20"/>
          <w:color w:val="auto"/>
        </w:rPr>
      </w:pPr>
      <w:r>
        <w:rPr>
          <w:rFonts w:ascii="Calibri" w:cs="Calibri" w:eastAsia="Calibri" w:hAnsi="Calibri"/>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right"/>
        <w:spacing w:after="0"/>
        <w:tabs>
          <w:tab w:leader="none" w:pos="1080" w:val="left"/>
        </w:tabs>
        <w:rPr>
          <w:sz w:val="20"/>
          <w:szCs w:val="20"/>
          <w:color w:val="auto"/>
        </w:rPr>
      </w:pPr>
      <w:r>
        <w:rPr>
          <w:rFonts w:ascii="Calibri" w:cs="Calibri" w:eastAsia="Calibri" w:hAnsi="Calibri"/>
          <w:sz w:val="16"/>
          <w:szCs w:val="16"/>
          <w:color w:val="auto"/>
        </w:rPr>
        <w:t>25</w:t>
      </w:r>
      <w:r>
        <w:rPr>
          <w:sz w:val="20"/>
          <w:szCs w:val="20"/>
          <w:color w:val="auto"/>
        </w:rPr>
        <w:tab/>
      </w:r>
      <w:r>
        <w:rPr>
          <w:rFonts w:ascii="Calibri" w:cs="Calibri" w:eastAsia="Calibri" w:hAnsi="Calibri"/>
          <w:sz w:val="15"/>
          <w:szCs w:val="15"/>
          <w:color w:val="auto"/>
        </w:rPr>
        <w:t>Ver. 3.0.10.31.19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467995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7" w:right="339" w:bottom="1440" w:gutter="0" w:footer="0" w:header="0"/>
        </w:sectPr>
      </w:pPr>
    </w:p>
    <w:bookmarkStart w:id="119" w:name="page120"/>
    <w:bookmarkEnd w:id="119"/>
    <w:p>
      <w:pPr>
        <w:ind w:left="8240"/>
        <w:spacing w:after="0"/>
        <w:rPr>
          <w:sz w:val="20"/>
          <w:szCs w:val="20"/>
          <w:color w:val="auto"/>
        </w:rPr>
      </w:pPr>
      <w:r>
        <w:rPr>
          <w:rFonts w:ascii="Times New Roman" w:cs="Times New Roman" w:eastAsia="Times New Roman" w:hAnsi="Times New Roman"/>
          <w:sz w:val="20"/>
          <w:szCs w:val="20"/>
          <w:color w:val="auto"/>
        </w:rPr>
        <w:t>Exhibit 10.4</w:t>
      </w:r>
    </w:p>
    <w:p>
      <w:pPr>
        <w:spacing w:after="0" w:line="229" w:lineRule="exact"/>
        <w:rPr>
          <w:sz w:val="20"/>
          <w:szCs w:val="20"/>
          <w:color w:val="auto"/>
        </w:rPr>
      </w:pPr>
    </w:p>
    <w:p>
      <w:pPr>
        <w:jc w:val="center"/>
        <w:ind w:right="139"/>
        <w:spacing w:after="0" w:line="254" w:lineRule="auto"/>
        <w:rPr>
          <w:sz w:val="20"/>
          <w:szCs w:val="20"/>
          <w:color w:val="auto"/>
        </w:rPr>
      </w:pPr>
      <w:r>
        <w:rPr>
          <w:rFonts w:ascii="Times New Roman" w:cs="Times New Roman" w:eastAsia="Times New Roman" w:hAnsi="Times New Roman"/>
          <w:sz w:val="20"/>
          <w:szCs w:val="20"/>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188"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20"/>
          <w:szCs w:val="20"/>
          <w:color w:val="auto"/>
        </w:rPr>
        <w:t>EXECUTION COPY</w:t>
      </w:r>
    </w:p>
    <w:p>
      <w:pPr>
        <w:spacing w:after="0" w:line="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SERVICE AGREEMENT</w:t>
      </w:r>
    </w:p>
    <w:p>
      <w:pPr>
        <w:spacing w:after="0" w:line="207" w:lineRule="exact"/>
        <w:rPr>
          <w:sz w:val="20"/>
          <w:szCs w:val="20"/>
          <w:color w:val="auto"/>
        </w:rPr>
      </w:pPr>
    </w:p>
    <w:p>
      <w:pPr>
        <w:ind w:right="319"/>
        <w:spacing w:after="0" w:line="249" w:lineRule="auto"/>
        <w:rPr>
          <w:sz w:val="20"/>
          <w:szCs w:val="20"/>
          <w:color w:val="auto"/>
        </w:rPr>
      </w:pPr>
      <w:r>
        <w:rPr>
          <w:rFonts w:ascii="Times New Roman" w:cs="Times New Roman" w:eastAsia="Times New Roman" w:hAnsi="Times New Roman"/>
          <w:sz w:val="20"/>
          <w:szCs w:val="20"/>
          <w:color w:val="auto"/>
        </w:rPr>
        <w:t xml:space="preserve">THIS SERVICE AGREEMENT (the “Agreement”) is entered into effective this 18th day of March 2020 (the “Effective Date”), by and between </w:t>
      </w:r>
      <w:r>
        <w:rPr>
          <w:rFonts w:ascii="Times New Roman" w:cs="Times New Roman" w:eastAsia="Times New Roman" w:hAnsi="Times New Roman"/>
          <w:sz w:val="20"/>
          <w:szCs w:val="20"/>
          <w:b w:val="1"/>
          <w:bCs w:val="1"/>
          <w:color w:val="auto"/>
        </w:rPr>
        <w:t>Dave, Inc.,</w:t>
      </w:r>
      <w:r>
        <w:rPr>
          <w:rFonts w:ascii="Times New Roman" w:cs="Times New Roman" w:eastAsia="Times New Roman" w:hAnsi="Times New Roman"/>
          <w:sz w:val="20"/>
          <w:szCs w:val="20"/>
          <w:color w:val="auto"/>
        </w:rPr>
        <w:t xml:space="preserve"> (“Customer”), a Delaware corporation with a principal business address of 1265 S. Cochran Avenue, Los Angeles, California 90292, and </w:t>
      </w:r>
      <w:r>
        <w:rPr>
          <w:rFonts w:ascii="Times New Roman" w:cs="Times New Roman" w:eastAsia="Times New Roman" w:hAnsi="Times New Roman"/>
          <w:sz w:val="20"/>
          <w:szCs w:val="20"/>
          <w:b w:val="1"/>
          <w:bCs w:val="1"/>
          <w:color w:val="auto"/>
        </w:rPr>
        <w:t>Galileo Financial Technologies, Inc.</w:t>
      </w:r>
      <w:r>
        <w:rPr>
          <w:rFonts w:ascii="Times New Roman" w:cs="Times New Roman" w:eastAsia="Times New Roman" w:hAnsi="Times New Roman"/>
          <w:sz w:val="20"/>
          <w:szCs w:val="20"/>
          <w:color w:val="auto"/>
        </w:rPr>
        <w:t xml:space="preserve"> (“Galileo”), a Utah corporation with a principal business address of 6510 South Millrock, Suite 300, Salt Lake City, Utah 84121.</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ind w:right="439" w:firstLine="749"/>
        <w:spacing w:after="0" w:line="269" w:lineRule="auto"/>
        <w:rPr>
          <w:sz w:val="20"/>
          <w:szCs w:val="20"/>
          <w:color w:val="auto"/>
        </w:rPr>
      </w:pPr>
      <w:r>
        <w:rPr>
          <w:rFonts w:ascii="Times New Roman" w:cs="Times New Roman" w:eastAsia="Times New Roman" w:hAnsi="Times New Roman"/>
          <w:sz w:val="20"/>
          <w:szCs w:val="20"/>
          <w:color w:val="auto"/>
        </w:rPr>
        <w:t>Customer is engaged in the business of developing, marketing, servicing and supporting debit cards, credit cards, prepaid cards, ATM cards and accounts (“Transaction Cards and Accounts”).</w:t>
      </w:r>
    </w:p>
    <w:p>
      <w:pPr>
        <w:spacing w:after="0" w:line="169" w:lineRule="exact"/>
        <w:rPr>
          <w:sz w:val="20"/>
          <w:szCs w:val="20"/>
          <w:color w:val="auto"/>
        </w:rPr>
      </w:pPr>
    </w:p>
    <w:p>
      <w:pPr>
        <w:ind w:right="199" w:firstLine="749"/>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Evolve Bank &amp; Trust </w:t>
      </w:r>
      <w:r>
        <w:rPr>
          <w:rFonts w:ascii="Times New Roman" w:cs="Times New Roman" w:eastAsia="Times New Roman" w:hAnsi="Times New Roman"/>
          <w:sz w:val="19"/>
          <w:szCs w:val="19"/>
          <w:color w:val="auto"/>
        </w:rPr>
        <w:t>(“Bank”), an Arkansas bank, with a principal business address of 301 Shoppingway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Boulevard, West Memphis, Arkansas 72301, is a principal member in good standing with the Associations, and is authorized to issue debit cards, prepaid cards and ATM cards, including, without limitation, the Transaction Cards and Accounts using the applicable Association’s trademarks subject to the applicable Association’s rules, regulations and bylaws.</w:t>
      </w:r>
    </w:p>
    <w:p>
      <w:pPr>
        <w:spacing w:after="0" w:line="176" w:lineRule="exact"/>
        <w:rPr>
          <w:sz w:val="20"/>
          <w:szCs w:val="20"/>
          <w:color w:val="auto"/>
        </w:rPr>
      </w:pPr>
    </w:p>
    <w:p>
      <w:pPr>
        <w:ind w:right="399" w:firstLine="749"/>
        <w:spacing w:after="0" w:line="269" w:lineRule="auto"/>
        <w:rPr>
          <w:sz w:val="20"/>
          <w:szCs w:val="20"/>
          <w:color w:val="auto"/>
        </w:rPr>
      </w:pPr>
      <w:r>
        <w:rPr>
          <w:rFonts w:ascii="Times New Roman" w:cs="Times New Roman" w:eastAsia="Times New Roman" w:hAnsi="Times New Roman"/>
          <w:sz w:val="20"/>
          <w:szCs w:val="20"/>
          <w:color w:val="auto"/>
        </w:rPr>
        <w:t>Galileo is a certified third-party processor and has established certain facilities in order to perform the Services to support card programs such as the Transaction Cards and Accounts.</w:t>
      </w:r>
    </w:p>
    <w:p>
      <w:pPr>
        <w:spacing w:after="0" w:line="1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9" w:lineRule="exact"/>
        <w:rPr>
          <w:sz w:val="20"/>
          <w:szCs w:val="20"/>
          <w:color w:val="auto"/>
        </w:rPr>
      </w:pPr>
    </w:p>
    <w:p>
      <w:pPr>
        <w:ind w:left="460" w:hanging="452"/>
        <w:spacing w:after="0"/>
        <w:tabs>
          <w:tab w:leader="none" w:pos="460" w:val="left"/>
        </w:tabs>
        <w:numPr>
          <w:ilvl w:val="0"/>
          <w:numId w:val="1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Definitions. </w:t>
      </w:r>
      <w:r>
        <w:rPr>
          <w:rFonts w:ascii="Times New Roman" w:cs="Times New Roman" w:eastAsia="Times New Roman" w:hAnsi="Times New Roman"/>
          <w:sz w:val="19"/>
          <w:szCs w:val="19"/>
          <w:color w:val="auto"/>
        </w:rPr>
        <w:t>Unless otherwise defined herein, capitalized terms used herein shall have the meanings specified in</w:t>
      </w:r>
      <w:r>
        <w:rPr>
          <w:rFonts w:ascii="Times New Roman" w:cs="Times New Roman" w:eastAsia="Times New Roman" w:hAnsi="Times New Roman"/>
          <w:sz w:val="19"/>
          <w:szCs w:val="19"/>
          <w:b w:val="1"/>
          <w:bCs w:val="1"/>
          <w:color w:val="auto"/>
        </w:rPr>
        <w:t xml:space="preserve"> Exhibit</w:t>
      </w:r>
    </w:p>
    <w:p>
      <w:pPr>
        <w:spacing w:after="0" w:line="37" w:lineRule="exact"/>
        <w:rPr>
          <w:rFonts w:ascii="Times New Roman" w:cs="Times New Roman" w:eastAsia="Times New Roman" w:hAnsi="Times New Roman"/>
          <w:sz w:val="19"/>
          <w:szCs w:val="19"/>
          <w:b w:val="1"/>
          <w:bCs w:val="1"/>
          <w:color w:val="auto"/>
        </w:rPr>
      </w:pPr>
    </w:p>
    <w:p>
      <w:pPr>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20"/>
          <w:szCs w:val="20"/>
          <w:color w:val="auto"/>
        </w:rPr>
        <w:t>.</w:t>
      </w:r>
    </w:p>
    <w:p>
      <w:pPr>
        <w:spacing w:after="0" w:line="203" w:lineRule="exact"/>
        <w:rPr>
          <w:rFonts w:ascii="Times New Roman" w:cs="Times New Roman" w:eastAsia="Times New Roman" w:hAnsi="Times New Roman"/>
          <w:sz w:val="19"/>
          <w:szCs w:val="19"/>
          <w:b w:val="1"/>
          <w:bCs w:val="1"/>
          <w:color w:val="auto"/>
        </w:rPr>
      </w:pPr>
    </w:p>
    <w:p>
      <w:pPr>
        <w:ind w:left="460" w:hanging="452"/>
        <w:spacing w:after="0"/>
        <w:tabs>
          <w:tab w:leader="none" w:pos="46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Services.</w:t>
      </w:r>
    </w:p>
    <w:p>
      <w:pPr>
        <w:spacing w:after="0" w:line="216" w:lineRule="exact"/>
        <w:rPr>
          <w:sz w:val="20"/>
          <w:szCs w:val="20"/>
          <w:color w:val="auto"/>
        </w:rPr>
      </w:pPr>
    </w:p>
    <w:p>
      <w:pPr>
        <w:ind w:left="380" w:right="199" w:firstLine="22"/>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2.1 Services. </w:t>
      </w:r>
      <w:r>
        <w:rPr>
          <w:rFonts w:ascii="Times New Roman" w:cs="Times New Roman" w:eastAsia="Times New Roman" w:hAnsi="Times New Roman"/>
          <w:sz w:val="20"/>
          <w:szCs w:val="20"/>
          <w:color w:val="auto"/>
        </w:rPr>
        <w:t>During the Term, Galileo shall make available to and perform for Customer and Bank the services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the Transaction Cards and Accounts described in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 xml:space="preserve"> (the “Services”).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 xml:space="preserve">2.2  Training. </w:t>
      </w:r>
      <w:r>
        <w:rPr>
          <w:rFonts w:ascii="Times New Roman" w:cs="Times New Roman" w:eastAsia="Times New Roman" w:hAnsi="Times New Roman"/>
          <w:sz w:val="20"/>
          <w:szCs w:val="20"/>
          <w:color w:val="auto"/>
        </w:rPr>
        <w:t>Galileo will provide Customer and Bank training on the Galileo System as described on</w:t>
      </w:r>
      <w:r>
        <w:rPr>
          <w:rFonts w:ascii="Times New Roman" w:cs="Times New Roman" w:eastAsia="Times New Roman" w:hAnsi="Times New Roman"/>
          <w:sz w:val="20"/>
          <w:szCs w:val="20"/>
          <w:b w:val="1"/>
          <w:bCs w:val="1"/>
          <w:color w:val="auto"/>
        </w:rPr>
        <w:t xml:space="preserve"> Exhibit 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380" w:right="339" w:firstLine="116"/>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2.3 Client Support. </w:t>
      </w:r>
      <w:r>
        <w:rPr>
          <w:rFonts w:ascii="Times New Roman" w:cs="Times New Roman" w:eastAsia="Times New Roman" w:hAnsi="Times New Roman"/>
          <w:sz w:val="20"/>
          <w:szCs w:val="20"/>
          <w:color w:val="auto"/>
        </w:rPr>
        <w:t>Galileo will designate a representative to Customer for client support. Customer may request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to change the individual assigned for client support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color w:val="auto"/>
        </w:rPr>
        <w:t>Galileo will designate a new representative within forty-five (45) days from the receipt by Galileo of such written request.</w:t>
      </w:r>
    </w:p>
    <w:p>
      <w:pPr>
        <w:spacing w:after="0" w:line="237" w:lineRule="exact"/>
        <w:rPr>
          <w:sz w:val="20"/>
          <w:szCs w:val="20"/>
          <w:color w:val="auto"/>
        </w:rPr>
      </w:pPr>
    </w:p>
    <w:p>
      <w:pPr>
        <w:ind w:right="259" w:firstLine="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2.4 Communications. </w:t>
      </w:r>
      <w:r>
        <w:rPr>
          <w:rFonts w:ascii="Times New Roman" w:cs="Times New Roman" w:eastAsia="Times New Roman" w:hAnsi="Times New Roman"/>
          <w:sz w:val="20"/>
          <w:szCs w:val="20"/>
          <w:color w:val="auto"/>
        </w:rPr>
        <w:t>Customer shall install and maintain in good operating condition and at Customer’s own expense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necessary communication equipment needed to communicate with Galileo and Bank.</w:t>
      </w:r>
    </w:p>
    <w:p>
      <w:pPr>
        <w:spacing w:after="0" w:line="165" w:lineRule="exact"/>
        <w:rPr>
          <w:sz w:val="20"/>
          <w:szCs w:val="20"/>
          <w:color w:val="auto"/>
        </w:rPr>
      </w:pPr>
    </w:p>
    <w:p>
      <w:pPr>
        <w:ind w:left="100" w:right="5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2.5 Enhancements. </w:t>
      </w:r>
      <w:r>
        <w:rPr>
          <w:rFonts w:ascii="Times New Roman" w:cs="Times New Roman" w:eastAsia="Times New Roman" w:hAnsi="Times New Roman"/>
          <w:sz w:val="19"/>
          <w:szCs w:val="19"/>
          <w:color w:val="auto"/>
        </w:rPr>
        <w:t>Customer may periodically request customizations, enhancements, additions or modifications (each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 “Enhancement”) to the Galileo System. Galileo shall evaluate all such requests and, if terms and conditions can be agreed to (which shall include payment by Customer of Galileo’s development charges as specified in </w:t>
      </w:r>
      <w:r>
        <w:rPr>
          <w:rFonts w:ascii="Times New Roman" w:cs="Times New Roman" w:eastAsia="Times New Roman" w:hAnsi="Times New Roman"/>
          <w:sz w:val="19"/>
          <w:szCs w:val="19"/>
          <w:b w:val="1"/>
          <w:bCs w:val="1"/>
          <w:color w:val="auto"/>
        </w:rPr>
        <w:t>Exhibit C</w:t>
      </w:r>
      <w:r>
        <w:rPr>
          <w:rFonts w:ascii="Times New Roman" w:cs="Times New Roman" w:eastAsia="Times New Roman" w:hAnsi="Times New Roman"/>
          <w:sz w:val="19"/>
          <w:szCs w:val="19"/>
          <w:color w:val="auto"/>
        </w:rPr>
        <w:t>), Galileo shall develop and implement each such Enhancement on terms and conditions agreed to by the parties. Timing of any Enhancement is subject to scheduling and prioritization by Galileo of its available resources. Any Enhancement shall remain solely the property of Galileo and Customer shall acquire no right, claim or interest in the Galileo System.</w:t>
      </w:r>
    </w:p>
    <w:p>
      <w:pPr>
        <w:spacing w:after="0" w:line="1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2.6 Compliance With Law.</w:t>
      </w:r>
    </w:p>
    <w:p>
      <w:pPr>
        <w:spacing w:after="0" w:line="233" w:lineRule="exact"/>
        <w:rPr>
          <w:sz w:val="20"/>
          <w:szCs w:val="20"/>
          <w:color w:val="auto"/>
        </w:rPr>
      </w:pPr>
    </w:p>
    <w:p>
      <w:pPr>
        <w:ind w:left="100" w:right="259" w:firstLine="392"/>
        <w:spacing w:after="0" w:line="260" w:lineRule="auto"/>
        <w:tabs>
          <w:tab w:leader="none" w:pos="765"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Galileo and Customer acknowledge that Customer and Bank may be subject to a variety of federal, state and local laws, regulations and judicial and administrative decisions and interpretations applicable to the performance by Customer of its Transaction Cards and Accounts business, including without limitation those pertaining to equal credit opportunity, truth in lending, fair credit billing, fair credit reporting, fair debt collections practices, privacy and general consumer protection (the “Legal Requirements”). The parties shall cooperate with each other and Bank in resolving issues relating to compliance with the Legal Requirements in accordance with the provisions of this Section.</w:t>
      </w:r>
    </w:p>
    <w:p>
      <w:pPr>
        <w:spacing w:after="0" w:line="186" w:lineRule="exact"/>
        <w:rPr>
          <w:rFonts w:ascii="Times New Roman" w:cs="Times New Roman" w:eastAsia="Times New Roman" w:hAnsi="Times New Roman"/>
          <w:sz w:val="19"/>
          <w:szCs w:val="19"/>
          <w:color w:val="auto"/>
        </w:rPr>
      </w:pPr>
    </w:p>
    <w:p>
      <w:pPr>
        <w:ind w:left="100" w:right="239" w:firstLine="392"/>
        <w:spacing w:after="0" w:line="254" w:lineRule="auto"/>
        <w:tabs>
          <w:tab w:leader="none" w:pos="776"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is solely responsible for (i) monitoring and interpreting the Legal Requirements, (ii) determining the particular actions, disclosures, formulas, calculations and procedures required for compliance with the Legal Requirements (whether to be performed by Galileo or Customer) and (iii) complying with the Legal Requirements.</w:t>
      </w:r>
    </w:p>
    <w:p>
      <w:pPr>
        <w:spacing w:after="0" w:line="187" w:lineRule="exact"/>
        <w:rPr>
          <w:rFonts w:ascii="Times New Roman" w:cs="Times New Roman" w:eastAsia="Times New Roman" w:hAnsi="Times New Roman"/>
          <w:sz w:val="20"/>
          <w:szCs w:val="20"/>
          <w:color w:val="auto"/>
        </w:rPr>
      </w:pPr>
    </w:p>
    <w:p>
      <w:pPr>
        <w:ind w:left="100" w:right="159" w:firstLine="392"/>
        <w:spacing w:after="0" w:line="245" w:lineRule="auto"/>
        <w:tabs>
          <w:tab w:leader="none" w:pos="76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Galileo is solely responsible for compliance with all laws, regulations and judicial and administrative decisions applicable to Galileo as a provider of data processing services, including, without limitation, its obligations under the CCPA as provided in Section 2.6(e). To the extent Galileo provides dispute processing Services for Customer, Galileo is providing live agent customer services, and Customer does not direct Galileo in Galileo’s provision of such dispute processing Services [**]. Except as specifically provided in this section, Galileo will not be responsible for any violation by Customer of a Legal Requirement.</w:t>
      </w:r>
    </w:p>
    <w:p>
      <w:pPr>
        <w:spacing w:after="0" w:line="197" w:lineRule="exact"/>
        <w:rPr>
          <w:rFonts w:ascii="Times New Roman" w:cs="Times New Roman" w:eastAsia="Times New Roman" w:hAnsi="Times New Roman"/>
          <w:sz w:val="20"/>
          <w:szCs w:val="20"/>
          <w:color w:val="auto"/>
        </w:rPr>
      </w:pPr>
    </w:p>
    <w:p>
      <w:pPr>
        <w:ind w:left="100" w:right="139" w:firstLine="392"/>
        <w:spacing w:after="0" w:line="295" w:lineRule="auto"/>
        <w:tabs>
          <w:tab w:leader="none" w:pos="776"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of Section 10, Galileo and Customer shall cooperate with each other and Bank in providing information or records in connection with examinations, requests or proceedings of each other’s governing authorities.</w:t>
      </w:r>
    </w:p>
    <w:p>
      <w:pPr>
        <w:spacing w:after="0" w:line="147" w:lineRule="exact"/>
        <w:rPr>
          <w:rFonts w:ascii="Times New Roman" w:cs="Times New Roman" w:eastAsia="Times New Roman" w:hAnsi="Times New Roman"/>
          <w:sz w:val="19"/>
          <w:szCs w:val="19"/>
          <w:color w:val="auto"/>
        </w:rPr>
      </w:pPr>
    </w:p>
    <w:p>
      <w:pPr>
        <w:ind w:left="100" w:right="579" w:firstLine="278"/>
        <w:spacing w:after="0" w:line="273" w:lineRule="auto"/>
        <w:tabs>
          <w:tab w:leader="none" w:pos="650"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CCPA Compliance. </w:t>
      </w:r>
      <w:r>
        <w:rPr>
          <w:rFonts w:ascii="Times New Roman" w:cs="Times New Roman" w:eastAsia="Times New Roman" w:hAnsi="Times New Roman"/>
          <w:sz w:val="20"/>
          <w:szCs w:val="20"/>
          <w:color w:val="auto"/>
        </w:rPr>
        <w:t>To the extent that the Customer is subject to the California Consumer Privacy Act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“CCPA”), (a) Galileo acknowledges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855345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9"/>
          </w:cols>
          <w:pgMar w:left="700" w:top="1413" w:right="1440" w:bottom="1440" w:gutter="0" w:footer="0" w:header="0"/>
        </w:sectPr>
      </w:pPr>
    </w:p>
    <w:bookmarkStart w:id="121" w:name="page122"/>
    <w:bookmarkEnd w:id="121"/>
    <w:p>
      <w:pPr>
        <w:ind w:left="472" w:right="119"/>
        <w:spacing w:after="0" w:line="241" w:lineRule="auto"/>
        <w:rPr>
          <w:sz w:val="20"/>
          <w:szCs w:val="20"/>
          <w:color w:val="auto"/>
        </w:rPr>
      </w:pPr>
      <w:r>
        <w:rPr>
          <w:rFonts w:ascii="Times New Roman" w:cs="Times New Roman" w:eastAsia="Times New Roman" w:hAnsi="Times New Roman"/>
          <w:sz w:val="20"/>
          <w:szCs w:val="20"/>
          <w:color w:val="auto"/>
        </w:rPr>
        <w:t>Galileo is a “service provider” to Customer under the CCPA, and the parties agree that the following terms apply: To the extent there is “personal information” (as defined under the CCPA) included within the Customer’s Proprietary Information, Cardholder data or Transaction Card and Account records (collectively, the “Customer Protected Data”), Galileo is prohibited from retaining, using, or disclosing such personal information within the Customer Protected Data except as necessary to provide the Services and as necessary to provide or return the Customer Protected Data to the Customer (or the Bank), or as otherwise allowed under the CCPA. (b) Galileo certifies that Galileo is not a “third party” under the CCPA and accordingly, is prohibited, with respect to any personal information (as defined under the CCPA) within the Customer Protected Data from (i) selling such personal information, (ii) retaining, using, or disclosing the personal information for any purpose other than for the specific purpose of providing the Services, including retaining, using, or disclosing the personal information for a commercial purpose other than the Services, and (iii) retaining, using, or disclosing the personal information outside the business relationship between the Customer and persons to which the Customer Protected Data pertains. Galileo certifies that it understands and will comply with the limitations in this paragraph. Galileo shall cooperate with Customer in responding to requests in compliance with the CCPA in accordance with the provisions of this Section.</w:t>
      </w:r>
    </w:p>
    <w:p>
      <w:pPr>
        <w:spacing w:after="0" w:line="205" w:lineRule="exact"/>
        <w:rPr>
          <w:sz w:val="20"/>
          <w:szCs w:val="20"/>
          <w:color w:val="auto"/>
        </w:rPr>
      </w:pPr>
    </w:p>
    <w:p>
      <w:pPr>
        <w:ind w:left="472" w:right="49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2.7 Dependence on Performance by Others. </w:t>
      </w:r>
      <w:r>
        <w:rPr>
          <w:rFonts w:ascii="Times New Roman" w:cs="Times New Roman" w:eastAsia="Times New Roman" w:hAnsi="Times New Roman"/>
          <w:sz w:val="20"/>
          <w:szCs w:val="20"/>
          <w:color w:val="auto"/>
        </w:rPr>
        <w:t>The obligation of Galileo to timely perform the Services is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timely performance by Customer, Bank and third party vendors Customer engages, of their respective obligations and responsibilities, but only to the extent that failure to so perform directly affects Galileo’s ability to timely perform hereunder or the cost to Galileo of performing hereunder.</w:t>
      </w:r>
    </w:p>
    <w:p>
      <w:pPr>
        <w:spacing w:after="0" w:line="189" w:lineRule="exact"/>
        <w:rPr>
          <w:sz w:val="20"/>
          <w:szCs w:val="20"/>
          <w:color w:val="auto"/>
        </w:rPr>
      </w:pPr>
    </w:p>
    <w:p>
      <w:pPr>
        <w:ind w:left="472" w:right="39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2.8 Startup. </w:t>
      </w:r>
      <w:r>
        <w:rPr>
          <w:rFonts w:ascii="Times New Roman" w:cs="Times New Roman" w:eastAsia="Times New Roman" w:hAnsi="Times New Roman"/>
          <w:sz w:val="20"/>
          <w:szCs w:val="20"/>
          <w:color w:val="auto"/>
        </w:rPr>
        <w:t>Customer will (i) use all reasonable resources, including the assignment of adequate personnel to assure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timely performance of those functions required of Customer to permit Galileo to begin processing related to the Customer Accounts pursuant to this Agreement, and (ii) comply with any reasonable directions of Galileo so as to enable Galileo to begin processing related to the Customer Accounts pursuant to this Agreement.</w:t>
      </w:r>
    </w:p>
    <w:p>
      <w:pPr>
        <w:spacing w:after="0" w:line="189" w:lineRule="exact"/>
        <w:rPr>
          <w:sz w:val="20"/>
          <w:szCs w:val="20"/>
          <w:color w:val="auto"/>
        </w:rPr>
      </w:pPr>
    </w:p>
    <w:p>
      <w:pPr>
        <w:ind w:left="472" w:right="19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2.9 Bank Agreement. </w:t>
      </w:r>
      <w:r>
        <w:rPr>
          <w:rFonts w:ascii="Times New Roman" w:cs="Times New Roman" w:eastAsia="Times New Roman" w:hAnsi="Times New Roman"/>
          <w:sz w:val="20"/>
          <w:szCs w:val="20"/>
          <w:color w:val="auto"/>
        </w:rPr>
        <w:t>Galileo shall have no obligation to provide the Services hereunder until Customer has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Galileo a duly executed issuing bank agreement reasonably satisfactory to Galileo, such approval not to be unreasonably withheld (the “Issuing Bank Agreement”) signed by a duly authorized officer of Bank. If during the Term Bank no longer issues Transaction Cards and Accounts for Customer and Customer engages a successor bank (“Successor Bank”) to issue Transaction Cards and Accounts, Galileo shall have no obligation to provide the Services hereunder until such Successor Bank has executed and delivered to Galileo an Issuing Bank Agreement reasonably satisfactory to Galileo, such approval not be unreasonably withheld, and provided such Successor Bank is in good standing with applicable regulatory authorities and relevant Associations.</w:t>
      </w:r>
    </w:p>
    <w:p>
      <w:pPr>
        <w:spacing w:after="0" w:line="195" w:lineRule="exact"/>
        <w:rPr>
          <w:sz w:val="20"/>
          <w:szCs w:val="20"/>
          <w:color w:val="auto"/>
        </w:rPr>
      </w:pPr>
    </w:p>
    <w:p>
      <w:pPr>
        <w:ind w:left="392" w:hanging="392"/>
        <w:spacing w:after="0"/>
        <w:tabs>
          <w:tab w:leader="none" w:pos="392"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Minimums; Exclusivity; Merger or Change of Control</w:t>
      </w:r>
    </w:p>
    <w:p>
      <w:pPr>
        <w:spacing w:after="0" w:line="216" w:lineRule="exact"/>
        <w:rPr>
          <w:sz w:val="20"/>
          <w:szCs w:val="20"/>
          <w:color w:val="auto"/>
        </w:rPr>
      </w:pPr>
    </w:p>
    <w:p>
      <w:pPr>
        <w:ind w:left="472" w:right="15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3.1 Minimum Monthly Fee. </w:t>
      </w:r>
      <w:r>
        <w:rPr>
          <w:rFonts w:ascii="Times New Roman" w:cs="Times New Roman" w:eastAsia="Times New Roman" w:hAnsi="Times New Roman"/>
          <w:sz w:val="20"/>
          <w:szCs w:val="20"/>
          <w:color w:val="auto"/>
        </w:rPr>
        <w:t>Each calendar month (pro-rated for any billing period not beginning on the first day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month or ending on the last day of the month) Customer will require and shall pay Galileo for Services sufficient to generate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865505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413" w:right="1440" w:bottom="1440" w:gutter="0" w:footer="0" w:header="0"/>
        </w:sectPr>
      </w:pPr>
    </w:p>
    <w:bookmarkStart w:id="122" w:name="page123"/>
    <w:bookmarkEnd w:id="122"/>
    <w:p>
      <w:pPr>
        <w:ind w:left="3" w:right="259"/>
        <w:spacing w:after="0" w:line="246" w:lineRule="auto"/>
        <w:rPr>
          <w:sz w:val="20"/>
          <w:szCs w:val="20"/>
          <w:color w:val="auto"/>
        </w:rPr>
      </w:pPr>
      <w:r>
        <w:rPr>
          <w:rFonts w:ascii="Times New Roman" w:cs="Times New Roman" w:eastAsia="Times New Roman" w:hAnsi="Times New Roman"/>
          <w:sz w:val="20"/>
          <w:szCs w:val="20"/>
          <w:color w:val="auto"/>
        </w:rPr>
        <w:t xml:space="preserve">aggregate Processing Fees at least equal to the amount set forth on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under the heading “Minimum Monthly Fee” (the “Minimum Monthly Fee”). For the avoidance of doubt and based on economic assumptions material to each party underlying this transaction, Customer and Galileo expressly agree that Customer shall pay Galileo Fees during each calendar month in an amount at least equal to the Minimum Monthly Fee until this Agreement is terminated by Customer pursuant to the provisions of Sections 9.2 or until Galileo terminates this Agreement and invokes compensatory payments pursuant to Section 9.4.</w:t>
      </w:r>
    </w:p>
    <w:p>
      <w:pPr>
        <w:spacing w:after="0" w:line="19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3.2 [**</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3" w:right="47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3.3 Disposition of Portfolios. </w:t>
      </w:r>
      <w:r>
        <w:rPr>
          <w:rFonts w:ascii="Times New Roman" w:cs="Times New Roman" w:eastAsia="Times New Roman" w:hAnsi="Times New Roman"/>
          <w:sz w:val="20"/>
          <w:szCs w:val="20"/>
          <w:color w:val="auto"/>
        </w:rPr>
        <w:t>Subject to the provisions in Section 4.7 on Deconversion, upon the sale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disposition by Customer of 90% or more of Customer Accounts that are subject to this Agreement (the “Former Accounts”) Galileo will no longer be obligated to provide Services for the Former Accounts for Customer and Bank pursuant to this Agreement.</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3.4 Merger or Change of Control.</w:t>
      </w:r>
    </w:p>
    <w:p>
      <w:pPr>
        <w:spacing w:after="0" w:line="233" w:lineRule="exact"/>
        <w:rPr>
          <w:sz w:val="20"/>
          <w:szCs w:val="20"/>
          <w:color w:val="auto"/>
        </w:rPr>
      </w:pPr>
    </w:p>
    <w:p>
      <w:pPr>
        <w:ind w:left="263" w:hanging="263"/>
        <w:spacing w:after="0"/>
        <w:tabs>
          <w:tab w:leader="none" w:pos="263"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Customer is merged into an Entity and such Entity is the survivor of such merger (the “Surviving Entity”), then</w:t>
      </w:r>
    </w:p>
    <w:p>
      <w:pPr>
        <w:spacing w:after="0" w:line="21" w:lineRule="exact"/>
        <w:rPr>
          <w:rFonts w:ascii="Times New Roman" w:cs="Times New Roman" w:eastAsia="Times New Roman" w:hAnsi="Times New Roman"/>
          <w:sz w:val="20"/>
          <w:szCs w:val="20"/>
          <w:color w:val="auto"/>
        </w:rPr>
      </w:pPr>
    </w:p>
    <w:p>
      <w:pPr>
        <w:ind w:left="3" w:right="139" w:hanging="3"/>
        <w:spacing w:after="0"/>
        <w:tabs>
          <w:tab w:leader="none" w:pos="23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Agreement shall continue to apply to all Transaction Card and Account programs and Customer Accounts which were subject to this Agreement prior to such merger, (ii) the Surviving Entity, as Customer’s successor-in interest, shall continue to be bound by Customer’s obligations hereunder, and (iii) the provisions of this Agreement shall apply to all new Transaction Cards and Account programs and Customer Accounts acquired or created by the Surviving Entity after such merger. If there is a Change of Control of Customer, then the provisions of this Agreement shall continue to apply to all Transaction Card and Account programs and Customer Accounts of Customer and its Affiliates that were subject to this Agreement immediately prior to such Change of Control, but shall not apply to any accounts of the Entity that Acquires Control of Customer which were not subject to this Agreement prior to such Change of Control.</w:t>
      </w:r>
    </w:p>
    <w:p>
      <w:pPr>
        <w:spacing w:after="0" w:line="203" w:lineRule="exact"/>
        <w:rPr>
          <w:rFonts w:ascii="Times New Roman" w:cs="Times New Roman" w:eastAsia="Times New Roman" w:hAnsi="Times New Roman"/>
          <w:sz w:val="20"/>
          <w:szCs w:val="20"/>
          <w:color w:val="auto"/>
        </w:rPr>
      </w:pPr>
    </w:p>
    <w:p>
      <w:pPr>
        <w:ind w:left="283" w:hanging="283"/>
        <w:spacing w:after="0"/>
        <w:tabs>
          <w:tab w:leader="none" w:pos="28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Galileo is merged into an Entity and such Entity is the</w:t>
      </w:r>
    </w:p>
    <w:p>
      <w:pPr>
        <w:spacing w:after="0" w:line="22" w:lineRule="exact"/>
        <w:rPr>
          <w:sz w:val="20"/>
          <w:szCs w:val="20"/>
          <w:color w:val="auto"/>
        </w:rPr>
      </w:pPr>
    </w:p>
    <w:p>
      <w:pPr>
        <w:ind w:left="3" w:right="119"/>
        <w:spacing w:after="0"/>
        <w:rPr>
          <w:sz w:val="20"/>
          <w:szCs w:val="20"/>
          <w:color w:val="auto"/>
        </w:rPr>
      </w:pPr>
      <w:r>
        <w:rPr>
          <w:rFonts w:ascii="Times New Roman" w:cs="Times New Roman" w:eastAsia="Times New Roman" w:hAnsi="Times New Roman"/>
          <w:sz w:val="20"/>
          <w:szCs w:val="20"/>
          <w:color w:val="auto"/>
        </w:rPr>
        <w:t>survivor of such merger (“Galileo Surviving Entity”) or there is a Change of Control of Galileo, then (i) the provisions of this Agreement shall continue to apply to all Transaction Card and Account programs and Customer Accounts which were subject to this Agreement prior to such merger or Change of Control, (ii) Galileo or the Galileo Surviving Entity, as Galileo’s successor in-interest, as applicable, shall continue to be bound by Galileo’s obligations hereunder, and (iii) the provisions of this Agreement shall apply to all new Transaction Cards and Account programs and Customer Accounts acquired or created after such merger or Change in Control. Subject to other termination rights of Galileo in Section 9.1(a), (b), and (d) and subject to the Term of the Agreement, in the event of such a merger or Change of Control, Galileo or the Galileo Surviving Entity shall provide no less than twelve (12) months written notice to Customer of its intent to terminate the Agreement or to otherwise cease the provision of Services to Customer under this Agreement. Notwithstanding the foregoing, the parties agree that in the event Customer is in material breach of Section 2.6(b), Section 3.2, Section 5.3(a), or Section 10 and Customer fails to cure within thirty (30) days after detailed notice thereof by Galileo, or such shorter period as may be required by a Legal Requirement or by the applicable Association, then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875665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2"/>
          </w:cols>
          <w:pgMar w:left="797" w:top="1409" w:right="1440" w:bottom="1440" w:gutter="0" w:footer="0" w:header="0"/>
        </w:sectPr>
      </w:pPr>
    </w:p>
    <w:bookmarkStart w:id="123" w:name="page124"/>
    <w:bookmarkEnd w:id="123"/>
    <w:p>
      <w:pPr>
        <w:ind w:left="457"/>
        <w:spacing w:after="0"/>
        <w:rPr>
          <w:sz w:val="20"/>
          <w:szCs w:val="20"/>
          <w:color w:val="auto"/>
        </w:rPr>
      </w:pPr>
      <w:r>
        <w:rPr>
          <w:rFonts w:ascii="Times New Roman" w:cs="Times New Roman" w:eastAsia="Times New Roman" w:hAnsi="Times New Roman"/>
          <w:sz w:val="19"/>
          <w:szCs w:val="19"/>
          <w:color w:val="auto"/>
        </w:rPr>
        <w:t>breach shall trigger Galileo’s termination right under Section 9.1(c) and Galileo shall not be required to provide twelve</w:t>
      </w:r>
    </w:p>
    <w:p>
      <w:pPr>
        <w:spacing w:after="0" w:line="33" w:lineRule="exact"/>
        <w:rPr>
          <w:sz w:val="20"/>
          <w:szCs w:val="20"/>
          <w:color w:val="auto"/>
        </w:rPr>
      </w:pPr>
    </w:p>
    <w:p>
      <w:pPr>
        <w:ind w:left="837" w:hanging="383"/>
        <w:spacing w:after="0"/>
        <w:tabs>
          <w:tab w:leader="none" w:pos="837"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prior written notice to Customer before exercising such termination right.</w:t>
      </w:r>
    </w:p>
    <w:p>
      <w:pPr>
        <w:spacing w:after="0" w:line="203" w:lineRule="exact"/>
        <w:rPr>
          <w:rFonts w:ascii="Times New Roman" w:cs="Times New Roman" w:eastAsia="Times New Roman" w:hAnsi="Times New Roman"/>
          <w:sz w:val="20"/>
          <w:szCs w:val="20"/>
          <w:color w:val="auto"/>
        </w:rPr>
      </w:pPr>
    </w:p>
    <w:p>
      <w:pPr>
        <w:ind w:left="497" w:hanging="497"/>
        <w:spacing w:after="0"/>
        <w:tabs>
          <w:tab w:leader="none" w:pos="497"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Payment for Services</w:t>
      </w:r>
    </w:p>
    <w:p>
      <w:pPr>
        <w:spacing w:after="0" w:line="216" w:lineRule="exact"/>
        <w:rPr>
          <w:sz w:val="20"/>
          <w:szCs w:val="20"/>
          <w:color w:val="auto"/>
        </w:rPr>
      </w:pPr>
    </w:p>
    <w:p>
      <w:pPr>
        <w:ind w:left="537" w:right="179"/>
        <w:spacing w:after="0" w:line="256" w:lineRule="auto"/>
        <w:rPr>
          <w:sz w:val="20"/>
          <w:szCs w:val="20"/>
          <w:color w:val="auto"/>
        </w:rPr>
      </w:pPr>
      <w:r>
        <w:rPr>
          <w:rFonts w:ascii="Times New Roman" w:cs="Times New Roman" w:eastAsia="Times New Roman" w:hAnsi="Times New Roman"/>
          <w:sz w:val="19"/>
          <w:szCs w:val="19"/>
          <w:b w:val="1"/>
          <w:bCs w:val="1"/>
          <w:color w:val="auto"/>
        </w:rPr>
        <w:t xml:space="preserve">4.1 Processing Fees. </w:t>
      </w:r>
      <w:r>
        <w:rPr>
          <w:rFonts w:ascii="Times New Roman" w:cs="Times New Roman" w:eastAsia="Times New Roman" w:hAnsi="Times New Roman"/>
          <w:sz w:val="19"/>
          <w:szCs w:val="19"/>
          <w:color w:val="auto"/>
        </w:rPr>
        <w:t>Customer shall pay Galileo the Processing Fees set forth in</w:t>
      </w:r>
      <w:r>
        <w:rPr>
          <w:rFonts w:ascii="Times New Roman" w:cs="Times New Roman" w:eastAsia="Times New Roman" w:hAnsi="Times New Roman"/>
          <w:sz w:val="19"/>
          <w:szCs w:val="19"/>
          <w:b w:val="1"/>
          <w:bCs w:val="1"/>
          <w:color w:val="auto"/>
        </w:rPr>
        <w:t xml:space="preserve"> Exhibit C </w:t>
      </w:r>
      <w:r>
        <w:rPr>
          <w:rFonts w:ascii="Times New Roman" w:cs="Times New Roman" w:eastAsia="Times New Roman" w:hAnsi="Times New Roman"/>
          <w:sz w:val="19"/>
          <w:szCs w:val="19"/>
          <w:color w:val="auto"/>
        </w:rPr>
        <w:t>to this Agreement. All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amounts shall be payable in US dollars. Galileo shall bill Customer on or about the fifth business day of each calendar month for all Processing Fees related to Services provided in the previous month pursuant to this Agreement. For each Processing Year after Processing Year 1, prior to the commencement of each Processing Year, Galileo may increase each line item of Processing Fees set forth in Exhibit C that were in effect for the immediately preceding Processing Year by an amount not to exceed the lesser of (a) [**] or (b) [**] in the most recently reported Consumer Price Index (“CPI”). For purposes hereof, the CPI shall be the index compiled by the United States Department of Labor’s Bureau of Labor Statistics, Consumer Price Index for All Urban Consumers (“CPI-U”) having a base of 100 in 1982-84, using that portion of the index that appears under the caption “Other Goods and Services.” The percentage increase in the CPI shall be calculated as of ninety (90) days in advance of the effective date of such increase, by comparing the CPI using a twelve (12) month period ending three (3) months prior to the effective date of such increase and expressing the increase in said CPI through the twelve (12) month period as a percentage.</w:t>
      </w:r>
    </w:p>
    <w:p>
      <w:pPr>
        <w:spacing w:after="0" w:line="187" w:lineRule="exact"/>
        <w:rPr>
          <w:sz w:val="20"/>
          <w:szCs w:val="20"/>
          <w:color w:val="auto"/>
        </w:rPr>
      </w:pPr>
    </w:p>
    <w:p>
      <w:pPr>
        <w:ind w:left="537" w:right="19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4.2 Special Fees. </w:t>
      </w:r>
      <w:r>
        <w:rPr>
          <w:rFonts w:ascii="Times New Roman" w:cs="Times New Roman" w:eastAsia="Times New Roman" w:hAnsi="Times New Roman"/>
          <w:sz w:val="20"/>
          <w:szCs w:val="20"/>
          <w:color w:val="auto"/>
        </w:rPr>
        <w:t>Customer shall pay Galileo the Special Fees, including but not limited to U.S. postage,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services provided by third-party providers and as may be set forth on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Galileo shall not be required to provide any Services the payment of which is covered by Special Fees until Galileo receives payment for such Special Fees. If, at any time while this Agreement is in effect, the charges are increased to Galileo for items which are included in the Special Fees or Galileo obtains communication or other services included in the Special Fees by another method, resulting in an increase in the charges to Galileo for such items, then Galileo shall increase by an equal amount the Special Fees Customer is then paying Galileo for such items under this Agreement. Such price change by Galileo shall be effective on the effective date of the increase to Galileo, provided however that Galileo provides notice to Customer within thirty (30) of the effective date of the increase to Galileo. On the Effective Date, Customer agrees to pay to Galileo a deposit (the “Special Fee Deposit”) in the amount of [**] to be used by Galileo for the payment of Special Fees. Customer agrees to replenish the Special Fee Deposit on the first day of each month by paying to Galileo an amount sufficient to restore the Special Fee Deposit amount to the greater of (i) [**] or (ii) [**].</w:t>
      </w:r>
    </w:p>
    <w:p>
      <w:pPr>
        <w:spacing w:after="0" w:line="198" w:lineRule="exact"/>
        <w:rPr>
          <w:sz w:val="20"/>
          <w:szCs w:val="20"/>
          <w:color w:val="auto"/>
        </w:rPr>
      </w:pPr>
    </w:p>
    <w:p>
      <w:pPr>
        <w:ind w:left="537" w:right="219"/>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4.3 New Products. </w:t>
      </w:r>
      <w:r>
        <w:rPr>
          <w:rFonts w:ascii="Times New Roman" w:cs="Times New Roman" w:eastAsia="Times New Roman" w:hAnsi="Times New Roman"/>
          <w:sz w:val="19"/>
          <w:szCs w:val="19"/>
          <w:color w:val="auto"/>
        </w:rPr>
        <w:t>If Galileo commences to offer any new services or products generally to its customers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Customer elects to use any such service or product, or if Customer elects to use services or products which Customer had not previously elected to use, then Galileo shall provide such service or product at Galileo’s then current fees and charges for such service or product or such other prices as Galileo and Customer may mutually agree.</w:t>
      </w:r>
    </w:p>
    <w:p>
      <w:pPr>
        <w:spacing w:after="0" w:line="172" w:lineRule="exact"/>
        <w:rPr>
          <w:sz w:val="20"/>
          <w:szCs w:val="20"/>
          <w:color w:val="auto"/>
        </w:rPr>
      </w:pPr>
    </w:p>
    <w:p>
      <w:pPr>
        <w:ind w:left="537" w:right="6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4.4 Method of Payment. </w:t>
      </w:r>
      <w:r>
        <w:rPr>
          <w:rFonts w:ascii="Times New Roman" w:cs="Times New Roman" w:eastAsia="Times New Roman" w:hAnsi="Times New Roman"/>
          <w:sz w:val="20"/>
          <w:szCs w:val="20"/>
          <w:color w:val="auto"/>
        </w:rPr>
        <w:t>Customer shall provide Galileo with access to a bank account of Customer’s funds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Account”) not requiring signature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855345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7"/>
          </w:cols>
          <w:pgMar w:left="343" w:top="1413" w:right="1440" w:bottom="1440" w:gutter="0" w:footer="0" w:header="0"/>
        </w:sectPr>
      </w:pPr>
    </w:p>
    <w:bookmarkStart w:id="124" w:name="page125"/>
    <w:bookmarkEnd w:id="124"/>
    <w:p>
      <w:pPr>
        <w:ind w:right="259"/>
        <w:spacing w:after="0" w:line="242" w:lineRule="auto"/>
        <w:rPr>
          <w:sz w:val="20"/>
          <w:szCs w:val="20"/>
          <w:color w:val="auto"/>
        </w:rPr>
      </w:pPr>
      <w:r>
        <w:rPr>
          <w:rFonts w:ascii="Times New Roman" w:cs="Times New Roman" w:eastAsia="Times New Roman" w:hAnsi="Times New Roman"/>
          <w:sz w:val="20"/>
          <w:szCs w:val="20"/>
          <w:color w:val="auto"/>
        </w:rPr>
        <w:t xml:space="preserve">notifying Galileo of the demand deposit account number and transit routing number for the Bank Account. Customer agrees that Galileo may draw upon the Bank Account to pay fees, taxes, interest payments, charges, or any other amount due or payable to Galileo under the terms of this Agreement at any time twenty (20) days after Customer’s receipt of an invoice indicating the amount owed by Customer to Galileo. To further acknowledge Customer’s agreement to allow Galileo to access the Bank Account, Customer shall sign the ACH Authorization Form attached hereto as </w:t>
      </w:r>
      <w:r>
        <w:rPr>
          <w:rFonts w:ascii="Times New Roman" w:cs="Times New Roman" w:eastAsia="Times New Roman" w:hAnsi="Times New Roman"/>
          <w:sz w:val="20"/>
          <w:szCs w:val="20"/>
          <w:b w:val="1"/>
          <w:bCs w:val="1"/>
          <w:color w:val="auto"/>
        </w:rPr>
        <w:t>Exhibit D</w:t>
      </w:r>
      <w:r>
        <w:rPr>
          <w:rFonts w:ascii="Times New Roman" w:cs="Times New Roman" w:eastAsia="Times New Roman" w:hAnsi="Times New Roman"/>
          <w:sz w:val="20"/>
          <w:szCs w:val="20"/>
          <w:color w:val="auto"/>
        </w:rPr>
        <w:t xml:space="preserve"> attached hereto and incorporated herein by reference. The detailed records of the amounts drawn on the Bank Account by Galileo shall be provided by Galileo to Customer on a monthly basis. Galileo shall be under no obligation to effect any Start-Up until the Bank Account has been established as provided herein, and Galileo may immediately suspend providing the Services without incurring any liability to Customer until there is an amount sufficient in the Bank Account to pay any amount due to Galileo under this Agreement.</w:t>
      </w:r>
    </w:p>
    <w:p>
      <w:pPr>
        <w:spacing w:after="0" w:line="202" w:lineRule="exact"/>
        <w:rPr>
          <w:sz w:val="20"/>
          <w:szCs w:val="20"/>
          <w:color w:val="auto"/>
        </w:rPr>
      </w:pPr>
    </w:p>
    <w:p>
      <w:pPr>
        <w:ind w:right="11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4.5 Interest. </w:t>
      </w:r>
      <w:r>
        <w:rPr>
          <w:rFonts w:ascii="Times New Roman" w:cs="Times New Roman" w:eastAsia="Times New Roman" w:hAnsi="Times New Roman"/>
          <w:sz w:val="20"/>
          <w:szCs w:val="20"/>
          <w:color w:val="auto"/>
        </w:rPr>
        <w:t>If Galileo is unable to obtain payment of Processing Fees, Special Fees, compensatory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9.4 of this Agreement or any other fee, tax, interest payment, charge or amount due or payable to Galileo by Customer under this Agreement at the time provided for payment under this Agreement, the unpaid amount of any Processing Fees, Special Fees, compensatory payments pursuant to Section 9.4 of this Agreement or other fee, tax, interest payment, charge or amount shall bear interest at the rate equal to the lesser of (a) [**]% per annum, or (b) the maximum rate permitted by applicable law, from the date on which payment was due until the date on which Galileo receives the payment.</w:t>
      </w:r>
    </w:p>
    <w:p>
      <w:pPr>
        <w:spacing w:after="0" w:line="193" w:lineRule="exact"/>
        <w:rPr>
          <w:sz w:val="20"/>
          <w:szCs w:val="20"/>
          <w:color w:val="auto"/>
        </w:rPr>
      </w:pPr>
    </w:p>
    <w:p>
      <w:pPr>
        <w:ind w:right="13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4.6 Taxes. </w:t>
      </w:r>
      <w:r>
        <w:rPr>
          <w:rFonts w:ascii="Times New Roman" w:cs="Times New Roman" w:eastAsia="Times New Roman" w:hAnsi="Times New Roman"/>
          <w:sz w:val="20"/>
          <w:szCs w:val="20"/>
          <w:color w:val="auto"/>
        </w:rPr>
        <w:t>Customer shall be responsible for all taxes and similar charges imposed on it by any governmental authority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assessed as a result of this Agreement. All fees, charges and other amounts payable to Galileo under this Agreement, including without limitation, Processing Fees, Special Fees and compensatory payments under Section 9.4, do not include any sales, use, excise, value added, or other applicable taxes, tariffs or duties, payment of which shall be Customer’s sole responsibility, excluding any applicable taxes based on Galileo’s net income or taxes arising from the employment or independent contractor relationship between Galileo and its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871855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79"/>
          </w:cols>
          <w:pgMar w:left="880" w:top="1413" w:right="1440" w:bottom="1440" w:gutter="0" w:footer="0" w:header="0"/>
        </w:sectPr>
      </w:pPr>
    </w:p>
    <w:bookmarkStart w:id="125" w:name="page126"/>
    <w:bookmarkEnd w:id="125"/>
    <w:p>
      <w:pPr>
        <w:ind w:left="463"/>
        <w:spacing w:after="0"/>
        <w:rPr>
          <w:sz w:val="20"/>
          <w:szCs w:val="20"/>
          <w:color w:val="auto"/>
        </w:rPr>
      </w:pPr>
      <w:r>
        <w:rPr>
          <w:rFonts w:ascii="Times New Roman" w:cs="Times New Roman" w:eastAsia="Times New Roman" w:hAnsi="Times New Roman"/>
          <w:sz w:val="20"/>
          <w:szCs w:val="20"/>
          <w:b w:val="1"/>
          <w:bCs w:val="1"/>
          <w:color w:val="auto"/>
        </w:rPr>
        <w:t xml:space="preserve">4.7 Deconversion. </w:t>
      </w:r>
      <w:r>
        <w:rPr>
          <w:rFonts w:ascii="Times New Roman" w:cs="Times New Roman" w:eastAsia="Times New Roman" w:hAnsi="Times New Roman"/>
          <w:sz w:val="20"/>
          <w:szCs w:val="20"/>
          <w:color w:val="auto"/>
        </w:rPr>
        <w:t>Upon the expiration or termination of this Agreement, Galileo shall provide</w:t>
      </w:r>
    </w:p>
    <w:p>
      <w:pPr>
        <w:spacing w:after="0" w:line="25"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20"/>
          <w:szCs w:val="20"/>
          <w:color w:val="auto"/>
        </w:rPr>
        <w:t>Deconversion assistance to Customer as Customer may reasonably request; provided, however, that in no event shall</w:t>
      </w:r>
    </w:p>
    <w:p>
      <w:pPr>
        <w:ind w:left="463"/>
        <w:spacing w:after="0"/>
        <w:rPr>
          <w:sz w:val="20"/>
          <w:szCs w:val="20"/>
          <w:color w:val="auto"/>
        </w:rPr>
      </w:pPr>
      <w:r>
        <w:rPr>
          <w:rFonts w:ascii="Times New Roman" w:cs="Times New Roman" w:eastAsia="Times New Roman" w:hAnsi="Times New Roman"/>
          <w:sz w:val="20"/>
          <w:szCs w:val="20"/>
          <w:color w:val="auto"/>
        </w:rPr>
        <w:t>Galileo be obligated to Deconvert any of Customer Accounts until a date which is mutually agreed upon and at least</w:t>
      </w:r>
    </w:p>
    <w:p>
      <w:pPr>
        <w:ind w:left="463" w:right="119"/>
        <w:spacing w:after="0" w:line="239" w:lineRule="auto"/>
        <w:rPr>
          <w:sz w:val="20"/>
          <w:szCs w:val="20"/>
          <w:color w:val="auto"/>
        </w:rPr>
      </w:pPr>
      <w:r>
        <w:rPr>
          <w:rFonts w:ascii="Times New Roman" w:cs="Times New Roman" w:eastAsia="Times New Roman" w:hAnsi="Times New Roman"/>
          <w:sz w:val="20"/>
          <w:szCs w:val="20"/>
          <w:color w:val="auto"/>
        </w:rPr>
        <w:t>sixty (60) days but not greater than six (6) months after notice by Customer to Galileo requesting such Deconversion. For the avoidance of doubt, Galileo shall continue to provide Services to Customer and Customer Accounts pursuant to this Agreement until Deconversion</w:t>
      </w:r>
    </w:p>
    <w:p>
      <w:pPr>
        <w:spacing w:after="0" w:line="1" w:lineRule="exact"/>
        <w:rPr>
          <w:sz w:val="20"/>
          <w:szCs w:val="20"/>
          <w:color w:val="auto"/>
        </w:rPr>
      </w:pPr>
    </w:p>
    <w:p>
      <w:pPr>
        <w:ind w:left="463"/>
        <w:spacing w:after="0"/>
        <w:rPr>
          <w:sz w:val="20"/>
          <w:szCs w:val="20"/>
          <w:color w:val="auto"/>
        </w:rPr>
      </w:pPr>
      <w:r>
        <w:rPr>
          <w:rFonts w:ascii="Times New Roman" w:cs="Times New Roman" w:eastAsia="Times New Roman" w:hAnsi="Times New Roman"/>
          <w:sz w:val="20"/>
          <w:szCs w:val="20"/>
          <w:color w:val="auto"/>
        </w:rPr>
        <w:t>is complete as Customer may reasonably request.</w:t>
      </w:r>
    </w:p>
    <w:p>
      <w:pPr>
        <w:spacing w:after="0" w:line="207" w:lineRule="exact"/>
        <w:rPr>
          <w:sz w:val="20"/>
          <w:szCs w:val="20"/>
          <w:color w:val="auto"/>
        </w:rPr>
      </w:pPr>
    </w:p>
    <w:p>
      <w:pPr>
        <w:ind w:left="463" w:right="159"/>
        <w:spacing w:after="0" w:line="249" w:lineRule="auto"/>
        <w:rPr>
          <w:sz w:val="20"/>
          <w:szCs w:val="20"/>
          <w:color w:val="auto"/>
        </w:rPr>
      </w:pPr>
      <w:r>
        <w:rPr>
          <w:rFonts w:ascii="Times New Roman" w:cs="Times New Roman" w:eastAsia="Times New Roman" w:hAnsi="Times New Roman"/>
          <w:sz w:val="20"/>
          <w:szCs w:val="20"/>
          <w:color w:val="auto"/>
        </w:rPr>
        <w:t xml:space="preserve">Except in the event of Deconversion occurring as a result of termination of the Agreement by Customer pursuant to Section 9.2, Customer shall pay Galileo, the Development rate per hour set forth on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for resources for each activity completed by Galileo in order to accomplish the Deconversion and for all costs, including postage or shipping, of complying with Section 10.1.</w:t>
      </w:r>
    </w:p>
    <w:p>
      <w:pPr>
        <w:spacing w:after="0" w:line="189" w:lineRule="exact"/>
        <w:rPr>
          <w:sz w:val="20"/>
          <w:szCs w:val="20"/>
          <w:color w:val="auto"/>
        </w:rPr>
      </w:pPr>
    </w:p>
    <w:p>
      <w:pPr>
        <w:ind w:left="463" w:right="17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4.8 Billing Disputes. </w:t>
      </w:r>
      <w:r>
        <w:rPr>
          <w:rFonts w:ascii="Times New Roman" w:cs="Times New Roman" w:eastAsia="Times New Roman" w:hAnsi="Times New Roman"/>
          <w:sz w:val="20"/>
          <w:szCs w:val="20"/>
          <w:color w:val="auto"/>
        </w:rPr>
        <w:t>If Customer in good faith disputes any portion of any invoice, Customer shall notify Galileo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soon as possible (and in any event no later than the due date of the payment) and submit to Galileo, by the due date of the invoice, (i) payment equal to the amount due on the invoice less the amount disputed by Customer and (ii) written documentation identifying and substantiating the disputed amount. Without limiting the foregoing, if a party fails to report a dispute, whether it be for a billing error or any other unresolved payment issue between the parties within one hundred eighty (180) days following the date on the applicable invoice or the discovery of such payment issue, then such party shall have waived its right to dispute that invoice. The parties agree to use their respective best efforts to resolve any dispute within thirty (30) days after a party receives written notice of the dispute from the other party. Any disputed amounts resolved in favor of Customer shall be credited to Customer’s account on the next invoice following resolution of the dispute. Any disputed amounts determined to be payable to Galileo shall be due within fifteen (15) days of the resolution of the dispute.</w:t>
      </w:r>
    </w:p>
    <w:p>
      <w:pPr>
        <w:spacing w:after="0" w:line="203" w:lineRule="exact"/>
        <w:rPr>
          <w:sz w:val="20"/>
          <w:szCs w:val="20"/>
          <w:color w:val="auto"/>
        </w:rPr>
      </w:pPr>
    </w:p>
    <w:p>
      <w:pPr>
        <w:ind w:left="383" w:hanging="383"/>
        <w:spacing w:after="0"/>
        <w:tabs>
          <w:tab w:leader="none" w:pos="383"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 and Indemnification</w:t>
      </w:r>
    </w:p>
    <w:p>
      <w:pPr>
        <w:spacing w:after="0" w:line="216" w:lineRule="exact"/>
        <w:rPr>
          <w:sz w:val="20"/>
          <w:szCs w:val="20"/>
          <w:color w:val="auto"/>
        </w:rPr>
      </w:pPr>
    </w:p>
    <w:p>
      <w:pPr>
        <w:ind w:left="663" w:right="11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 Dispute Resolution. </w:t>
      </w:r>
      <w:r>
        <w:rPr>
          <w:rFonts w:ascii="Times New Roman" w:cs="Times New Roman" w:eastAsia="Times New Roman" w:hAnsi="Times New Roman"/>
          <w:sz w:val="20"/>
          <w:szCs w:val="20"/>
          <w:color w:val="auto"/>
        </w:rPr>
        <w:t>In the event a controversy or claim between Galileo and Customer arises from 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this Agreement whether based on contract, tort, common law, equity, statute, regulation, order or otherwise (a “Dispute”), the parties agree to reasonably discuss and make good faith efforts to negotiate an amicable settlement of such Dispute without the necessity of any formal proceedings.</w:t>
      </w:r>
    </w:p>
    <w:p>
      <w:pPr>
        <w:spacing w:after="0" w:line="189" w:lineRule="exact"/>
        <w:rPr>
          <w:sz w:val="20"/>
          <w:szCs w:val="20"/>
          <w:color w:val="auto"/>
        </w:rPr>
      </w:pPr>
    </w:p>
    <w:p>
      <w:pPr>
        <w:ind w:left="663" w:right="13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5.2 Arbitration. </w:t>
      </w:r>
      <w:r>
        <w:rPr>
          <w:rFonts w:ascii="Times New Roman" w:cs="Times New Roman" w:eastAsia="Times New Roman" w:hAnsi="Times New Roman"/>
          <w:sz w:val="20"/>
          <w:szCs w:val="20"/>
          <w:color w:val="auto"/>
        </w:rPr>
        <w:t>If Customer and Galileo are unable to resolve any Dispute in the manner set forth in Section 5.1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above, such Dispute shall be submitted to arbitration. The parties agree that, except as otherwise provided above, any Dispute shall be settled by arbitration in accordance with the Commercial Arbitration Rules of the American Arbitration Association (“AAA”) in Salt Lake City, Utah, with judgment upon the award rendered by the arbitrator to be entered in any court of competent jurisdiction. Notwithstanding the foregoing or the then-current specified Commercial Arbitration Rules, the following shall apply with respect to the arbitration proceeding: (i) the existence, subject, evidence, proceedings, and ruling resulting from the arbitration proceedings shall be deemed confidential information, and shall not be disclosed by the parties, their representatives, or the arbitrator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873760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2"/>
          </w:cols>
          <w:pgMar w:left="417" w:top="1409" w:right="1440" w:bottom="1440" w:gutter="0" w:footer="0" w:header="0"/>
        </w:sectPr>
      </w:pPr>
    </w:p>
    <w:bookmarkStart w:id="126" w:name="page127"/>
    <w:bookmarkEnd w:id="126"/>
    <w:p>
      <w:pPr>
        <w:ind w:left="660" w:right="359"/>
        <w:spacing w:after="0" w:line="243" w:lineRule="auto"/>
        <w:rPr>
          <w:sz w:val="20"/>
          <w:szCs w:val="20"/>
          <w:color w:val="auto"/>
        </w:rPr>
      </w:pPr>
      <w:r>
        <w:rPr>
          <w:rFonts w:ascii="Times New Roman" w:cs="Times New Roman" w:eastAsia="Times New Roman" w:hAnsi="Times New Roman"/>
          <w:sz w:val="20"/>
          <w:szCs w:val="20"/>
          <w:color w:val="auto"/>
        </w:rPr>
        <w:t>(except: (a) to the professional advisers of Customer or Galileo; (b) in connection with a public offering of securities by Customer or Galileo; (c) as ordered by any court of competent jurisdiction; or (d) as required to comply with any applicable governmental statute or regulation); (ii) the arbitrator shall be required to prepare written findings of fact; and (iii) the arbitrator may grant any relief or remedy which the arbitrator deems just and equitable. The parties agree that money damages would not be a sufficient remedy for breach of Section 3.4(b) or Section 10 of this Agreement and that in addition to all other available legal remedies or equitable remedies, the non-breaching party shall be entitled to equitable relief, including injunctions and specific performance, for any breach thereof without proof of actual damages.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5.3 Indemnification.</w:t>
      </w:r>
    </w:p>
    <w:p>
      <w:pPr>
        <w:spacing w:after="0" w:line="229"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b w:val="1"/>
          <w:bCs w:val="1"/>
          <w:color w:val="auto"/>
        </w:rPr>
        <w:t xml:space="preserve">Customer’s Indemnification. </w:t>
      </w:r>
      <w:r>
        <w:rPr>
          <w:rFonts w:ascii="Times New Roman" w:cs="Times New Roman" w:eastAsia="Times New Roman" w:hAnsi="Times New Roman"/>
          <w:sz w:val="20"/>
          <w:szCs w:val="20"/>
          <w:color w:val="auto"/>
        </w:rPr>
        <w:t>Customer shall indemnify, defend and hold</w:t>
      </w:r>
    </w:p>
    <w:p>
      <w:pPr>
        <w:spacing w:after="0" w:line="26" w:lineRule="exact"/>
        <w:rPr>
          <w:sz w:val="20"/>
          <w:szCs w:val="20"/>
          <w:color w:val="auto"/>
        </w:rPr>
      </w:pPr>
    </w:p>
    <w:p>
      <w:pPr>
        <w:ind w:left="660" w:right="139"/>
        <w:spacing w:after="0" w:line="253" w:lineRule="auto"/>
        <w:rPr>
          <w:sz w:val="20"/>
          <w:szCs w:val="20"/>
          <w:color w:val="auto"/>
        </w:rPr>
      </w:pPr>
      <w:r>
        <w:rPr>
          <w:rFonts w:ascii="Times New Roman" w:cs="Times New Roman" w:eastAsia="Times New Roman" w:hAnsi="Times New Roman"/>
          <w:sz w:val="19"/>
          <w:szCs w:val="19"/>
          <w:color w:val="auto"/>
        </w:rPr>
        <w:t>harmless Galileo and its directors, officers, employees, agents and Affiliates from and against any and all third party claims, liabilities, losses and damages (including reasonable attorney fees, expert witness fees, expenses and costs of settlement) arising out of or with respect to this Agreement, to the extent that the claim, liability, loss or damage is caused by, relates to or arises out of (i) the breach by Customer of any of its duties, obligations, representations or warranties under this Agreement, or (ii) the relationship between Customer and the Cardholders; provided, however, that such indemnification obligations shall not apply to the extent such third party claims, liabilities, losses or damages are caused by, relate to, or arise out of Galileo’s gross negligence or willful misconduct. With respect to such indemnity, Customer shall control the defense and settlement of any claim, action, suit or controversy with counsel selected by Customer and approved by Galileo (such approval not to be unreasonably withheld, condition or delayed); provided, however, Customer shall not control such claim’s defense and settlement to the extent Customer fails at any time to provide evidence satisfactory to Galileo of Customer’s financial capability to defend such claim and satisfy any settlement consistent with its indemnification obligations. Further, Customer shall not, without Galileo’s prior written consent, enter into a settlement that imposes any noneconomic obligations on, that admits the liability of, reasonably can be expected to require a material affirmative obligation of, result in any ongoing material obligation to, or materially prejudice or detrimentally impact, Galileo.</w:t>
      </w:r>
    </w:p>
    <w:p>
      <w:pPr>
        <w:spacing w:after="0" w:line="191" w:lineRule="exact"/>
        <w:rPr>
          <w:sz w:val="20"/>
          <w:szCs w:val="20"/>
          <w:color w:val="auto"/>
        </w:rPr>
      </w:pPr>
    </w:p>
    <w:p>
      <w:pPr>
        <w:ind w:left="660" w:right="119" w:firstLine="466"/>
        <w:spacing w:after="0" w:line="242" w:lineRule="auto"/>
        <w:tabs>
          <w:tab w:leader="none" w:pos="140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Galileo’s Indemnification. </w:t>
      </w:r>
      <w:r>
        <w:rPr>
          <w:rFonts w:ascii="Times New Roman" w:cs="Times New Roman" w:eastAsia="Times New Roman" w:hAnsi="Times New Roman"/>
          <w:sz w:val="20"/>
          <w:szCs w:val="20"/>
          <w:color w:val="auto"/>
        </w:rPr>
        <w:t>Galileo shall indemnify and hold harmless Customer and its directors,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agents and Affiliates from and against any and all third party claims, liabilities, losses or damages (including reasonable attorney fees, expert witness fees, expenses and costs of settlement) arising out of or with respect to this Agreement to the extent that the claim, liability, loss or damage is caused by, relates to or arises out of the breach by Galileo of any of its duties, obligations, representations or warranties under this Agreement; provided, however, that such indemnification obligations shall not apply to the extent such third party claims, liabilities, losses or damages are caused by, relate to, or arise out of Customer’s gross negligence or willful misconduct. With respect to such indemnity, Galileo shall control the defense and settlement of any claim, action, suit or controversy with counsel selected by Galileo and approved by Customer (such approval not to be unreasonably withheld, condition or delayed); provided, however, Galileo shall not control such claim’s defense and settlement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878840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3" w:right="1440" w:bottom="1440" w:gutter="0" w:footer="0" w:header="0"/>
        </w:sectPr>
      </w:pPr>
    </w:p>
    <w:bookmarkStart w:id="127" w:name="page128"/>
    <w:bookmarkEnd w:id="127"/>
    <w:p>
      <w:pPr>
        <w:ind w:left="663" w:right="199"/>
        <w:spacing w:after="0" w:line="246" w:lineRule="auto"/>
        <w:rPr>
          <w:sz w:val="20"/>
          <w:szCs w:val="20"/>
          <w:color w:val="auto"/>
        </w:rPr>
      </w:pPr>
      <w:r>
        <w:rPr>
          <w:rFonts w:ascii="Times New Roman" w:cs="Times New Roman" w:eastAsia="Times New Roman" w:hAnsi="Times New Roman"/>
          <w:sz w:val="20"/>
          <w:szCs w:val="20"/>
          <w:color w:val="auto"/>
        </w:rPr>
        <w:t>the extent Galileo fails at any time to provide evidence satisfactory to Customer of Galileo’s financial capability to defend such claim and satisfy any settlement consistent with its indemnification obligations. Further, Galileo shall not, without Customer’s prior written consent, enter into a settlement that imposes any noneconomic obligations on, that admits the liability of, reasonably can be expected to require a material affirmative obligation of, result in any ongoing material obligation to, or materially prejudice or detrimentally impact, Customer.</w:t>
      </w:r>
    </w:p>
    <w:p>
      <w:pPr>
        <w:spacing w:after="0" w:line="194" w:lineRule="exact"/>
        <w:rPr>
          <w:sz w:val="20"/>
          <w:szCs w:val="20"/>
          <w:color w:val="auto"/>
        </w:rPr>
      </w:pPr>
    </w:p>
    <w:p>
      <w:pPr>
        <w:ind w:left="383" w:hanging="383"/>
        <w:spacing w:after="0"/>
        <w:tabs>
          <w:tab w:leader="none" w:pos="383"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Liability</w:t>
      </w:r>
    </w:p>
    <w:p>
      <w:pPr>
        <w:spacing w:after="0" w:line="216" w:lineRule="exact"/>
        <w:rPr>
          <w:sz w:val="20"/>
          <w:szCs w:val="20"/>
          <w:color w:val="auto"/>
        </w:rPr>
      </w:pPr>
    </w:p>
    <w:p>
      <w:pPr>
        <w:ind w:left="663" w:right="15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6.1 Limitation of Liability. </w:t>
      </w:r>
      <w:r>
        <w:rPr>
          <w:rFonts w:ascii="Times New Roman" w:cs="Times New Roman" w:eastAsia="Times New Roman" w:hAnsi="Times New Roman"/>
          <w:sz w:val="20"/>
          <w:szCs w:val="20"/>
          <w:color w:val="auto"/>
        </w:rPr>
        <w:t>Notwithstanding anything in this Agreement to the contrary, and except for willful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misconduct, gross negligence, and fraud, either party’s cumulative liability for any loss or damage, direct or indirect, for any cause whatsoever (including, but not limited to those arising out of or related to this Agreement) with respect to claims (whether third party claims, indemnity claims or otherwise) relating to events in any one Processing Year shall not under any circumstances exceed the amount of [**] of the Processing Fees paid to Galileo pursuant to this Agreement for Services performed in the immediately preceding Processing Year, or, in the case of Processing Year 1, [**] of the total Processing Fees collected as of the date such claim is made.</w:t>
      </w:r>
    </w:p>
    <w:p>
      <w:pPr>
        <w:spacing w:after="0" w:line="193" w:lineRule="exact"/>
        <w:rPr>
          <w:sz w:val="20"/>
          <w:szCs w:val="20"/>
          <w:color w:val="auto"/>
        </w:rPr>
      </w:pPr>
    </w:p>
    <w:p>
      <w:pPr>
        <w:ind w:left="663" w:right="43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6.2 No Special Damages. </w:t>
      </w:r>
      <w:r>
        <w:rPr>
          <w:rFonts w:ascii="Times New Roman" w:cs="Times New Roman" w:eastAsia="Times New Roman" w:hAnsi="Times New Roman"/>
          <w:sz w:val="20"/>
          <w:szCs w:val="20"/>
          <w:color w:val="auto"/>
        </w:rPr>
        <w:t>IN NO EVENT SHALL GALILEO OR CUSTOMER BE LIABLE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THEORY FOR ANY LOST PROFITS, EXEMPLARY, PUNITIVE, SPECIAL, INCIDENTAL, INDIRECT OR CONSEQUENTIAL DAMAGES.</w:t>
      </w:r>
    </w:p>
    <w:p>
      <w:pPr>
        <w:spacing w:after="0" w:line="182" w:lineRule="exact"/>
        <w:rPr>
          <w:sz w:val="20"/>
          <w:szCs w:val="20"/>
          <w:color w:val="auto"/>
        </w:rPr>
      </w:pPr>
    </w:p>
    <w:p>
      <w:pPr>
        <w:ind w:left="663" w:right="239" w:hanging="656"/>
        <w:spacing w:after="0" w:line="247" w:lineRule="auto"/>
        <w:tabs>
          <w:tab w:leader="none" w:pos="404"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Disclaimer. </w:t>
      </w:r>
      <w:r>
        <w:rPr>
          <w:rFonts w:ascii="Times New Roman" w:cs="Times New Roman" w:eastAsia="Times New Roman" w:hAnsi="Times New Roman"/>
          <w:sz w:val="20"/>
          <w:szCs w:val="20"/>
          <w:color w:val="auto"/>
        </w:rPr>
        <w:t>EXCEPT AS SPECIFICALLY SET FORTH IN THIS AGREEMENT, GALILEO SPECIFICALLY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DISCLAIMS ALL WARRANTIES OF ANY KIND, EXPRESS OR IMPLIED, INCLUDING WARRANTIES OF MERCHANTABILITY, ARISING OUT OF OR RELATED TO THIS AGREEMENT. THIS AGREEMENT IS A SERVICE AGREEMENT AND THE PROVISIONS OF THE UNIFORM COMMERCIAL CODE SHALL NOT APPLY TO IT.</w:t>
      </w:r>
    </w:p>
    <w:p>
      <w:pPr>
        <w:spacing w:after="0" w:line="193" w:lineRule="exact"/>
        <w:rPr>
          <w:rFonts w:ascii="Times New Roman" w:cs="Times New Roman" w:eastAsia="Times New Roman" w:hAnsi="Times New Roman"/>
          <w:sz w:val="20"/>
          <w:szCs w:val="20"/>
          <w:b w:val="1"/>
          <w:bCs w:val="1"/>
          <w:color w:val="auto"/>
        </w:rPr>
      </w:pPr>
    </w:p>
    <w:p>
      <w:pPr>
        <w:ind w:left="583" w:hanging="583"/>
        <w:spacing w:after="0"/>
        <w:tabs>
          <w:tab w:leader="none" w:pos="583"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of Agreement</w:t>
      </w:r>
    </w:p>
    <w:p>
      <w:pPr>
        <w:spacing w:after="0" w:line="216" w:lineRule="exact"/>
        <w:rPr>
          <w:sz w:val="20"/>
          <w:szCs w:val="20"/>
          <w:color w:val="auto"/>
        </w:rPr>
      </w:pPr>
    </w:p>
    <w:p>
      <w:pPr>
        <w:ind w:left="663" w:right="11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8.1 Term. </w:t>
      </w:r>
      <w:r>
        <w:rPr>
          <w:rFonts w:ascii="Times New Roman" w:cs="Times New Roman" w:eastAsia="Times New Roman" w:hAnsi="Times New Roman"/>
          <w:sz w:val="20"/>
          <w:szCs w:val="20"/>
          <w:color w:val="auto"/>
        </w:rPr>
        <w:t>This Agreement is effective from the Effective Date and shall extend for four (4) Processing Years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Term”). “Processing Year 1” begins on Startup and ends 12 months thereafter. For purposes of this Agreement, each subsequent “Processing Year” means each twelve (12) month period commencing on the expiration of the previous Processing Year in which Services are performed.</w:t>
      </w:r>
    </w:p>
    <w:p>
      <w:pPr>
        <w:spacing w:after="0" w:line="189"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20"/>
          <w:szCs w:val="20"/>
          <w:b w:val="1"/>
          <w:bCs w:val="1"/>
          <w:color w:val="auto"/>
        </w:rPr>
        <w:t xml:space="preserve">8.2 Renewal After the Original Term. </w:t>
      </w:r>
      <w:r>
        <w:rPr>
          <w:rFonts w:ascii="Times New Roman" w:cs="Times New Roman" w:eastAsia="Times New Roman" w:hAnsi="Times New Roman"/>
          <w:sz w:val="20"/>
          <w:szCs w:val="20"/>
          <w:color w:val="auto"/>
        </w:rPr>
        <w:t>This Agreement shall automatically renew for consecutive periods of one</w:t>
      </w:r>
    </w:p>
    <w:p>
      <w:pPr>
        <w:spacing w:after="0" w:line="26" w:lineRule="exact"/>
        <w:rPr>
          <w:sz w:val="20"/>
          <w:szCs w:val="20"/>
          <w:color w:val="auto"/>
        </w:rPr>
      </w:pPr>
    </w:p>
    <w:p>
      <w:pPr>
        <w:ind w:left="663" w:right="219" w:hanging="3"/>
        <w:spacing w:after="0" w:line="242" w:lineRule="auto"/>
        <w:tabs>
          <w:tab w:leader="none" w:pos="943"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Processing Year (each a “Renewal Term” and together with the Original Term, the “Term”), unless either party provides the other party written notice of its intent not to renew this Agreement at least four (4) months prior to the termination date of the Original Term or a Renewal Term.</w:t>
      </w:r>
    </w:p>
    <w:p>
      <w:pPr>
        <w:spacing w:after="0" w:line="196" w:lineRule="exact"/>
        <w:rPr>
          <w:rFonts w:ascii="Times New Roman" w:cs="Times New Roman" w:eastAsia="Times New Roman" w:hAnsi="Times New Roman"/>
          <w:sz w:val="20"/>
          <w:szCs w:val="20"/>
          <w:color w:val="auto"/>
        </w:rPr>
      </w:pPr>
    </w:p>
    <w:p>
      <w:pPr>
        <w:ind w:left="383" w:hanging="383"/>
        <w:spacing w:after="0"/>
        <w:tabs>
          <w:tab w:leader="none" w:pos="383"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Termination</w:t>
      </w:r>
    </w:p>
    <w:p>
      <w:pPr>
        <w:spacing w:after="0" w:line="216" w:lineRule="exact"/>
        <w:rPr>
          <w:sz w:val="20"/>
          <w:szCs w:val="20"/>
          <w:color w:val="auto"/>
        </w:rPr>
      </w:pPr>
    </w:p>
    <w:p>
      <w:pPr>
        <w:ind w:left="663"/>
        <w:spacing w:after="0"/>
        <w:rPr>
          <w:sz w:val="20"/>
          <w:szCs w:val="20"/>
          <w:color w:val="auto"/>
        </w:rPr>
      </w:pPr>
      <w:r>
        <w:rPr>
          <w:rFonts w:ascii="Times New Roman" w:cs="Times New Roman" w:eastAsia="Times New Roman" w:hAnsi="Times New Roman"/>
          <w:sz w:val="20"/>
          <w:szCs w:val="20"/>
          <w:b w:val="1"/>
          <w:bCs w:val="1"/>
          <w:color w:val="auto"/>
        </w:rPr>
        <w:t xml:space="preserve">9.1 Termination by Galileo. </w:t>
      </w:r>
      <w:r>
        <w:rPr>
          <w:rFonts w:ascii="Times New Roman" w:cs="Times New Roman" w:eastAsia="Times New Roman" w:hAnsi="Times New Roman"/>
          <w:sz w:val="20"/>
          <w:szCs w:val="20"/>
          <w:color w:val="auto"/>
        </w:rPr>
        <w:t>Galileo may terminate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895350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2"/>
          </w:cols>
          <w:pgMar w:left="417" w:top="1413" w:right="1440" w:bottom="1440" w:gutter="0" w:footer="0" w:header="0"/>
        </w:sectPr>
      </w:pPr>
    </w:p>
    <w:bookmarkStart w:id="128" w:name="page129"/>
    <w:bookmarkEnd w:id="128"/>
    <w:p>
      <w:pPr>
        <w:spacing w:after="0" w:line="203" w:lineRule="exact"/>
        <w:rPr>
          <w:sz w:val="20"/>
          <w:szCs w:val="20"/>
          <w:color w:val="auto"/>
        </w:rPr>
      </w:pPr>
    </w:p>
    <w:p>
      <w:pPr>
        <w:jc w:val="both"/>
        <w:ind w:right="199" w:firstLine="745"/>
        <w:spacing w:after="0" w:line="249" w:lineRule="auto"/>
        <w:tabs>
          <w:tab w:leader="none" w:pos="1018"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Section 4.8, if Galileo fails to receive payment from Customer pursuant to the provisions of Section 4.4 of this Agreement and Customer, within five (5) business days after written notice still has not made such payment to Galileo, or immediately without notice if Galileo has the right more than four times in any twelve month period to give such notice under this paragraph whether or not the notice is given;</w:t>
      </w:r>
    </w:p>
    <w:p>
      <w:pPr>
        <w:spacing w:after="0" w:line="193" w:lineRule="exact"/>
        <w:rPr>
          <w:rFonts w:ascii="Times New Roman" w:cs="Times New Roman" w:eastAsia="Times New Roman" w:hAnsi="Times New Roman"/>
          <w:sz w:val="20"/>
          <w:szCs w:val="20"/>
          <w:color w:val="auto"/>
        </w:rPr>
      </w:pPr>
    </w:p>
    <w:p>
      <w:pPr>
        <w:ind w:left="1020" w:hanging="273"/>
        <w:spacing w:after="0"/>
        <w:tabs>
          <w:tab w:leader="none" w:pos="10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Insolvency Event occurs with respect to Customer;</w:t>
      </w:r>
    </w:p>
    <w:p>
      <w:pPr>
        <w:spacing w:after="0" w:line="229" w:lineRule="exact"/>
        <w:rPr>
          <w:rFonts w:ascii="Times New Roman" w:cs="Times New Roman" w:eastAsia="Times New Roman" w:hAnsi="Times New Roman"/>
          <w:sz w:val="20"/>
          <w:szCs w:val="20"/>
          <w:color w:val="auto"/>
        </w:rPr>
      </w:pPr>
    </w:p>
    <w:p>
      <w:pPr>
        <w:ind w:left="100" w:right="159" w:firstLine="647"/>
        <w:spacing w:after="0" w:line="249" w:lineRule="auto"/>
        <w:tabs>
          <w:tab w:leader="none" w:pos="102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representation or warranty of Customer is inaccurate in any material respect or Customer materially breaches any of its duties or obligations contained in this Agreement, and fails to cure within fifteen (15) days after notice thereof by Galileo, or such shorter period as may be required by a Legal Requirement or by the applicable Association; or</w:t>
      </w:r>
    </w:p>
    <w:p>
      <w:pPr>
        <w:spacing w:after="0" w:line="193" w:lineRule="exact"/>
        <w:rPr>
          <w:rFonts w:ascii="Times New Roman" w:cs="Times New Roman" w:eastAsia="Times New Roman" w:hAnsi="Times New Roman"/>
          <w:sz w:val="20"/>
          <w:szCs w:val="20"/>
          <w:color w:val="auto"/>
        </w:rPr>
      </w:pPr>
    </w:p>
    <w:p>
      <w:pPr>
        <w:ind w:left="1020" w:hanging="273"/>
        <w:spacing w:after="0"/>
        <w:tabs>
          <w:tab w:leader="none" w:pos="102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Section 4.7, the sale or disposition of Former</w:t>
      </w:r>
    </w:p>
    <w:p>
      <w:pPr>
        <w:spacing w:after="0" w:line="22" w:lineRule="exact"/>
        <w:rPr>
          <w:sz w:val="20"/>
          <w:szCs w:val="20"/>
          <w:color w:val="auto"/>
        </w:rPr>
      </w:pPr>
    </w:p>
    <w:p>
      <w:pPr>
        <w:ind w:right="179"/>
        <w:spacing w:after="0" w:line="242" w:lineRule="auto"/>
        <w:rPr>
          <w:sz w:val="20"/>
          <w:szCs w:val="20"/>
          <w:color w:val="auto"/>
        </w:rPr>
      </w:pPr>
      <w:r>
        <w:rPr>
          <w:rFonts w:ascii="Times New Roman" w:cs="Times New Roman" w:eastAsia="Times New Roman" w:hAnsi="Times New Roman"/>
          <w:sz w:val="20"/>
          <w:szCs w:val="20"/>
          <w:color w:val="auto"/>
        </w:rPr>
        <w:t>Accounts as provided in Section 3.3 of this Agreement. The rights of Galileo to terminate under this Section 9.1 are cumulative and the existence of the right under any provision or subsection is not exclusive of the right under any other provision or subsection.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9.2 Termination by Customer. </w:t>
      </w:r>
      <w:r>
        <w:rPr>
          <w:rFonts w:ascii="Times New Roman" w:cs="Times New Roman" w:eastAsia="Times New Roman" w:hAnsi="Times New Roman"/>
          <w:sz w:val="20"/>
          <w:szCs w:val="20"/>
          <w:color w:val="auto"/>
        </w:rPr>
        <w:t>Customer may terminate this Agreement:</w:t>
      </w:r>
    </w:p>
    <w:p>
      <w:pPr>
        <w:spacing w:after="0" w:line="233" w:lineRule="exact"/>
        <w:rPr>
          <w:sz w:val="20"/>
          <w:szCs w:val="20"/>
          <w:color w:val="auto"/>
        </w:rPr>
      </w:pPr>
    </w:p>
    <w:p>
      <w:pPr>
        <w:ind w:left="1220" w:hanging="475"/>
        <w:spacing w:after="0"/>
        <w:tabs>
          <w:tab w:leader="none" w:pos="122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Insolvency Event occurs with respect to Galileo;</w:t>
      </w:r>
    </w:p>
    <w:p>
      <w:pPr>
        <w:spacing w:after="0" w:line="229" w:lineRule="exact"/>
        <w:rPr>
          <w:sz w:val="20"/>
          <w:szCs w:val="20"/>
          <w:color w:val="auto"/>
        </w:rPr>
      </w:pPr>
    </w:p>
    <w:p>
      <w:pPr>
        <w:ind w:left="740"/>
        <w:spacing w:after="0"/>
        <w:tabs>
          <w:tab w:leader="none" w:pos="1200" w:val="left"/>
          <w:tab w:leader="none" w:pos="7460" w:val="left"/>
        </w:tabs>
        <w:rPr>
          <w:sz w:val="20"/>
          <w:szCs w:val="20"/>
          <w:color w:val="auto"/>
        </w:rPr>
      </w:pPr>
      <w:r>
        <w:rPr>
          <w:rFonts w:ascii="Times New Roman" w:cs="Times New Roman" w:eastAsia="Times New Roman" w:hAnsi="Times New Roman"/>
          <w:sz w:val="20"/>
          <w:szCs w:val="20"/>
          <w:color w:val="auto"/>
        </w:rPr>
        <w:t>(b)</w:t>
        <w:tab/>
        <w:t>if any Termination Event occurs as set forth in Section 2.4 of</w:t>
      </w:r>
      <w:r>
        <w:rPr>
          <w:sz w:val="20"/>
          <w:szCs w:val="20"/>
          <w:color w:val="auto"/>
        </w:rPr>
        <w:tab/>
      </w:r>
      <w:r>
        <w:rPr>
          <w:rFonts w:ascii="Times New Roman" w:cs="Times New Roman" w:eastAsia="Times New Roman" w:hAnsi="Times New Roman"/>
          <w:sz w:val="19"/>
          <w:szCs w:val="19"/>
          <w:color w:val="auto"/>
        </w:rPr>
        <w:t>Exhibit B;</w:t>
      </w:r>
    </w:p>
    <w:p>
      <w:pPr>
        <w:spacing w:after="0" w:line="216" w:lineRule="exact"/>
        <w:rPr>
          <w:sz w:val="20"/>
          <w:szCs w:val="20"/>
          <w:color w:val="auto"/>
        </w:rPr>
      </w:pPr>
    </w:p>
    <w:p>
      <w:pPr>
        <w:ind w:left="740" w:right="239" w:firstLine="5"/>
        <w:spacing w:after="0" w:line="295" w:lineRule="auto"/>
        <w:tabs>
          <w:tab w:leader="none" w:pos="1212"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reason, by providing Galileo one-hundred twenty (120) days’ notice specifically referencing this Section 9.2(c) and including with such notice the payment specified in Section 9.4 below;</w:t>
      </w:r>
    </w:p>
    <w:p>
      <w:pPr>
        <w:spacing w:after="0" w:line="137" w:lineRule="exact"/>
        <w:rPr>
          <w:rFonts w:ascii="Times New Roman" w:cs="Times New Roman" w:eastAsia="Times New Roman" w:hAnsi="Times New Roman"/>
          <w:sz w:val="19"/>
          <w:szCs w:val="19"/>
          <w:color w:val="auto"/>
        </w:rPr>
      </w:pPr>
    </w:p>
    <w:p>
      <w:pPr>
        <w:ind w:left="1400" w:right="559" w:hanging="655"/>
        <w:spacing w:after="0" w:line="249" w:lineRule="auto"/>
        <w:tabs>
          <w:tab w:leader="none" w:pos="14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any representation or warranty of Galileo is inaccurate in any material respect or Galileo materially breaches any of its duties or obligations contained in this Agreement, and Galileo fails to cure within fifteen (15) days after notice thereof by Customer, or such shorter period as may be required by applicable laws; or</w:t>
      </w:r>
    </w:p>
    <w:p>
      <w:pPr>
        <w:spacing w:after="0" w:line="193" w:lineRule="exact"/>
        <w:rPr>
          <w:rFonts w:ascii="Times New Roman" w:cs="Times New Roman" w:eastAsia="Times New Roman" w:hAnsi="Times New Roman"/>
          <w:sz w:val="20"/>
          <w:szCs w:val="20"/>
          <w:color w:val="auto"/>
        </w:rPr>
      </w:pPr>
    </w:p>
    <w:p>
      <w:pPr>
        <w:ind w:left="1400" w:right="139" w:hanging="655"/>
        <w:spacing w:after="0" w:line="246" w:lineRule="auto"/>
        <w:tabs>
          <w:tab w:leader="none" w:pos="140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Customer provides notice to Galileo within sixty (60) days after receiving notice from Galileo of a Change of Control of Galileo. If Customer fails to provide such notice to Galileo, the termination right under this Section shall be of no further force or effect. The rights of Customer to terminate under this Section 9.2 are cumulative and the existence of the right under any provision or subsection is not exclusive of the right under any other provision or subsection.</w:t>
      </w:r>
    </w:p>
    <w:p>
      <w:pPr>
        <w:spacing w:after="0" w:line="194" w:lineRule="exact"/>
        <w:rPr>
          <w:sz w:val="20"/>
          <w:szCs w:val="20"/>
          <w:color w:val="auto"/>
        </w:rPr>
      </w:pPr>
    </w:p>
    <w:p>
      <w:pPr>
        <w:ind w:right="9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9.3Effect of Termination. </w:t>
      </w:r>
      <w:r>
        <w:rPr>
          <w:rFonts w:ascii="Times New Roman" w:cs="Times New Roman" w:eastAsia="Times New Roman" w:hAnsi="Times New Roman"/>
          <w:sz w:val="20"/>
          <w:szCs w:val="20"/>
          <w:color w:val="auto"/>
        </w:rPr>
        <w:t>Upon expiration or termination of this Agreement, Galileo shall have no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 to provide the Services to Customer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855345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40" w:right="1440" w:bottom="1440" w:gutter="0" w:footer="0" w:header="0"/>
        </w:sectPr>
      </w:pPr>
    </w:p>
    <w:bookmarkStart w:id="129" w:name="page130"/>
    <w:bookmarkEnd w:id="129"/>
    <w:p>
      <w:pPr>
        <w:ind w:left="992"/>
        <w:spacing w:after="0"/>
        <w:rPr>
          <w:sz w:val="20"/>
          <w:szCs w:val="20"/>
          <w:color w:val="auto"/>
        </w:rPr>
      </w:pPr>
      <w:r>
        <w:rPr>
          <w:rFonts w:ascii="Times New Roman" w:cs="Times New Roman" w:eastAsia="Times New Roman" w:hAnsi="Times New Roman"/>
          <w:sz w:val="20"/>
          <w:szCs w:val="20"/>
          <w:color w:val="auto"/>
        </w:rPr>
        <w:t>Bank and all outstanding unpaid amounts due and owing to Galileo shall become immediately due and payable.</w:t>
      </w:r>
    </w:p>
    <w:p>
      <w:pPr>
        <w:spacing w:after="0" w:line="22"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color w:val="auto"/>
        </w:rPr>
        <w:t>Expiration or termination of this Agreement shall not affect the following:</w:t>
      </w:r>
    </w:p>
    <w:p>
      <w:pPr>
        <w:spacing w:after="0" w:line="194" w:lineRule="exact"/>
        <w:rPr>
          <w:sz w:val="20"/>
          <w:szCs w:val="20"/>
          <w:color w:val="auto"/>
        </w:rPr>
      </w:pPr>
    </w:p>
    <w:p>
      <w:pPr>
        <w:jc w:val="both"/>
        <w:ind w:left="752" w:right="419" w:firstLine="745"/>
        <w:spacing w:after="0" w:line="254" w:lineRule="auto"/>
        <w:tabs>
          <w:tab w:leader="none" w:pos="177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Customer to pay for Services rendered or any other obligation or liability owing or which becomes owing under this Agreement whether the obligations arise prior to or after the date of termination including the obligations to make the payments provided in Sections 4 and 9.4; or</w:t>
      </w:r>
    </w:p>
    <w:p>
      <w:pPr>
        <w:spacing w:after="0" w:line="187" w:lineRule="exact"/>
        <w:rPr>
          <w:rFonts w:ascii="Times New Roman" w:cs="Times New Roman" w:eastAsia="Times New Roman" w:hAnsi="Times New Roman"/>
          <w:sz w:val="20"/>
          <w:szCs w:val="20"/>
          <w:color w:val="auto"/>
        </w:rPr>
      </w:pPr>
    </w:p>
    <w:p>
      <w:pPr>
        <w:ind w:left="1772" w:hanging="273"/>
        <w:spacing w:after="0"/>
        <w:tabs>
          <w:tab w:leader="none" w:pos="1772"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Sections 4.7, 5, 6, 7, 10 and 12.4.</w:t>
      </w:r>
    </w:p>
    <w:p>
      <w:pPr>
        <w:spacing w:after="0" w:line="22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20"/>
          <w:szCs w:val="20"/>
          <w:b w:val="1"/>
          <w:bCs w:val="1"/>
          <w:color w:val="auto"/>
        </w:rPr>
        <w:t>9.4 Payment on Termination.</w:t>
      </w:r>
    </w:p>
    <w:p>
      <w:pPr>
        <w:spacing w:after="0" w:line="233" w:lineRule="exact"/>
        <w:rPr>
          <w:sz w:val="20"/>
          <w:szCs w:val="20"/>
          <w:color w:val="auto"/>
        </w:rPr>
      </w:pPr>
    </w:p>
    <w:p>
      <w:pPr>
        <w:ind w:left="852" w:right="119" w:firstLine="647"/>
        <w:spacing w:after="0" w:line="245" w:lineRule="auto"/>
        <w:tabs>
          <w:tab w:leader="none" w:pos="1777"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Galileo terminates this Agreement pursuant to Section 9.1(a) – (c), or if Customer terminates pursuant to Section 9.2(c), Customer and Galileo agree that, based on economic assumptions material to each party, Customer shall make a compensatory payment to Galileo. Such compensatory payment shall be made by Customer upon termination by Galileo, and prior to Deconversion, and shall equal [**]. For the avoidance of doubt, Customer shall not be required to make the compensatory payments to Galileo set forth in this Section 9.4(a) in the event that Customer terminates this Agreement pursuant to Section 9.2.</w:t>
      </w:r>
    </w:p>
    <w:p>
      <w:pPr>
        <w:spacing w:after="0" w:line="197" w:lineRule="exact"/>
        <w:rPr>
          <w:rFonts w:ascii="Times New Roman" w:cs="Times New Roman" w:eastAsia="Times New Roman" w:hAnsi="Times New Roman"/>
          <w:sz w:val="20"/>
          <w:szCs w:val="20"/>
          <w:color w:val="auto"/>
        </w:rPr>
      </w:pPr>
    </w:p>
    <w:p>
      <w:pPr>
        <w:ind w:left="1772" w:hanging="273"/>
        <w:spacing w:after="0"/>
        <w:tabs>
          <w:tab w:leader="none" w:pos="1772"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Galileo and Customer agree that the compensatory payments set forth in</w:t>
      </w:r>
    </w:p>
    <w:p>
      <w:pPr>
        <w:spacing w:after="0" w:line="22" w:lineRule="exact"/>
        <w:rPr>
          <w:sz w:val="20"/>
          <w:szCs w:val="20"/>
          <w:color w:val="auto"/>
        </w:rPr>
      </w:pPr>
    </w:p>
    <w:p>
      <w:pPr>
        <w:ind w:left="752" w:right="139"/>
        <w:spacing w:after="0"/>
        <w:rPr>
          <w:sz w:val="20"/>
          <w:szCs w:val="20"/>
          <w:color w:val="auto"/>
        </w:rPr>
      </w:pPr>
      <w:r>
        <w:rPr>
          <w:rFonts w:ascii="Times New Roman" w:cs="Times New Roman" w:eastAsia="Times New Roman" w:hAnsi="Times New Roman"/>
          <w:sz w:val="20"/>
          <w:szCs w:val="20"/>
          <w:color w:val="auto"/>
        </w:rPr>
        <w:t>Section 9.4(a) are a reasonable estimation, as of the date of this Agreement, of the actual damages which Galileo would suffer if Galileo were to fail to receive the processing business for the full Term. In making such determination, the parties have considered all relevant factors known to the parties as of the date hereof and have given special consideration to the particular circumstances which may attend each particular termination event including the allocation of risks associated therewith between the parties. If not but for the full consideration of all relevant factors known to the parties as of the date hereof, and the payments to be made pursuant to this Section 9.4, neither party would have been willing to enter into this Agreement.</w:t>
      </w:r>
    </w:p>
    <w:p>
      <w:pPr>
        <w:spacing w:after="0" w:line="204" w:lineRule="exact"/>
        <w:rPr>
          <w:sz w:val="20"/>
          <w:szCs w:val="20"/>
          <w:color w:val="auto"/>
        </w:rPr>
      </w:pPr>
    </w:p>
    <w:p>
      <w:pPr>
        <w:ind w:left="852" w:right="539" w:firstLine="647"/>
        <w:spacing w:after="0" w:line="269" w:lineRule="auto"/>
        <w:tabs>
          <w:tab w:leader="none" w:pos="1777"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Despite the foregoing, nothing in this Section 9.4 shall limit either party’s right to recover from the other party any amounts for which the other party is otherwise liable under this Agreement.</w:t>
      </w:r>
    </w:p>
    <w:p>
      <w:pPr>
        <w:spacing w:after="0" w:line="168" w:lineRule="exact"/>
        <w:rPr>
          <w:rFonts w:ascii="Times New Roman" w:cs="Times New Roman" w:eastAsia="Times New Roman" w:hAnsi="Times New Roman"/>
          <w:sz w:val="20"/>
          <w:szCs w:val="20"/>
          <w:color w:val="auto"/>
        </w:rPr>
      </w:pPr>
    </w:p>
    <w:p>
      <w:pPr>
        <w:ind w:left="672" w:hanging="672"/>
        <w:spacing w:after="0"/>
        <w:tabs>
          <w:tab w:leader="none" w:pos="672"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 Information</w:t>
      </w:r>
    </w:p>
    <w:p>
      <w:pPr>
        <w:spacing w:after="0" w:line="216" w:lineRule="exact"/>
        <w:rPr>
          <w:sz w:val="20"/>
          <w:szCs w:val="20"/>
          <w:color w:val="auto"/>
        </w:rPr>
      </w:pPr>
    </w:p>
    <w:p>
      <w:pPr>
        <w:ind w:left="752" w:right="17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10.1 Customer’s Proprietary Information. </w:t>
      </w:r>
      <w:r>
        <w:rPr>
          <w:rFonts w:ascii="Times New Roman" w:cs="Times New Roman" w:eastAsia="Times New Roman" w:hAnsi="Times New Roman"/>
          <w:sz w:val="20"/>
          <w:szCs w:val="20"/>
          <w:color w:val="auto"/>
        </w:rPr>
        <w:t>Galileo acknowledges that all products and systems provided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Galileo by Customer exclusively developed by Customer, including any developments, improvements or modifications, shall remain solely and exclusively the property of Customer. Throughout the Term of this Agreement and thereafter, Galileo shall not obtain any proprietary rights in any proprietary or confidential information which has been or is disclosed to Galileo by Customer, including without limitation, any data or information that is trade secret or competitively sensitive material; user manuals; screen displays and formats; computer software, systems, products, system architecture and documentation related to each of the foregoing, in each case, whether owned, licensed or otherwise provided or used by Customer; software performance results; flow charts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876935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413" w:right="1440" w:bottom="1440" w:gutter="0" w:footer="0" w:header="0"/>
        </w:sectPr>
      </w:pPr>
    </w:p>
    <w:bookmarkStart w:id="130" w:name="page131"/>
    <w:bookmarkEnd w:id="130"/>
    <w:p>
      <w:pPr>
        <w:ind w:right="379"/>
        <w:spacing w:after="0" w:line="246" w:lineRule="auto"/>
        <w:rPr>
          <w:sz w:val="20"/>
          <w:szCs w:val="20"/>
          <w:color w:val="auto"/>
        </w:rPr>
      </w:pPr>
      <w:r>
        <w:rPr>
          <w:rFonts w:ascii="Times New Roman" w:cs="Times New Roman" w:eastAsia="Times New Roman" w:hAnsi="Times New Roman"/>
          <w:sz w:val="20"/>
          <w:szCs w:val="20"/>
          <w:color w:val="auto"/>
        </w:rPr>
        <w:t>specifications (whether or not electronically stored); data and data formats (collectively, “Customer’s Proprietary Information”); provided, however, that Customer Proprietary Information does not include Enhancements as defined in Section 2.5. Upon Customer’s request, Galileo shall return to Customer (upon the expiration or termination of all of Galileo’s obligations under this Agreement) all or any requested portion of Customer’s Proprietary Information.</w:t>
      </w:r>
    </w:p>
    <w:p>
      <w:pPr>
        <w:spacing w:after="0" w:line="194" w:lineRule="exact"/>
        <w:rPr>
          <w:sz w:val="20"/>
          <w:szCs w:val="20"/>
          <w:color w:val="auto"/>
        </w:rPr>
      </w:pPr>
    </w:p>
    <w:p>
      <w:pPr>
        <w:ind w:right="11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10.2 Galileo’s Proprietary Information. </w:t>
      </w:r>
      <w:r>
        <w:rPr>
          <w:rFonts w:ascii="Times New Roman" w:cs="Times New Roman" w:eastAsia="Times New Roman" w:hAnsi="Times New Roman"/>
          <w:sz w:val="20"/>
          <w:szCs w:val="20"/>
          <w:color w:val="auto"/>
        </w:rPr>
        <w:t>Customer acknowledges that all products and systems provided or used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Galileo, including any developments, Enhancements, improvements or modifications, shall remain solely and exclusively the property of Galileo. In addition, Galileo shall retain sole and exclusive ownership in all works of authorship, ideas, concepts, know-how and inventions, created or conceived by Galileo in the course of providing the Services under this Agreement. Customer acknowledges that Galileo, in its sole discretion, may provide to other customers, similar services to those outlined in this Agreement utilizing any of the Galileo owned intellectual property referenced in this Section 10.2 or otherwise set forth or referred to in this Agreement. Customer shall not obtain any proprietary rights in any proprietary or confidential information which has been or is disclosed to Customer by Galileo, including without limitation, any data or information that is trade secret or competitively sensitive material; user manuals; screen displays and formats; computer software, systems, products, system architecture and documentation related to each of the foregoing, in each case, whether owned, licensed or otherwise provided or used by Galileo; software performance results; flow charts and other specifications (whether or not electronically stored); data and data formats (collectively, “Galileo’s Proprietary Information”) whether any of the materials are developed or purchased specifically for performance of this Agreement or otherwise. Upon Galileo’s written request, Customer shall return to Galileo all of Galileo’s Proprietary Information upon the expiration or termination of this Agreement.</w:t>
      </w:r>
    </w:p>
    <w:p>
      <w:pPr>
        <w:spacing w:after="0" w:line="207" w:lineRule="exact"/>
        <w:rPr>
          <w:sz w:val="20"/>
          <w:szCs w:val="20"/>
          <w:color w:val="auto"/>
        </w:rPr>
      </w:pPr>
    </w:p>
    <w:p>
      <w:pPr>
        <w:jc w:val="both"/>
        <w:ind w:right="21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10.3Confidentiality of Agreement. </w:t>
      </w:r>
      <w:r>
        <w:rPr>
          <w:rFonts w:ascii="Times New Roman" w:cs="Times New Roman" w:eastAsia="Times New Roman" w:hAnsi="Times New Roman"/>
          <w:sz w:val="20"/>
          <w:szCs w:val="20"/>
          <w:color w:val="auto"/>
        </w:rPr>
        <w:t>Except as required by law each party shall keep confidential and not disclose,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shall cause its Affiliates and each of their respective directors, officers, employees, representatives, agents and independent contractors to keep confidential and not disclose, any of the terms and conditions of this Agreement to any third party without the prior written consent of the other party.</w:t>
      </w:r>
    </w:p>
    <w:p>
      <w:pPr>
        <w:spacing w:after="0" w:line="189" w:lineRule="exact"/>
        <w:rPr>
          <w:sz w:val="20"/>
          <w:szCs w:val="20"/>
          <w:color w:val="auto"/>
        </w:rPr>
      </w:pPr>
    </w:p>
    <w:p>
      <w:pPr>
        <w:jc w:val="both"/>
        <w:ind w:right="11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10.4Confidentiality. </w:t>
      </w:r>
      <w:r>
        <w:rPr>
          <w:rFonts w:ascii="Times New Roman" w:cs="Times New Roman" w:eastAsia="Times New Roman" w:hAnsi="Times New Roman"/>
          <w:sz w:val="20"/>
          <w:szCs w:val="20"/>
          <w:color w:val="auto"/>
        </w:rPr>
        <w:t>Galileo and Customer shall maintain Customer’s Proprietary Information and Galileo’s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Proprietary Information, respectively, in strict confidence. Without limiting the generality of the foregoing, Galileo and Customer each agree:</w:t>
      </w:r>
    </w:p>
    <w:p>
      <w:pPr>
        <w:spacing w:after="0" w:line="173" w:lineRule="exact"/>
        <w:rPr>
          <w:sz w:val="20"/>
          <w:szCs w:val="20"/>
          <w:color w:val="auto"/>
        </w:rPr>
      </w:pPr>
    </w:p>
    <w:p>
      <w:pPr>
        <w:ind w:right="399" w:firstLine="1547"/>
        <w:spacing w:after="0" w:line="246" w:lineRule="auto"/>
        <w:tabs>
          <w:tab w:leader="none" w:pos="1819"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disclose or permit any other person or Entity access to Customer’s Proprietary Information (including Customer account information) or Galileo’s Proprietary Information, as appropriate, except that the disclosure or access shall be permitted to an employee, officer, director, agent, representative, external or internal auditors or independent contractor of the party requiring access to the same in the course of his or her employment or services;</w:t>
      </w:r>
    </w:p>
    <w:p>
      <w:pPr>
        <w:spacing w:after="0" w:line="198" w:lineRule="exact"/>
        <w:rPr>
          <w:rFonts w:ascii="Times New Roman" w:cs="Times New Roman" w:eastAsia="Times New Roman" w:hAnsi="Times New Roman"/>
          <w:sz w:val="20"/>
          <w:szCs w:val="20"/>
          <w:color w:val="auto"/>
        </w:rPr>
      </w:pPr>
    </w:p>
    <w:p>
      <w:pPr>
        <w:ind w:left="1880" w:hanging="279"/>
        <w:spacing w:after="0"/>
        <w:tabs>
          <w:tab w:leader="none" w:pos="188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ensure that its employees, officers, directors, agents,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892810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131" w:name="page132"/>
    <w:bookmarkEnd w:id="131"/>
    <w:p>
      <w:pPr>
        <w:ind w:left="663" w:right="359"/>
        <w:spacing w:after="0" w:line="266" w:lineRule="auto"/>
        <w:rPr>
          <w:sz w:val="20"/>
          <w:szCs w:val="20"/>
          <w:color w:val="auto"/>
        </w:rPr>
      </w:pPr>
      <w:r>
        <w:rPr>
          <w:rFonts w:ascii="Times New Roman" w:cs="Times New Roman" w:eastAsia="Times New Roman" w:hAnsi="Times New Roman"/>
          <w:sz w:val="19"/>
          <w:szCs w:val="19"/>
          <w:color w:val="auto"/>
        </w:rPr>
        <w:t>and independent contractors are advised of the confidential nature of Customer’s Proprietary Information and Galileo’s Proprietary Information, as appropriate, and are precluded from taking any action prohibited under this Section 10, provided that in any event Customer and Galileo shall each be liable for any breach of this Section 10 by their respective employees, officers, directors, agents, representatives and independent contractors;</w:t>
      </w:r>
    </w:p>
    <w:p>
      <w:pPr>
        <w:spacing w:after="0" w:line="179" w:lineRule="exact"/>
        <w:rPr>
          <w:sz w:val="20"/>
          <w:szCs w:val="20"/>
          <w:color w:val="auto"/>
        </w:rPr>
      </w:pPr>
    </w:p>
    <w:p>
      <w:pPr>
        <w:ind w:left="663" w:right="359" w:firstLine="393"/>
        <w:spacing w:after="0" w:line="254" w:lineRule="auto"/>
        <w:tabs>
          <w:tab w:leader="none" w:pos="132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to alter or remove any identification, copyright or proprietary rights notice which indicates the ownership of any part of Customer’s Proprietary Information or Galileo’s Proprietary Information, as appropriate; and</w:t>
      </w:r>
    </w:p>
    <w:p>
      <w:pPr>
        <w:spacing w:after="0" w:line="187" w:lineRule="exact"/>
        <w:rPr>
          <w:rFonts w:ascii="Times New Roman" w:cs="Times New Roman" w:eastAsia="Times New Roman" w:hAnsi="Times New Roman"/>
          <w:sz w:val="20"/>
          <w:szCs w:val="20"/>
          <w:color w:val="auto"/>
        </w:rPr>
      </w:pPr>
    </w:p>
    <w:p>
      <w:pPr>
        <w:ind w:left="1343" w:hanging="287"/>
        <w:spacing w:after="0"/>
        <w:tabs>
          <w:tab w:leader="none" w:pos="134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notify the other promptly and in writing of the circumstances</w:t>
      </w:r>
    </w:p>
    <w:p>
      <w:pPr>
        <w:spacing w:after="0" w:line="22" w:lineRule="exact"/>
        <w:rPr>
          <w:sz w:val="20"/>
          <w:szCs w:val="20"/>
          <w:color w:val="auto"/>
        </w:rPr>
      </w:pPr>
    </w:p>
    <w:p>
      <w:pPr>
        <w:ind w:left="663" w:right="679"/>
        <w:spacing w:after="0" w:line="271" w:lineRule="auto"/>
        <w:rPr>
          <w:sz w:val="20"/>
          <w:szCs w:val="20"/>
          <w:color w:val="auto"/>
        </w:rPr>
      </w:pPr>
      <w:r>
        <w:rPr>
          <w:rFonts w:ascii="Times New Roman" w:cs="Times New Roman" w:eastAsia="Times New Roman" w:hAnsi="Times New Roman"/>
          <w:sz w:val="19"/>
          <w:szCs w:val="19"/>
          <w:color w:val="auto"/>
        </w:rPr>
        <w:t>surrounding any possession, use or knowledge of Customer’s Proprietary Information or Galileo’s Proprietary Information, as appropriate, at any location or by any Entity other than those authorized by this Agreement.</w:t>
      </w:r>
    </w:p>
    <w:p>
      <w:pPr>
        <w:spacing w:after="0" w:line="169" w:lineRule="exact"/>
        <w:rPr>
          <w:sz w:val="20"/>
          <w:szCs w:val="20"/>
          <w:color w:val="auto"/>
        </w:rPr>
      </w:pPr>
    </w:p>
    <w:p>
      <w:pPr>
        <w:jc w:val="both"/>
        <w:ind w:left="663" w:right="11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10.5Release of Information. </w:t>
      </w:r>
      <w:r>
        <w:rPr>
          <w:rFonts w:ascii="Times New Roman" w:cs="Times New Roman" w:eastAsia="Times New Roman" w:hAnsi="Times New Roman"/>
          <w:sz w:val="20"/>
          <w:szCs w:val="20"/>
          <w:color w:val="auto"/>
        </w:rPr>
        <w:t>Galileo and Customer agree that Galileo’s Proprietary Information and / or Customer’s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Proprietary Information may be made available to supervisory or regulatory authorities of Customer or Galileo upon the written request of any of the foregoing.</w:t>
      </w:r>
    </w:p>
    <w:p>
      <w:pPr>
        <w:spacing w:after="0" w:line="169" w:lineRule="exact"/>
        <w:rPr>
          <w:sz w:val="20"/>
          <w:szCs w:val="20"/>
          <w:color w:val="auto"/>
        </w:rPr>
      </w:pPr>
    </w:p>
    <w:tbl>
      <w:tblPr>
        <w:tblLayout w:type="fixed"/>
        <w:tblInd w:w="423" w:type="dxa"/>
        <w:tblCellMar>
          <w:top w:w="0" w:type="dxa"/>
          <w:left w:w="0" w:type="dxa"/>
          <w:bottom w:w="0" w:type="dxa"/>
          <w:right w:w="0" w:type="dxa"/>
        </w:tblCellMar>
      </w:tblPr>
      <w:tr>
        <w:trPr>
          <w:trHeight w:val="234"/>
        </w:trPr>
        <w:tc>
          <w:tcPr>
            <w:tcW w:w="6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10.6</w:t>
            </w:r>
          </w:p>
        </w:tc>
        <w:tc>
          <w:tcPr>
            <w:tcW w:w="8780" w:type="dxa"/>
            <w:vAlign w:val="bottom"/>
            <w:gridSpan w:val="9"/>
          </w:tcPr>
          <w:p>
            <w:pPr>
              <w:jc w:val="right"/>
              <w:spacing w:after="0"/>
              <w:rPr>
                <w:sz w:val="20"/>
                <w:szCs w:val="20"/>
                <w:color w:val="auto"/>
              </w:rPr>
            </w:pPr>
            <w:r>
              <w:rPr>
                <w:rFonts w:ascii="Times New Roman" w:cs="Times New Roman" w:eastAsia="Times New Roman" w:hAnsi="Times New Roman"/>
                <w:sz w:val="20"/>
                <w:szCs w:val="20"/>
                <w:b w:val="1"/>
                <w:bCs w:val="1"/>
                <w:color w:val="auto"/>
              </w:rPr>
              <w:t xml:space="preserve">Exclusions. </w:t>
            </w:r>
            <w:r>
              <w:rPr>
                <w:rFonts w:ascii="Times New Roman" w:cs="Times New Roman" w:eastAsia="Times New Roman" w:hAnsi="Times New Roman"/>
                <w:sz w:val="20"/>
                <w:szCs w:val="20"/>
                <w:color w:val="auto"/>
              </w:rPr>
              <w:t>Nothing in this Section 10 shall restrict the parties with respect to information or data identical</w:t>
            </w:r>
          </w:p>
        </w:tc>
      </w:tr>
      <w:tr>
        <w:trPr>
          <w:trHeight w:val="229"/>
        </w:trPr>
        <w:tc>
          <w:tcPr>
            <w:tcW w:w="3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or similar to that contained in Customer’s</w:t>
            </w:r>
          </w:p>
        </w:tc>
        <w:tc>
          <w:tcPr>
            <w:tcW w:w="5540" w:type="dxa"/>
            <w:vAlign w:val="bottom"/>
            <w:gridSpan w:val="5"/>
          </w:tcPr>
          <w:p>
            <w:pPr>
              <w:ind w:left="420"/>
              <w:spacing w:after="0"/>
              <w:rPr>
                <w:sz w:val="20"/>
                <w:szCs w:val="20"/>
                <w:color w:val="auto"/>
              </w:rPr>
            </w:pPr>
            <w:r>
              <w:rPr>
                <w:rFonts w:ascii="Times New Roman" w:cs="Times New Roman" w:eastAsia="Times New Roman" w:hAnsi="Times New Roman"/>
                <w:sz w:val="20"/>
                <w:szCs w:val="20"/>
                <w:color w:val="auto"/>
                <w:w w:val="99"/>
              </w:rPr>
              <w:t>Proprietary Information or Galileo’s Proprietary Information, as</w:t>
            </w:r>
          </w:p>
        </w:tc>
        <w:tc>
          <w:tcPr>
            <w:tcW w:w="380" w:type="dxa"/>
            <w:vAlign w:val="bottom"/>
          </w:tcPr>
          <w:p>
            <w:pPr>
              <w:spacing w:after="0"/>
              <w:rPr>
                <w:sz w:val="19"/>
                <w:szCs w:val="19"/>
                <w:color w:val="auto"/>
              </w:rPr>
            </w:pPr>
          </w:p>
        </w:tc>
      </w:tr>
      <w:tr>
        <w:trPr>
          <w:trHeight w:val="229"/>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appropriate, but</w:t>
            </w:r>
          </w:p>
        </w:tc>
        <w:tc>
          <w:tcPr>
            <w:tcW w:w="728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which: (a) the receiving party can demonstrate was rightfully possessed by it before</w:t>
            </w:r>
          </w:p>
        </w:tc>
        <w:tc>
          <w:tcPr>
            <w:tcW w:w="3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it</w:t>
            </w:r>
          </w:p>
        </w:tc>
      </w:tr>
      <w:tr>
        <w:trPr>
          <w:trHeight w:val="230"/>
        </w:trPr>
        <w:tc>
          <w:tcPr>
            <w:tcW w:w="354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received the information from the disclosing</w:t>
            </w:r>
          </w:p>
        </w:tc>
        <w:tc>
          <w:tcPr>
            <w:tcW w:w="31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party; (b) was in the public domain</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prior to the date of this Agreement</w:t>
            </w:r>
          </w:p>
        </w:tc>
      </w:tr>
      <w:tr>
        <w:trPr>
          <w:trHeight w:val="229"/>
        </w:trPr>
        <w:tc>
          <w:tcPr>
            <w:tcW w:w="35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or subsequently becomes publicly available</w:t>
            </w:r>
          </w:p>
        </w:tc>
        <w:tc>
          <w:tcPr>
            <w:tcW w:w="5920" w:type="dxa"/>
            <w:vAlign w:val="bottom"/>
            <w:gridSpan w:val="6"/>
          </w:tcPr>
          <w:p>
            <w:pPr>
              <w:jc w:val="right"/>
              <w:ind w:right="121"/>
              <w:spacing w:after="0"/>
              <w:rPr>
                <w:sz w:val="20"/>
                <w:szCs w:val="20"/>
                <w:color w:val="auto"/>
              </w:rPr>
            </w:pPr>
            <w:r>
              <w:rPr>
                <w:rFonts w:ascii="Times New Roman" w:cs="Times New Roman" w:eastAsia="Times New Roman" w:hAnsi="Times New Roman"/>
                <w:sz w:val="20"/>
                <w:szCs w:val="20"/>
                <w:color w:val="auto"/>
              </w:rPr>
              <w:t>through no fault of the receiving party or any person or Entity</w:t>
            </w:r>
          </w:p>
        </w:tc>
      </w:tr>
      <w:tr>
        <w:trPr>
          <w:trHeight w:val="229"/>
        </w:trPr>
        <w:tc>
          <w:tcPr>
            <w:tcW w:w="1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acting on its behalf;</w:t>
            </w:r>
          </w:p>
        </w:tc>
        <w:tc>
          <w:tcPr>
            <w:tcW w:w="602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w w:val="99"/>
              </w:rPr>
              <w:t>(c) was previously received by the receiving party from a third party or is</w:t>
            </w: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subsequently</w:t>
            </w:r>
          </w:p>
        </w:tc>
      </w:tr>
      <w:tr>
        <w:trPr>
          <w:trHeight w:val="230"/>
        </w:trPr>
        <w:tc>
          <w:tcPr>
            <w:tcW w:w="57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furnished rightfully to the receiving party by a third party (no Affiliate</w:t>
            </w:r>
          </w:p>
        </w:tc>
        <w:tc>
          <w:tcPr>
            <w:tcW w:w="2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of Galileo or Customer</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shall be considered</w:t>
            </w:r>
          </w:p>
        </w:tc>
      </w:tr>
      <w:tr>
        <w:trPr>
          <w:trHeight w:val="230"/>
        </w:trPr>
        <w:tc>
          <w:tcPr>
            <w:tcW w:w="3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 be a third party) not known to be</w:t>
            </w:r>
          </w:p>
        </w:tc>
        <w:tc>
          <w:tcPr>
            <w:tcW w:w="540" w:type="dxa"/>
            <w:vAlign w:val="bottom"/>
          </w:tcPr>
          <w:p>
            <w:pPr>
              <w:spacing w:after="0"/>
              <w:rPr>
                <w:sz w:val="19"/>
                <w:szCs w:val="19"/>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w w:val="99"/>
              </w:rPr>
              <w:t>under restrictions on use or disclosure;</w:t>
            </w: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(d) is independently developed by</w:t>
            </w:r>
          </w:p>
        </w:tc>
      </w:tr>
      <w:tr>
        <w:trPr>
          <w:trHeight w:val="22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such</w:t>
            </w:r>
          </w:p>
        </w:tc>
        <w:tc>
          <w:tcPr>
            <w:tcW w:w="5080" w:type="dxa"/>
            <w:vAlign w:val="bottom"/>
            <w:gridSpan w:val="5"/>
          </w:tcPr>
          <w:p>
            <w:pPr>
              <w:ind w:left="500"/>
              <w:spacing w:after="0"/>
              <w:rPr>
                <w:sz w:val="20"/>
                <w:szCs w:val="20"/>
                <w:color w:val="auto"/>
              </w:rPr>
            </w:pPr>
            <w:r>
              <w:rPr>
                <w:rFonts w:ascii="Times New Roman" w:cs="Times New Roman" w:eastAsia="Times New Roman" w:hAnsi="Times New Roman"/>
                <w:sz w:val="20"/>
                <w:szCs w:val="20"/>
                <w:color w:val="auto"/>
                <w:w w:val="99"/>
              </w:rPr>
              <w:t>party; (e) is required to be disclosed by law, regulation or</w:t>
            </w:r>
          </w:p>
        </w:tc>
        <w:tc>
          <w:tcPr>
            <w:tcW w:w="37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court order, provided that the disclosing party</w:t>
            </w:r>
          </w:p>
        </w:tc>
      </w:tr>
      <w:tr>
        <w:trPr>
          <w:trHeight w:val="230"/>
        </w:trPr>
        <w:tc>
          <w:tcPr>
            <w:tcW w:w="530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will exercise reasonable efforts to notify the other party prior to</w:t>
            </w:r>
          </w:p>
        </w:tc>
        <w:tc>
          <w:tcPr>
            <w:tcW w:w="4160" w:type="dxa"/>
            <w:vAlign w:val="bottom"/>
            <w:gridSpan w:val="5"/>
          </w:tcPr>
          <w:p>
            <w:pPr>
              <w:jc w:val="right"/>
              <w:ind w:right="181"/>
              <w:spacing w:after="0"/>
              <w:rPr>
                <w:sz w:val="20"/>
                <w:szCs w:val="20"/>
                <w:color w:val="auto"/>
              </w:rPr>
            </w:pPr>
            <w:r>
              <w:rPr>
                <w:rFonts w:ascii="Times New Roman" w:cs="Times New Roman" w:eastAsia="Times New Roman" w:hAnsi="Times New Roman"/>
                <w:sz w:val="20"/>
                <w:szCs w:val="20"/>
                <w:color w:val="auto"/>
              </w:rPr>
              <w:t>disclosure; or (f) is required to be disclosed to</w:t>
            </w:r>
          </w:p>
        </w:tc>
      </w:tr>
      <w:tr>
        <w:trPr>
          <w:trHeight w:val="230"/>
        </w:trPr>
        <w:tc>
          <w:tcPr>
            <w:tcW w:w="30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comply with or to enforce the terms</w:t>
            </w:r>
          </w:p>
        </w:tc>
        <w:tc>
          <w:tcPr>
            <w:tcW w:w="6460" w:type="dxa"/>
            <w:vAlign w:val="bottom"/>
            <w:gridSpan w:val="7"/>
          </w:tcPr>
          <w:p>
            <w:pPr>
              <w:jc w:val="right"/>
              <w:ind w:right="81"/>
              <w:spacing w:after="0"/>
              <w:rPr>
                <w:sz w:val="20"/>
                <w:szCs w:val="20"/>
                <w:color w:val="auto"/>
              </w:rPr>
            </w:pPr>
            <w:r>
              <w:rPr>
                <w:rFonts w:ascii="Times New Roman" w:cs="Times New Roman" w:eastAsia="Times New Roman" w:hAnsi="Times New Roman"/>
                <w:sz w:val="20"/>
                <w:szCs w:val="20"/>
                <w:color w:val="auto"/>
              </w:rPr>
              <w:t>of this Agreement, provided that the disclosing party will exercise reasonable</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efforts</w:t>
            </w:r>
          </w:p>
        </w:tc>
        <w:tc>
          <w:tcPr>
            <w:tcW w:w="11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to notify the</w:t>
            </w:r>
          </w:p>
        </w:tc>
        <w:tc>
          <w:tcPr>
            <w:tcW w:w="35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other party prior to disclosure.</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183" w:lineRule="exact"/>
        <w:rPr>
          <w:sz w:val="20"/>
          <w:szCs w:val="20"/>
          <w:color w:val="auto"/>
        </w:rPr>
      </w:pPr>
    </w:p>
    <w:p>
      <w:pPr>
        <w:ind w:left="663" w:right="13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10.7 Remedy. </w:t>
      </w:r>
      <w:r>
        <w:rPr>
          <w:rFonts w:ascii="Times New Roman" w:cs="Times New Roman" w:eastAsia="Times New Roman" w:hAnsi="Times New Roman"/>
          <w:sz w:val="20"/>
          <w:szCs w:val="20"/>
          <w:color w:val="auto"/>
        </w:rPr>
        <w:t>If a party breaches this Section 10, the non-breaching party will suffer irreparable harm and the total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of monetary damages for any injury to such party will be impossible to calculate and therefore an inadequate remedy. Accordingly, the non-breaching party may (a) seek temporary and permanent injunctive relief against the breaching party or (b) exercise any other rights and seek any other remedies to which the non-breaching party may be entitled to at law, in equity and under this Agreement for any violation of this Section 10.</w:t>
      </w:r>
    </w:p>
    <w:p>
      <w:pPr>
        <w:spacing w:after="0" w:line="194" w:lineRule="exact"/>
        <w:rPr>
          <w:sz w:val="20"/>
          <w:szCs w:val="20"/>
          <w:color w:val="auto"/>
        </w:rPr>
      </w:pPr>
    </w:p>
    <w:p>
      <w:pPr>
        <w:ind w:left="583" w:hanging="583"/>
        <w:spacing w:after="0"/>
        <w:tabs>
          <w:tab w:leader="none" w:pos="583"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w:t>
      </w:r>
    </w:p>
    <w:p>
      <w:pPr>
        <w:spacing w:after="0" w:line="216" w:lineRule="exact"/>
        <w:rPr>
          <w:sz w:val="20"/>
          <w:szCs w:val="20"/>
          <w:color w:val="auto"/>
        </w:rPr>
      </w:pPr>
    </w:p>
    <w:p>
      <w:pPr>
        <w:ind w:left="663" w:right="35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11.1 Galileo’s Representations. </w:t>
      </w:r>
      <w:r>
        <w:rPr>
          <w:rFonts w:ascii="Times New Roman" w:cs="Times New Roman" w:eastAsia="Times New Roman" w:hAnsi="Times New Roman"/>
          <w:sz w:val="20"/>
          <w:szCs w:val="20"/>
          <w:color w:val="auto"/>
        </w:rPr>
        <w:t>Galileo represents and warrants that: (i) the execution and delivery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consummation of the transaction herein contemplated does not conflict in any material respect with or constitute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865505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2"/>
          </w:cols>
          <w:pgMar w:left="417" w:top="1413" w:right="1440" w:bottom="1440" w:gutter="0" w:footer="0" w:header="0"/>
        </w:sectPr>
      </w:pPr>
    </w:p>
    <w:bookmarkStart w:id="132" w:name="page133"/>
    <w:bookmarkEnd w:id="132"/>
    <w:p>
      <w:pPr>
        <w:ind w:left="660" w:right="139"/>
        <w:spacing w:after="0" w:line="247" w:lineRule="auto"/>
        <w:rPr>
          <w:sz w:val="20"/>
          <w:szCs w:val="20"/>
          <w:color w:val="auto"/>
        </w:rPr>
      </w:pPr>
      <w:r>
        <w:rPr>
          <w:rFonts w:ascii="Times New Roman" w:cs="Times New Roman" w:eastAsia="Times New Roman" w:hAnsi="Times New Roman"/>
          <w:sz w:val="20"/>
          <w:szCs w:val="20"/>
          <w:color w:val="auto"/>
        </w:rPr>
        <w:t>material breach or material default under the terms and conditions of any documents, agreements or other writings to which it is a party; (ii) the Services provided herein shall be provided with reasonable care and skill; (iii) it is capable of performing its obligations under this Agreement; (iv) it shall not hold itself out as an agent of Customer;</w:t>
      </w:r>
    </w:p>
    <w:p>
      <w:pPr>
        <w:ind w:left="660" w:right="359" w:hanging="3"/>
        <w:spacing w:after="0" w:line="271" w:lineRule="auto"/>
        <w:tabs>
          <w:tab w:leader="none" w:pos="94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its knowledge, it is the owner of or has the right to use all Galileo Proprietary Information in relation to the Services; and (vi) to its knowledge the Services do not infringe third party intellectual property rights in any way.</w:t>
      </w:r>
    </w:p>
    <w:p>
      <w:pPr>
        <w:spacing w:after="0" w:line="169" w:lineRule="exact"/>
        <w:rPr>
          <w:sz w:val="20"/>
          <w:szCs w:val="20"/>
          <w:color w:val="auto"/>
        </w:rPr>
      </w:pPr>
    </w:p>
    <w:p>
      <w:pPr>
        <w:ind w:left="640" w:right="13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11.2 Customer’s Representation. </w:t>
      </w:r>
      <w:r>
        <w:rPr>
          <w:rFonts w:ascii="Times New Roman" w:cs="Times New Roman" w:eastAsia="Times New Roman" w:hAnsi="Times New Roman"/>
          <w:sz w:val="20"/>
          <w:szCs w:val="20"/>
          <w:color w:val="auto"/>
        </w:rPr>
        <w:t>Customer represents and warrants that: (i) the execution and delivery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consummation of the transaction herein contemplated does not conflict in any material respect with or constitute a material breach or material default under the terms and conditions of any documents, agreements or other writings to which it is a party; (ii) it is capable of performing its obligations under this Agreement; (iii) it shall not hold itself out as an agent of Galileo; (iv) to its knowledge, it is the owner of or has the right to use all Customer Proprietary Information; and (v) to its knowledge the Customer Proprietary Information does not infringe third party intellectual property rights in any way.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Miscellaneous</w:t>
      </w:r>
    </w:p>
    <w:p>
      <w:pPr>
        <w:spacing w:after="0" w:line="229" w:lineRule="exact"/>
        <w:rPr>
          <w:sz w:val="20"/>
          <w:szCs w:val="20"/>
          <w:color w:val="auto"/>
        </w:rPr>
      </w:pPr>
    </w:p>
    <w:p>
      <w:pPr>
        <w:jc w:val="both"/>
        <w:ind w:left="640" w:right="25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12.1 Assignment. </w:t>
      </w:r>
      <w:r>
        <w:rPr>
          <w:rFonts w:ascii="Times New Roman" w:cs="Times New Roman" w:eastAsia="Times New Roman" w:hAnsi="Times New Roman"/>
          <w:sz w:val="19"/>
          <w:szCs w:val="19"/>
          <w:color w:val="auto"/>
        </w:rPr>
        <w:t>The rights and obligations of the parties are personal and not assignable, either voluntarily or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operation of law, without the prior written consent of the other party; provided, however, that no such prior written consent is required in the context of a merger, acquisition, or sale of all or substantially all of a party’s assets.</w:t>
      </w:r>
    </w:p>
    <w:p>
      <w:pPr>
        <w:spacing w:after="0" w:line="2" w:lineRule="exact"/>
        <w:rPr>
          <w:sz w:val="20"/>
          <w:szCs w:val="20"/>
          <w:color w:val="auto"/>
        </w:rPr>
      </w:pPr>
    </w:p>
    <w:p>
      <w:pPr>
        <w:ind w:left="640" w:right="279"/>
        <w:spacing w:after="0" w:line="246" w:lineRule="auto"/>
        <w:rPr>
          <w:sz w:val="20"/>
          <w:szCs w:val="20"/>
          <w:color w:val="auto"/>
        </w:rPr>
      </w:pPr>
      <w:r>
        <w:rPr>
          <w:rFonts w:ascii="Times New Roman" w:cs="Times New Roman" w:eastAsia="Times New Roman" w:hAnsi="Times New Roman"/>
          <w:sz w:val="20"/>
          <w:szCs w:val="20"/>
          <w:color w:val="auto"/>
        </w:rPr>
        <w:t>Subject to the foregoing, all provisions contained in this Agreement shall extend to and be binding upon the parties hereto or their respective successors and permitted assigns.</w:t>
      </w:r>
    </w:p>
    <w:p>
      <w:pPr>
        <w:spacing w:after="0" w:line="191" w:lineRule="exact"/>
        <w:rPr>
          <w:sz w:val="20"/>
          <w:szCs w:val="20"/>
          <w:color w:val="auto"/>
        </w:rPr>
      </w:pPr>
    </w:p>
    <w:p>
      <w:pPr>
        <w:ind w:left="640" w:right="11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12.2 Notice. </w:t>
      </w:r>
      <w:r>
        <w:rPr>
          <w:rFonts w:ascii="Times New Roman" w:cs="Times New Roman" w:eastAsia="Times New Roman" w:hAnsi="Times New Roman"/>
          <w:sz w:val="20"/>
          <w:szCs w:val="20"/>
          <w:color w:val="auto"/>
        </w:rPr>
        <w:t>All notices which either party may be required or desire to give to the other party shall be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given by personal service, telecopy, registered mail or certified mail (or its equivalent), or overnight courier to the other party at its respective address or telecopy telephone number set forth below. Mailed notices and notices by overnight courier shall be deemed to be given upon actual receipt by the party notified. Notices delivered by telecopy shall be confirmed in writing by overnight courier and shall be deemed to be given upon actual receipt by the party to be notified.</w:t>
      </w:r>
    </w:p>
    <w:p>
      <w:pPr>
        <w:spacing w:after="0" w:line="19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color w:val="auto"/>
        </w:rPr>
        <w:t>If to Galileo:</w:t>
      </w:r>
    </w:p>
    <w:p>
      <w:pPr>
        <w:spacing w:after="0" w:line="2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Galileo Financial Technologies, Inc.</w:t>
      </w:r>
    </w:p>
    <w:p>
      <w:pPr>
        <w:spacing w:after="0" w:line="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6510 South Millrock, Suite 300</w:t>
      </w:r>
    </w:p>
    <w:p>
      <w:pPr>
        <w:ind w:left="1180"/>
        <w:spacing w:after="0"/>
        <w:rPr>
          <w:sz w:val="20"/>
          <w:szCs w:val="20"/>
          <w:color w:val="auto"/>
        </w:rPr>
      </w:pPr>
      <w:r>
        <w:rPr>
          <w:rFonts w:ascii="Times New Roman" w:cs="Times New Roman" w:eastAsia="Times New Roman" w:hAnsi="Times New Roman"/>
          <w:sz w:val="20"/>
          <w:szCs w:val="20"/>
          <w:color w:val="auto"/>
        </w:rPr>
        <w:t>Salt Lake City, Utah 84121</w:t>
      </w:r>
    </w:p>
    <w:p>
      <w:pPr>
        <w:ind w:left="1180"/>
        <w:spacing w:after="0"/>
        <w:rPr>
          <w:sz w:val="20"/>
          <w:szCs w:val="20"/>
          <w:color w:val="auto"/>
        </w:rPr>
      </w:pPr>
      <w:r>
        <w:rPr>
          <w:rFonts w:ascii="Times New Roman" w:cs="Times New Roman" w:eastAsia="Times New Roman" w:hAnsi="Times New Roman"/>
          <w:sz w:val="20"/>
          <w:szCs w:val="20"/>
          <w:color w:val="auto"/>
        </w:rPr>
        <w:t>Attn: CEO</w:t>
      </w:r>
    </w:p>
    <w:p>
      <w:pPr>
        <w:ind w:left="1180"/>
        <w:spacing w:after="0"/>
        <w:rPr>
          <w:sz w:val="20"/>
          <w:szCs w:val="20"/>
          <w:color w:val="auto"/>
        </w:rPr>
      </w:pPr>
      <w:r>
        <w:rPr>
          <w:rFonts w:ascii="Times New Roman" w:cs="Times New Roman" w:eastAsia="Times New Roman" w:hAnsi="Times New Roman"/>
          <w:sz w:val="20"/>
          <w:szCs w:val="20"/>
          <w:color w:val="auto"/>
        </w:rPr>
        <w:t>Fax Number: [**]</w:t>
      </w:r>
    </w:p>
    <w:p>
      <w:pPr>
        <w:spacing w:after="0" w:line="20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With a copy to General Counsel at the same address.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color w:val="auto"/>
        </w:rPr>
        <w:t>If to Customer:</w:t>
      </w:r>
    </w:p>
    <w:p>
      <w:pPr>
        <w:spacing w:after="0" w:line="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Dave,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878840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13" w:right="1440" w:bottom="1440" w:gutter="0" w:footer="0" w:header="0"/>
        </w:sectPr>
      </w:pPr>
    </w:p>
    <w:bookmarkStart w:id="133" w:name="page134"/>
    <w:bookmarkEnd w:id="133"/>
    <w:p>
      <w:pPr>
        <w:ind w:left="540"/>
        <w:spacing w:after="0"/>
        <w:rPr>
          <w:sz w:val="20"/>
          <w:szCs w:val="20"/>
          <w:color w:val="auto"/>
        </w:rPr>
      </w:pPr>
      <w:r>
        <w:rPr>
          <w:rFonts w:ascii="Times New Roman" w:cs="Times New Roman" w:eastAsia="Times New Roman" w:hAnsi="Times New Roman"/>
          <w:sz w:val="20"/>
          <w:szCs w:val="20"/>
          <w:color w:val="auto"/>
        </w:rPr>
        <w:t>1265 S. Cochran Avenue</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Los Angeles, California 90292</w:t>
      </w:r>
    </w:p>
    <w:p>
      <w:pPr>
        <w:ind w:left="540"/>
        <w:spacing w:after="0"/>
        <w:rPr>
          <w:sz w:val="20"/>
          <w:szCs w:val="20"/>
          <w:color w:val="auto"/>
        </w:rPr>
      </w:pPr>
      <w:r>
        <w:rPr>
          <w:rFonts w:ascii="Times New Roman" w:cs="Times New Roman" w:eastAsia="Times New Roman" w:hAnsi="Times New Roman"/>
          <w:sz w:val="20"/>
          <w:szCs w:val="20"/>
          <w:color w:val="auto"/>
        </w:rPr>
        <w:t>Attn: CEO</w:t>
      </w:r>
    </w:p>
    <w:p>
      <w:pPr>
        <w:ind w:left="540"/>
        <w:spacing w:after="0"/>
        <w:rPr>
          <w:sz w:val="20"/>
          <w:szCs w:val="20"/>
          <w:color w:val="auto"/>
        </w:rPr>
      </w:pPr>
      <w:r>
        <w:rPr>
          <w:rFonts w:ascii="Times New Roman" w:cs="Times New Roman" w:eastAsia="Times New Roman" w:hAnsi="Times New Roman"/>
          <w:sz w:val="20"/>
          <w:szCs w:val="20"/>
          <w:color w:val="auto"/>
        </w:rPr>
        <w:t>Fax: [**]</w:t>
      </w:r>
    </w:p>
    <w:p>
      <w:pPr>
        <w:ind w:left="540"/>
        <w:spacing w:after="0"/>
        <w:rPr>
          <w:sz w:val="20"/>
          <w:szCs w:val="20"/>
          <w:color w:val="auto"/>
        </w:rPr>
      </w:pPr>
      <w:r>
        <w:rPr>
          <w:rFonts w:ascii="Times New Roman" w:cs="Times New Roman" w:eastAsia="Times New Roman" w:hAnsi="Times New Roman"/>
          <w:sz w:val="20"/>
          <w:szCs w:val="20"/>
          <w:color w:val="auto"/>
        </w:rPr>
        <w:t>With a copy to General Counsel at the same address.</w:t>
      </w:r>
    </w:p>
    <w:p>
      <w:pPr>
        <w:spacing w:after="0" w:line="207" w:lineRule="exact"/>
        <w:rPr>
          <w:sz w:val="20"/>
          <w:szCs w:val="20"/>
          <w:color w:val="auto"/>
        </w:rPr>
      </w:pPr>
    </w:p>
    <w:p>
      <w:pPr>
        <w:ind w:right="199"/>
        <w:spacing w:after="0" w:line="269" w:lineRule="auto"/>
        <w:rPr>
          <w:sz w:val="20"/>
          <w:szCs w:val="20"/>
          <w:color w:val="auto"/>
        </w:rPr>
      </w:pPr>
      <w:r>
        <w:rPr>
          <w:rFonts w:ascii="Times New Roman" w:cs="Times New Roman" w:eastAsia="Times New Roman" w:hAnsi="Times New Roman"/>
          <w:sz w:val="20"/>
          <w:szCs w:val="20"/>
          <w:color w:val="auto"/>
        </w:rPr>
        <w:t>A party may change its address set forth above by giving the other party notice of the change in accordance with the provisions of this section.</w:t>
      </w:r>
    </w:p>
    <w:p>
      <w:pPr>
        <w:spacing w:after="0" w:line="169" w:lineRule="exact"/>
        <w:rPr>
          <w:sz w:val="20"/>
          <w:szCs w:val="20"/>
          <w:color w:val="auto"/>
        </w:rPr>
      </w:pPr>
    </w:p>
    <w:p>
      <w:pPr>
        <w:ind w:right="459"/>
        <w:spacing w:after="0" w:line="256" w:lineRule="auto"/>
        <w:rPr>
          <w:sz w:val="20"/>
          <w:szCs w:val="20"/>
          <w:color w:val="auto"/>
        </w:rPr>
      </w:pPr>
      <w:r>
        <w:rPr>
          <w:rFonts w:ascii="Times New Roman" w:cs="Times New Roman" w:eastAsia="Times New Roman" w:hAnsi="Times New Roman"/>
          <w:sz w:val="20"/>
          <w:szCs w:val="20"/>
          <w:b w:val="1"/>
          <w:bCs w:val="1"/>
          <w:color w:val="auto"/>
        </w:rPr>
        <w:t>12.3 Relationship of Parties</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contained in this Agreement shall be deemed to create a partnership, joint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venture or similar relationship between the parties. The parties’ relationship shall be that of independent parties contracting for services.</w:t>
      </w:r>
    </w:p>
    <w:p>
      <w:pPr>
        <w:spacing w:after="0" w:line="182" w:lineRule="exact"/>
        <w:rPr>
          <w:sz w:val="20"/>
          <w:szCs w:val="20"/>
          <w:color w:val="auto"/>
        </w:rPr>
      </w:pPr>
    </w:p>
    <w:p>
      <w:pPr>
        <w:ind w:right="1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12.4 Third Party Beneficiaries. </w:t>
      </w:r>
      <w:r>
        <w:rPr>
          <w:rFonts w:ascii="Times New Roman" w:cs="Times New Roman" w:eastAsia="Times New Roman" w:hAnsi="Times New Roman"/>
          <w:sz w:val="20"/>
          <w:szCs w:val="20"/>
          <w:color w:val="auto"/>
        </w:rPr>
        <w:t>This Agreement is entered into solely for the benefit of Galileo, Bank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 and, other than Bank, shall not confer any rights upon any Entity not a party to this Agreement.</w:t>
      </w:r>
    </w:p>
    <w:p>
      <w:pPr>
        <w:spacing w:after="0" w:line="165" w:lineRule="exact"/>
        <w:rPr>
          <w:sz w:val="20"/>
          <w:szCs w:val="20"/>
          <w:color w:val="auto"/>
        </w:rPr>
      </w:pPr>
    </w:p>
    <w:p>
      <w:pPr>
        <w:ind w:right="3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12.5 Subcontractors. </w:t>
      </w:r>
      <w:r>
        <w:rPr>
          <w:rFonts w:ascii="Times New Roman" w:cs="Times New Roman" w:eastAsia="Times New Roman" w:hAnsi="Times New Roman"/>
          <w:sz w:val="20"/>
          <w:szCs w:val="20"/>
          <w:color w:val="auto"/>
        </w:rPr>
        <w:t>Galileo shall not subcontract all or any part of the Services without the prior written consent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Customer.</w:t>
      </w:r>
    </w:p>
    <w:p>
      <w:pPr>
        <w:spacing w:after="0" w:line="165"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12.6 Severability. </w:t>
      </w:r>
      <w:r>
        <w:rPr>
          <w:rFonts w:ascii="Times New Roman" w:cs="Times New Roman" w:eastAsia="Times New Roman" w:hAnsi="Times New Roman"/>
          <w:sz w:val="20"/>
          <w:szCs w:val="20"/>
          <w:color w:val="auto"/>
        </w:rPr>
        <w:t>If any provision of this Agreement is held invalid or unenforceable for any reason, the invalidity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not affect the validity of the remaining provisions of this Agreement, and the parties shall substitute for the invalid provisions a valid provision which most closely approximates the intent and economic effect of the invalid provision.</w:t>
      </w:r>
    </w:p>
    <w:p>
      <w:pPr>
        <w:spacing w:after="0" w:line="189" w:lineRule="exact"/>
        <w:rPr>
          <w:sz w:val="20"/>
          <w:szCs w:val="20"/>
          <w:color w:val="auto"/>
        </w:rPr>
      </w:pPr>
    </w:p>
    <w:p>
      <w:pPr>
        <w:ind w:right="17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12.7 Risk of Loss. </w:t>
      </w:r>
      <w:r>
        <w:rPr>
          <w:rFonts w:ascii="Times New Roman" w:cs="Times New Roman" w:eastAsia="Times New Roman" w:hAnsi="Times New Roman"/>
          <w:sz w:val="20"/>
          <w:szCs w:val="20"/>
          <w:color w:val="auto"/>
        </w:rPr>
        <w:t>Customer shall be responsible for any and all risk of loss to any tangible item (a) provided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Galileo for Customer (including without limitation statements and embossed cards) upon delivery of such items to the U.S. Postal Service or such other courier as Customer may select, and (b) provided by Customer to Galileo until actual receipt of such items by Galileo. It is expressly understood that the U.S. Postal Service and any courier selected by Customer are the agents of Customer and not Galileo.</w:t>
      </w:r>
    </w:p>
    <w:p>
      <w:pPr>
        <w:spacing w:after="0" w:line="194"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12.8 Entire Agreement. </w:t>
      </w:r>
      <w:r>
        <w:rPr>
          <w:rFonts w:ascii="Times New Roman" w:cs="Times New Roman" w:eastAsia="Times New Roman" w:hAnsi="Times New Roman"/>
          <w:sz w:val="20"/>
          <w:szCs w:val="20"/>
          <w:color w:val="auto"/>
        </w:rPr>
        <w:t>This Agreement, including Exhibits, sets forth all of the promises, agreements, conditions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understandings between the parties respecting the subject matter hereof and supersedes all negotiations, conversations, discussions, correspondence, memorandums, and agreements between the parties concerning the subject matter.</w:t>
      </w:r>
    </w:p>
    <w:p>
      <w:pPr>
        <w:spacing w:after="0" w:line="189" w:lineRule="exact"/>
        <w:rPr>
          <w:sz w:val="20"/>
          <w:szCs w:val="20"/>
          <w:color w:val="auto"/>
        </w:rPr>
      </w:pPr>
    </w:p>
    <w:p>
      <w:pPr>
        <w:ind w:right="21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12.9 Amendments. </w:t>
      </w:r>
      <w:r>
        <w:rPr>
          <w:rFonts w:ascii="Times New Roman" w:cs="Times New Roman" w:eastAsia="Times New Roman" w:hAnsi="Times New Roman"/>
          <w:sz w:val="20"/>
          <w:szCs w:val="20"/>
          <w:color w:val="auto"/>
        </w:rPr>
        <w:t>This Agreement may not be amended except in writing, signed by authorized representatives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to this Agreement.</w:t>
      </w:r>
    </w:p>
    <w:p>
      <w:pPr>
        <w:spacing w:after="0" w:line="165" w:lineRule="exact"/>
        <w:rPr>
          <w:sz w:val="20"/>
          <w:szCs w:val="20"/>
          <w:color w:val="auto"/>
        </w:rPr>
      </w:pPr>
    </w:p>
    <w:p>
      <w:pPr>
        <w:ind w:right="5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12.10 Counterparts. </w:t>
      </w:r>
      <w:r>
        <w:rPr>
          <w:rFonts w:ascii="Times New Roman" w:cs="Times New Roman" w:eastAsia="Times New Roman" w:hAnsi="Times New Roman"/>
          <w:sz w:val="20"/>
          <w:szCs w:val="20"/>
          <w:color w:val="auto"/>
        </w:rPr>
        <w:t>This Agreement may be executed by facsimile and in any number of counterparts,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shall be deemed an original but all of which together shall constitute one and the same instrument.</w:t>
      </w:r>
    </w:p>
    <w:p>
      <w:pPr>
        <w:spacing w:after="0" w:line="165" w:lineRule="exact"/>
        <w:rPr>
          <w:sz w:val="20"/>
          <w:szCs w:val="20"/>
          <w:color w:val="auto"/>
        </w:rPr>
      </w:pPr>
    </w:p>
    <w:p>
      <w:pPr>
        <w:ind w:right="11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12.11 Governing Law. </w:t>
      </w:r>
      <w:r>
        <w:rPr>
          <w:rFonts w:ascii="Times New Roman" w:cs="Times New Roman" w:eastAsia="Times New Roman" w:hAnsi="Times New Roman"/>
          <w:sz w:val="20"/>
          <w:szCs w:val="20"/>
          <w:color w:val="auto"/>
        </w:rPr>
        <w:t>This Agreement shall be governed by the laws of the State of Utah as to all matters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validity, construction, effect, performance and remedies without giving effect to the principles of choice of law thereof. With respect to any dispute, claim or action arising out of or in connection with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865505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99"/>
          </w:cols>
          <w:pgMar w:left="1060" w:top="1413" w:right="1440" w:bottom="1440" w:gutter="0" w:footer="0" w:header="0"/>
        </w:sectPr>
      </w:pPr>
    </w:p>
    <w:bookmarkStart w:id="134" w:name="page135"/>
    <w:bookmarkEnd w:id="134"/>
    <w:p>
      <w:pPr>
        <w:ind w:right="139"/>
        <w:spacing w:after="0" w:line="243" w:lineRule="auto"/>
        <w:rPr>
          <w:sz w:val="20"/>
          <w:szCs w:val="20"/>
          <w:color w:val="auto"/>
        </w:rPr>
      </w:pPr>
      <w:r>
        <w:rPr>
          <w:rFonts w:ascii="Times New Roman" w:cs="Times New Roman" w:eastAsia="Times New Roman" w:hAnsi="Times New Roman"/>
          <w:sz w:val="20"/>
          <w:szCs w:val="20"/>
          <w:color w:val="auto"/>
        </w:rPr>
        <w:t>Agreement, each party irrevocably submits to the sole and exclusive jurisdiction of the state and federal courts located in Salt Lake City, Utah and waives any objection which it may have at any time to the venue of any suit, action or proceeding arising out of or relating to this Agreement brought in such courts, and each party further waives any claim such suit, action or proceeding is brought in an inconvenient forum and further irrevocably waives the right to object, with respect to such suit, action or proceeding brought in any such court, that such court does not have jurisdiction over Customer. For purposes of any such suit, action or proceeding each party agrees that any process to be served in connection therewith shall, if delivered, sent or mailed in accordance with Section 12.2, constitutes good, proper and sufficient service thereof.</w:t>
      </w:r>
    </w:p>
    <w:p>
      <w:pPr>
        <w:spacing w:after="0" w:line="199" w:lineRule="exact"/>
        <w:rPr>
          <w:sz w:val="20"/>
          <w:szCs w:val="20"/>
          <w:color w:val="auto"/>
        </w:rPr>
      </w:pPr>
    </w:p>
    <w:p>
      <w:pPr>
        <w:ind w:right="139" w:firstLine="10"/>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12.12 Force Majeure and Restricted Performance. </w:t>
      </w:r>
      <w:r>
        <w:rPr>
          <w:rFonts w:ascii="Times New Roman" w:cs="Times New Roman" w:eastAsia="Times New Roman" w:hAnsi="Times New Roman"/>
          <w:sz w:val="20"/>
          <w:szCs w:val="20"/>
          <w:color w:val="auto"/>
        </w:rPr>
        <w:t>Except for Customer’s payment obligations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if performance by Galileo or Customer of any service or obligation under this Agreement, including Deconversion, is prevented, restricted, delayed or interfered with by reason of labor disputes, strikes, acts of God, floods, lightning, severe weather, shortages of materials, rationing, utility or communication failures, failure of the applicable Association, failure or delay in receiving electronic data, earthquakes, war, revolution, civil commotion, acts of public enemies, blockade, embargo, or any law, order, proclamation, regulation, ordinance, demand or requirement having legal effect of any government or any judicial authority or representative of any such government, or any other act, omission or cause whatsoever, whether similar or dissimilar to those referred to in this clause, which are beyond the reasonable control of Galileo or Customer, then Galileo or Customer shall be excused from the performance to the extent of the prevention, restriction, delay or interference.</w:t>
      </w:r>
    </w:p>
    <w:p>
      <w:pPr>
        <w:spacing w:after="0" w:line="196" w:lineRule="exact"/>
        <w:rPr>
          <w:sz w:val="20"/>
          <w:szCs w:val="20"/>
          <w:color w:val="auto"/>
        </w:rPr>
      </w:pPr>
    </w:p>
    <w:p>
      <w:pPr>
        <w:ind w:right="27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12.13 Waiver. </w:t>
      </w:r>
      <w:r>
        <w:rPr>
          <w:rFonts w:ascii="Times New Roman" w:cs="Times New Roman" w:eastAsia="Times New Roman" w:hAnsi="Times New Roman"/>
          <w:sz w:val="20"/>
          <w:szCs w:val="20"/>
          <w:color w:val="auto"/>
        </w:rPr>
        <w:t>The failure of a party at any time to require performance by the other party of any provision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shall not affect in any way the full right to require the performance at any subsequent time. The waiver by a party of a breach of any provision of this Agreement shall not be taken or held to be a waiver of the provision itself.</w:t>
      </w:r>
    </w:p>
    <w:p>
      <w:pPr>
        <w:spacing w:after="0" w:line="189" w:lineRule="exact"/>
        <w:rPr>
          <w:sz w:val="20"/>
          <w:szCs w:val="20"/>
          <w:color w:val="auto"/>
        </w:rPr>
      </w:pPr>
    </w:p>
    <w:p>
      <w:pPr>
        <w:ind w:right="119" w:firstLine="1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12.14 Press Releases and Announcements. </w:t>
      </w:r>
      <w:r>
        <w:rPr>
          <w:rFonts w:ascii="Times New Roman" w:cs="Times New Roman" w:eastAsia="Times New Roman" w:hAnsi="Times New Roman"/>
          <w:sz w:val="19"/>
          <w:szCs w:val="19"/>
          <w:color w:val="auto"/>
        </w:rPr>
        <w:t>The parties agree to issue a joint press release, subject to mutual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approval, describing the relationship between the parties. Additionally, the parties agree that (i) in proposals and other marketing materials, including on Galileo’s website and social media, Galileo may list Customer as a customer, display Customer’s logo, and describe in general terms the Services provided by Galileo under this Agreement, and</w:t>
      </w:r>
    </w:p>
    <w:p>
      <w:pPr>
        <w:spacing w:after="0" w:line="1" w:lineRule="exact"/>
        <w:rPr>
          <w:sz w:val="20"/>
          <w:szCs w:val="20"/>
          <w:color w:val="auto"/>
        </w:rPr>
      </w:pPr>
    </w:p>
    <w:p>
      <w:pPr>
        <w:ind w:right="139" w:firstLine="6"/>
        <w:spacing w:after="0"/>
        <w:tabs>
          <w:tab w:leader="none" w:pos="341"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shall participate in a third-party marketing interview for Galileo’s publication on its website and/or social media. Except as described in the foregoing, neither party hereto shall issue any press release (or make any other public announcement) related to this Agreement or the transactions contemplated hereby without the prior written approval of the other party hereto, except as may be necessary, in the opinion of counsel to the party seeking to make disclosure, to comply with the requirements of this Agreement or applicable law. If any such press release or public announcement is so required, the party making such disclosure shall consult with the other party prior to making such disclosure, and the parties shall use all reasonable efforts, acting in good faith, to agree upon a text for such disclosure which is satisfactory to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1014095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99"/>
          </w:cols>
          <w:pgMar w:left="1060" w:top="1413" w:right="1440" w:bottom="1440" w:gutter="0" w:footer="0" w:header="0"/>
        </w:sectPr>
      </w:pPr>
    </w:p>
    <w:bookmarkStart w:id="135" w:name="page136"/>
    <w:bookmarkEnd w:id="135"/>
    <w:p>
      <w:pPr>
        <w:ind w:right="25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12.15 non-solicitation. </w:t>
      </w:r>
      <w:r>
        <w:rPr>
          <w:rFonts w:ascii="Times New Roman" w:cs="Times New Roman" w:eastAsia="Times New Roman" w:hAnsi="Times New Roman"/>
          <w:sz w:val="20"/>
          <w:szCs w:val="20"/>
          <w:color w:val="auto"/>
        </w:rPr>
        <w:t>From the Effective Date until six (6) months after termination of this Agreement (“Non-Solicitation Period”) neither party shall directly or indirectly solicit or seek to procure (other than by general advertising), without the prior consent of the other party the employment of the other party’s employees during the period they are working for such party and for six (6) months thereafter.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12.16 Insurance.</w:t>
      </w:r>
    </w:p>
    <w:p>
      <w:pPr>
        <w:spacing w:after="0" w:line="26" w:lineRule="exact"/>
        <w:rPr>
          <w:sz w:val="20"/>
          <w:szCs w:val="20"/>
          <w:color w:val="auto"/>
        </w:rPr>
      </w:pPr>
    </w:p>
    <w:p>
      <w:pPr>
        <w:ind w:left="120" w:right="2259" w:firstLine="1289"/>
        <w:spacing w:after="0" w:line="239" w:lineRule="auto"/>
        <w:tabs>
          <w:tab w:leader="none" w:pos="1687"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Term of this Agreement, Galileo shall maintain at its own expense insurance of the type and in the amounts specified below:</w:t>
      </w:r>
    </w:p>
    <w:p>
      <w:pPr>
        <w:ind w:left="920" w:hanging="155"/>
        <w:spacing w:after="0"/>
        <w:tabs>
          <w:tab w:leader="none" w:pos="92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workers’ compensation insurance covering employees as prescribed by law;</w:t>
      </w:r>
    </w:p>
    <w:p>
      <w:pPr>
        <w:ind w:left="980" w:hanging="213"/>
        <w:spacing w:after="0"/>
        <w:tabs>
          <w:tab w:leader="none" w:pos="9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general liability insurance (including contractual</w:t>
      </w:r>
    </w:p>
    <w:p>
      <w:pPr>
        <w:ind w:left="760" w:right="2099" w:hanging="749"/>
        <w:spacing w:after="0" w:line="239" w:lineRule="auto"/>
        <w:rPr>
          <w:sz w:val="20"/>
          <w:szCs w:val="20"/>
          <w:color w:val="auto"/>
        </w:rPr>
      </w:pPr>
      <w:r>
        <w:rPr>
          <w:rFonts w:ascii="Times New Roman" w:cs="Times New Roman" w:eastAsia="Times New Roman" w:hAnsi="Times New Roman"/>
          <w:sz w:val="20"/>
          <w:szCs w:val="20"/>
          <w:color w:val="auto"/>
        </w:rPr>
        <w:t>liability insurance) in an amount not less than [**] per occurrence and [**] in the aggregate; iii. all-risk property insurance covering all owned and/or leased</w:t>
      </w:r>
    </w:p>
    <w:p>
      <w:pPr>
        <w:spacing w:after="0" w:line="1" w:lineRule="exact"/>
        <w:rPr>
          <w:sz w:val="20"/>
          <w:szCs w:val="20"/>
          <w:color w:val="auto"/>
        </w:rPr>
      </w:pPr>
    </w:p>
    <w:p>
      <w:pPr>
        <w:ind w:left="20" w:right="319"/>
        <w:spacing w:after="0" w:line="239" w:lineRule="auto"/>
        <w:rPr>
          <w:sz w:val="20"/>
          <w:szCs w:val="20"/>
          <w:color w:val="auto"/>
        </w:rPr>
      </w:pPr>
      <w:r>
        <w:rPr>
          <w:rFonts w:ascii="Times New Roman" w:cs="Times New Roman" w:eastAsia="Times New Roman" w:hAnsi="Times New Roman"/>
          <w:sz w:val="20"/>
          <w:szCs w:val="20"/>
          <w:color w:val="auto"/>
        </w:rPr>
        <w:t>property and including extra expense coverage, and all-risk property insurance covering the assets owned by or acquired for Customer hereunder stored on Galileo’s premises in an amount sufficient to cover the replacement of such assets; and</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iv. cyber liability insurance, including coverage for employee</w:t>
      </w:r>
    </w:p>
    <w:p>
      <w:pPr>
        <w:jc w:val="both"/>
        <w:ind w:left="20" w:right="559"/>
        <w:spacing w:after="0" w:line="239" w:lineRule="auto"/>
        <w:rPr>
          <w:sz w:val="20"/>
          <w:szCs w:val="20"/>
          <w:color w:val="auto"/>
        </w:rPr>
      </w:pPr>
      <w:r>
        <w:rPr>
          <w:rFonts w:ascii="Times New Roman" w:cs="Times New Roman" w:eastAsia="Times New Roman" w:hAnsi="Times New Roman"/>
          <w:sz w:val="20"/>
          <w:szCs w:val="20"/>
          <w:color w:val="auto"/>
        </w:rPr>
        <w:t>dishonesty and computer fraud insurance covering losses arising out of or in connection with any fraudulent or dishonest acts committed by Galileo personnel, acting alone or with others, in an amount not less than [**] per occurrence.</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v. professional liability/errors and omissions insurance with coverage</w:t>
      </w:r>
    </w:p>
    <w:p>
      <w:pPr>
        <w:ind w:left="20" w:right="219"/>
        <w:spacing w:after="0" w:line="239" w:lineRule="auto"/>
        <w:rPr>
          <w:sz w:val="20"/>
          <w:szCs w:val="20"/>
          <w:color w:val="auto"/>
        </w:rPr>
      </w:pPr>
      <w:r>
        <w:rPr>
          <w:rFonts w:ascii="Times New Roman" w:cs="Times New Roman" w:eastAsia="Times New Roman" w:hAnsi="Times New Roman"/>
          <w:sz w:val="20"/>
          <w:szCs w:val="20"/>
          <w:color w:val="auto"/>
        </w:rPr>
        <w:t>of not less than [**] per claim. If such coverage is written on a claims-made basis, coverage with respect to any and all work performed in connection with this Agreement shall be maintained for a period of at least three (3) years after the expiration or termination of this Agreement.</w:t>
      </w:r>
    </w:p>
    <w:p>
      <w:pPr>
        <w:spacing w:after="0" w:line="1" w:lineRule="exact"/>
        <w:rPr>
          <w:sz w:val="20"/>
          <w:szCs w:val="20"/>
          <w:color w:val="auto"/>
        </w:rPr>
      </w:pPr>
    </w:p>
    <w:p>
      <w:pPr>
        <w:ind w:left="20" w:right="159" w:firstLine="745"/>
        <w:spacing w:after="0" w:line="239" w:lineRule="auto"/>
        <w:tabs>
          <w:tab w:leader="none" w:pos="1049"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prohibited by applicable law, Galileo shall name Customer as an additional insured under the insurance policies specified in Section 12.16(a)ii. All insurance required to be maintained hereunder by Galileo shall be written through companies having an A.M. Best’s rating of at least A- or with such other companies as may reasonably be approved by Customer. The commercial liability insurance maintained by Galileo hereunder shall include the condition that it is primary and that any such insurance maintained by Customer or any other additional insured is excess and non-contributory. If Galileo’s liability policies do not contain the standard separation of insured provision, or a substantially similar clause, such policies shall be endorsed to provide cross-liability coverage.</w:t>
      </w:r>
    </w:p>
    <w:p>
      <w:pPr>
        <w:spacing w:after="0" w:line="3"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20"/>
          <w:szCs w:val="20"/>
          <w:color w:val="auto"/>
        </w:rPr>
        <w:t>(c) Upon receipt of written request not sooner than thirty (30) days after the</w:t>
      </w:r>
    </w:p>
    <w:p>
      <w:pPr>
        <w:ind w:left="20" w:right="259"/>
        <w:spacing w:after="0"/>
        <w:rPr>
          <w:sz w:val="20"/>
          <w:szCs w:val="20"/>
          <w:color w:val="auto"/>
        </w:rPr>
      </w:pPr>
      <w:r>
        <w:rPr>
          <w:rFonts w:ascii="Times New Roman" w:cs="Times New Roman" w:eastAsia="Times New Roman" w:hAnsi="Times New Roman"/>
          <w:sz w:val="20"/>
          <w:szCs w:val="20"/>
          <w:color w:val="auto"/>
        </w:rPr>
        <w:t>execution of this Agreement, Galileo shall furnish to Customer certificates of insurance or other appropriate documentation (including evidence of renewal of insurance) evidencing all coverage referenced above and naming Customer as an additional insured for the coverage listed above. Galileo shall use commercially reasonable efforts to cause such certificates or other documentation to include a provision(s) whereby the carrier(s) will endeavor to provide thirty (30) days’ notice to Customer at the address(es) set forth herein for notice prior to coverage cancellation or reduction. Such cancellation or reduction shall not relieve Galileo of its continuing obligation to maintain insurance coverage in accordance with this Section 12.16. The obligation of Galileo to provide the insurance specified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876935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99"/>
          </w:cols>
          <w:pgMar w:left="1060" w:top="1409"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0"/>
          <w:szCs w:val="20"/>
          <w:color w:val="auto"/>
        </w:rPr>
        <w:t>shall not limit in any way any obligation or liability of Galileo provided elsewhere in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12.17 Security Audit; Audit Rights.</w:t>
      </w:r>
    </w:p>
    <w:p>
      <w:pPr>
        <w:spacing w:after="0" w:line="229"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color w:val="auto"/>
        </w:rPr>
        <w:t>Security Audit</w:t>
      </w:r>
      <w:r>
        <w:rPr>
          <w:rFonts w:ascii="Times New Roman" w:cs="Times New Roman" w:eastAsia="Times New Roman" w:hAnsi="Times New Roman"/>
          <w:sz w:val="20"/>
          <w:szCs w:val="20"/>
          <w:color w:val="auto"/>
        </w:rPr>
        <w:t>. On an annual basis, Galileo will employ a third party</w:t>
      </w:r>
    </w:p>
    <w:p>
      <w:pPr>
        <w:spacing w:after="0" w:line="26" w:lineRule="exact"/>
        <w:rPr>
          <w:sz w:val="20"/>
          <w:szCs w:val="20"/>
          <w:color w:val="auto"/>
        </w:rPr>
      </w:pPr>
    </w:p>
    <w:p>
      <w:pPr>
        <w:ind w:right="219"/>
        <w:spacing w:after="0"/>
        <w:rPr>
          <w:sz w:val="20"/>
          <w:szCs w:val="20"/>
          <w:color w:val="auto"/>
        </w:rPr>
      </w:pPr>
      <w:r>
        <w:rPr>
          <w:rFonts w:ascii="Times New Roman" w:cs="Times New Roman" w:eastAsia="Times New Roman" w:hAnsi="Times New Roman"/>
          <w:sz w:val="20"/>
          <w:szCs w:val="20"/>
          <w:color w:val="auto"/>
        </w:rPr>
        <w:t>experienced in performing system security audits to perform a SOC1 Type 2 audit of the internal controls maintained by Galileo in providing the Services, such audit to be made in compliance with the requirements under the applicable auditing standards. Galileo shall promptly provide Customer with a copy of the final auditor’s report of the audit following receipt. If such audit report indicates any deficiencies in the controls utilized by Galileo, Galileo shall promptly undertake, at Galileo’s expense, to remedy such deficiencies, and shall report to Customer when such deficiencies have been remedied.</w:t>
      </w:r>
    </w:p>
    <w:p>
      <w:pPr>
        <w:spacing w:after="0" w:line="20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b w:val="1"/>
          <w:bCs w:val="1"/>
          <w:color w:val="auto"/>
        </w:rPr>
        <w:t>Customer Right to Audit.</w:t>
      </w:r>
      <w:r>
        <w:rPr>
          <w:rFonts w:ascii="Times New Roman" w:cs="Times New Roman" w:eastAsia="Times New Roman" w:hAnsi="Times New Roman"/>
          <w:sz w:val="20"/>
          <w:szCs w:val="20"/>
          <w:color w:val="auto"/>
        </w:rPr>
        <w:t xml:space="preserve"> Customer or its designated representative</w:t>
      </w:r>
    </w:p>
    <w:p>
      <w:pPr>
        <w:spacing w:after="0" w:line="26" w:lineRule="exact"/>
        <w:rPr>
          <w:sz w:val="20"/>
          <w:szCs w:val="20"/>
          <w:color w:val="auto"/>
        </w:rPr>
      </w:pPr>
    </w:p>
    <w:p>
      <w:pPr>
        <w:ind w:right="119"/>
        <w:spacing w:after="0"/>
        <w:rPr>
          <w:sz w:val="20"/>
          <w:szCs w:val="20"/>
          <w:color w:val="auto"/>
        </w:rPr>
      </w:pPr>
      <w:r>
        <w:rPr>
          <w:rFonts w:ascii="Times New Roman" w:cs="Times New Roman" w:eastAsia="Times New Roman" w:hAnsi="Times New Roman"/>
          <w:sz w:val="20"/>
          <w:szCs w:val="20"/>
          <w:color w:val="auto"/>
        </w:rPr>
        <w:t>shall have the right, upon at least thirty (30) days written advance notice to Galileo, to enter Galileo’s facilities in order to review, inspect, and audit records of Galileo related to the provision of Services to Customer pursuant to this Agreement. Customer or its designated representative, provided such representative is approved in advance by Galileo, such approval not to be unreasonably withheld, condition or delayed, shall perform such review, inspection and audit at Customer’s sole cost and at a time that is non-performance impacting to Galileo. Galileo shall make all reasonable efforts to comply with requests from Customer or its designated representative to furnish information or access to Galileo’s systems for the purpose of completing the review, inspection and audit. Such audits will be conducted no more than once in any period of twelve (12) consecutive months. Any confidential or proprietary information of Galileo disclosed to Customer or the independent audit firm in the course of the audit will be subject to a confidentiality agreement reasonably acceptable to Galileo to be signed by Galileo and such independent firm prior to the commencement of such audit.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12.18 Disaster Recovery. </w:t>
      </w:r>
      <w:r>
        <w:rPr>
          <w:rFonts w:ascii="Times New Roman" w:cs="Times New Roman" w:eastAsia="Times New Roman" w:hAnsi="Times New Roman"/>
          <w:sz w:val="20"/>
          <w:szCs w:val="20"/>
          <w:color w:val="auto"/>
        </w:rPr>
        <w:t>Galileo shall, upon written request, share its disaster</w:t>
      </w:r>
    </w:p>
    <w:p>
      <w:pPr>
        <w:spacing w:after="0" w:line="26" w:lineRule="exact"/>
        <w:rPr>
          <w:sz w:val="20"/>
          <w:szCs w:val="20"/>
          <w:color w:val="auto"/>
        </w:rPr>
      </w:pPr>
    </w:p>
    <w:p>
      <w:pPr>
        <w:ind w:right="139"/>
        <w:spacing w:after="0" w:line="241" w:lineRule="auto"/>
        <w:rPr>
          <w:sz w:val="20"/>
          <w:szCs w:val="20"/>
          <w:color w:val="auto"/>
        </w:rPr>
      </w:pPr>
      <w:r>
        <w:rPr>
          <w:rFonts w:ascii="Times New Roman" w:cs="Times New Roman" w:eastAsia="Times New Roman" w:hAnsi="Times New Roman"/>
          <w:sz w:val="20"/>
          <w:szCs w:val="20"/>
          <w:color w:val="auto"/>
        </w:rPr>
        <w:t>recovery plan applicable to the Services with Customer. Galileo shall conduct a test of its disaster recovery plan at least annually and will promptly provide Customer with an annual written report describing the results of its testing. In the event of a disaster or similar event affecting Galileo’s performance of its obligations hereunder, Galileo shall promptly notify Customer and shall execute its disaster recovery plan.</w:t>
      </w:r>
    </w:p>
    <w:p>
      <w:pPr>
        <w:spacing w:after="0" w:line="198" w:lineRule="exact"/>
        <w:rPr>
          <w:sz w:val="20"/>
          <w:szCs w:val="20"/>
          <w:color w:val="auto"/>
        </w:rPr>
      </w:pPr>
    </w:p>
    <w:p>
      <w:pPr>
        <w:ind w:right="17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12.19 Due Diligence. </w:t>
      </w:r>
      <w:r>
        <w:rPr>
          <w:rFonts w:ascii="Times New Roman" w:cs="Times New Roman" w:eastAsia="Times New Roman" w:hAnsi="Times New Roman"/>
          <w:sz w:val="20"/>
          <w:szCs w:val="20"/>
          <w:color w:val="auto"/>
        </w:rPr>
        <w:t>Customer shall, upon written request, provide to Galileo its most recent audited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statements, Anti-Money Laundering Policy and information related to any shareholder of Customer holding 10% or more of the outstanding equity of Customer and such other information reasonably requested by Galileo.</w:t>
      </w:r>
    </w:p>
    <w:p>
      <w:pPr>
        <w:spacing w:after="0" w:line="182" w:lineRule="exact"/>
        <w:rPr>
          <w:sz w:val="20"/>
          <w:szCs w:val="20"/>
          <w:color w:val="auto"/>
        </w:rPr>
      </w:pPr>
    </w:p>
    <w:p>
      <w:pPr>
        <w:ind w:right="21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12.20 Error Remediation. </w:t>
      </w:r>
      <w:r>
        <w:rPr>
          <w:rFonts w:ascii="Times New Roman" w:cs="Times New Roman" w:eastAsia="Times New Roman" w:hAnsi="Times New Roman"/>
          <w:sz w:val="20"/>
          <w:szCs w:val="20"/>
          <w:color w:val="auto"/>
        </w:rPr>
        <w:t>Except as otherwise provided in the Agreement and this Section 12.20, Galileo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liable for and work in good faith with Customer to resolve processing errors or omissions by Galileo, which could result in a loss to Customer (except to the extent Customer contributed to the processing errors or omissions) including but not limited to: (a) posting any credit more than once;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870585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137" w:name="page138"/>
    <w:bookmarkEnd w:id="137"/>
    <w:p>
      <w:pPr>
        <w:ind w:right="159"/>
        <w:spacing w:after="0" w:line="243" w:lineRule="auto"/>
        <w:rPr>
          <w:sz w:val="20"/>
          <w:szCs w:val="20"/>
          <w:color w:val="auto"/>
        </w:rPr>
      </w:pPr>
      <w:r>
        <w:rPr>
          <w:rFonts w:ascii="Times New Roman" w:cs="Times New Roman" w:eastAsia="Times New Roman" w:hAnsi="Times New Roman"/>
          <w:sz w:val="20"/>
          <w:szCs w:val="20"/>
          <w:color w:val="auto"/>
        </w:rPr>
        <w:t>failure to enforce any transaction limitation or account balance; (c) failure to properly authorize a transaction; (d) fee assessment issues or (e) failure to post any transaction or adjustment submitted by Customer via web services or as a batch. If such an error can be mitigated by Galileo taking certain actions including but not limited to recovering funds directly from the applicable Cardholders, Galileo will seek approval from Customer prior to attempting to recover such funds directly from the Cardholder; provided, however, if Customer withholds its consent to collect such additional funds from the Cardholder, Customer shall be responsible for such loss to the extent Galileo could have collected such additional funds from the Cardholders taking into account Cardholder balances and future payment activity of the Cardholders.</w:t>
      </w:r>
    </w:p>
    <w:p>
      <w:pPr>
        <w:spacing w:after="0" w:line="199" w:lineRule="exact"/>
        <w:rPr>
          <w:sz w:val="20"/>
          <w:szCs w:val="20"/>
          <w:color w:val="auto"/>
        </w:rPr>
      </w:pPr>
    </w:p>
    <w:p>
      <w:pPr>
        <w:ind w:right="159"/>
        <w:spacing w:after="0" w:line="246" w:lineRule="auto"/>
        <w:rPr>
          <w:sz w:val="20"/>
          <w:szCs w:val="20"/>
          <w:color w:val="auto"/>
        </w:rPr>
      </w:pPr>
      <w:r>
        <w:rPr>
          <w:rFonts w:ascii="Times New Roman" w:cs="Times New Roman" w:eastAsia="Times New Roman" w:hAnsi="Times New Roman"/>
          <w:sz w:val="20"/>
          <w:szCs w:val="20"/>
          <w:b w:val="1"/>
          <w:bCs w:val="1"/>
          <w:color w:val="auto"/>
        </w:rPr>
        <w:t>12.21 PCI Compliance</w:t>
      </w:r>
      <w:r>
        <w:rPr>
          <w:rFonts w:ascii="Times New Roman" w:cs="Times New Roman" w:eastAsia="Times New Roman" w:hAnsi="Times New Roman"/>
          <w:sz w:val="20"/>
          <w:szCs w:val="20"/>
          <w:color w:val="auto"/>
        </w:rPr>
        <w:t>. Galileo is certified compliant, and shall remain certified compliant throughout the term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Agreement with the Payment Card Industry (“PCI”) Data Security Standards provided such standards are required by the Associations. Upon request by Customer, Galileo shall provide annually evidence that it has been certified as PCI compliant. In the event that any party hereto accesses, stores, transmits or processes Cardholder data or data subject to PCI obligations, such party shall establish and maintain appropriate administrative, technical and physical safeguards in accordance with PCI.</w:t>
      </w:r>
    </w:p>
    <w:p>
      <w:pPr>
        <w:spacing w:after="0" w:line="19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[The remainder of this page is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895350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sectPr>
      </w:pPr>
    </w:p>
    <w:bookmarkStart w:id="138" w:name="page139"/>
    <w:bookmarkEnd w:id="138"/>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IN WITNESS WHEREOF, this Service Agreement is executed effective as of the Effective Date.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0" w:type="dxa"/>
            <w:vAlign w:val="bottom"/>
          </w:tcPr>
          <w:p>
            <w:pPr>
              <w:spacing w:after="0"/>
              <w:rPr>
                <w:sz w:val="22"/>
                <w:szCs w:val="22"/>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Dave, Inc.</w:t>
            </w:r>
          </w:p>
        </w:tc>
        <w:tc>
          <w:tcPr>
            <w:tcW w:w="920" w:type="dxa"/>
            <w:vAlign w:val="bottom"/>
          </w:tcPr>
          <w:p>
            <w:pPr>
              <w:spacing w:after="0"/>
              <w:rPr>
                <w:sz w:val="22"/>
                <w:szCs w:val="22"/>
                <w:color w:val="auto"/>
              </w:rPr>
            </w:pPr>
          </w:p>
        </w:tc>
        <w:tc>
          <w:tcPr>
            <w:tcW w:w="83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Galileo Financial Technologies, Inc.:</w:t>
            </w:r>
          </w:p>
        </w:tc>
      </w:tr>
      <w:tr>
        <w:trPr>
          <w:trHeight w:val="413"/>
        </w:trPr>
        <w:tc>
          <w:tcPr>
            <w:tcW w:w="100" w:type="dxa"/>
            <w:vAlign w:val="bottom"/>
          </w:tcPr>
          <w:p>
            <w:pPr>
              <w:spacing w:after="0"/>
              <w:rPr>
                <w:sz w:val="24"/>
                <w:szCs w:val="24"/>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 Kyle Beilman</w:t>
            </w:r>
          </w:p>
        </w:tc>
        <w:tc>
          <w:tcPr>
            <w:tcW w:w="920" w:type="dxa"/>
            <w:vAlign w:val="bottom"/>
          </w:tcPr>
          <w:p>
            <w:pPr>
              <w:spacing w:after="0"/>
              <w:rPr>
                <w:sz w:val="24"/>
                <w:szCs w:val="24"/>
                <w:color w:val="auto"/>
              </w:rPr>
            </w:pPr>
          </w:p>
        </w:tc>
        <w:tc>
          <w:tcPr>
            <w:tcW w:w="83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 Clay Wilkes</w:t>
            </w:r>
          </w:p>
        </w:tc>
      </w:tr>
      <w:tr>
        <w:trPr>
          <w:trHeight w:val="256"/>
        </w:trPr>
        <w:tc>
          <w:tcPr>
            <w:tcW w:w="100" w:type="dxa"/>
            <w:vAlign w:val="bottom"/>
          </w:tcPr>
          <w:p>
            <w:pPr>
              <w:spacing w:after="0"/>
              <w:rPr>
                <w:sz w:val="22"/>
                <w:szCs w:val="22"/>
                <w:color w:val="auto"/>
              </w:rPr>
            </w:pPr>
          </w:p>
        </w:tc>
        <w:tc>
          <w:tcPr>
            <w:tcW w:w="13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rPr>
              <w:t>By</w:t>
            </w:r>
          </w:p>
        </w:tc>
        <w:tc>
          <w:tcPr>
            <w:tcW w:w="520" w:type="dxa"/>
            <w:vAlign w:val="bottom"/>
          </w:tcPr>
          <w:p>
            <w:pPr>
              <w:spacing w:after="0"/>
              <w:rPr>
                <w:sz w:val="22"/>
                <w:szCs w:val="22"/>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By</w:t>
            </w:r>
          </w:p>
        </w:tc>
        <w:tc>
          <w:tcPr>
            <w:tcW w:w="1200" w:type="dxa"/>
            <w:vAlign w:val="bottom"/>
            <w:tcBorders>
              <w:top w:val="single" w:sz="8" w:color="auto"/>
            </w:tcBorders>
            <w:gridSpan w:val="4"/>
          </w:tcPr>
          <w:p>
            <w:pPr>
              <w:spacing w:after="0"/>
              <w:rPr>
                <w:sz w:val="22"/>
                <w:szCs w:val="22"/>
                <w:color w:val="auto"/>
              </w:rPr>
            </w:pPr>
          </w:p>
        </w:tc>
        <w:tc>
          <w:tcPr>
            <w:tcW w:w="7160" w:type="dxa"/>
            <w:vAlign w:val="bottom"/>
          </w:tcPr>
          <w:p>
            <w:pPr>
              <w:spacing w:after="0"/>
              <w:rPr>
                <w:sz w:val="22"/>
                <w:szCs w:val="22"/>
                <w:color w:val="auto"/>
              </w:rPr>
            </w:pPr>
          </w:p>
        </w:tc>
      </w:tr>
      <w:tr>
        <w:trPr>
          <w:trHeight w:val="413"/>
        </w:trPr>
        <w:tc>
          <w:tcPr>
            <w:tcW w:w="1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Kyle Beilman</w:t>
            </w:r>
          </w:p>
        </w:tc>
        <w:tc>
          <w:tcPr>
            <w:tcW w:w="68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83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Clay Wilkes</w:t>
            </w:r>
          </w:p>
        </w:tc>
      </w:tr>
      <w:tr>
        <w:trPr>
          <w:trHeight w:val="256"/>
        </w:trPr>
        <w:tc>
          <w:tcPr>
            <w:tcW w:w="100" w:type="dxa"/>
            <w:vAlign w:val="bottom"/>
          </w:tcPr>
          <w:p>
            <w:pPr>
              <w:spacing w:after="0"/>
              <w:rPr>
                <w:sz w:val="22"/>
                <w:szCs w:val="22"/>
                <w:color w:val="auto"/>
              </w:rPr>
            </w:pPr>
          </w:p>
        </w:tc>
        <w:tc>
          <w:tcPr>
            <w:tcW w:w="1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Name</w:t>
            </w:r>
          </w:p>
        </w:tc>
        <w:tc>
          <w:tcPr>
            <w:tcW w:w="680" w:type="dxa"/>
            <w:vAlign w:val="bottom"/>
            <w:gridSpan w:val="2"/>
          </w:tcPr>
          <w:p>
            <w:pPr>
              <w:spacing w:after="0"/>
              <w:rPr>
                <w:sz w:val="22"/>
                <w:szCs w:val="22"/>
                <w:color w:val="auto"/>
              </w:rPr>
            </w:pPr>
          </w:p>
        </w:tc>
        <w:tc>
          <w:tcPr>
            <w:tcW w:w="920" w:type="dxa"/>
            <w:vAlign w:val="bottom"/>
          </w:tcPr>
          <w:p>
            <w:pPr>
              <w:spacing w:after="0"/>
              <w:rPr>
                <w:sz w:val="22"/>
                <w:szCs w:val="22"/>
                <w:color w:val="auto"/>
              </w:rPr>
            </w:pPr>
          </w:p>
        </w:tc>
        <w:tc>
          <w:tcPr>
            <w:tcW w:w="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auto"/>
              </w:rPr>
              <w:t>Name</w:t>
            </w:r>
          </w:p>
        </w:tc>
        <w:tc>
          <w:tcPr>
            <w:tcW w:w="7400" w:type="dxa"/>
            <w:vAlign w:val="bottom"/>
            <w:gridSpan w:val="2"/>
          </w:tcPr>
          <w:p>
            <w:pPr>
              <w:spacing w:after="0"/>
              <w:rPr>
                <w:sz w:val="22"/>
                <w:szCs w:val="22"/>
                <w:color w:val="auto"/>
              </w:rPr>
            </w:pPr>
          </w:p>
        </w:tc>
      </w:tr>
      <w:tr>
        <w:trPr>
          <w:trHeight w:val="413"/>
        </w:trPr>
        <w:tc>
          <w:tcPr>
            <w:tcW w:w="1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4"/>
              </w:rPr>
              <w:t>COO</w:t>
            </w:r>
          </w:p>
        </w:tc>
        <w:tc>
          <w:tcPr>
            <w:tcW w:w="144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83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CEO</w:t>
            </w:r>
          </w:p>
        </w:tc>
      </w:tr>
      <w:tr>
        <w:trPr>
          <w:trHeight w:val="256"/>
        </w:trPr>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Its</w:t>
            </w:r>
          </w:p>
        </w:tc>
        <w:tc>
          <w:tcPr>
            <w:tcW w:w="1440" w:type="dxa"/>
            <w:vAlign w:val="bottom"/>
            <w:gridSpan w:val="4"/>
          </w:tcPr>
          <w:p>
            <w:pPr>
              <w:spacing w:after="0"/>
              <w:rPr>
                <w:sz w:val="22"/>
                <w:szCs w:val="22"/>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Its</w:t>
            </w:r>
          </w:p>
        </w:tc>
        <w:tc>
          <w:tcPr>
            <w:tcW w:w="380" w:type="dxa"/>
            <w:vAlign w:val="bottom"/>
            <w:tcBorders>
              <w:top w:val="single" w:sz="8" w:color="auto"/>
            </w:tcBorders>
          </w:tcPr>
          <w:p>
            <w:pPr>
              <w:spacing w:after="0"/>
              <w:rPr>
                <w:sz w:val="22"/>
                <w:szCs w:val="22"/>
                <w:color w:val="auto"/>
              </w:rPr>
            </w:pPr>
          </w:p>
        </w:tc>
        <w:tc>
          <w:tcPr>
            <w:tcW w:w="7980" w:type="dxa"/>
            <w:vAlign w:val="bottom"/>
            <w:gridSpan w:val="4"/>
          </w:tcPr>
          <w:p>
            <w:pPr>
              <w:spacing w:after="0"/>
              <w:rPr>
                <w:sz w:val="22"/>
                <w:szCs w:val="22"/>
                <w:color w:val="auto"/>
              </w:rPr>
            </w:pPr>
          </w:p>
        </w:tc>
      </w:tr>
      <w:tr>
        <w:trPr>
          <w:trHeight w:val="413"/>
        </w:trPr>
        <w:tc>
          <w:tcPr>
            <w:tcW w:w="1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3/23/2020</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gridSpan w:val="4"/>
          </w:tcPr>
          <w:p>
            <w:pPr>
              <w:ind w:left="920"/>
              <w:spacing w:after="0"/>
              <w:rPr>
                <w:sz w:val="20"/>
                <w:szCs w:val="20"/>
                <w:color w:val="auto"/>
              </w:rPr>
            </w:pPr>
            <w:r>
              <w:rPr>
                <w:rFonts w:ascii="Times New Roman" w:cs="Times New Roman" w:eastAsia="Times New Roman" w:hAnsi="Times New Roman"/>
                <w:sz w:val="20"/>
                <w:szCs w:val="20"/>
                <w:color w:val="auto"/>
              </w:rPr>
              <w:t>3/25/2020</w:t>
            </w:r>
          </w:p>
        </w:tc>
        <w:tc>
          <w:tcPr>
            <w:tcW w:w="24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256"/>
        </w:trPr>
        <w:tc>
          <w:tcPr>
            <w:tcW w:w="100" w:type="dxa"/>
            <w:vAlign w:val="bottom"/>
          </w:tcPr>
          <w:p>
            <w:pPr>
              <w:spacing w:after="0"/>
              <w:rPr>
                <w:sz w:val="22"/>
                <w:szCs w:val="22"/>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Date</w:t>
            </w:r>
          </w:p>
        </w:tc>
        <w:tc>
          <w:tcPr>
            <w:tcW w:w="1060" w:type="dxa"/>
            <w:vAlign w:val="bottom"/>
            <w:gridSpan w:val="3"/>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Date</w:t>
            </w:r>
          </w:p>
        </w:tc>
        <w:tc>
          <w:tcPr>
            <w:tcW w:w="7560" w:type="dxa"/>
            <w:vAlign w:val="bottom"/>
            <w:gridSpan w:val="3"/>
          </w:tcPr>
          <w:p>
            <w:pPr>
              <w:spacing w:after="0"/>
              <w:rPr>
                <w:sz w:val="22"/>
                <w:szCs w:val="22"/>
                <w:color w:val="auto"/>
              </w:rPr>
            </w:pPr>
          </w:p>
        </w:tc>
      </w:tr>
      <w:tr>
        <w:trPr>
          <w:trHeight w:val="1405"/>
        </w:trPr>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ind w:left="1980"/>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definitions apply to the terms set forth below when used in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“AAA” is defined in Section 5.2 to this Agreement.</w:t>
      </w:r>
    </w:p>
    <w:p>
      <w:pPr>
        <w:spacing w:after="0" w:line="229" w:lineRule="exact"/>
        <w:rPr>
          <w:sz w:val="20"/>
          <w:szCs w:val="20"/>
          <w:color w:val="auto"/>
        </w:rPr>
      </w:pPr>
    </w:p>
    <w:p>
      <w:pPr>
        <w:ind w:right="399" w:firstLine="749"/>
        <w:spacing w:after="0" w:line="254" w:lineRule="auto"/>
        <w:rPr>
          <w:sz w:val="20"/>
          <w:szCs w:val="20"/>
          <w:color w:val="auto"/>
        </w:rPr>
      </w:pPr>
      <w:r>
        <w:rPr>
          <w:rFonts w:ascii="Times New Roman" w:cs="Times New Roman" w:eastAsia="Times New Roman" w:hAnsi="Times New Roman"/>
          <w:sz w:val="20"/>
          <w:szCs w:val="20"/>
          <w:color w:val="auto"/>
        </w:rPr>
        <w:t>“Acquire” (and with the correlative meaning “Acquisition”) means to acquire, directly or indirectly, an interest through purchase, exchange or other acquisition of assets, stock or other equity interests, or to merge or consolidate or any similar transaction. 0</w:t>
      </w:r>
    </w:p>
    <w:p>
      <w:pPr>
        <w:spacing w:after="0" w:line="188" w:lineRule="exact"/>
        <w:rPr>
          <w:sz w:val="20"/>
          <w:szCs w:val="20"/>
          <w:color w:val="auto"/>
        </w:rPr>
      </w:pPr>
    </w:p>
    <w:p>
      <w:pPr>
        <w:ind w:right="499" w:firstLine="749"/>
        <w:spacing w:after="0" w:line="269" w:lineRule="auto"/>
        <w:rPr>
          <w:sz w:val="20"/>
          <w:szCs w:val="20"/>
          <w:color w:val="auto"/>
        </w:rPr>
      </w:pPr>
      <w:r>
        <w:rPr>
          <w:rFonts w:ascii="Times New Roman" w:cs="Times New Roman" w:eastAsia="Times New Roman" w:hAnsi="Times New Roman"/>
          <w:sz w:val="20"/>
          <w:szCs w:val="20"/>
          <w:color w:val="auto"/>
        </w:rPr>
        <w:t>“Affiliate” means, with respect to any Entity, any other Entity which, directly or indirectly, owns or Controls, is owned or Controlled by, or is under common ownership or common Control with such Entity.</w:t>
      </w:r>
    </w:p>
    <w:p>
      <w:pPr>
        <w:spacing w:after="0" w:line="173" w:lineRule="exact"/>
        <w:rPr>
          <w:sz w:val="20"/>
          <w:szCs w:val="20"/>
          <w:color w:val="auto"/>
        </w:rPr>
      </w:pPr>
    </w:p>
    <w:p>
      <w:pPr>
        <w:ind w:right="299" w:firstLine="749"/>
        <w:spacing w:after="0" w:line="250" w:lineRule="auto"/>
        <w:rPr>
          <w:sz w:val="20"/>
          <w:szCs w:val="20"/>
          <w:color w:val="auto"/>
        </w:rPr>
      </w:pPr>
      <w:r>
        <w:rPr>
          <w:rFonts w:ascii="Times New Roman" w:cs="Times New Roman" w:eastAsia="Times New Roman" w:hAnsi="Times New Roman"/>
          <w:sz w:val="20"/>
          <w:szCs w:val="20"/>
          <w:color w:val="auto"/>
        </w:rPr>
        <w:t>“Agreement” means this Service Agreement as amended from time to time including any Exhibits attached hereto from time to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“Association” means MasterCard, Visa and/or any other any other card network system.</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“Bank” is defined in the Recitals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“Bank Account” is defined in Section 4.4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“Cardholder” means an individual or Entity which has a Cardholder Account with Bank.</w:t>
      </w:r>
    </w:p>
    <w:p>
      <w:pPr>
        <w:spacing w:after="0" w:line="229" w:lineRule="exact"/>
        <w:rPr>
          <w:sz w:val="20"/>
          <w:szCs w:val="20"/>
          <w:color w:val="auto"/>
        </w:rPr>
      </w:pPr>
    </w:p>
    <w:p>
      <w:pPr>
        <w:ind w:right="239" w:firstLine="749"/>
        <w:spacing w:after="0" w:line="269" w:lineRule="auto"/>
        <w:rPr>
          <w:sz w:val="20"/>
          <w:szCs w:val="20"/>
          <w:color w:val="auto"/>
        </w:rPr>
      </w:pPr>
      <w:r>
        <w:rPr>
          <w:rFonts w:ascii="Times New Roman" w:cs="Times New Roman" w:eastAsia="Times New Roman" w:hAnsi="Times New Roman"/>
          <w:sz w:val="20"/>
          <w:szCs w:val="20"/>
          <w:color w:val="auto"/>
        </w:rPr>
        <w:t>“Cardholder Account” means an arrangement between an individual or an Entity and Bank which provides that the individual or Entity may use one or more Transaction Cards and Accounts issued by Bank.</w:t>
      </w:r>
    </w:p>
    <w:p>
      <w:pPr>
        <w:spacing w:after="0" w:line="173" w:lineRule="exact"/>
        <w:rPr>
          <w:sz w:val="20"/>
          <w:szCs w:val="20"/>
          <w:color w:val="auto"/>
        </w:rPr>
      </w:pPr>
    </w:p>
    <w:p>
      <w:pPr>
        <w:ind w:right="479" w:firstLine="749"/>
        <w:spacing w:after="0" w:line="269" w:lineRule="auto"/>
        <w:rPr>
          <w:sz w:val="20"/>
          <w:szCs w:val="20"/>
          <w:color w:val="auto"/>
        </w:rPr>
      </w:pPr>
      <w:r>
        <w:rPr>
          <w:rFonts w:ascii="Times New Roman" w:cs="Times New Roman" w:eastAsia="Times New Roman" w:hAnsi="Times New Roman"/>
          <w:sz w:val="20"/>
          <w:szCs w:val="20"/>
          <w:color w:val="auto"/>
        </w:rPr>
        <w:t>“Change of Control” means a change in the direct or indirect ownership of a majority of an Entity’s outstanding capital stock (or other form of ownership) or a majority of the voting power in any election of directors.</w:t>
      </w:r>
    </w:p>
    <w:p>
      <w:pPr>
        <w:spacing w:after="0" w:line="173" w:lineRule="exact"/>
        <w:rPr>
          <w:sz w:val="20"/>
          <w:szCs w:val="20"/>
          <w:color w:val="auto"/>
        </w:rPr>
      </w:pPr>
    </w:p>
    <w:p>
      <w:pPr>
        <w:ind w:right="279" w:firstLine="749"/>
        <w:spacing w:after="0" w:line="269" w:lineRule="auto"/>
        <w:rPr>
          <w:sz w:val="20"/>
          <w:szCs w:val="20"/>
          <w:color w:val="auto"/>
        </w:rPr>
      </w:pPr>
      <w:r>
        <w:rPr>
          <w:rFonts w:ascii="Times New Roman" w:cs="Times New Roman" w:eastAsia="Times New Roman" w:hAnsi="Times New Roman"/>
          <w:sz w:val="20"/>
          <w:szCs w:val="20"/>
          <w:color w:val="auto"/>
        </w:rPr>
        <w:t>“Control” (and with the correlative meaning “Controlled”) means the power to direct the management or affairs of an Entity and “ownership” means the beneficial ownership of more than 50% of the equity securities of the Entity.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“Customer” is defined in the introductory paragraph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“Customer Accounts” means the Cardholder Accounts of Customer and Bank.</w:t>
      </w:r>
    </w:p>
    <w:p>
      <w:pPr>
        <w:spacing w:after="0" w:line="22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“Customer’s Proprietary Information” is defined in Section 10.1 of this Agreement.</w:t>
      </w:r>
    </w:p>
    <w:p>
      <w:pPr>
        <w:spacing w:after="0" w:line="229" w:lineRule="exact"/>
        <w:rPr>
          <w:sz w:val="20"/>
          <w:szCs w:val="20"/>
          <w:color w:val="auto"/>
        </w:rPr>
      </w:pPr>
    </w:p>
    <w:p>
      <w:pPr>
        <w:ind w:right="539" w:firstLine="749"/>
        <w:spacing w:after="0" w:line="249" w:lineRule="auto"/>
        <w:rPr>
          <w:sz w:val="20"/>
          <w:szCs w:val="20"/>
          <w:color w:val="auto"/>
        </w:rPr>
      </w:pPr>
      <w:r>
        <w:rPr>
          <w:rFonts w:ascii="Times New Roman" w:cs="Times New Roman" w:eastAsia="Times New Roman" w:hAnsi="Times New Roman"/>
          <w:sz w:val="20"/>
          <w:szCs w:val="20"/>
          <w:color w:val="auto"/>
        </w:rPr>
        <w:t>“Deconversion” means cooperation in migration of the Services to Customer or a new processor on behalf of Customer and the transfer of information concerning Customer Accounts from the Galileo System to Customer or a new processor pursuant to Galileo’s standard deconversion procedures upon expiration or following termination of this Agreement.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“Dispute” is defined in Section 5.1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40" w:name="page141"/>
    <w:bookmarkEnd w:id="140"/>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“Effective Date” is defined in the introductory paragraph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“Enhancements” is defined in Section 2.5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“Entity” means a corporation, partnership, sole proprietorship, joint venture, or other form of organization.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“Former Accounts” is defined in Section 3.3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“Galileo” is defined in the introductory paragraph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“Galileo’s Proprietary Information” is defined in Section 10.2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“Galileo System” means the computer equipment, computer software and related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equipment and documentation used at any time and from time to time by Galileo to provide the Services.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“Insolvency Event” occurs, with respect to any party, when such party:</w:t>
      </w:r>
    </w:p>
    <w:p>
      <w:pPr>
        <w:spacing w:after="0" w:line="229" w:lineRule="exact"/>
        <w:rPr>
          <w:sz w:val="20"/>
          <w:szCs w:val="20"/>
          <w:color w:val="auto"/>
        </w:rPr>
      </w:pPr>
    </w:p>
    <w:p>
      <w:pPr>
        <w:ind w:right="259" w:firstLine="757"/>
        <w:spacing w:after="0" w:line="269" w:lineRule="auto"/>
        <w:tabs>
          <w:tab w:leader="none" w:pos="985"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dissolved, becomes insolvent, generally fails to pay or admits in writing its inability generally to pay its debts as they become due;</w:t>
      </w:r>
    </w:p>
    <w:p>
      <w:pPr>
        <w:spacing w:after="0" w:line="172"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makes a general assignment, arrangement or composition agreement with or for the benefit of its creditors; or</w:t>
      </w:r>
    </w:p>
    <w:p>
      <w:pPr>
        <w:spacing w:after="0" w:line="229" w:lineRule="exact"/>
        <w:rPr>
          <w:rFonts w:ascii="Times New Roman" w:cs="Times New Roman" w:eastAsia="Times New Roman" w:hAnsi="Times New Roman"/>
          <w:sz w:val="20"/>
          <w:szCs w:val="20"/>
          <w:color w:val="auto"/>
        </w:rPr>
      </w:pPr>
    </w:p>
    <w:p>
      <w:pPr>
        <w:ind w:right="219" w:firstLine="757"/>
        <w:spacing w:after="0" w:line="260" w:lineRule="auto"/>
        <w:tabs>
          <w:tab w:leader="none" w:pos="1095" w:val="left"/>
        </w:tabs>
        <w:numPr>
          <w:ilvl w:val="1"/>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files a petition in bankruptcy or institutes any action under federal or state law for the relief of debtors or seeks or consents to the appointment of an administrator, receiver, custodian, or similar official for the wind up of its business (or has such a petition or action filed against it and such petition action or appointment is not dismissed or stayed within thirty</w:t>
      </w:r>
    </w:p>
    <w:p>
      <w:pPr>
        <w:ind w:left="440" w:hanging="432"/>
        <w:spacing w:after="0"/>
        <w:tabs>
          <w:tab w:leader="none" w:pos="4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“Legal Requirements” is defined in Section 2.6(a)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“MasterCard” means MasterCard® International, a New York corporation.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“Minimum Monthly Fee” is defined in Section 3.1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“Original Term” is defined in Section 8.1 of this Agreement.</w:t>
      </w:r>
    </w:p>
    <w:p>
      <w:pPr>
        <w:spacing w:after="0" w:line="225" w:lineRule="exact"/>
        <w:rPr>
          <w:sz w:val="20"/>
          <w:szCs w:val="20"/>
          <w:color w:val="auto"/>
        </w:rPr>
      </w:pPr>
    </w:p>
    <w:p>
      <w:pPr>
        <w:jc w:val="both"/>
        <w:ind w:right="219" w:firstLine="749"/>
        <w:spacing w:after="0" w:line="248" w:lineRule="auto"/>
        <w:rPr>
          <w:sz w:val="20"/>
          <w:szCs w:val="20"/>
          <w:color w:val="auto"/>
        </w:rPr>
      </w:pPr>
      <w:r>
        <w:rPr>
          <w:rFonts w:ascii="Times New Roman" w:cs="Times New Roman" w:eastAsia="Times New Roman" w:hAnsi="Times New Roman"/>
          <w:sz w:val="20"/>
          <w:szCs w:val="20"/>
          <w:color w:val="auto"/>
        </w:rPr>
        <w:t xml:space="preserve">“Processing Fees” means all fees and charges incurred and for Services performed at the prices set forth in </w:t>
      </w:r>
      <w:r>
        <w:rPr>
          <w:rFonts w:ascii="Times New Roman" w:cs="Times New Roman" w:eastAsia="Times New Roman" w:hAnsi="Times New Roman"/>
          <w:sz w:val="20"/>
          <w:szCs w:val="20"/>
          <w:b w:val="1"/>
          <w:bCs w:val="1"/>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 </w:t>
      </w:r>
      <w:r>
        <w:rPr>
          <w:rFonts w:ascii="Times New Roman" w:cs="Times New Roman" w:eastAsia="Times New Roman" w:hAnsi="Times New Roman"/>
          <w:sz w:val="20"/>
          <w:szCs w:val="20"/>
          <w:color w:val="auto"/>
        </w:rPr>
        <w:t>to this Agreement, as adjusted from time to time by Galileo consistent with this Agreement with the exception of Special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Fees and specifically excluding all charges for taxes and interest.</w:t>
      </w:r>
    </w:p>
    <w:p>
      <w:pPr>
        <w:spacing w:after="0" w:line="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“Processing Year” is defined in Section 8.1 of this Agreement.</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“Processing Year 1” is defined in Section 8.1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“Renewal Term” is defined in Section 8.2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“Services” is defined in Section 2.1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“Special Fee Deposit” is defined in Section 4.2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“Special Fees” means the amounts payable by Customer for services or goods provided by a</w:t>
      </w:r>
    </w:p>
    <w:p>
      <w:pPr>
        <w:spacing w:after="0" w:line="22" w:lineRule="exact"/>
        <w:rPr>
          <w:sz w:val="20"/>
          <w:szCs w:val="20"/>
          <w:color w:val="auto"/>
        </w:rPr>
      </w:pPr>
    </w:p>
    <w:p>
      <w:pPr>
        <w:ind w:right="319"/>
        <w:spacing w:after="0" w:line="242" w:lineRule="auto"/>
        <w:rPr>
          <w:sz w:val="20"/>
          <w:szCs w:val="20"/>
          <w:color w:val="auto"/>
        </w:rPr>
      </w:pPr>
      <w:r>
        <w:rPr>
          <w:rFonts w:ascii="Times New Roman" w:cs="Times New Roman" w:eastAsia="Times New Roman" w:hAnsi="Times New Roman"/>
          <w:sz w:val="20"/>
          <w:szCs w:val="20"/>
          <w:color w:val="auto"/>
        </w:rPr>
        <w:t xml:space="preserve">third party, including, without limitation, fees and expenses, Bank fees and expenses, Association fees and expenses, tariff line rates, WATS lines rates, data circuit charges, communications common carrier charges, postage costs, courier costs and costs of forms and such other costs and expenses as may be set forth in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to this Agreement.</w:t>
      </w:r>
    </w:p>
    <w:p>
      <w:pPr>
        <w:spacing w:after="0" w:line="200" w:lineRule="exact"/>
        <w:rPr>
          <w:sz w:val="20"/>
          <w:szCs w:val="20"/>
          <w:color w:val="auto"/>
        </w:rPr>
      </w:pPr>
    </w:p>
    <w:p>
      <w:pPr>
        <w:ind w:right="379" w:firstLine="749"/>
        <w:spacing w:after="0" w:line="269" w:lineRule="auto"/>
        <w:rPr>
          <w:sz w:val="20"/>
          <w:szCs w:val="20"/>
          <w:color w:val="auto"/>
        </w:rPr>
      </w:pPr>
      <w:r>
        <w:rPr>
          <w:rFonts w:ascii="Times New Roman" w:cs="Times New Roman" w:eastAsia="Times New Roman" w:hAnsi="Times New Roman"/>
          <w:sz w:val="20"/>
          <w:szCs w:val="20"/>
          <w:color w:val="auto"/>
        </w:rPr>
        <w:t>“Startup” means the transfer of Customer’s data relating to the Customer Accounts to the Galileo System and the commencement of Services by Galileo.</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“Successor Bank” is defined in Section 2.9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“Surviving Entity” is defined in Section 3.4(a)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“Term” is defined in Section 8.2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“Transaction Cards and Accounts” is defined in the Recitals of this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“Visa” means VISA® U.S.A.,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2" w:name="page143"/>
    <w:bookmarkEnd w:id="142"/>
    <w:p>
      <w:pPr>
        <w:ind w:left="2380"/>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14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b w:val="1"/>
          <w:bCs w:val="1"/>
          <w:color w:val="auto"/>
        </w:rPr>
        <w:t>Services</w:t>
      </w:r>
    </w:p>
    <w:p>
      <w:pPr>
        <w:spacing w:after="0" w:line="229"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u w:val="single" w:color="auto"/>
          <w:color w:val="auto"/>
        </w:rPr>
        <w:t>Description of Services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Galileo will provide Customer the following Services: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 Processing of all authorization and settlement transactions made with or on a Transaction Card or Cardholder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w:t>
      </w:r>
    </w:p>
    <w:p>
      <w:pPr>
        <w:spacing w:after="0" w:line="207" w:lineRule="exact"/>
        <w:rPr>
          <w:sz w:val="20"/>
          <w:szCs w:val="20"/>
          <w:color w:val="auto"/>
        </w:rPr>
      </w:pPr>
    </w:p>
    <w:p>
      <w:pPr>
        <w:ind w:left="1040" w:hanging="283"/>
        <w:spacing w:after="0"/>
        <w:tabs>
          <w:tab w:leader="none" w:pos="104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Processing of all payments and adjustments made to a Transaction Card or Cardholder Account;</w:t>
      </w:r>
    </w:p>
    <w:p>
      <w:pPr>
        <w:spacing w:after="0" w:line="22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and updating Cardholder information;</w:t>
      </w:r>
    </w:p>
    <w:p>
      <w:pPr>
        <w:spacing w:after="0" w:line="229" w:lineRule="exact"/>
        <w:rPr>
          <w:rFonts w:ascii="Times New Roman" w:cs="Times New Roman" w:eastAsia="Times New Roman" w:hAnsi="Times New Roman"/>
          <w:sz w:val="20"/>
          <w:szCs w:val="20"/>
          <w:color w:val="auto"/>
        </w:rPr>
      </w:pPr>
    </w:p>
    <w:p>
      <w:pPr>
        <w:ind w:right="379" w:firstLine="757"/>
        <w:spacing w:after="0" w:line="269" w:lineRule="auto"/>
        <w:tabs>
          <w:tab w:leader="none" w:pos="102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interface to Customer’s vendors for necessary third-party servicing including card embossing, letter generation and statement generation;</w:t>
      </w:r>
    </w:p>
    <w:p>
      <w:pPr>
        <w:spacing w:after="0" w:line="172" w:lineRule="exact"/>
        <w:rPr>
          <w:rFonts w:ascii="Times New Roman" w:cs="Times New Roman" w:eastAsia="Times New Roman" w:hAnsi="Times New Roman"/>
          <w:sz w:val="20"/>
          <w:szCs w:val="20"/>
          <w:color w:val="auto"/>
        </w:rPr>
      </w:pPr>
    </w:p>
    <w:p>
      <w:pPr>
        <w:ind w:right="219" w:firstLine="757"/>
        <w:spacing w:after="0" w:line="254" w:lineRule="auto"/>
        <w:tabs>
          <w:tab w:leader="none" w:pos="101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customer service with customer service personnel capable of serving English speaking Cardholders to assist Cardholders contacting customer service via phone, fax or in writing with issues or problems related to Transaction Cards and Accounts;</w:t>
      </w:r>
    </w:p>
    <w:p>
      <w:pPr>
        <w:spacing w:after="0" w:line="187" w:lineRule="exact"/>
        <w:rPr>
          <w:rFonts w:ascii="Times New Roman" w:cs="Times New Roman" w:eastAsia="Times New Roman" w:hAnsi="Times New Roman"/>
          <w:sz w:val="20"/>
          <w:szCs w:val="20"/>
          <w:color w:val="auto"/>
        </w:rPr>
      </w:pPr>
    </w:p>
    <w:p>
      <w:pPr>
        <w:ind w:right="739" w:firstLine="757"/>
        <w:spacing w:after="0" w:line="269" w:lineRule="auto"/>
        <w:tabs>
          <w:tab w:leader="none" w:pos="996"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Web services for Cardholder applications and viewing Transaction Card or Cardholder Account transactions;</w:t>
      </w:r>
    </w:p>
    <w:p>
      <w:pPr>
        <w:spacing w:after="0" w:line="172" w:lineRule="exact"/>
        <w:rPr>
          <w:rFonts w:ascii="Times New Roman" w:cs="Times New Roman" w:eastAsia="Times New Roman" w:hAnsi="Times New Roman"/>
          <w:sz w:val="20"/>
          <w:szCs w:val="20"/>
          <w:color w:val="auto"/>
        </w:rPr>
      </w:pPr>
    </w:p>
    <w:p>
      <w:pPr>
        <w:ind w:right="299" w:firstLine="757"/>
        <w:spacing w:after="0" w:line="254" w:lineRule="auto"/>
        <w:tabs>
          <w:tab w:leader="none" w:pos="102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Cardholders with a, 24-hours per day, 7 days per week mechanism for obtaining and /or hearing Transaction Cards and Accounts information in English over the telephone, including through an interactive voice response (IVR) unit;</w:t>
      </w:r>
    </w:p>
    <w:p>
      <w:pPr>
        <w:spacing w:after="0" w:line="187" w:lineRule="exact"/>
        <w:rPr>
          <w:rFonts w:ascii="Times New Roman" w:cs="Times New Roman" w:eastAsia="Times New Roman" w:hAnsi="Times New Roman"/>
          <w:sz w:val="20"/>
          <w:szCs w:val="20"/>
          <w:color w:val="auto"/>
        </w:rPr>
      </w:pPr>
    </w:p>
    <w:p>
      <w:pPr>
        <w:ind w:right="199" w:firstLine="757"/>
        <w:spacing w:after="0" w:line="269" w:lineRule="auto"/>
        <w:tabs>
          <w:tab w:leader="none" w:pos="102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to Customer reporting and documentation of all Transaction Cards and Accounts sales, settlement and Transaction Cards and Accounts portfolio monetary transactions;</w:t>
      </w:r>
    </w:p>
    <w:p>
      <w:pPr>
        <w:spacing w:after="0" w:line="172" w:lineRule="exact"/>
        <w:rPr>
          <w:rFonts w:ascii="Times New Roman" w:cs="Times New Roman" w:eastAsia="Times New Roman" w:hAnsi="Times New Roman"/>
          <w:sz w:val="20"/>
          <w:szCs w:val="20"/>
          <w:color w:val="auto"/>
        </w:rPr>
      </w:pPr>
    </w:p>
    <w:p>
      <w:pPr>
        <w:ind w:right="259" w:firstLine="757"/>
        <w:spacing w:after="0" w:line="295" w:lineRule="auto"/>
        <w:tabs>
          <w:tab w:leader="none" w:pos="985"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Cooperating and working with all parties involved in the sales, issuance, loading, acceptance of the Transaction Cards and Accounts, and merchants accepting the Transaction Cards and Accounts for purchases or cash withdrawals;</w:t>
      </w:r>
    </w:p>
    <w:p>
      <w:pPr>
        <w:spacing w:after="0" w:line="151" w:lineRule="exact"/>
        <w:rPr>
          <w:rFonts w:ascii="Times New Roman" w:cs="Times New Roman" w:eastAsia="Times New Roman" w:hAnsi="Times New Roman"/>
          <w:sz w:val="19"/>
          <w:szCs w:val="19"/>
          <w:color w:val="auto"/>
        </w:rPr>
      </w:pPr>
    </w:p>
    <w:p>
      <w:pPr>
        <w:ind w:left="1000" w:hanging="243"/>
        <w:spacing w:after="0"/>
        <w:tabs>
          <w:tab w:leader="none" w:pos="100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chargeback monitoring and processing as requested 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Customer within Association and regulatory guidelines;</w:t>
      </w:r>
    </w:p>
    <w:p>
      <w:pPr>
        <w:spacing w:after="0" w:line="207" w:lineRule="exact"/>
        <w:rPr>
          <w:sz w:val="20"/>
          <w:szCs w:val="20"/>
          <w:color w:val="auto"/>
        </w:rPr>
      </w:pPr>
    </w:p>
    <w:p>
      <w:pPr>
        <w:ind w:right="399" w:firstLine="757"/>
        <w:spacing w:after="0" w:line="269" w:lineRule="auto"/>
        <w:tabs>
          <w:tab w:leader="none" w:pos="1029"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suite of fraud management reports, processes and procedures as Customer may request in writing and agreed to by Galileo;</w:t>
      </w:r>
    </w:p>
    <w:p>
      <w:pPr>
        <w:spacing w:after="0" w:line="172" w:lineRule="exact"/>
        <w:rPr>
          <w:rFonts w:ascii="Times New Roman" w:cs="Times New Roman" w:eastAsia="Times New Roman" w:hAnsi="Times New Roman"/>
          <w:sz w:val="20"/>
          <w:szCs w:val="20"/>
          <w:color w:val="auto"/>
        </w:rPr>
      </w:pPr>
    </w:p>
    <w:p>
      <w:pPr>
        <w:ind w:left="1000" w:hanging="243"/>
        <w:spacing w:after="0"/>
        <w:tabs>
          <w:tab w:leader="none" w:pos="10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such training as reasonably necessary to enable Customer’s personnel to successfully use these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w:t>
      </w:r>
    </w:p>
    <w:p>
      <w:pPr>
        <w:spacing w:after="0" w:line="207" w:lineRule="exact"/>
        <w:rPr>
          <w:rFonts w:ascii="Times New Roman" w:cs="Times New Roman" w:eastAsia="Times New Roman" w:hAnsi="Times New Roman"/>
          <w:sz w:val="20"/>
          <w:szCs w:val="20"/>
          <w:color w:val="auto"/>
        </w:rPr>
      </w:pPr>
    </w:p>
    <w:p>
      <w:pPr>
        <w:ind w:left="1100" w:hanging="343"/>
        <w:spacing w:after="0"/>
        <w:tabs>
          <w:tab w:leader="none" w:pos="110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updating and archiving Cardholder information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related information, from which Bank will be able to generate reports;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 Managing returned mail including Transaction Cards and Accounts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periodic statements, if any, due to undeliverable addresses or other reasons;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 Providing reasonable assistance, on an on-going basis, to Bank in</w:t>
      </w:r>
    </w:p>
    <w:p>
      <w:pPr>
        <w:spacing w:after="0" w:line="22" w:lineRule="exact"/>
        <w:rPr>
          <w:sz w:val="20"/>
          <w:szCs w:val="20"/>
          <w:color w:val="auto"/>
        </w:rPr>
      </w:pPr>
    </w:p>
    <w:p>
      <w:pPr>
        <w:ind w:right="899"/>
        <w:spacing w:after="0" w:line="246" w:lineRule="auto"/>
        <w:rPr>
          <w:sz w:val="20"/>
          <w:szCs w:val="20"/>
          <w:color w:val="auto"/>
        </w:rPr>
      </w:pPr>
      <w:r>
        <w:rPr>
          <w:rFonts w:ascii="Times New Roman" w:cs="Times New Roman" w:eastAsia="Times New Roman" w:hAnsi="Times New Roman"/>
          <w:sz w:val="20"/>
          <w:szCs w:val="20"/>
          <w:color w:val="auto"/>
        </w:rPr>
        <w:t>resolving Cardholder or vendor problems related to the Transaction Cards and Accounts or the use, issuance, sale or reloading thereof;</w:t>
      </w:r>
    </w:p>
    <w:p>
      <w:pPr>
        <w:spacing w:after="0" w:line="195" w:lineRule="exact"/>
        <w:rPr>
          <w:sz w:val="20"/>
          <w:szCs w:val="20"/>
          <w:color w:val="auto"/>
        </w:rPr>
      </w:pPr>
    </w:p>
    <w:p>
      <w:pPr>
        <w:ind w:right="3139" w:firstLine="757"/>
        <w:spacing w:after="0" w:line="295" w:lineRule="auto"/>
        <w:tabs>
          <w:tab w:leader="none" w:pos="1029"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Providing and monitoring the data communication between Galileo and Customer or vendors for reporting purposes and for consolidated transaction processing;</w:t>
      </w:r>
    </w:p>
    <w:p>
      <w:pPr>
        <w:spacing w:after="0" w:line="151" w:lineRule="exact"/>
        <w:rPr>
          <w:rFonts w:ascii="Times New Roman" w:cs="Times New Roman" w:eastAsia="Times New Roman" w:hAnsi="Times New Roman"/>
          <w:sz w:val="19"/>
          <w:szCs w:val="19"/>
          <w:color w:val="auto"/>
        </w:rPr>
      </w:pPr>
    </w:p>
    <w:p>
      <w:pPr>
        <w:ind w:left="1040" w:hanging="283"/>
        <w:spacing w:after="0"/>
        <w:tabs>
          <w:tab w:leader="none" w:pos="104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a mechanism for Cardholder dispute resolution;</w:t>
      </w:r>
    </w:p>
    <w:p>
      <w:pPr>
        <w:spacing w:after="0" w:line="229" w:lineRule="exact"/>
        <w:rPr>
          <w:rFonts w:ascii="Times New Roman" w:cs="Times New Roman" w:eastAsia="Times New Roman" w:hAnsi="Times New Roman"/>
          <w:sz w:val="20"/>
          <w:szCs w:val="20"/>
          <w:color w:val="auto"/>
        </w:rPr>
      </w:pPr>
    </w:p>
    <w:p>
      <w:pPr>
        <w:ind w:left="1000" w:hanging="243"/>
        <w:spacing w:after="0"/>
        <w:tabs>
          <w:tab w:leader="none" w:pos="10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ID verification services as requested in writing by Customer to</w:t>
      </w:r>
    </w:p>
    <w:p>
      <w:pPr>
        <w:spacing w:after="0" w:line="22" w:lineRule="exact"/>
        <w:rPr>
          <w:sz w:val="20"/>
          <w:szCs w:val="20"/>
          <w:color w:val="auto"/>
        </w:rPr>
      </w:pPr>
    </w:p>
    <w:p>
      <w:pPr>
        <w:ind w:right="239"/>
        <w:spacing w:after="0" w:line="242" w:lineRule="auto"/>
        <w:rPr>
          <w:sz w:val="20"/>
          <w:szCs w:val="20"/>
          <w:color w:val="auto"/>
        </w:rPr>
      </w:pPr>
      <w:r>
        <w:rPr>
          <w:rFonts w:ascii="Times New Roman" w:cs="Times New Roman" w:eastAsia="Times New Roman" w:hAnsi="Times New Roman"/>
          <w:sz w:val="20"/>
          <w:szCs w:val="20"/>
          <w:color w:val="auto"/>
        </w:rPr>
        <w:t>assist Customer in meeting its obligations to comply with USA Patriot Act and OFAC and Customer’s criteria for “know your customer” requirements; and (s) Providing Cardholder Account information on a daily basis to Customer or third-party for collection process.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Galileo System Availability; Service Credits for System Outages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2.1 Service Levels. </w:t>
      </w:r>
      <w:r>
        <w:rPr>
          <w:rFonts w:ascii="Times New Roman" w:cs="Times New Roman" w:eastAsia="Times New Roman" w:hAnsi="Times New Roman"/>
          <w:sz w:val="20"/>
          <w:szCs w:val="20"/>
          <w:color w:val="auto"/>
        </w:rPr>
        <w:t>Galileo shall ensure that the Galileo System is available as follows:</w:t>
      </w:r>
    </w:p>
    <w:p>
      <w:pPr>
        <w:spacing w:after="0" w:line="229" w:lineRule="exact"/>
        <w:rPr>
          <w:sz w:val="20"/>
          <w:szCs w:val="20"/>
          <w:color w:val="auto"/>
        </w:rPr>
      </w:pPr>
    </w:p>
    <w:p>
      <w:pPr>
        <w:ind w:right="919" w:firstLine="757"/>
        <w:spacing w:after="0" w:line="273" w:lineRule="auto"/>
        <w:tabs>
          <w:tab w:leader="none" w:pos="101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Authorization </w:t>
      </w:r>
      <w:r>
        <w:rPr>
          <w:rFonts w:ascii="Times New Roman" w:cs="Times New Roman" w:eastAsia="Times New Roman" w:hAnsi="Times New Roman"/>
          <w:sz w:val="20"/>
          <w:szCs w:val="20"/>
          <w:color w:val="auto"/>
        </w:rPr>
        <w:t>– Galileo will provide authorization availability meeting or exceeding [**]% excluding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Approved Maintenance measured on a calendar month basis.</w:t>
      </w:r>
    </w:p>
    <w:p>
      <w:pPr>
        <w:spacing w:after="0" w:line="16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Internet Services </w:t>
      </w:r>
      <w:r>
        <w:rPr>
          <w:rFonts w:ascii="Times New Roman" w:cs="Times New Roman" w:eastAsia="Times New Roman" w:hAnsi="Times New Roman"/>
          <w:sz w:val="20"/>
          <w:szCs w:val="20"/>
          <w:color w:val="auto"/>
        </w:rPr>
        <w:t>– Galileo will provide system-wide availability to</w:t>
      </w:r>
    </w:p>
    <w:p>
      <w:pPr>
        <w:spacing w:after="0" w:line="26" w:lineRule="exact"/>
        <w:rPr>
          <w:sz w:val="20"/>
          <w:szCs w:val="20"/>
          <w:color w:val="auto"/>
        </w:rPr>
      </w:pPr>
    </w:p>
    <w:p>
      <w:pPr>
        <w:ind w:right="159"/>
        <w:spacing w:after="0" w:line="246" w:lineRule="auto"/>
        <w:rPr>
          <w:sz w:val="20"/>
          <w:szCs w:val="20"/>
          <w:color w:val="auto"/>
        </w:rPr>
      </w:pPr>
      <w:r>
        <w:rPr>
          <w:rFonts w:ascii="Times New Roman" w:cs="Times New Roman" w:eastAsia="Times New Roman" w:hAnsi="Times New Roman"/>
          <w:sz w:val="20"/>
          <w:szCs w:val="20"/>
          <w:color w:val="auto"/>
        </w:rPr>
        <w:t>internet based applications offered to Customer and cardholders meeting or exceeding [**]% availability excluding Approved Maintenance measured on a calendar month basis.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b w:val="1"/>
          <w:bCs w:val="1"/>
          <w:color w:val="auto"/>
        </w:rPr>
        <w:t>IVR</w:t>
      </w:r>
      <w:r>
        <w:rPr>
          <w:rFonts w:ascii="Times New Roman" w:cs="Times New Roman" w:eastAsia="Times New Roman" w:hAnsi="Times New Roman"/>
          <w:sz w:val="20"/>
          <w:szCs w:val="20"/>
          <w:color w:val="auto"/>
        </w:rPr>
        <w:t xml:space="preserve"> – Galileo will provide system-wide availability to the IVR system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meeting or exceeding [**]% excluding Approved Maintenance measured on a calendar month basis.</w:t>
      </w:r>
    </w:p>
    <w:p>
      <w:pPr>
        <w:spacing w:after="0" w:line="203" w:lineRule="exact"/>
        <w:rPr>
          <w:sz w:val="20"/>
          <w:szCs w:val="20"/>
          <w:color w:val="auto"/>
        </w:rPr>
      </w:pPr>
    </w:p>
    <w:p>
      <w:pPr>
        <w:ind w:right="199" w:firstLine="757"/>
        <w:spacing w:after="0" w:line="256" w:lineRule="auto"/>
        <w:tabs>
          <w:tab w:leader="none" w:pos="1029" w:val="left"/>
        </w:tabs>
        <w:numPr>
          <w:ilvl w:val="1"/>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Call Center </w:t>
      </w:r>
      <w:r>
        <w:rPr>
          <w:rFonts w:ascii="Times New Roman" w:cs="Times New Roman" w:eastAsia="Times New Roman" w:hAnsi="Times New Roman"/>
          <w:sz w:val="19"/>
          <w:szCs w:val="19"/>
          <w:color w:val="auto"/>
        </w:rPr>
        <w:t>– If requested by Customer, Galileo will provide customer service with customer service personnel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capable of serving English speaking Cardholders to assist Cardholders contacting customer service via phone, fax or in writing with issues or problems related to Transaction Cards and Accounts. If Customer requests other languages to be supported by Galileo, Customer and Galileo shall work in good faith to determine whether Galileo can support such calls and the financial terms under which such other calls would be supported. Provided there are at least [**] live agent calls per day during each month, Galileo will provide call center services meeting an average speed of answer (calendar month average) of</w:t>
      </w:r>
    </w:p>
    <w:p>
      <w:pPr>
        <w:spacing w:after="0" w:line="4"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seconds on [**]% of the calls and the maximum abandonment rate shall not exceed [**]% of calls on hold for more than</w:t>
      </w:r>
    </w:p>
    <w:p>
      <w:pPr>
        <w:spacing w:after="0" w:line="11" w:lineRule="exact"/>
        <w:rPr>
          <w:rFonts w:ascii="Times New Roman" w:cs="Times New Roman" w:eastAsia="Times New Roman" w:hAnsi="Times New Roman"/>
          <w:sz w:val="19"/>
          <w:szCs w:val="19"/>
          <w:color w:val="auto"/>
        </w:rPr>
      </w:pPr>
    </w:p>
    <w:p>
      <w:pPr>
        <w:ind w:right="559" w:firstLine="8"/>
        <w:spacing w:after="0" w:line="246" w:lineRule="auto"/>
        <w:tabs>
          <w:tab w:leader="none" w:pos="379"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seconds. If there are less than [**] calls per day, the average speed of answer (calendar month average) shall be [**] seconds on [**]% of the calls.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Definitions.</w:t>
      </w:r>
    </w:p>
    <w:p>
      <w:pPr>
        <w:spacing w:after="0" w:line="233" w:lineRule="exact"/>
        <w:rPr>
          <w:sz w:val="20"/>
          <w:szCs w:val="20"/>
          <w:color w:val="auto"/>
        </w:rPr>
      </w:pPr>
    </w:p>
    <w:p>
      <w:pPr>
        <w:ind w:right="3899" w:firstLine="757"/>
        <w:spacing w:after="0" w:line="269" w:lineRule="auto"/>
        <w:tabs>
          <w:tab w:leader="none" w:pos="101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Maintenance” shall mean Scheduled Maintenance and Emergency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44" w:name="page145"/>
    <w:bookmarkEnd w:id="144"/>
    <w:p>
      <w:pPr>
        <w:ind w:right="459" w:firstLine="757"/>
        <w:spacing w:after="0" w:line="249" w:lineRule="auto"/>
        <w:tabs>
          <w:tab w:leader="none" w:pos="1029"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“Emergency Maintenance” shall mean maintenance which falls outside the regularly planned Scheduled Maintenance windows related to security of the Galileo System. Galileo will make commercially reasonable efforts to provide notification by telephone before outages are incurred by Emergency Maintenance. Where appropriate, Emergency Maintenance will be implemented during times of minimal impact.</w:t>
      </w:r>
    </w:p>
    <w:p>
      <w:pPr>
        <w:spacing w:after="0" w:line="193" w:lineRule="exact"/>
        <w:rPr>
          <w:rFonts w:ascii="Times New Roman" w:cs="Times New Roman" w:eastAsia="Times New Roman" w:hAnsi="Times New Roman"/>
          <w:sz w:val="20"/>
          <w:szCs w:val="20"/>
          <w:color w:val="auto"/>
        </w:rPr>
      </w:pPr>
    </w:p>
    <w:p>
      <w:pPr>
        <w:ind w:right="279" w:firstLine="757"/>
        <w:spacing w:after="0" w:line="246" w:lineRule="auto"/>
        <w:tabs>
          <w:tab w:leader="none" w:pos="101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“Scheduled Maintenance” means routine, scheduled maintenance. Galileo will have outage windows for Scheduled Maintenance every Tuesday between the hours of 12:00 a.m. and 6:00 a.m. Mountain Time. Galileo will provide written notification (which may be delivered via e-mail) forty-eight (48) hours in advance of notice outside of the Scheduled Maintenance window except for Emergency Maintenance. If Customer approves of maintenance outside of the Scheduled Maintenance, such maintenance shall be included in Scheduled Maintenance.</w:t>
      </w:r>
    </w:p>
    <w:p>
      <w:pPr>
        <w:spacing w:after="0" w:line="198"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“Monthly Processing Fees” means all Processing Fees under the Event</w:t>
      </w:r>
    </w:p>
    <w:p>
      <w:pPr>
        <w:spacing w:after="0" w:line="22" w:lineRule="exact"/>
        <w:rPr>
          <w:sz w:val="20"/>
          <w:szCs w:val="20"/>
          <w:color w:val="auto"/>
        </w:rPr>
      </w:pPr>
    </w:p>
    <w:p>
      <w:pPr>
        <w:ind w:right="379"/>
        <w:spacing w:after="0" w:line="246" w:lineRule="auto"/>
        <w:rPr>
          <w:sz w:val="20"/>
          <w:szCs w:val="20"/>
          <w:color w:val="auto"/>
        </w:rPr>
      </w:pPr>
      <w:r>
        <w:rPr>
          <w:rFonts w:ascii="Times New Roman" w:cs="Times New Roman" w:eastAsia="Times New Roman" w:hAnsi="Times New Roman"/>
          <w:sz w:val="20"/>
          <w:szCs w:val="20"/>
          <w:color w:val="auto"/>
        </w:rPr>
        <w:t xml:space="preserve">Pricing subheading of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and the Partner Pricing Customer Service Section of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billed to Customer during the applicable month.</w:t>
      </w:r>
    </w:p>
    <w:p>
      <w:pPr>
        <w:spacing w:after="0" w:line="191" w:lineRule="exact"/>
        <w:rPr>
          <w:sz w:val="20"/>
          <w:szCs w:val="20"/>
          <w:color w:val="auto"/>
        </w:rPr>
      </w:pPr>
    </w:p>
    <w:p>
      <w:pPr>
        <w:ind w:right="339"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2.3 Credits. </w:t>
      </w:r>
      <w:r>
        <w:rPr>
          <w:rFonts w:ascii="Times New Roman" w:cs="Times New Roman" w:eastAsia="Times New Roman" w:hAnsi="Times New Roman"/>
          <w:sz w:val="20"/>
          <w:szCs w:val="20"/>
          <w:color w:val="auto"/>
        </w:rPr>
        <w:t>If Galileo fails, during any calendar month to comply with any [**] service levels (“Service Levels”)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in Section 2.1 (a “Failed Month”), Customer will be entitled to a credit (“Service Credit”) of [**] to Galileo during such Failed Month. If Galileo experiences a Failed Month, during the next consecutive calendar month, Customer will be entitled to Service Credit of [**] during such second Failed Month. If Galileo experiences a Failed Month, during the third consecutive calendar month, Customer will be entitled to a Service Credit of [**] during such third Failed Month. Notwithstanding anything in this Agreement to the contrary, in no event shall the total cumulative Service Credits for any month exceed [**].</w:t>
      </w:r>
    </w:p>
    <w:p>
      <w:pPr>
        <w:spacing w:after="0" w:line="193" w:lineRule="exact"/>
        <w:rPr>
          <w:sz w:val="20"/>
          <w:szCs w:val="20"/>
          <w:color w:val="auto"/>
        </w:rPr>
      </w:pPr>
    </w:p>
    <w:p>
      <w:pPr>
        <w:ind w:right="159"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2.4 Termination. </w:t>
      </w:r>
      <w:r>
        <w:rPr>
          <w:rFonts w:ascii="Times New Roman" w:cs="Times New Roman" w:eastAsia="Times New Roman" w:hAnsi="Times New Roman"/>
          <w:sz w:val="20"/>
          <w:szCs w:val="20"/>
          <w:color w:val="auto"/>
        </w:rPr>
        <w:t>Customer shall have the right to terminate the Agreement with no further financial obligation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Section 9.4 of the Agreement upon thirty (30) days’ notice to Galileo, provided Customer provides Galileo written notice within thirty (30) days after the “Termination Event” below has occurred and provided that such termination shall become effective on a date specified by Customer which date shall not be later than six (6) months after Customer’s delivery to Galileo of a written notice of its intention to so terminate this Agreement. Despite such termination, Galileo will continue to be responsible for Deconversion pursuant to Section 4.7 of the Agreement at no further cost to Customer. As used herein, a “</w:t>
      </w:r>
      <w:r>
        <w:rPr>
          <w:rFonts w:ascii="Times New Roman" w:cs="Times New Roman" w:eastAsia="Times New Roman" w:hAnsi="Times New Roman"/>
          <w:sz w:val="20"/>
          <w:szCs w:val="20"/>
          <w:i w:val="1"/>
          <w:iCs w:val="1"/>
          <w:color w:val="auto"/>
        </w:rPr>
        <w:t>Termination Event</w:t>
      </w:r>
      <w:r>
        <w:rPr>
          <w:rFonts w:ascii="Times New Roman" w:cs="Times New Roman" w:eastAsia="Times New Roman" w:hAnsi="Times New Roman"/>
          <w:sz w:val="20"/>
          <w:szCs w:val="20"/>
          <w:color w:val="auto"/>
        </w:rPr>
        <w:t>” shall mean:</w:t>
      </w:r>
    </w:p>
    <w:p>
      <w:pPr>
        <w:spacing w:after="0" w:line="197" w:lineRule="exact"/>
        <w:rPr>
          <w:sz w:val="20"/>
          <w:szCs w:val="20"/>
          <w:color w:val="auto"/>
        </w:rPr>
      </w:pPr>
    </w:p>
    <w:p>
      <w:pPr>
        <w:ind w:left="1020" w:hanging="263"/>
        <w:spacing w:after="0"/>
        <w:tabs>
          <w:tab w:leader="none" w:pos="10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Failed Months;</w:t>
      </w:r>
    </w:p>
    <w:p>
      <w:pPr>
        <w:spacing w:after="0" w:line="229"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Failed Months out of the previous [**] months, regardless of whether such failures occurred in consecutive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months; or</w:t>
      </w:r>
    </w:p>
    <w:p>
      <w:pPr>
        <w:spacing w:after="0" w:line="207"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Catastrophic Event. For purposes of this Section 2.4, Catastrophic</w:t>
      </w:r>
    </w:p>
    <w:p>
      <w:pPr>
        <w:spacing w:after="0" w:line="22" w:lineRule="exact"/>
        <w:rPr>
          <w:sz w:val="20"/>
          <w:szCs w:val="20"/>
          <w:color w:val="auto"/>
        </w:rPr>
      </w:pPr>
    </w:p>
    <w:p>
      <w:pPr>
        <w:ind w:right="739"/>
        <w:spacing w:after="0" w:line="246" w:lineRule="auto"/>
        <w:rPr>
          <w:sz w:val="20"/>
          <w:szCs w:val="20"/>
          <w:color w:val="auto"/>
        </w:rPr>
      </w:pPr>
      <w:r>
        <w:rPr>
          <w:rFonts w:ascii="Times New Roman" w:cs="Times New Roman" w:eastAsia="Times New Roman" w:hAnsi="Times New Roman"/>
          <w:sz w:val="20"/>
          <w:szCs w:val="20"/>
          <w:color w:val="auto"/>
        </w:rPr>
        <w:t>Event shall mean the Galileo System functionality described in Section 2.1(a), (b), or (c) fails to meet or exceed [**]% availability excluding Approved Maintenance measured on a calendar month basis.</w:t>
      </w:r>
    </w:p>
    <w:p>
      <w:pPr>
        <w:spacing w:after="0" w:line="191" w:lineRule="exact"/>
        <w:rPr>
          <w:sz w:val="20"/>
          <w:szCs w:val="20"/>
          <w:color w:val="auto"/>
        </w:rPr>
      </w:pPr>
    </w:p>
    <w:p>
      <w:pPr>
        <w:ind w:right="259"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2.5 Remedy. </w:t>
      </w:r>
      <w:r>
        <w:rPr>
          <w:rFonts w:ascii="Times New Roman" w:cs="Times New Roman" w:eastAsia="Times New Roman" w:hAnsi="Times New Roman"/>
          <w:sz w:val="20"/>
          <w:szCs w:val="20"/>
          <w:color w:val="auto"/>
        </w:rPr>
        <w:t>Customer and Galileo agree that the Service Credits and termination rights contemplated herein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liquidated damages and that the payment of any such Service Credits or the exercise of the termination right is the exclusive remedy for Galileo’s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45" w:name="page146"/>
    <w:bookmarkEnd w:id="145"/>
    <w:p>
      <w:pPr>
        <w:ind w:right="119"/>
        <w:spacing w:after="0" w:line="242" w:lineRule="auto"/>
        <w:rPr>
          <w:sz w:val="20"/>
          <w:szCs w:val="20"/>
          <w:color w:val="auto"/>
        </w:rPr>
      </w:pPr>
      <w:r>
        <w:rPr>
          <w:rFonts w:ascii="Times New Roman" w:cs="Times New Roman" w:eastAsia="Times New Roman" w:hAnsi="Times New Roman"/>
          <w:sz w:val="20"/>
          <w:szCs w:val="20"/>
          <w:color w:val="auto"/>
        </w:rPr>
        <w:t>to meet the requirements of this Section 2 and is in full and final settlement of any claim which Customer may have for losses caused directly by the failure to meet the specific requirements of this Section 2. Upon receipt of the Service Credit or the exercise of the termination right, Customer shall be deemed to knowingly, voluntarily and unconditionally release, acquit and forever discharge, to the maximum extent permitted by applicable law, Galileo and its Affiliates from any and all charges, complaints, claims, liabilities, obligations, promises, agreements, damages, actions, causes of action, costs, damages and expenses (including attorneys’ fees and costs actually incurred) of any nature whatsoever, known or unknown, suspected or unsuspected, liquidated or unliquidated, which Customer then has, owns, or holds, or claims to have, own or hold, or which at any time theretofore, had owned or held, or claimed to have owned or held, or which Customer at any time thereafter may have, own, or hold, or claim to have owned or held against Galileo or its Affiliates based upon, arising out of or relating to the Galileo’s failure to meet the requirements of this Section 2.</w:t>
      </w:r>
    </w:p>
    <w:p>
      <w:pPr>
        <w:spacing w:after="0" w:line="202" w:lineRule="exact"/>
        <w:rPr>
          <w:sz w:val="20"/>
          <w:szCs w:val="20"/>
          <w:color w:val="auto"/>
        </w:rPr>
      </w:pPr>
    </w:p>
    <w:p>
      <w:pPr>
        <w:ind w:right="15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Forecasts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Customer will provide Galileo thirty (30) days prior to the period to which it applies, a thirty (30) day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rolling marketing forecast, or more frequently as agreed between the parties, which will consist of projections for new Cardholder Account originations and call volume over the following thirty (30) days and in the case of call volume, broken out by daily call volume (the “Monthly Forecast”). Galileo shall use the Monthly Forecast to perform planning services in support of its obligation to maintain the functionality of the Services and perform in accordance with this Agreement. The first seven (7) days of each Monthly Forecast are the Locked Forecast (the “Locked Forecast”) and cannot be changed by Customer. If during any day the number of customer service calls received by Galileo does not exceed 80% of the daily projection of customer service calls for such day, then for such day Customer shall pay to Galileo the average call time for the previous month multiplied by the applicable Live Agent Customer Service rate per call for the difference between (x) 80% of the projected number of customer service calls for such day and (y) the actual number of customer service calls received by Galileo for such day; provided, however, that in the event the total number of customer service calls received by Galileo during the calendar month is 90% or more of the projections for such month, Customer will not be required to pay the daily fees specified in this paragraph. By way of example, and for purpose of clarification only, if on a given day, Galileo received 500 customer service calls under the Agreement, Customer projected there to be 750 customer service calls on such day, the average call time for the previous month was four minutes, and all of the calls were being handled domestically, Customer would be required to pay to Galileo [**]((4*[**]) * ((750*80%)-500))) for such day but only if the total number of customer service calls received by Galileo under this Agreement for the applicable month did not meet or exceed the aggregate of 90% of the total number of customer service calls expected pursuant to the forecast for such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46" w:name="page147"/>
    <w:bookmarkEnd w:id="146"/>
    <w:p>
      <w:pPr>
        <w:ind w:right="3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Excuse from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Galileo shall not be responsible for a failure to meet any Service Level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such failure is directly attributable to, or Galileo’s performance is materially hindered by, any of the following:</w:t>
      </w:r>
    </w:p>
    <w:p>
      <w:pPr>
        <w:spacing w:after="0" w:line="165" w:lineRule="exact"/>
        <w:rPr>
          <w:sz w:val="20"/>
          <w:szCs w:val="20"/>
          <w:color w:val="auto"/>
        </w:rPr>
      </w:pPr>
    </w:p>
    <w:p>
      <w:pPr>
        <w:ind w:right="659"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4.1 </w:t>
      </w:r>
      <w:r>
        <w:rPr>
          <w:rFonts w:ascii="Times New Roman" w:cs="Times New Roman" w:eastAsia="Times New Roman" w:hAnsi="Times New Roman"/>
          <w:sz w:val="20"/>
          <w:szCs w:val="20"/>
          <w:color w:val="auto"/>
        </w:rPr>
        <w:t>Customer’s (or a Customer Affiliate’s or a third party supplier’s) acts, errors, omissions, or breaches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4.2 </w:t>
      </w:r>
      <w:r>
        <w:rPr>
          <w:rFonts w:ascii="Times New Roman" w:cs="Times New Roman" w:eastAsia="Times New Roman" w:hAnsi="Times New Roman"/>
          <w:sz w:val="20"/>
          <w:szCs w:val="20"/>
          <w:color w:val="auto"/>
        </w:rPr>
        <w:t>Service or resource reductions requested or approved by Customer and agreed to by the parties;</w:t>
      </w:r>
    </w:p>
    <w:p>
      <w:pPr>
        <w:spacing w:after="0" w:line="229" w:lineRule="exact"/>
        <w:rPr>
          <w:sz w:val="20"/>
          <w:szCs w:val="20"/>
          <w:color w:val="auto"/>
        </w:rPr>
      </w:pPr>
    </w:p>
    <w:p>
      <w:pPr>
        <w:ind w:right="699"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4.3 </w:t>
      </w:r>
      <w:r>
        <w:rPr>
          <w:rFonts w:ascii="Times New Roman" w:cs="Times New Roman" w:eastAsia="Times New Roman" w:hAnsi="Times New Roman"/>
          <w:sz w:val="20"/>
          <w:szCs w:val="20"/>
          <w:color w:val="auto"/>
        </w:rPr>
        <w:t>Cardholder Account volumes exceeding by twenty percent (20%) or more of the monthly new Cardholder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Account originations or daily call volume projections in the Monthly Forecast; or</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4.4 </w:t>
      </w:r>
      <w:r>
        <w:rPr>
          <w:rFonts w:ascii="Times New Roman" w:cs="Times New Roman" w:eastAsia="Times New Roman" w:hAnsi="Times New Roman"/>
          <w:sz w:val="20"/>
          <w:szCs w:val="20"/>
          <w:color w:val="auto"/>
        </w:rPr>
        <w:t>Any event that would constitute a force majeure event pursuant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9" w:right="1440"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Exhibit 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Price Schedule</w:t>
      </w:r>
    </w:p>
    <w:p>
      <w:pPr>
        <w:spacing w:after="0" w:line="3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878840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35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Exhibit D</w:t>
      </w:r>
    </w:p>
    <w:p>
      <w:pPr>
        <w:spacing w:after="0" w:line="13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9"/>
          <w:szCs w:val="19"/>
          <w:color w:val="auto"/>
        </w:rPr>
        <w:t>ACH Authorization Form</w:t>
      </w:r>
    </w:p>
    <w:p>
      <w:pPr>
        <w:spacing w:after="0" w:line="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1256030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9" w:name="page150"/>
    <w:bookmarkEnd w:id="149"/>
    <w:p>
      <w:pPr>
        <w:ind w:left="10180"/>
        <w:spacing w:after="0"/>
        <w:rPr>
          <w:sz w:val="20"/>
          <w:szCs w:val="20"/>
          <w:color w:val="auto"/>
        </w:rPr>
      </w:pPr>
      <w:r>
        <w:rPr>
          <w:rFonts w:ascii="Times New Roman" w:cs="Times New Roman" w:eastAsia="Times New Roman" w:hAnsi="Times New Roman"/>
          <w:sz w:val="21"/>
          <w:szCs w:val="21"/>
          <w:color w:val="auto"/>
        </w:rPr>
        <w:t>Exhibit 10.5</w:t>
      </w:r>
    </w:p>
    <w:p>
      <w:pPr>
        <w:spacing w:after="0" w:line="115"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18"/>
          <w:szCs w:val="18"/>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10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21"/>
          <w:szCs w:val="21"/>
          <w:b w:val="1"/>
          <w:bCs w:val="1"/>
          <w:color w:val="auto"/>
        </w:rPr>
        <w:t>EXECUTION COPY</w:t>
      </w:r>
    </w:p>
    <w:p>
      <w:pPr>
        <w:spacing w:after="0" w:line="2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ind w:left="4420"/>
        <w:spacing w:after="0"/>
        <w:rPr>
          <w:sz w:val="20"/>
          <w:szCs w:val="20"/>
          <w:color w:val="auto"/>
        </w:rPr>
      </w:pPr>
      <w:r>
        <w:rPr>
          <w:rFonts w:ascii="Times New Roman" w:cs="Times New Roman" w:eastAsia="Times New Roman" w:hAnsi="Times New Roman"/>
          <w:sz w:val="22"/>
          <w:szCs w:val="22"/>
          <w:b w:val="1"/>
          <w:bCs w:val="1"/>
          <w:color w:val="auto"/>
        </w:rPr>
        <w:t>SERVICE AGREEMENT</w:t>
      </w:r>
    </w:p>
    <w:p>
      <w:pPr>
        <w:spacing w:after="0" w:line="209" w:lineRule="exact"/>
        <w:rPr>
          <w:sz w:val="20"/>
          <w:szCs w:val="20"/>
          <w:color w:val="auto"/>
        </w:rPr>
      </w:pPr>
    </w:p>
    <w:p>
      <w:pPr>
        <w:jc w:val="both"/>
        <w:ind w:right="500" w:firstLine="749"/>
        <w:spacing w:after="0" w:line="261" w:lineRule="auto"/>
        <w:rPr>
          <w:sz w:val="20"/>
          <w:szCs w:val="20"/>
          <w:color w:val="auto"/>
        </w:rPr>
      </w:pPr>
      <w:r>
        <w:rPr>
          <w:rFonts w:ascii="Times New Roman" w:cs="Times New Roman" w:eastAsia="Times New Roman" w:hAnsi="Times New Roman"/>
          <w:sz w:val="21"/>
          <w:szCs w:val="21"/>
          <w:color w:val="auto"/>
        </w:rPr>
        <w:t xml:space="preserve">THIS FIRST AMENDMENT TO SERVICE AGREEMENT (“Amendment”) is entered into as of January 31, 2023 (“First Amendment Effective Date”), by and between </w:t>
      </w:r>
      <w:r>
        <w:rPr>
          <w:rFonts w:ascii="Times New Roman" w:cs="Times New Roman" w:eastAsia="Times New Roman" w:hAnsi="Times New Roman"/>
          <w:sz w:val="21"/>
          <w:szCs w:val="21"/>
          <w:b w:val="1"/>
          <w:bCs w:val="1"/>
          <w:color w:val="auto"/>
        </w:rPr>
        <w:t>Dave Operating LLC, f.k.a. Dave, Inc.,</w:t>
      </w:r>
      <w:r>
        <w:rPr>
          <w:rFonts w:ascii="Times New Roman" w:cs="Times New Roman" w:eastAsia="Times New Roman" w:hAnsi="Times New Roman"/>
          <w:sz w:val="21"/>
          <w:szCs w:val="21"/>
          <w:color w:val="auto"/>
        </w:rPr>
        <w:t xml:space="preserve"> a Delaware limited liability company (“Customer”), and </w:t>
      </w:r>
      <w:r>
        <w:rPr>
          <w:rFonts w:ascii="Times New Roman" w:cs="Times New Roman" w:eastAsia="Times New Roman" w:hAnsi="Times New Roman"/>
          <w:sz w:val="21"/>
          <w:szCs w:val="21"/>
          <w:b w:val="1"/>
          <w:bCs w:val="1"/>
          <w:color w:val="auto"/>
        </w:rPr>
        <w:t>Galileo Financial Technologies, LLC</w:t>
      </w:r>
      <w:r>
        <w:rPr>
          <w:rFonts w:ascii="Times New Roman" w:cs="Times New Roman" w:eastAsia="Times New Roman" w:hAnsi="Times New Roman"/>
          <w:sz w:val="21"/>
          <w:szCs w:val="21"/>
          <w:color w:val="auto"/>
        </w:rPr>
        <w:t>, a Delaware limited liability company (“Galileo”).</w:t>
      </w:r>
    </w:p>
    <w:p>
      <w:pPr>
        <w:spacing w:after="0" w:line="184"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A. Customer and Galileo are parties to that certain Service Agreement dated March 18, 2020 (as amended, modified, or supplemented, the “Agreement”). Capitalized terms used herein but not defined have the meanings given to them in the Agreement.</w:t>
      </w:r>
    </w:p>
    <w:p>
      <w:pPr>
        <w:spacing w:after="0" w:line="200" w:lineRule="exact"/>
        <w:rPr>
          <w:sz w:val="20"/>
          <w:szCs w:val="20"/>
          <w:color w:val="auto"/>
        </w:rPr>
      </w:pPr>
    </w:p>
    <w:p>
      <w:pPr>
        <w:ind w:right="60" w:firstLine="757"/>
        <w:spacing w:after="0" w:line="258" w:lineRule="auto"/>
        <w:tabs>
          <w:tab w:leader="none" w:pos="1181"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12.9 of the Agreement, the Agreement may be amended upon the written approval of Customer and Galileo. Customer and Galileo desire to amend the Agreement as set forth herein.</w:t>
      </w:r>
    </w:p>
    <w:p>
      <w:pPr>
        <w:spacing w:after="0" w:line="18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In consideration of the promises and covenants contained herein and other good and valuable consideration, the receipt, adequacy and sufficiency of which are hereby acknowledged, the parties mutually agree as follows:</w:t>
      </w:r>
    </w:p>
    <w:p>
      <w:pPr>
        <w:spacing w:after="0" w:line="158" w:lineRule="exact"/>
        <w:rPr>
          <w:sz w:val="20"/>
          <w:szCs w:val="20"/>
          <w:color w:val="auto"/>
        </w:rPr>
      </w:pPr>
    </w:p>
    <w:p>
      <w:pPr>
        <w:ind w:left="520" w:hanging="512"/>
        <w:spacing w:after="0"/>
        <w:tabs>
          <w:tab w:leader="none" w:pos="520" w:val="left"/>
        </w:tabs>
        <w:numPr>
          <w:ilvl w:val="0"/>
          <w:numId w:val="1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1.1.Customer and Galileo hereby amend and restate Section 3.2 of the Agreement and replace it with the following:</w:t>
      </w:r>
    </w:p>
    <w:p>
      <w:pPr>
        <w:spacing w:after="0" w:line="202" w:lineRule="exact"/>
        <w:rPr>
          <w:sz w:val="20"/>
          <w:szCs w:val="20"/>
          <w:color w:val="auto"/>
        </w:rPr>
      </w:pPr>
    </w:p>
    <w:p>
      <w:pPr>
        <w:ind w:left="1500"/>
        <w:spacing w:after="0"/>
        <w:tabs>
          <w:tab w:leader="none" w:pos="212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Exclusivity.</w:t>
      </w:r>
    </w:p>
    <w:p>
      <w:pPr>
        <w:spacing w:after="0" w:line="21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1.2.Customer and Galileo hereby amend and restate Section 4.7 of the Agreement and replace it with the following:</w:t>
      </w:r>
    </w:p>
    <w:p>
      <w:pPr>
        <w:spacing w:after="0" w:line="202" w:lineRule="exact"/>
        <w:rPr>
          <w:sz w:val="20"/>
          <w:szCs w:val="20"/>
          <w:color w:val="auto"/>
        </w:rPr>
      </w:pPr>
    </w:p>
    <w:p>
      <w:pPr>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4.7 Deconversion.</w:t>
      </w:r>
      <w:r>
        <w:rPr>
          <w:rFonts w:ascii="Times New Roman" w:cs="Times New Roman" w:eastAsia="Times New Roman" w:hAnsi="Times New Roman"/>
          <w:sz w:val="21"/>
          <w:szCs w:val="21"/>
          <w:color w:val="auto"/>
        </w:rPr>
        <w:t xml:space="preserve"> Upon the expiration or termination of this Agreement, Galileo shall provide such Deconversion assistance to Customer as Customer may reasonably request by providing notice to Galileo; provided, however, that in no event shall Galileo be obligated to provide Deconversion with respect to any Customer Accounts until a date which is mutually agreed upon and which is at least sixty (60) days but no more than twelve (12) months after notice delivered by Customer to Galileo requesting such Deconversion in accordance with this paragraph. For the avoidance of doubt, Galileo shall continue to provide Services to Customer and Customer Accounts pursuant to this Agreement until Deconversion is complete as Customer may reasonably request. Except in the event of Deconversion occurring as a result of termination of the Agreement by Customer pursuant to Section 9.2, Customer shall pay Galileo the Development rate per hour set forth for Client Support Services on Exhibit C for resources for each activity completed by Galileo in order to accomplish the Deconversion and for all</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FILENAME \* MERGEFORMAT Galileo -- Dave First Amendment to Service Agreement (8) - 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50" w:name="page151"/>
    <w:bookmarkEnd w:id="150"/>
    <w:p>
      <w:pPr>
        <w:ind w:right="520"/>
        <w:spacing w:after="0" w:line="258" w:lineRule="auto"/>
        <w:rPr>
          <w:sz w:val="20"/>
          <w:szCs w:val="20"/>
          <w:color w:val="auto"/>
        </w:rPr>
      </w:pPr>
      <w:r>
        <w:rPr>
          <w:rFonts w:ascii="Times New Roman" w:cs="Times New Roman" w:eastAsia="Times New Roman" w:hAnsi="Times New Roman"/>
          <w:sz w:val="22"/>
          <w:szCs w:val="22"/>
          <w:color w:val="auto"/>
        </w:rPr>
        <w:t>reasonable documented costs incurred by Galileo pursuant to the Deconversion statement of work mutually agreed to by the parties, including postage or shipping, of complying with Section 10.1.”</w:t>
      </w:r>
    </w:p>
    <w:p>
      <w:pPr>
        <w:spacing w:after="0" w:line="158"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1.3.Customer and Galileo hereby amend Section 5.2 of the Agreement by replacing “Salt Lake City, Utah” with “New York City, New York.”</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1.4.Customer and Galileo hereby insert a new Section 5(c) of the Agreement with the following:</w:t>
      </w:r>
    </w:p>
    <w:p>
      <w:pPr>
        <w:spacing w:after="0" w:line="229" w:lineRule="exact"/>
        <w:rPr>
          <w:sz w:val="20"/>
          <w:szCs w:val="20"/>
          <w:color w:val="auto"/>
        </w:rPr>
      </w:pPr>
    </w:p>
    <w:p>
      <w:pPr>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 The Parties’ Indemnification.</w:t>
      </w:r>
      <w:r>
        <w:rPr>
          <w:rFonts w:ascii="Times New Roman" w:cs="Times New Roman" w:eastAsia="Times New Roman" w:hAnsi="Times New Roman"/>
          <w:sz w:val="22"/>
          <w:szCs w:val="22"/>
          <w:color w:val="auto"/>
        </w:rPr>
        <w:t xml:space="preserve"> An indemnifying party’s obligations in this Section 5 are subject to receiving from the indemnified party prompt notice of the relevant claim, action, suit, controversy or proceeding, provided that the failure to give such notice shall not relieve the indemnifying party of its indemnification obligations except to the extent that the indemnifying party is materially prejudiced by such failure. If both parties are negligent or otherwise at fault or strictly liable without fault, then the indemnification obligations hereunder shall be in effect, but each party shall indemnify the other party only for the percentage of responsibility for the damage or injuries attributable to each indemnifying party. Either party as the indemnified party seeking indemnification will promptly notify the indemnifying party of the claim and cooperate with the indemnifying party in defending the claim.”</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1.5.Customer and Galileo hereby amend and restate Section 6.1 of the Agreement and replace it with the following:</w:t>
      </w:r>
    </w:p>
    <w:p>
      <w:pPr>
        <w:spacing w:after="0" w:line="229"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6.1 Limitation of Liability.</w:t>
      </w:r>
      <w:r>
        <w:rPr>
          <w:rFonts w:ascii="Times New Roman" w:cs="Times New Roman" w:eastAsia="Times New Roman" w:hAnsi="Times New Roman"/>
          <w:sz w:val="22"/>
          <w:szCs w:val="22"/>
          <w:color w:val="auto"/>
        </w:rPr>
        <w:t xml:space="preserve"> Notwithstanding anything in this Agreement to the contrary, and except for willful misconduct, gross negligence, and fraud, either party’s cumulative liability to the other party for any loss or damage, direct or indirect, for any cause whatsoever (including, but not limited to those arising out of or related to this Agreement) with respect to claims (whether third party claims, indemnity claims or otherwise) relating to events in any one Processing Year shall not under any circumstances exceed the amount of [**] of the Processing Fees paid to Galileo pursuant to this Agreement for Services performed in the immediately preceding [**] month period ending on the date of the event giving rise to the claim, or, in the case of Processing Year 1, [**] of the total Processing Fees collected as of the date such claim is made]."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1.6.Customer and Galileo hereby amend and restate Section 12.2 of the Agreement and replace it with the following:</w:t>
      </w:r>
    </w:p>
    <w:p>
      <w:pPr>
        <w:spacing w:after="0" w:line="229" w:lineRule="exact"/>
        <w:rPr>
          <w:sz w:val="20"/>
          <w:szCs w:val="20"/>
          <w:color w:val="auto"/>
        </w:rPr>
      </w:pPr>
    </w:p>
    <w:p>
      <w:pPr>
        <w:ind w:right="8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12.2 Notice.</w:t>
      </w:r>
      <w:r>
        <w:rPr>
          <w:rFonts w:ascii="Times New Roman" w:cs="Times New Roman" w:eastAsia="Times New Roman" w:hAnsi="Times New Roman"/>
          <w:sz w:val="22"/>
          <w:szCs w:val="22"/>
          <w:color w:val="auto"/>
        </w:rPr>
        <w:t xml:space="preserve"> All notices which either party may be required or desire to give to the other party shall be in writing and shall be given by personal service, telecopy, registered mail or certified mail (or its equivalent), or overnight courier to the other party at its respective address or telecopy telephone number or e-mail address set forth below. Mailed notices and notices by overnight courier shall be deemed to be given upon actual receipt by the party notified. Notices delivered by telecopy shall be confirmed in writing by overnight courier and shall be deemed to be given upon actual receipt of the party to be notified. Notices delivered by email with confirmation of receipt (via email or otherwise) shall be deemed to have been given (i) on the date sent if sent before 5:00 p.m. in the time zone of the recipient and (ii) on the next business day immediately following the date sent if sent on or after 5:00 p.m. in the time zone of the recipient.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51" w:name="page152"/>
    <w:bookmarkEnd w:id="151"/>
    <w:p>
      <w:pPr>
        <w:ind w:left="1180"/>
        <w:spacing w:after="0"/>
        <w:rPr>
          <w:sz w:val="20"/>
          <w:szCs w:val="20"/>
          <w:color w:val="auto"/>
        </w:rPr>
      </w:pPr>
      <w:r>
        <w:rPr>
          <w:rFonts w:ascii="Times New Roman" w:cs="Times New Roman" w:eastAsia="Times New Roman" w:hAnsi="Times New Roman"/>
          <w:sz w:val="22"/>
          <w:szCs w:val="22"/>
          <w:color w:val="auto"/>
        </w:rPr>
        <w:t>If to Galileo:</w:t>
      </w:r>
    </w:p>
    <w:p>
      <w:pPr>
        <w:spacing w:after="0" w:line="23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Galileo Financial Technologies, LLC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9800 South Monroe Street, 7th Floor</w:t>
      </w:r>
    </w:p>
    <w:p>
      <w:pPr>
        <w:ind w:left="2260"/>
        <w:spacing w:after="0" w:line="230" w:lineRule="auto"/>
        <w:rPr>
          <w:sz w:val="20"/>
          <w:szCs w:val="20"/>
          <w:color w:val="auto"/>
        </w:rPr>
      </w:pPr>
      <w:r>
        <w:rPr>
          <w:rFonts w:ascii="Times New Roman" w:cs="Times New Roman" w:eastAsia="Times New Roman" w:hAnsi="Times New Roman"/>
          <w:sz w:val="22"/>
          <w:szCs w:val="22"/>
          <w:color w:val="auto"/>
        </w:rPr>
        <w:t>Sandy, Utah 84070</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Attn: CEO</w:t>
      </w:r>
    </w:p>
    <w:p>
      <w:pPr>
        <w:ind w:left="22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Galileo Financial Technologies, LLC</w:t>
      </w:r>
    </w:p>
    <w:p>
      <w:pPr>
        <w:spacing w:after="0" w:line="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P.O. Box 247</w:t>
      </w:r>
    </w:p>
    <w:p>
      <w:pPr>
        <w:ind w:left="2260"/>
        <w:spacing w:after="0" w:line="230" w:lineRule="auto"/>
        <w:rPr>
          <w:sz w:val="20"/>
          <w:szCs w:val="20"/>
          <w:color w:val="auto"/>
        </w:rPr>
      </w:pPr>
      <w:r>
        <w:rPr>
          <w:rFonts w:ascii="Times New Roman" w:cs="Times New Roman" w:eastAsia="Times New Roman" w:hAnsi="Times New Roman"/>
          <w:sz w:val="22"/>
          <w:szCs w:val="22"/>
          <w:color w:val="auto"/>
        </w:rPr>
        <w:t>Sandy, Utah 84070</w:t>
      </w:r>
    </w:p>
    <w:p>
      <w:pPr>
        <w:ind w:left="2260"/>
        <w:spacing w:after="0" w:line="231" w:lineRule="auto"/>
        <w:rPr>
          <w:sz w:val="20"/>
          <w:szCs w:val="20"/>
          <w:color w:val="auto"/>
        </w:rPr>
      </w:pPr>
      <w:r>
        <w:rPr>
          <w:rFonts w:ascii="Times New Roman" w:cs="Times New Roman" w:eastAsia="Times New Roman" w:hAnsi="Times New Roman"/>
          <w:sz w:val="22"/>
          <w:szCs w:val="22"/>
          <w:color w:val="auto"/>
        </w:rPr>
        <w:t>Attn: CEO</w:t>
      </w:r>
    </w:p>
    <w:p>
      <w:pPr>
        <w:ind w:left="226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With a copy to General Counsel at the same address.</w:t>
      </w:r>
    </w:p>
    <w:p>
      <w:pPr>
        <w:spacing w:after="0" w:line="23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If to Customer:</w:t>
      </w:r>
    </w:p>
    <w:p>
      <w:pPr>
        <w:spacing w:after="0" w:line="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Dave Operating LLC</w:t>
      </w:r>
    </w:p>
    <w:p>
      <w:pPr>
        <w:ind w:left="1620"/>
        <w:spacing w:after="0" w:line="230" w:lineRule="auto"/>
        <w:rPr>
          <w:sz w:val="20"/>
          <w:szCs w:val="20"/>
          <w:color w:val="auto"/>
        </w:rPr>
      </w:pPr>
      <w:r>
        <w:rPr>
          <w:rFonts w:ascii="Times New Roman" w:cs="Times New Roman" w:eastAsia="Times New Roman" w:hAnsi="Times New Roman"/>
          <w:sz w:val="22"/>
          <w:szCs w:val="22"/>
          <w:color w:val="auto"/>
        </w:rPr>
        <w:t>1265 South Cochran Avenue</w:t>
      </w:r>
    </w:p>
    <w:p>
      <w:pPr>
        <w:ind w:left="1620"/>
        <w:spacing w:after="0" w:line="231" w:lineRule="auto"/>
        <w:rPr>
          <w:sz w:val="20"/>
          <w:szCs w:val="20"/>
          <w:color w:val="auto"/>
        </w:rPr>
      </w:pPr>
      <w:r>
        <w:rPr>
          <w:rFonts w:ascii="Times New Roman" w:cs="Times New Roman" w:eastAsia="Times New Roman" w:hAnsi="Times New Roman"/>
          <w:sz w:val="22"/>
          <w:szCs w:val="22"/>
          <w:color w:val="auto"/>
        </w:rPr>
        <w:t>Los Angeles, CA 90019</w:t>
      </w:r>
    </w:p>
    <w:p>
      <w:pPr>
        <w:ind w:left="1620"/>
        <w:spacing w:after="0" w:line="230" w:lineRule="auto"/>
        <w:rPr>
          <w:sz w:val="20"/>
          <w:szCs w:val="20"/>
          <w:color w:val="auto"/>
        </w:rPr>
      </w:pPr>
      <w:r>
        <w:rPr>
          <w:rFonts w:ascii="Times New Roman" w:cs="Times New Roman" w:eastAsia="Times New Roman" w:hAnsi="Times New Roman"/>
          <w:sz w:val="22"/>
          <w:szCs w:val="22"/>
          <w:color w:val="auto"/>
        </w:rPr>
        <w:t>Attn: CEO</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With a copy to the Legal Department at [**].</w:t>
      </w:r>
    </w:p>
    <w:p>
      <w:pPr>
        <w:spacing w:after="0" w:line="233" w:lineRule="exact"/>
        <w:rPr>
          <w:sz w:val="20"/>
          <w:szCs w:val="20"/>
          <w:color w:val="auto"/>
        </w:rPr>
      </w:pPr>
    </w:p>
    <w:p>
      <w:pPr>
        <w:ind w:left="760" w:right="380" w:firstLine="54"/>
        <w:spacing w:after="0" w:line="258" w:lineRule="auto"/>
        <w:rPr>
          <w:sz w:val="20"/>
          <w:szCs w:val="20"/>
          <w:color w:val="auto"/>
        </w:rPr>
      </w:pPr>
      <w:r>
        <w:rPr>
          <w:rFonts w:ascii="Times New Roman" w:cs="Times New Roman" w:eastAsia="Times New Roman" w:hAnsi="Times New Roman"/>
          <w:sz w:val="22"/>
          <w:szCs w:val="22"/>
          <w:color w:val="auto"/>
        </w:rPr>
        <w:t>A party may change its address set forth above by giving the other party notice of the change in accordance with the provisions of this section.”</w:t>
      </w:r>
    </w:p>
    <w:p>
      <w:pPr>
        <w:spacing w:after="0" w:line="185" w:lineRule="exact"/>
        <w:rPr>
          <w:sz w:val="20"/>
          <w:szCs w:val="20"/>
          <w:color w:val="auto"/>
        </w:rPr>
      </w:pPr>
    </w:p>
    <w:p>
      <w:pPr>
        <w:ind w:right="260" w:firstLine="839"/>
        <w:spacing w:after="0" w:line="258" w:lineRule="auto"/>
        <w:rPr>
          <w:sz w:val="20"/>
          <w:szCs w:val="20"/>
          <w:color w:val="auto"/>
        </w:rPr>
      </w:pPr>
      <w:r>
        <w:rPr>
          <w:rFonts w:ascii="Times New Roman" w:cs="Times New Roman" w:eastAsia="Times New Roman" w:hAnsi="Times New Roman"/>
          <w:sz w:val="22"/>
          <w:szCs w:val="22"/>
          <w:color w:val="auto"/>
        </w:rPr>
        <w:t>1.7.Customer and Galileo hereby amend Section 12.11 of the Agreement, by replacing “State of Utah” with “State of New York”, and by replacing “Salt Lake City, Utah” with “New York City, New York”.</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1.8.Customer and Galileo hereby amend and restate Section 8.1 of the Agreement and replace it with the following:</w:t>
      </w:r>
    </w:p>
    <w:p>
      <w:pPr>
        <w:spacing w:after="0" w:line="202" w:lineRule="exact"/>
        <w:rPr>
          <w:sz w:val="20"/>
          <w:szCs w:val="20"/>
          <w:color w:val="auto"/>
        </w:rPr>
      </w:pPr>
    </w:p>
    <w:p>
      <w:pPr>
        <w:ind w:right="4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8.1 Term.</w:t>
      </w:r>
      <w:r>
        <w:rPr>
          <w:rFonts w:ascii="Times New Roman" w:cs="Times New Roman" w:eastAsia="Times New Roman" w:hAnsi="Times New Roman"/>
          <w:sz w:val="22"/>
          <w:szCs w:val="22"/>
          <w:color w:val="auto"/>
        </w:rPr>
        <w:t xml:space="preserve"> This Agreement is effective from the Effective Date and shall extend for eight (8) Processing Years (the “Original Term”). “Processing Year 1” began on April 28, 2020 and ended 12 months thereafter. For purposes of this Agreement, each subsequent “Processing Year” means each twelve (12) month period commencing on the expiration of the previous Processing Year in which Services are performed; provided, however, that solely for purposes of Processing Year 3, 'Processing Year' means the period commencing on the expiration of the Processing Year 2 and expiring on the day immediately prior to the First Amendment Effective Date. For clarity, (i) Processing Year 4 shall be the twelve (12) month period commencing on the First Amendment Effective, and (ii) the Original Term shall expire on the date five (5) years from the First Amendment Effective Date."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1.9.Customer and Galileo hereby amend and restate Section 12.17(b) of the Agreement and replace it with the following: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152" w:name="page153"/>
    <w:bookmarkEnd w:id="152"/>
    <w:p>
      <w:pPr>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b w:val="1"/>
          <w:bCs w:val="1"/>
          <w:color w:val="auto"/>
        </w:rPr>
        <w:t>Customer Right to Audit</w:t>
      </w:r>
      <w:r>
        <w:rPr>
          <w:rFonts w:ascii="Times New Roman" w:cs="Times New Roman" w:eastAsia="Times New Roman" w:hAnsi="Times New Roman"/>
          <w:sz w:val="22"/>
          <w:szCs w:val="22"/>
          <w:color w:val="auto"/>
        </w:rPr>
        <w:t>. Customer or its designated representative (provided, for the purposes of this paragraph, such representative is approved in advance by Galileo (such approval not to be unreasonably withheld, conditioned, or delayed) and such representative is subject to confidentiality obligations consistent with Section 10 of this Agreement) shall have the right, upon at least thirty (30) days written advance notice to Galileo, to enter Galileo’s facilities (or to conduct a process virtually or otherwise remotely in lieu of physically entering Galileo’s facilities) in order to review, inspect, and/or audit records of Galileo related to the provision of Services to Customer pursuant to this Agreement. Customer or its designated representative shall perform such review, inspection and audit at Customer’s sole cost and at a time during regular business hours and in a manner reasonably designed to avoid materially impacting Galileo. Galileo shall make all reasonable efforts to comply with requests from Customer or its designated representative to furnish information or access to Galileo’s systems for the purpose of completing the review, inspection and/or audit. Such audits will be conducted no more than once in any period of twelve (12) consecutive months, provided, however, that upon the completion of a review, inspection and/or audit that identifies a finding related to an actual impediment to Galileo providing Services in accordance with this Agreement, then Customer and/or its designated representatives shall have the right to review, inspect, and/or audit records of Galileo and Galileo shall cooperate in response thereto, in each case in accordance with this paragraph, a second time in such period of twelve (12) consecutive months to the extent requested to Galileo by Customer in its discretion. Any confidential or proprietary information of Galileo disclosed to an independent audit firm of Customer in the course of an audit will be subject to a confidentiality agreement reasonably acceptable to Galileo to be signed by Galileo and such independent firm prior to the commencement of such audit.”</w:t>
      </w:r>
    </w:p>
    <w:p>
      <w:pPr>
        <w:spacing w:after="0" w:line="215"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color w:val="auto"/>
        </w:rPr>
        <w:t xml:space="preserve">1.10.Customer and Galileo hereby amend and restate the first sentence of the </w:t>
      </w:r>
      <w:r>
        <w:rPr>
          <w:rFonts w:ascii="Times New Roman" w:cs="Times New Roman" w:eastAsia="Times New Roman" w:hAnsi="Times New Roman"/>
          <w:sz w:val="22"/>
          <w:szCs w:val="22"/>
          <w:b w:val="1"/>
          <w:bCs w:val="1"/>
          <w:color w:val="auto"/>
        </w:rPr>
        <w:t>Recitals</w:t>
      </w:r>
      <w:r>
        <w:rPr>
          <w:rFonts w:ascii="Times New Roman" w:cs="Times New Roman" w:eastAsia="Times New Roman" w:hAnsi="Times New Roman"/>
          <w:sz w:val="22"/>
          <w:szCs w:val="22"/>
          <w:color w:val="auto"/>
        </w:rPr>
        <w:t xml:space="preserve"> of the Agreement and replace it with the following:</w:t>
      </w:r>
    </w:p>
    <w:p>
      <w:pPr>
        <w:spacing w:after="0" w:line="154" w:lineRule="exact"/>
        <w:rPr>
          <w:sz w:val="20"/>
          <w:szCs w:val="20"/>
          <w:color w:val="auto"/>
        </w:rPr>
      </w:pPr>
    </w:p>
    <w:p>
      <w:pPr>
        <w:ind w:right="220" w:firstLine="1497"/>
        <w:spacing w:after="0" w:line="258" w:lineRule="auto"/>
        <w:rPr>
          <w:sz w:val="20"/>
          <w:szCs w:val="20"/>
          <w:color w:val="auto"/>
        </w:rPr>
      </w:pPr>
      <w:r>
        <w:rPr>
          <w:rFonts w:ascii="Times New Roman" w:cs="Times New Roman" w:eastAsia="Times New Roman" w:hAnsi="Times New Roman"/>
          <w:sz w:val="22"/>
          <w:szCs w:val="22"/>
          <w:color w:val="auto"/>
        </w:rPr>
        <w:t>“Customer is engaged in the business of developing, marketing, servicing and supporting debit cards, prepaid cards, ATM cards, and related accounts.”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1.11.Customer and Galileo hereby amend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xml:space="preserve"> of the Agreement by adding the following as additional defined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'Transaction Cards and Accounts’ means debit cards, prepaid cards, ATM cards and related accounts.</w:t>
      </w:r>
    </w:p>
    <w:p>
      <w:pPr>
        <w:spacing w:after="0" w:line="233" w:lineRule="exact"/>
        <w:rPr>
          <w:sz w:val="20"/>
          <w:szCs w:val="20"/>
          <w:color w:val="auto"/>
        </w:rPr>
      </w:pPr>
    </w:p>
    <w:p>
      <w:pPr>
        <w:ind w:right="100" w:firstLine="1497"/>
        <w:spacing w:after="0" w:line="234" w:lineRule="auto"/>
        <w:rPr>
          <w:sz w:val="20"/>
          <w:szCs w:val="20"/>
          <w:color w:val="auto"/>
        </w:rPr>
      </w:pPr>
      <w:r>
        <w:rPr>
          <w:rFonts w:ascii="Times New Roman" w:cs="Times New Roman" w:eastAsia="Times New Roman" w:hAnsi="Times New Roman"/>
          <w:sz w:val="22"/>
          <w:szCs w:val="22"/>
          <w:color w:val="auto"/>
        </w:rPr>
        <w:t>‘Customer Monthly Program Revenue’ means in a calendar month in relation to all Transaction Cards and Accounts programs all (i) Interchange, (ii) the amount equal to [**] multiplied by the number of ATM cash withdrawals performed by Customer’s Cardholders on a debit card, other than those over a surcharge-free network, in such calendar month, and (iii) a portion of new fees assessed to Cardholders in such calendar month associated with any direct activity on the Transaction Card and Account Programs, such portion being negotiated and agreed to by the parties in each instance in good faith. For clarity, subscription fees assessed to Cardholders not associated with direct activity on the Transaction Card and Account Programs do not constitute Customer Monthly Program Revenue. For the period commencing January 1, 2023 through and including the end of the sixth (6th) month of Processing Year 4, the Interchange amount in clause (i) herein shall be self-reported by Customer to Galileo and</w:t>
      </w:r>
    </w:p>
    <w:p>
      <w:pPr>
        <w:spacing w:after="0" w:line="1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evidenced by documentation provided by Customer that is reasonably satisfactory to Galileo.</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‘Cumulative Galileo Revenue Target’ means [**].</w:t>
      </w:r>
    </w:p>
    <w:p>
      <w:pPr>
        <w:spacing w:after="0" w:line="23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‘First Amendment Effective Date’ means January 31, 2023.</w:t>
      </w:r>
    </w:p>
    <w:p>
      <w:pPr>
        <w:spacing w:after="0" w:line="233" w:lineRule="exact"/>
        <w:rPr>
          <w:sz w:val="20"/>
          <w:szCs w:val="20"/>
          <w:color w:val="auto"/>
        </w:rPr>
      </w:pPr>
    </w:p>
    <w:p>
      <w:pPr>
        <w:ind w:right="18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‘Galileo Monthly Revenue Share’ means for a given calendar month the applicable Galileo Monthly Revenue Share set forth in the Processing Fees: Bundle Event Pricing section of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ind w:right="80" w:firstLine="1497"/>
        <w:spacing w:after="0" w:line="239" w:lineRule="auto"/>
        <w:rPr>
          <w:sz w:val="20"/>
          <w:szCs w:val="20"/>
          <w:color w:val="auto"/>
        </w:rPr>
      </w:pPr>
      <w:r>
        <w:rPr>
          <w:rFonts w:ascii="Times New Roman" w:cs="Times New Roman" w:eastAsia="Times New Roman" w:hAnsi="Times New Roman"/>
          <w:sz w:val="22"/>
          <w:szCs w:val="22"/>
          <w:color w:val="auto"/>
        </w:rPr>
        <w:t>‘Interchange’ means all transaction fees paid to the Bank as issuer of the Transaction Card and Account Programs by an acquiring financial institution, as established by an Association less any transaction fees deducted from Bank as issuer of the Transaction Card and Account Programs by an acquiring financial institution, as established by an Association related to return transactions.”</w:t>
      </w:r>
    </w:p>
    <w:p>
      <w:pPr>
        <w:spacing w:after="0" w:line="203"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color w:val="auto"/>
        </w:rPr>
        <w:t xml:space="preserve">Customer and Galileo hereby amend </w:t>
      </w:r>
      <w:r>
        <w:rPr>
          <w:rFonts w:ascii="Times New Roman" w:cs="Times New Roman" w:eastAsia="Times New Roman" w:hAnsi="Times New Roman"/>
          <w:sz w:val="21"/>
          <w:szCs w:val="21"/>
          <w:b w:val="1"/>
          <w:bCs w:val="1"/>
          <w:color w:val="auto"/>
        </w:rPr>
        <w:t>Section 2.1 of Exhibit B</w:t>
      </w:r>
      <w:r>
        <w:rPr>
          <w:rFonts w:ascii="Times New Roman" w:cs="Times New Roman" w:eastAsia="Times New Roman" w:hAnsi="Times New Roman"/>
          <w:sz w:val="21"/>
          <w:szCs w:val="21"/>
          <w:color w:val="auto"/>
        </w:rPr>
        <w:t xml:space="preserve"> of the Agreement as follows:</w:t>
      </w:r>
    </w:p>
    <w:p>
      <w:pPr>
        <w:spacing w:after="0" w:line="233" w:lineRule="exact"/>
        <w:rPr>
          <w:sz w:val="20"/>
          <w:szCs w:val="20"/>
          <w:color w:val="auto"/>
        </w:rPr>
      </w:pPr>
    </w:p>
    <w:p>
      <w:pPr>
        <w:ind w:left="1500"/>
        <w:spacing w:after="0"/>
        <w:tabs>
          <w:tab w:leader="none" w:pos="2340" w:val="left"/>
        </w:tabs>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 xml:space="preserve">Service Levels. </w:t>
      </w:r>
      <w:r>
        <w:rPr>
          <w:rFonts w:ascii="Times New Roman" w:cs="Times New Roman" w:eastAsia="Times New Roman" w:hAnsi="Times New Roman"/>
          <w:sz w:val="21"/>
          <w:szCs w:val="21"/>
          <w:color w:val="auto"/>
        </w:rPr>
        <w:t>Galileo shall ensure that the Galileo System is available as follows:</w:t>
      </w:r>
    </w:p>
    <w:p>
      <w:pPr>
        <w:spacing w:after="0" w:line="233" w:lineRule="exact"/>
        <w:rPr>
          <w:sz w:val="20"/>
          <w:szCs w:val="20"/>
          <w:color w:val="auto"/>
        </w:rPr>
      </w:pPr>
    </w:p>
    <w:p>
      <w:pPr>
        <w:ind w:right="660" w:firstLine="2254"/>
        <w:spacing w:after="0" w:line="262" w:lineRule="auto"/>
        <w:tabs>
          <w:tab w:leader="none" w:pos="2546"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Authorization </w:t>
      </w:r>
      <w:r>
        <w:rPr>
          <w:rFonts w:ascii="Times New Roman" w:cs="Times New Roman" w:eastAsia="Times New Roman" w:hAnsi="Times New Roman"/>
          <w:sz w:val="22"/>
          <w:szCs w:val="22"/>
          <w:color w:val="auto"/>
        </w:rPr>
        <w:t>- Galileo will provide authorization availability meeting or exceeding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Approved Maintenance measured on a calendar month basis.</w:t>
      </w:r>
    </w:p>
    <w:p>
      <w:pPr>
        <w:spacing w:after="0" w:line="176" w:lineRule="exact"/>
        <w:rPr>
          <w:rFonts w:ascii="Times New Roman" w:cs="Times New Roman" w:eastAsia="Times New Roman" w:hAnsi="Times New Roman"/>
          <w:sz w:val="22"/>
          <w:szCs w:val="22"/>
          <w:b w:val="1"/>
          <w:bCs w:val="1"/>
          <w:color w:val="auto"/>
        </w:rPr>
      </w:pPr>
    </w:p>
    <w:p>
      <w:pPr>
        <w:ind w:right="60" w:firstLine="2254"/>
        <w:spacing w:after="0" w:line="241" w:lineRule="auto"/>
        <w:tabs>
          <w:tab w:leader="none" w:pos="2546"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Internet Services </w:t>
      </w:r>
      <w:r>
        <w:rPr>
          <w:rFonts w:ascii="Times New Roman" w:cs="Times New Roman" w:eastAsia="Times New Roman" w:hAnsi="Times New Roman"/>
          <w:sz w:val="22"/>
          <w:szCs w:val="22"/>
          <w:color w:val="auto"/>
        </w:rPr>
        <w:t>- Galileo will provide system-wide availability to Internet Services meeting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exceeding [**]% availability excluding Approved Maintenance measured on a calendar month basis. “Internet Services” means internet based applications offered to Customer and Cardholders including without limitation Galileo’s Analytics Tool, Galileo’s Customer Service Tool, and Galileo’s API.</w:t>
      </w:r>
    </w:p>
    <w:p>
      <w:pPr>
        <w:spacing w:after="0" w:line="198" w:lineRule="exact"/>
        <w:rPr>
          <w:rFonts w:ascii="Times New Roman" w:cs="Times New Roman" w:eastAsia="Times New Roman" w:hAnsi="Times New Roman"/>
          <w:sz w:val="22"/>
          <w:szCs w:val="22"/>
          <w:b w:val="1"/>
          <w:bCs w:val="1"/>
          <w:color w:val="auto"/>
        </w:rPr>
      </w:pPr>
    </w:p>
    <w:p>
      <w:pPr>
        <w:ind w:firstLine="2254"/>
        <w:spacing w:after="0" w:line="262" w:lineRule="auto"/>
        <w:tabs>
          <w:tab w:leader="none" w:pos="2546"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IVR </w:t>
      </w:r>
      <w:r>
        <w:rPr>
          <w:rFonts w:ascii="Times New Roman" w:cs="Times New Roman" w:eastAsia="Times New Roman" w:hAnsi="Times New Roman"/>
          <w:sz w:val="22"/>
          <w:szCs w:val="22"/>
          <w:color w:val="auto"/>
        </w:rPr>
        <w:t>- Galileo will provide system-wide availability to the IVR system meeting or exceeding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Approved Maintenance measured on a calendar month basis.</w:t>
      </w:r>
    </w:p>
    <w:p>
      <w:pPr>
        <w:spacing w:after="0" w:line="176" w:lineRule="exact"/>
        <w:rPr>
          <w:rFonts w:ascii="Times New Roman" w:cs="Times New Roman" w:eastAsia="Times New Roman" w:hAnsi="Times New Roman"/>
          <w:sz w:val="22"/>
          <w:szCs w:val="22"/>
          <w:b w:val="1"/>
          <w:bCs w:val="1"/>
          <w:color w:val="auto"/>
        </w:rPr>
      </w:pPr>
    </w:p>
    <w:p>
      <w:pPr>
        <w:ind w:firstLine="2254"/>
        <w:spacing w:after="0" w:line="235" w:lineRule="auto"/>
        <w:tabs>
          <w:tab w:leader="none" w:pos="2546" w:val="left"/>
        </w:tabs>
        <w:numPr>
          <w:ilvl w:val="0"/>
          <w:numId w:val="1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Call Center </w:t>
      </w:r>
      <w:r>
        <w:rPr>
          <w:rFonts w:ascii="Times New Roman" w:cs="Times New Roman" w:eastAsia="Times New Roman" w:hAnsi="Times New Roman"/>
          <w:sz w:val="22"/>
          <w:szCs w:val="22"/>
          <w:color w:val="auto"/>
        </w:rPr>
        <w:t>- If requested by Customer, Galileo will provide customer service with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personnel capable of serving English speaking Cardholders to assist Cardholders contacting customer service via phone, fax or in writing with issues or problems related to Transaction Cards and Accounts. If Customer requests other languages to be supported by Galileo, Customer and Galileo shall work in good faith to determine whether Galileo can support such calls and the financial terms under which such other calls would be supported. Provided there are at least 500 live agent calls per day during each month, Galileo will provide call center services meeting an average speed of answer (calendar month average) of [**] seconds on [**]% of the calls and the maximum abandonment rate shall not exceed [**]% of calls on hold for more than [**] seconds. If there are less than 500 calls per day, the average speed of answer (calendar month average) shall be [**] seconds on [**]% of the calls.</w:t>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2" w:right="419" w:bottom="1440" w:gutter="0" w:footer="0" w:header="0"/>
        </w:sectPr>
      </w:pPr>
    </w:p>
    <w:bookmarkStart w:id="154" w:name="page155"/>
    <w:bookmarkEnd w:id="154"/>
    <w:p>
      <w:pPr>
        <w:ind w:left="2040" w:hanging="535"/>
        <w:spacing w:after="0"/>
        <w:tabs>
          <w:tab w:leader="none" w:pos="204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ind w:left="2040" w:hanging="535"/>
        <w:spacing w:after="0"/>
        <w:tabs>
          <w:tab w:leader="none" w:pos="2040"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2"/>
          <w:szCs w:val="22"/>
          <w:b w:val="1"/>
          <w:bCs w:val="1"/>
          <w:color w:val="auto"/>
        </w:rPr>
      </w:pPr>
    </w:p>
    <w:p>
      <w:pPr>
        <w:ind w:right="1140" w:firstLine="1505"/>
        <w:spacing w:after="0" w:line="262" w:lineRule="auto"/>
        <w:tabs>
          <w:tab w:leader="none" w:pos="2036" w:val="left"/>
        </w:tabs>
        <w:numPr>
          <w:ilvl w:val="0"/>
          <w:numId w:val="1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Acknowledgement. </w:t>
      </w:r>
      <w:r>
        <w:rPr>
          <w:rFonts w:ascii="Times New Roman" w:cs="Times New Roman" w:eastAsia="Times New Roman" w:hAnsi="Times New Roman"/>
          <w:sz w:val="22"/>
          <w:szCs w:val="22"/>
          <w:color w:val="auto"/>
        </w:rPr>
        <w:t>Notwithstanding anything to the contrary in this Agreement,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acknowledges and agrees that Section 2.1(e) and (f) are not considered Service Levels.”</w:t>
      </w:r>
    </w:p>
    <w:p>
      <w:pPr>
        <w:spacing w:after="0" w:line="17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1.14 Customer and Galileo hereby amend and restate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of the Agreement and replace it with the document attached hereto as Schedule 1. The parties acknowledge and agree that the pricing set for the in Schedule 1 shall be effective for Services provided in the full calendar month of the First Amendment Effective Date. By way of example, and for purposes of clarification only, assume the First Amendment Effective Date is January 31, 2023, in such case the pricing of Schedule 1 shall be effective for all Services provided in January 2023 and invoiced in February 2023.</w:t>
      </w:r>
    </w:p>
    <w:p>
      <w:pPr>
        <w:spacing w:after="0" w:line="181" w:lineRule="exact"/>
        <w:rPr>
          <w:sz w:val="20"/>
          <w:szCs w:val="20"/>
          <w:color w:val="auto"/>
        </w:rPr>
      </w:pPr>
    </w:p>
    <w:p>
      <w:pPr>
        <w:ind w:right="120" w:firstLine="8"/>
        <w:spacing w:after="0" w:line="236" w:lineRule="auto"/>
        <w:tabs>
          <w:tab w:leader="none" w:pos="432"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This Amendment constitutes the entire agreement between Customer and Galileo concerning the subject matter of this Amendment. Except as explicitly amended by this Amendment, all of the terms and conditions of the Agreement shall remain in full force and effect. This Amendment may be executed in any number of counterparts, each of which when so executed and delivered shall be deemed an original and all of which counterparts, taken together, shall constitute one and the same instrument. Delivery of an executed counterpart of this Amendment by telefacsimile shall be equally as effective as delivery of an original executed counterpart of this Amendment.</w:t>
      </w:r>
    </w:p>
    <w:p>
      <w:pPr>
        <w:spacing w:after="0" w:line="1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5" w:right="419" w:bottom="1440" w:gutter="0" w:footer="0" w:header="0"/>
        </w:sectPr>
      </w:pPr>
    </w:p>
    <w:bookmarkStart w:id="155" w:name="page156"/>
    <w:bookmarkEnd w:id="155"/>
    <w:p>
      <w:pPr>
        <w:spacing w:after="0" w:line="181"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hereby acknowledge and certify that as of the First Amendment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they are duly authorized to sign on behalf of and legally bind the applicable entity named below by executing this Amendment.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80" w:type="dxa"/>
            <w:vAlign w:val="bottom"/>
            <w:gridSpan w:val="7"/>
          </w:tcPr>
          <w:p>
            <w:pPr>
              <w:ind w:left="300"/>
              <w:spacing w:after="0"/>
              <w:rPr>
                <w:sz w:val="20"/>
                <w:szCs w:val="20"/>
                <w:color w:val="auto"/>
              </w:rPr>
            </w:pPr>
            <w:r>
              <w:rPr>
                <w:rFonts w:ascii="Times New Roman" w:cs="Times New Roman" w:eastAsia="Times New Roman" w:hAnsi="Times New Roman"/>
                <w:sz w:val="22"/>
                <w:szCs w:val="22"/>
                <w:b w:val="1"/>
                <w:bCs w:val="1"/>
                <w:color w:val="auto"/>
              </w:rPr>
              <w:t>Dave Operating LLC:</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b w:val="1"/>
                <w:bCs w:val="1"/>
                <w:color w:val="auto"/>
              </w:rPr>
              <w:t>Galileo Financial Technologies, LLC:</w:t>
            </w:r>
          </w:p>
        </w:tc>
      </w:tr>
      <w:tr>
        <w:trPr>
          <w:trHeight w:val="623"/>
        </w:trPr>
        <w:tc>
          <w:tcPr>
            <w:tcW w:w="488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By: _/s/ Stav Gil_________________</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color w:val="auto"/>
              </w:rPr>
              <w:t>By: __/s/ Derek White_________</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39"/>
        </w:trPr>
        <w:tc>
          <w:tcPr>
            <w:tcW w:w="488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Name: __Stav Gil______________</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color w:val="auto"/>
              </w:rPr>
              <w:t>Name: __Derek White________</w:t>
            </w:r>
          </w:p>
        </w:tc>
      </w:tr>
      <w:tr>
        <w:trPr>
          <w:trHeight w:val="20"/>
        </w:trPr>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439"/>
        </w:trPr>
        <w:tc>
          <w:tcPr>
            <w:tcW w:w="7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4"/>
              </w:rPr>
              <w:t>Its: _</w:t>
            </w:r>
          </w:p>
        </w:tc>
        <w:tc>
          <w:tcPr>
            <w:tcW w:w="3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6"/>
              </w:rPr>
              <w:t>VP, Banking Product Management</w:t>
            </w:r>
          </w:p>
        </w:tc>
        <w:tc>
          <w:tcPr>
            <w:tcW w:w="11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0"/>
              </w:rPr>
              <w:t>__</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color w:val="auto"/>
              </w:rPr>
              <w:t>Its: ___Chief Executive Officer_</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5509"/>
        </w:trPr>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C</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Price Schedule</w:t>
      </w:r>
    </w:p>
    <w:p>
      <w:pPr>
        <w:spacing w:after="0" w:line="24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615315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color w:val="auto"/>
        </w:rPr>
        <w:t>Exhibit 10.6</w:t>
      </w:r>
    </w:p>
    <w:p>
      <w:pPr>
        <w:spacing w:after="0" w:line="200" w:lineRule="exact"/>
        <w:rPr>
          <w:sz w:val="20"/>
          <w:szCs w:val="20"/>
          <w:color w:val="auto"/>
        </w:rPr>
      </w:pPr>
    </w:p>
    <w:p>
      <w:pPr>
        <w:spacing w:after="0" w:line="254"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18"/>
          <w:szCs w:val="18"/>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SERVICE AGREEMENT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SECOND AMENDMENT TO SERVICE AGREEMENT (“Amendment”) is entered into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w:t>
      </w:r>
      <w:r>
        <w:rPr>
          <w:rFonts w:ascii="Times New Roman" w:cs="Times New Roman" w:eastAsia="Times New Roman" w:hAnsi="Times New Roman"/>
          <w:sz w:val="21"/>
          <w:szCs w:val="21"/>
          <w:u w:val="single" w:color="auto"/>
          <w:color w:val="auto"/>
        </w:rPr>
        <w:t>5/4/2023</w:t>
      </w:r>
      <w:r>
        <w:rPr>
          <w:rFonts w:ascii="Times New Roman" w:cs="Times New Roman" w:eastAsia="Times New Roman" w:hAnsi="Times New Roman"/>
          <w:sz w:val="21"/>
          <w:szCs w:val="21"/>
          <w:color w:val="auto"/>
        </w:rPr>
        <w:t xml:space="preserve">______ (“Second Amendment Effective Date”), by and between </w:t>
      </w:r>
      <w:r>
        <w:rPr>
          <w:rFonts w:ascii="Times New Roman" w:cs="Times New Roman" w:eastAsia="Times New Roman" w:hAnsi="Times New Roman"/>
          <w:sz w:val="21"/>
          <w:szCs w:val="21"/>
          <w:b w:val="1"/>
          <w:bCs w:val="1"/>
          <w:color w:val="auto"/>
        </w:rPr>
        <w:t>Dave Operating LLC,</w:t>
      </w:r>
      <w:r>
        <w:rPr>
          <w:rFonts w:ascii="Times New Roman" w:cs="Times New Roman" w:eastAsia="Times New Roman" w:hAnsi="Times New Roman"/>
          <w:sz w:val="21"/>
          <w:szCs w:val="21"/>
          <w:color w:val="auto"/>
        </w:rPr>
        <w:t xml:space="preserve"> a Delaware limited liability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company (“Customer”), and </w:t>
      </w:r>
      <w:r>
        <w:rPr>
          <w:rFonts w:ascii="Times New Roman" w:cs="Times New Roman" w:eastAsia="Times New Roman" w:hAnsi="Times New Roman"/>
          <w:sz w:val="22"/>
          <w:szCs w:val="22"/>
          <w:b w:val="1"/>
          <w:bCs w:val="1"/>
          <w:color w:val="auto"/>
        </w:rPr>
        <w:t>Galileo Financial Technologies, LLC</w:t>
      </w:r>
      <w:r>
        <w:rPr>
          <w:rFonts w:ascii="Times New Roman" w:cs="Times New Roman" w:eastAsia="Times New Roman" w:hAnsi="Times New Roman"/>
          <w:sz w:val="22"/>
          <w:szCs w:val="22"/>
          <w:color w:val="auto"/>
        </w:rPr>
        <w:t>, a Delaware limited liability company (“Galileo”).</w:t>
      </w:r>
    </w:p>
    <w:p>
      <w:pPr>
        <w:spacing w:after="0" w:line="209"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A. Customer and Galileo are parties to that certain Service Agreement dated March 18, 2020 (as amended, modified, or supplemented, the “Agreement”). Capitalized terms used herein but not defined have the meanings given to them in the Agreement.</w:t>
      </w:r>
    </w:p>
    <w:p>
      <w:pPr>
        <w:spacing w:after="0" w:line="200" w:lineRule="exact"/>
        <w:rPr>
          <w:sz w:val="20"/>
          <w:szCs w:val="20"/>
          <w:color w:val="auto"/>
        </w:rPr>
      </w:pPr>
    </w:p>
    <w:p>
      <w:pPr>
        <w:ind w:right="60" w:firstLine="757"/>
        <w:spacing w:after="0" w:line="258" w:lineRule="auto"/>
        <w:tabs>
          <w:tab w:leader="none" w:pos="118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12.9 of the Agreement, the Agreement may be amended upon the written approval of Customer and Galileo. Customer and Galileo desire to amend the Agreement as set forth herein.</w:t>
      </w:r>
    </w:p>
    <w:p>
      <w:pPr>
        <w:spacing w:after="0" w:line="18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In consideration of the promises and covenants contained herein and other good and valuable consideration, the receipt, adequacy and sufficiency of which are hereby acknowledged, the parties mutually agree as follows:</w:t>
      </w:r>
    </w:p>
    <w:p>
      <w:pPr>
        <w:spacing w:after="0" w:line="158" w:lineRule="exact"/>
        <w:rPr>
          <w:sz w:val="20"/>
          <w:szCs w:val="20"/>
          <w:color w:val="auto"/>
        </w:rPr>
      </w:pPr>
    </w:p>
    <w:p>
      <w:pPr>
        <w:ind w:right="140" w:firstLine="8"/>
        <w:spacing w:after="0" w:line="258" w:lineRule="auto"/>
        <w:tabs>
          <w:tab w:leader="none" w:pos="509" w:val="left"/>
        </w:tabs>
        <w:numPr>
          <w:ilvl w:val="0"/>
          <w:numId w:val="18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Galileo agrees to pay Customer a one-time invoice credit in the amount of [**], which shall be applied against the invoice provided to Customer in May 2023 for Services performed by Galileo in April 2023.</w:t>
      </w:r>
    </w:p>
    <w:p>
      <w:pPr>
        <w:spacing w:after="0" w:line="185"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18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2.1.Customer and Galileo hereby amend and restate the [**] line item under the [**] section of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5115560</wp:posOffset>
            </wp:positionH>
            <wp:positionV relativeFrom="paragraph">
              <wp:posOffset>-62865</wp:posOffset>
            </wp:positionV>
            <wp:extent cx="342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Agreement and replace it with the following:</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2.2.Customer and Galileo hereby amend and restate the [**] line item under the [**] section of </w:t>
      </w:r>
      <w:r>
        <w:rPr>
          <w:rFonts w:ascii="Times New Roman" w:cs="Times New Roman" w:eastAsia="Times New Roman" w:hAnsi="Times New Roman"/>
          <w:sz w:val="22"/>
          <w:szCs w:val="22"/>
          <w:b w:val="1"/>
          <w:bCs w:val="1"/>
          <w:color w:val="auto"/>
        </w:rPr>
        <w:t>Exhibit C</w:t>
      </w:r>
      <w:r>
        <w:rPr>
          <w:rFonts w:ascii="Times New Roman" w:cs="Times New Roman" w:eastAsia="Times New Roman" w:hAnsi="Times New Roman"/>
          <w:sz w:val="22"/>
          <w:szCs w:val="22"/>
          <w:color w:val="auto"/>
        </w:rPr>
        <w:t xml:space="preserve">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and replace them with the following respectively:</w:t>
      </w:r>
    </w:p>
    <w:p>
      <w:pPr>
        <w:spacing w:after="0" w:line="200" w:lineRule="exact"/>
        <w:rPr>
          <w:sz w:val="20"/>
          <w:szCs w:val="20"/>
          <w:color w:val="auto"/>
        </w:rPr>
      </w:pP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8" w:name="page159"/>
    <w:bookmarkEnd w:id="158"/>
    <w:p>
      <w:pPr>
        <w:spacing w:after="0" w:line="333" w:lineRule="exact"/>
        <w:rPr>
          <w:sz w:val="20"/>
          <w:szCs w:val="20"/>
          <w:color w:val="auto"/>
        </w:rPr>
      </w:pPr>
    </w:p>
    <w:p>
      <w:pPr>
        <w:ind w:firstLine="8"/>
        <w:spacing w:after="0" w:line="236" w:lineRule="auto"/>
        <w:tabs>
          <w:tab w:leader="none" w:pos="43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This Amendment constitutes the entire agreement between Customer and Galileo concerning the subject matter of this Amendment. Except as explicitly amended by this Amendment, all of the terms and conditions of the Agreement shall remain in full force and effect. This Amendment may be executed in any number of counterparts, each of which when so executed and delivered shall be deemed an original and all of which counterparts, taken together, shall constitute one and the same instrument. Delivery of an executed counterpart of this Amendment by telefacsimile shall be equally as effective as delivery of an original executed counterpart of this Amendment.</w:t>
      </w:r>
    </w:p>
    <w:p>
      <w:pPr>
        <w:spacing w:after="0" w:line="1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Galileo -- Dave Second Amendment to Service Agreement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59" w:name="page160"/>
    <w:bookmarkEnd w:id="159"/>
    <w:p>
      <w:pPr>
        <w:spacing w:after="0" w:line="181"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hereby acknowledge and certify that as of the Second Amendment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they are duly authorized to sign on behalf of and legally bind the applicable entity named below by executing this Amendment.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80" w:type="dxa"/>
            <w:vAlign w:val="bottom"/>
            <w:gridSpan w:val="7"/>
          </w:tcPr>
          <w:p>
            <w:pPr>
              <w:ind w:left="300"/>
              <w:spacing w:after="0"/>
              <w:rPr>
                <w:sz w:val="20"/>
                <w:szCs w:val="20"/>
                <w:color w:val="auto"/>
              </w:rPr>
            </w:pPr>
            <w:r>
              <w:rPr>
                <w:rFonts w:ascii="Times New Roman" w:cs="Times New Roman" w:eastAsia="Times New Roman" w:hAnsi="Times New Roman"/>
                <w:sz w:val="22"/>
                <w:szCs w:val="22"/>
                <w:b w:val="1"/>
                <w:bCs w:val="1"/>
                <w:color w:val="auto"/>
              </w:rPr>
              <w:t>Dave Operating LLC:</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b w:val="1"/>
                <w:bCs w:val="1"/>
                <w:color w:val="auto"/>
              </w:rPr>
              <w:t>Galileo Financial Technologies, LLC:</w:t>
            </w:r>
          </w:p>
        </w:tc>
      </w:tr>
      <w:tr>
        <w:trPr>
          <w:trHeight w:val="623"/>
        </w:trPr>
        <w:tc>
          <w:tcPr>
            <w:tcW w:w="488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By: _/s/ Stav Gil_________________</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color w:val="auto"/>
              </w:rPr>
              <w:t>By: __/s/ William Kennedy_________</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9"/>
        </w:trPr>
        <w:tc>
          <w:tcPr>
            <w:tcW w:w="488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Name: __Stav Gil______________</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color w:val="auto"/>
              </w:rPr>
              <w:t>Name: __William Kennedy________</w:t>
            </w:r>
          </w:p>
        </w:tc>
      </w:tr>
      <w:tr>
        <w:trPr>
          <w:trHeight w:val="20"/>
        </w:trPr>
        <w:tc>
          <w:tcPr>
            <w:tcW w:w="7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439"/>
        </w:trPr>
        <w:tc>
          <w:tcPr>
            <w:tcW w:w="74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4"/>
              </w:rPr>
              <w:t>Its: _</w:t>
            </w:r>
          </w:p>
        </w:tc>
        <w:tc>
          <w:tcPr>
            <w:tcW w:w="3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6"/>
              </w:rPr>
              <w:t>VP, Banking Product Management</w:t>
            </w:r>
          </w:p>
        </w:tc>
        <w:tc>
          <w:tcPr>
            <w:tcW w:w="114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w w:val="90"/>
              </w:rPr>
              <w:t>__</w:t>
            </w:r>
          </w:p>
        </w:tc>
        <w:tc>
          <w:tcPr>
            <w:tcW w:w="6360" w:type="dxa"/>
            <w:vAlign w:val="bottom"/>
            <w:gridSpan w:val="5"/>
          </w:tcPr>
          <w:p>
            <w:pPr>
              <w:ind w:left="940"/>
              <w:spacing w:after="0"/>
              <w:rPr>
                <w:sz w:val="20"/>
                <w:szCs w:val="20"/>
                <w:color w:val="auto"/>
              </w:rPr>
            </w:pPr>
            <w:r>
              <w:rPr>
                <w:rFonts w:ascii="Times New Roman" w:cs="Times New Roman" w:eastAsia="Times New Roman" w:hAnsi="Times New Roman"/>
                <w:sz w:val="22"/>
                <w:szCs w:val="22"/>
                <w:color w:val="auto"/>
              </w:rPr>
              <w:t>Its: ___Chief Financial Officer_</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418"/>
        </w:trPr>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color w:val="auto"/>
        </w:rPr>
        <w:t>Exhibit 10.7</w:t>
      </w:r>
    </w:p>
    <w:p>
      <w:pPr>
        <w:spacing w:after="0" w:line="200" w:lineRule="exact"/>
        <w:rPr>
          <w:sz w:val="20"/>
          <w:szCs w:val="20"/>
          <w:color w:val="auto"/>
        </w:rPr>
      </w:pPr>
    </w:p>
    <w:p>
      <w:pPr>
        <w:spacing w:after="0" w:line="254" w:lineRule="exact"/>
        <w:rPr>
          <w:sz w:val="20"/>
          <w:szCs w:val="20"/>
          <w:color w:val="auto"/>
        </w:rPr>
      </w:pPr>
    </w:p>
    <w:p>
      <w:pPr>
        <w:jc w:val="center"/>
        <w:ind w:right="40"/>
        <w:spacing w:after="0" w:line="235" w:lineRule="auto"/>
        <w:rPr>
          <w:sz w:val="20"/>
          <w:szCs w:val="20"/>
          <w:color w:val="auto"/>
        </w:rPr>
      </w:pPr>
      <w:r>
        <w:rPr>
          <w:rFonts w:ascii="Calibri" w:cs="Calibri" w:eastAsia="Calibri" w:hAnsi="Calibri"/>
          <w:sz w:val="18"/>
          <w:szCs w:val="18"/>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SERVICE AGREEMENT</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THIRD AMENDMENT TO SERVICE AGREEMENT (“Third Amendment”) is entered into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w:t>
      </w:r>
      <w:r>
        <w:rPr>
          <w:rFonts w:ascii="Times New Roman" w:cs="Times New Roman" w:eastAsia="Times New Roman" w:hAnsi="Times New Roman"/>
          <w:sz w:val="22"/>
          <w:szCs w:val="22"/>
          <w:u w:val="single" w:color="auto"/>
          <w:color w:val="auto"/>
        </w:rPr>
        <w:t>8/13/2024</w:t>
      </w:r>
      <w:r>
        <w:rPr>
          <w:rFonts w:ascii="Times New Roman" w:cs="Times New Roman" w:eastAsia="Times New Roman" w:hAnsi="Times New Roman"/>
          <w:sz w:val="22"/>
          <w:szCs w:val="22"/>
          <w:color w:val="auto"/>
        </w:rPr>
        <w:t xml:space="preserve">_____ (“Third Amendment Effective Date”), by and between </w:t>
      </w:r>
      <w:r>
        <w:rPr>
          <w:rFonts w:ascii="Times New Roman" w:cs="Times New Roman" w:eastAsia="Times New Roman" w:hAnsi="Times New Roman"/>
          <w:sz w:val="22"/>
          <w:szCs w:val="22"/>
          <w:b w:val="1"/>
          <w:bCs w:val="1"/>
          <w:color w:val="auto"/>
        </w:rPr>
        <w:t>Dave Operating LLC, f.k.a. Dave, Inc.,</w:t>
      </w:r>
      <w:r>
        <w:rPr>
          <w:rFonts w:ascii="Times New Roman" w:cs="Times New Roman" w:eastAsia="Times New Roman" w:hAnsi="Times New Roman"/>
          <w:sz w:val="22"/>
          <w:szCs w:val="22"/>
          <w:color w:val="auto"/>
        </w:rPr>
        <w:t xml:space="preserve"> a Delaware</w:t>
      </w:r>
    </w:p>
    <w:p>
      <w:pPr>
        <w:ind w:right="660"/>
        <w:spacing w:after="0" w:line="237" w:lineRule="auto"/>
        <w:rPr>
          <w:sz w:val="20"/>
          <w:szCs w:val="20"/>
          <w:color w:val="auto"/>
        </w:rPr>
      </w:pPr>
      <w:r>
        <w:rPr>
          <w:rFonts w:ascii="Times New Roman" w:cs="Times New Roman" w:eastAsia="Times New Roman" w:hAnsi="Times New Roman"/>
          <w:sz w:val="22"/>
          <w:szCs w:val="22"/>
          <w:color w:val="auto"/>
        </w:rPr>
        <w:t xml:space="preserve">limited liability company (“Customer”), and </w:t>
      </w:r>
      <w:r>
        <w:rPr>
          <w:rFonts w:ascii="Times New Roman" w:cs="Times New Roman" w:eastAsia="Times New Roman" w:hAnsi="Times New Roman"/>
          <w:sz w:val="22"/>
          <w:szCs w:val="22"/>
          <w:b w:val="1"/>
          <w:bCs w:val="1"/>
          <w:color w:val="auto"/>
        </w:rPr>
        <w:t>Galileo Financial Technologies, LLC</w:t>
      </w:r>
      <w:r>
        <w:rPr>
          <w:rFonts w:ascii="Times New Roman" w:cs="Times New Roman" w:eastAsia="Times New Roman" w:hAnsi="Times New Roman"/>
          <w:sz w:val="22"/>
          <w:szCs w:val="22"/>
          <w:color w:val="auto"/>
        </w:rPr>
        <w:t>, a Delaware limited liability company (“Galileo”).</w:t>
      </w:r>
    </w:p>
    <w:p>
      <w:pPr>
        <w:spacing w:after="0" w:line="205" w:lineRule="exact"/>
        <w:rPr>
          <w:sz w:val="20"/>
          <w:szCs w:val="20"/>
          <w:color w:val="auto"/>
        </w:rPr>
      </w:pPr>
    </w:p>
    <w:p>
      <w:pPr>
        <w:ind w:right="140" w:firstLine="749"/>
        <w:spacing w:after="0" w:line="244" w:lineRule="auto"/>
        <w:rPr>
          <w:sz w:val="20"/>
          <w:szCs w:val="20"/>
          <w:color w:val="auto"/>
        </w:rPr>
      </w:pPr>
      <w:r>
        <w:rPr>
          <w:rFonts w:ascii="Times New Roman" w:cs="Times New Roman" w:eastAsia="Times New Roman" w:hAnsi="Times New Roman"/>
          <w:sz w:val="22"/>
          <w:szCs w:val="22"/>
          <w:color w:val="auto"/>
        </w:rPr>
        <w:t>A. Customer and Galileo are parties to that certain Service Agreement dated March 18, 2020 (as amended, modified, or supplemented, the “Agreement”). Capitalized terms used herein but not defined have the meanings given to them in the Agreement.</w:t>
      </w:r>
    </w:p>
    <w:p>
      <w:pPr>
        <w:spacing w:after="0" w:line="200" w:lineRule="exact"/>
        <w:rPr>
          <w:sz w:val="20"/>
          <w:szCs w:val="20"/>
          <w:color w:val="auto"/>
        </w:rPr>
      </w:pPr>
    </w:p>
    <w:p>
      <w:pPr>
        <w:ind w:right="180" w:firstLine="757"/>
        <w:spacing w:after="0" w:line="258" w:lineRule="auto"/>
        <w:tabs>
          <w:tab w:leader="none" w:pos="1055"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 12.9 of the Agreement, the Agreement may be amended upon the written approval of Customer and Galileo. Customer and Galileo desire to amend the Agreement as set forth herein.</w:t>
      </w:r>
    </w:p>
    <w:p>
      <w:pPr>
        <w:spacing w:after="0" w:line="18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auto"/>
        </w:rPr>
        <w:t>In consideration of the promises and covenants contained herein and other good and valuable consideration, the receipt, adequacy and sufficiency of which are hereby acknowledged, the parties mutually agree as follows:</w:t>
      </w:r>
    </w:p>
    <w:p>
      <w:pPr>
        <w:spacing w:after="0" w:line="158" w:lineRule="exact"/>
        <w:rPr>
          <w:sz w:val="20"/>
          <w:szCs w:val="20"/>
          <w:color w:val="auto"/>
        </w:rPr>
      </w:pPr>
    </w:p>
    <w:p>
      <w:pPr>
        <w:ind w:left="520" w:hanging="512"/>
        <w:spacing w:after="0"/>
        <w:tabs>
          <w:tab w:leader="none" w:pos="520"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1.1.Customer and Galileo hereby amend the [**] section of Exhibit C [**] by inserting the following line item:</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p>
    <w:p>
      <w:pPr>
        <w:spacing w:after="0" w:line="235" w:lineRule="exact"/>
        <w:rPr>
          <w:sz w:val="20"/>
          <w:szCs w:val="20"/>
          <w:color w:val="auto"/>
        </w:rPr>
      </w:pPr>
    </w:p>
    <w:p>
      <w:pPr>
        <w:ind w:right="40" w:firstLine="8"/>
        <w:spacing w:after="0" w:line="236" w:lineRule="auto"/>
        <w:tabs>
          <w:tab w:leader="none" w:pos="432"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This Third Amendment constitutes the entire agreement between Customer and Galileo concerning the subject matter of this Third Amendment. Except as explicitly amended by this Third Amendment, all of the terms and conditions of the Agreement shall remain in full force and effect. This Third Amendment may be executed in any number of counterparts, each of which when so executed and delivered shall be deemed an original and all of which counterparts, taken together, shall constitute one and the same instrument. Delivery of an executed counterpart of this Third Amendment by telefacsimile or email shall be equally as effective as delivery of an original executed counterpart of this Third Amendment.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1183640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1" w:name="page162"/>
    <w:bookmarkEnd w:id="161"/>
    <w:p>
      <w:pPr>
        <w:spacing w:after="0" w:line="181"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hereby acknowledge and certify that as of the Third Amendment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they are duly authorized to sign on behalf of and legally bind the applicable entity named below by executing this Third Amendment.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60" w:type="dxa"/>
            <w:vAlign w:val="bottom"/>
            <w:gridSpan w:val="7"/>
          </w:tcPr>
          <w:p>
            <w:pPr>
              <w:ind w:left="300"/>
              <w:spacing w:after="0"/>
              <w:rPr>
                <w:sz w:val="20"/>
                <w:szCs w:val="20"/>
                <w:color w:val="auto"/>
              </w:rPr>
            </w:pPr>
            <w:r>
              <w:rPr>
                <w:rFonts w:ascii="Times New Roman" w:cs="Times New Roman" w:eastAsia="Times New Roman" w:hAnsi="Times New Roman"/>
                <w:sz w:val="22"/>
                <w:szCs w:val="22"/>
                <w:b w:val="1"/>
                <w:bCs w:val="1"/>
                <w:color w:val="auto"/>
              </w:rPr>
              <w:t>Dave Operating LLC:</w:t>
            </w:r>
          </w:p>
        </w:tc>
        <w:tc>
          <w:tcPr>
            <w:tcW w:w="6680" w:type="dxa"/>
            <w:vAlign w:val="bottom"/>
            <w:gridSpan w:val="6"/>
          </w:tcPr>
          <w:p>
            <w:pPr>
              <w:ind w:left="1260"/>
              <w:spacing w:after="0"/>
              <w:rPr>
                <w:sz w:val="20"/>
                <w:szCs w:val="20"/>
                <w:color w:val="auto"/>
              </w:rPr>
            </w:pPr>
            <w:r>
              <w:rPr>
                <w:rFonts w:ascii="Times New Roman" w:cs="Times New Roman" w:eastAsia="Times New Roman" w:hAnsi="Times New Roman"/>
                <w:sz w:val="22"/>
                <w:szCs w:val="22"/>
                <w:b w:val="1"/>
                <w:bCs w:val="1"/>
                <w:color w:val="auto"/>
              </w:rPr>
              <w:t>Galileo Financial Technologies, LLC:</w:t>
            </w:r>
          </w:p>
        </w:tc>
      </w:tr>
      <w:tr>
        <w:trPr>
          <w:trHeight w:val="623"/>
        </w:trPr>
        <w:tc>
          <w:tcPr>
            <w:tcW w:w="456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By: ___/s/ Kyle Beilman______</w:t>
            </w:r>
          </w:p>
        </w:tc>
        <w:tc>
          <w:tcPr>
            <w:tcW w:w="6680" w:type="dxa"/>
            <w:vAlign w:val="bottom"/>
            <w:gridSpan w:val="6"/>
          </w:tcPr>
          <w:p>
            <w:pPr>
              <w:ind w:left="1260"/>
              <w:spacing w:after="0"/>
              <w:rPr>
                <w:sz w:val="20"/>
                <w:szCs w:val="20"/>
                <w:color w:val="auto"/>
              </w:rPr>
            </w:pPr>
            <w:r>
              <w:rPr>
                <w:rFonts w:ascii="Times New Roman" w:cs="Times New Roman" w:eastAsia="Times New Roman" w:hAnsi="Times New Roman"/>
                <w:sz w:val="22"/>
                <w:szCs w:val="22"/>
                <w:color w:val="auto"/>
              </w:rPr>
              <w:t>By: __/s/ William Kennedy__</w:t>
            </w: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39"/>
        </w:trPr>
        <w:tc>
          <w:tcPr>
            <w:tcW w:w="4560" w:type="dxa"/>
            <w:vAlign w:val="bottom"/>
            <w:gridSpan w:val="7"/>
          </w:tcPr>
          <w:p>
            <w:pPr>
              <w:ind w:left="300"/>
              <w:spacing w:after="0"/>
              <w:rPr>
                <w:sz w:val="20"/>
                <w:szCs w:val="20"/>
                <w:color w:val="auto"/>
              </w:rPr>
            </w:pPr>
            <w:r>
              <w:rPr>
                <w:rFonts w:ascii="Times New Roman" w:cs="Times New Roman" w:eastAsia="Times New Roman" w:hAnsi="Times New Roman"/>
                <w:sz w:val="22"/>
                <w:szCs w:val="22"/>
                <w:color w:val="auto"/>
              </w:rPr>
              <w:t>Name: __Kyle Beilman________</w:t>
            </w:r>
          </w:p>
        </w:tc>
        <w:tc>
          <w:tcPr>
            <w:tcW w:w="6680" w:type="dxa"/>
            <w:vAlign w:val="bottom"/>
            <w:gridSpan w:val="6"/>
          </w:tcPr>
          <w:p>
            <w:pPr>
              <w:ind w:left="1260"/>
              <w:spacing w:after="0"/>
              <w:rPr>
                <w:sz w:val="20"/>
                <w:szCs w:val="20"/>
                <w:color w:val="auto"/>
              </w:rPr>
            </w:pPr>
            <w:r>
              <w:rPr>
                <w:rFonts w:ascii="Times New Roman" w:cs="Times New Roman" w:eastAsia="Times New Roman" w:hAnsi="Times New Roman"/>
                <w:sz w:val="22"/>
                <w:szCs w:val="22"/>
                <w:color w:val="auto"/>
              </w:rPr>
              <w:t>Name: __William Kennedy__</w:t>
            </w:r>
          </w:p>
        </w:tc>
      </w:tr>
      <w:tr>
        <w:trPr>
          <w:trHeight w:val="20"/>
        </w:trPr>
        <w:tc>
          <w:tcPr>
            <w:tcW w:w="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439"/>
        </w:trPr>
        <w:tc>
          <w:tcPr>
            <w:tcW w:w="860" w:type="dxa"/>
            <w:vAlign w:val="bottom"/>
          </w:tcPr>
          <w:p>
            <w:pPr>
              <w:ind w:left="300"/>
              <w:spacing w:after="0"/>
              <w:rPr>
                <w:sz w:val="20"/>
                <w:szCs w:val="20"/>
                <w:color w:val="auto"/>
              </w:rPr>
            </w:pPr>
            <w:r>
              <w:rPr>
                <w:rFonts w:ascii="Times New Roman" w:cs="Times New Roman" w:eastAsia="Times New Roman" w:hAnsi="Times New Roman"/>
                <w:sz w:val="22"/>
                <w:szCs w:val="22"/>
                <w:color w:val="auto"/>
                <w:w w:val="97"/>
              </w:rPr>
              <w:t>Its: __</w:t>
            </w: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w w:val="96"/>
              </w:rPr>
              <w:t>Chief Financial Officer</w:t>
            </w:r>
          </w:p>
        </w:tc>
        <w:tc>
          <w:tcPr>
            <w:tcW w:w="1700" w:type="dxa"/>
            <w:vAlign w:val="bottom"/>
          </w:tcPr>
          <w:p>
            <w:pPr>
              <w:jc w:val="right"/>
              <w:ind w:right="1152"/>
              <w:spacing w:after="0"/>
              <w:rPr>
                <w:sz w:val="20"/>
                <w:szCs w:val="20"/>
                <w:color w:val="auto"/>
              </w:rPr>
            </w:pPr>
            <w:r>
              <w:rPr>
                <w:rFonts w:ascii="Times New Roman" w:cs="Times New Roman" w:eastAsia="Times New Roman" w:hAnsi="Times New Roman"/>
                <w:sz w:val="22"/>
                <w:szCs w:val="22"/>
                <w:color w:val="auto"/>
                <w:w w:val="95"/>
              </w:rPr>
              <w:t>____</w:t>
            </w:r>
          </w:p>
        </w:tc>
        <w:tc>
          <w:tcPr>
            <w:tcW w:w="6680" w:type="dxa"/>
            <w:vAlign w:val="bottom"/>
            <w:gridSpan w:val="6"/>
          </w:tcPr>
          <w:p>
            <w:pPr>
              <w:ind w:left="1260"/>
              <w:spacing w:after="0"/>
              <w:rPr>
                <w:sz w:val="20"/>
                <w:szCs w:val="20"/>
                <w:color w:val="auto"/>
              </w:rPr>
            </w:pPr>
            <w:r>
              <w:rPr>
                <w:rFonts w:ascii="Times New Roman" w:cs="Times New Roman" w:eastAsia="Times New Roman" w:hAnsi="Times New Roman"/>
                <w:sz w:val="22"/>
                <w:szCs w:val="22"/>
                <w:color w:val="auto"/>
              </w:rPr>
              <w:t>Its: _Chief Financial Officer</w:t>
            </w:r>
          </w:p>
        </w:tc>
      </w:tr>
      <w:tr>
        <w:trPr>
          <w:trHeight w:val="20"/>
        </w:trPr>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418"/>
        </w:trPr>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auto"/>
        </w:rPr>
        <w:t>Exhibit 10.8</w:t>
      </w:r>
    </w:p>
    <w:p>
      <w:pPr>
        <w:spacing w:after="0" w:line="333" w:lineRule="exact"/>
        <w:rPr>
          <w:sz w:val="20"/>
          <w:szCs w:val="20"/>
          <w:color w:val="auto"/>
        </w:rPr>
      </w:pPr>
    </w:p>
    <w:p>
      <w:pPr>
        <w:jc w:val="center"/>
        <w:ind w:right="120"/>
        <w:spacing w:after="0" w:line="235" w:lineRule="auto"/>
        <w:rPr>
          <w:sz w:val="20"/>
          <w:szCs w:val="20"/>
          <w:color w:val="auto"/>
        </w:rPr>
      </w:pPr>
      <w:r>
        <w:rPr>
          <w:rFonts w:ascii="Calibri" w:cs="Calibri" w:eastAsia="Calibri" w:hAnsi="Calibri"/>
          <w:sz w:val="18"/>
          <w:szCs w:val="18"/>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286"/>
        </w:trPr>
        <w:tc>
          <w:tcPr>
            <w:tcW w:w="8300" w:type="dxa"/>
            <w:vAlign w:val="bottom"/>
          </w:tcPr>
          <w:p>
            <w:pPr>
              <w:spacing w:after="0"/>
              <w:rPr>
                <w:sz w:val="24"/>
                <w:szCs w:val="24"/>
                <w:color w:val="auto"/>
              </w:rPr>
            </w:pPr>
          </w:p>
        </w:tc>
        <w:tc>
          <w:tcPr>
            <w:tcW w:w="202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Execution Copy</w:t>
            </w:r>
          </w:p>
        </w:tc>
      </w:tr>
      <w:tr>
        <w:trPr>
          <w:trHeight w:val="459"/>
        </w:trPr>
        <w:tc>
          <w:tcPr>
            <w:tcW w:w="8300" w:type="dxa"/>
            <w:vAlign w:val="bottom"/>
          </w:tcPr>
          <w:p>
            <w:pPr>
              <w:ind w:left="2540"/>
              <w:spacing w:after="0"/>
              <w:rPr>
                <w:sz w:val="20"/>
                <w:szCs w:val="20"/>
                <w:color w:val="auto"/>
              </w:rPr>
            </w:pPr>
            <w:r>
              <w:rPr>
                <w:rFonts w:ascii="Times New Roman" w:cs="Times New Roman" w:eastAsia="Times New Roman" w:hAnsi="Times New Roman"/>
                <w:sz w:val="22"/>
                <w:szCs w:val="22"/>
                <w:b w:val="1"/>
                <w:bCs w:val="1"/>
                <w:color w:val="auto"/>
              </w:rPr>
              <w:t>PCI ADDENDUM TO SERVICE AGREEMENT</w:t>
            </w:r>
          </w:p>
        </w:tc>
        <w:tc>
          <w:tcPr>
            <w:tcW w:w="2020" w:type="dxa"/>
            <w:vAlign w:val="bottom"/>
          </w:tcPr>
          <w:p>
            <w:pPr>
              <w:spacing w:after="0"/>
              <w:rPr>
                <w:sz w:val="24"/>
                <w:szCs w:val="24"/>
                <w:color w:val="auto"/>
              </w:rPr>
            </w:pPr>
          </w:p>
        </w:tc>
      </w:tr>
      <w:tr>
        <w:trPr>
          <w:trHeight w:val="433"/>
        </w:trPr>
        <w:tc>
          <w:tcPr>
            <w:tcW w:w="8300" w:type="dxa"/>
            <w:vAlign w:val="bottom"/>
          </w:tcPr>
          <w:p>
            <w:pPr>
              <w:spacing w:after="0"/>
              <w:rPr>
                <w:sz w:val="20"/>
                <w:szCs w:val="20"/>
                <w:color w:val="auto"/>
              </w:rPr>
            </w:pPr>
            <w:r>
              <w:rPr>
                <w:rFonts w:ascii="Times New Roman" w:cs="Times New Roman" w:eastAsia="Times New Roman" w:hAnsi="Times New Roman"/>
                <w:sz w:val="22"/>
                <w:szCs w:val="22"/>
                <w:color w:val="auto"/>
                <w:w w:val="98"/>
              </w:rPr>
              <w:t>THIS PCI ADDENDUM TO SERVICE AGREEMENT (the “Addendum”) is entered into as of</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22"/>
                <w:szCs w:val="22"/>
                <w:color w:val="auto"/>
              </w:rPr>
              <w:t>10/12/2022</w:t>
            </w:r>
          </w:p>
        </w:tc>
      </w:tr>
    </w:tbl>
    <w:p>
      <w:pPr>
        <w:ind w:left="20" w:right="200"/>
        <w:spacing w:after="0" w:line="228" w:lineRule="auto"/>
        <w:rPr>
          <w:sz w:val="20"/>
          <w:szCs w:val="20"/>
          <w:color w:val="auto"/>
        </w:rPr>
      </w:pPr>
      <w:r>
        <w:rPr>
          <w:rFonts w:ascii="Times New Roman" w:cs="Times New Roman" w:eastAsia="Times New Roman" w:hAnsi="Times New Roman"/>
          <w:sz w:val="22"/>
          <w:szCs w:val="22"/>
          <w:color w:val="auto"/>
        </w:rPr>
        <w:t xml:space="preserve">(the “Effective Date”), by and between </w:t>
      </w:r>
      <w:r>
        <w:rPr>
          <w:rFonts w:ascii="Times New Roman" w:cs="Times New Roman" w:eastAsia="Times New Roman" w:hAnsi="Times New Roman"/>
          <w:sz w:val="22"/>
          <w:szCs w:val="22"/>
          <w:b w:val="1"/>
          <w:bCs w:val="1"/>
          <w:color w:val="auto"/>
        </w:rPr>
        <w:t>Dave Operating LLC, f.k.a. Dave, Inc.</w:t>
      </w:r>
      <w:r>
        <w:rPr>
          <w:rFonts w:ascii="Times New Roman" w:cs="Times New Roman" w:eastAsia="Times New Roman" w:hAnsi="Times New Roman"/>
          <w:sz w:val="22"/>
          <w:szCs w:val="22"/>
          <w:color w:val="auto"/>
        </w:rPr>
        <w:t xml:space="preserve"> (“Customer”), a Delaware corporation with a principal business address of 1265 S. Cochran Avenue, Los Angeles, California 90292, and </w:t>
      </w:r>
      <w:r>
        <w:rPr>
          <w:rFonts w:ascii="Times New Roman" w:cs="Times New Roman" w:eastAsia="Times New Roman" w:hAnsi="Times New Roman"/>
          <w:sz w:val="22"/>
          <w:szCs w:val="22"/>
          <w:b w:val="1"/>
          <w:bCs w:val="1"/>
          <w:color w:val="auto"/>
        </w:rPr>
        <w:t>Galileo Financial Technologies,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LLC </w:t>
      </w:r>
      <w:r>
        <w:rPr>
          <w:rFonts w:ascii="Times New Roman" w:cs="Times New Roman" w:eastAsia="Times New Roman" w:hAnsi="Times New Roman"/>
          <w:sz w:val="22"/>
          <w:szCs w:val="22"/>
          <w:color w:val="auto"/>
        </w:rPr>
        <w:t>(Galileo”), a Delaware limited liability company with a principal business address of 9800 South Monroe Street,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Floor, Sandy, Utah 84070 as an Addendum to that certain Service Agreement (the “Agreement”) between Galileo and Customer dated March 18, 2020. Capitalized terms used herein but not defined have the meanings given to them in the Agreement.</w:t>
      </w:r>
    </w:p>
    <w:p>
      <w:pPr>
        <w:spacing w:after="0" w:line="176" w:lineRule="exact"/>
        <w:rPr>
          <w:sz w:val="20"/>
          <w:szCs w:val="20"/>
          <w:color w:val="auto"/>
        </w:rPr>
      </w:pPr>
    </w:p>
    <w:p>
      <w:pPr>
        <w:ind w:left="20" w:right="2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parties wish to amend the Agreement, and as such this Addendum is being entered into for the purpose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modifying the Agreement in the manner and to the extent set forth herein; and</w:t>
      </w:r>
    </w:p>
    <w:p>
      <w:pPr>
        <w:spacing w:after="0" w:line="109" w:lineRule="exact"/>
        <w:rPr>
          <w:sz w:val="20"/>
          <w:szCs w:val="20"/>
          <w:color w:val="auto"/>
        </w:rPr>
      </w:pPr>
    </w:p>
    <w:p>
      <w:pPr>
        <w:ind w:left="20" w:right="1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Customer wishes to receive from Galileo certain sensitive data, including but not limited PAN, CVV, and expiration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(“Data”), subject to the Payment Card Industry Data Security Standard (“PCI DSS”) promulgated by the PCI Security Standards Council;</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parties agree as follows:</w:t>
      </w:r>
    </w:p>
    <w:p>
      <w:pPr>
        <w:spacing w:after="0" w:line="16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ind w:left="20" w:right="420" w:firstLine="749"/>
        <w:spacing w:after="0" w:line="239" w:lineRule="auto"/>
        <w:rPr>
          <w:sz w:val="20"/>
          <w:szCs w:val="20"/>
          <w:color w:val="auto"/>
        </w:rPr>
      </w:pPr>
      <w:r>
        <w:rPr>
          <w:rFonts w:ascii="Times New Roman" w:cs="Times New Roman" w:eastAsia="Times New Roman" w:hAnsi="Times New Roman"/>
          <w:sz w:val="22"/>
          <w:szCs w:val="22"/>
          <w:color w:val="auto"/>
        </w:rPr>
        <w:t>1.Customer hereby acknowledges and agrees that any such Data it receives pursuant to this Addendum shall be subject to Customer’s then existing PCI DSS and shall be within the scope of Customer’s PCI audits going forward. Customer shall declare in its next PCI audit its receipt and use of such Data, including how it transmits, stores, or processes such Data.</w:t>
      </w:r>
    </w:p>
    <w:p>
      <w:pPr>
        <w:spacing w:after="0" w:line="207" w:lineRule="exact"/>
        <w:rPr>
          <w:sz w:val="20"/>
          <w:szCs w:val="20"/>
          <w:color w:val="auto"/>
        </w:rPr>
      </w:pPr>
    </w:p>
    <w:p>
      <w:pPr>
        <w:ind w:left="20" w:right="420" w:firstLine="749"/>
        <w:spacing w:after="0" w:line="258" w:lineRule="auto"/>
        <w:rPr>
          <w:sz w:val="20"/>
          <w:szCs w:val="20"/>
          <w:color w:val="auto"/>
        </w:rPr>
      </w:pPr>
      <w:r>
        <w:rPr>
          <w:rFonts w:ascii="Times New Roman" w:cs="Times New Roman" w:eastAsia="Times New Roman" w:hAnsi="Times New Roman"/>
          <w:sz w:val="22"/>
          <w:szCs w:val="22"/>
          <w:color w:val="auto"/>
        </w:rPr>
        <w:t>2.Customer acknowledges and agrees that certification of such PCI DSS compliance shall be performed by a third-party assessor at all times Galileo is providing the Data to Customer.</w:t>
      </w:r>
    </w:p>
    <w:p>
      <w:pPr>
        <w:spacing w:after="0" w:line="185" w:lineRule="exact"/>
        <w:rPr>
          <w:sz w:val="20"/>
          <w:szCs w:val="20"/>
          <w:color w:val="auto"/>
        </w:rPr>
      </w:pPr>
    </w:p>
    <w:p>
      <w:pPr>
        <w:ind w:left="20" w:right="1180" w:firstLine="749"/>
        <w:spacing w:after="0" w:line="258" w:lineRule="auto"/>
        <w:rPr>
          <w:sz w:val="20"/>
          <w:szCs w:val="20"/>
          <w:color w:val="auto"/>
        </w:rPr>
      </w:pPr>
      <w:r>
        <w:rPr>
          <w:rFonts w:ascii="Times New Roman" w:cs="Times New Roman" w:eastAsia="Times New Roman" w:hAnsi="Times New Roman"/>
          <w:sz w:val="22"/>
          <w:szCs w:val="22"/>
          <w:color w:val="auto"/>
        </w:rPr>
        <w:t>3.Customer hereby acknowledges and agrees that it is responsible for the security of the Data it possesses, including the functions relating to storing, processing, and transmitting of the Data.</w:t>
      </w:r>
    </w:p>
    <w:p>
      <w:pPr>
        <w:spacing w:after="0" w:line="185" w:lineRule="exact"/>
        <w:rPr>
          <w:sz w:val="20"/>
          <w:szCs w:val="20"/>
          <w:color w:val="auto"/>
        </w:rPr>
      </w:pPr>
    </w:p>
    <w:p>
      <w:pPr>
        <w:ind w:left="20" w:right="680" w:firstLine="749"/>
        <w:spacing w:after="0" w:line="258" w:lineRule="auto"/>
        <w:rPr>
          <w:sz w:val="20"/>
          <w:szCs w:val="20"/>
          <w:color w:val="auto"/>
        </w:rPr>
      </w:pPr>
      <w:r>
        <w:rPr>
          <w:rFonts w:ascii="Times New Roman" w:cs="Times New Roman" w:eastAsia="Times New Roman" w:hAnsi="Times New Roman"/>
          <w:sz w:val="22"/>
          <w:szCs w:val="22"/>
          <w:color w:val="auto"/>
        </w:rPr>
        <w:t>4.Customer shall purge any Data from its systems immediately after it no longer has a business purpose to store such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859790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760" w:right="379" w:bottom="1440" w:gutter="0" w:footer="0" w:header="0"/>
        </w:sectPr>
      </w:pPr>
    </w:p>
    <w:bookmarkStart w:id="163" w:name="page164"/>
    <w:bookmarkEnd w:id="163"/>
    <w:p>
      <w:pPr>
        <w:ind w:left="1500" w:hanging="758"/>
        <w:spacing w:after="0"/>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w:t>
      </w:r>
    </w:p>
    <w:p>
      <w:pPr>
        <w:spacing w:after="0" w:line="246" w:lineRule="exact"/>
        <w:rPr>
          <w:rFonts w:ascii="Times New Roman" w:cs="Times New Roman" w:eastAsia="Times New Roman" w:hAnsi="Times New Roman"/>
          <w:sz w:val="22"/>
          <w:szCs w:val="22"/>
          <w:color w:val="auto"/>
        </w:rPr>
      </w:pPr>
    </w:p>
    <w:p>
      <w:pPr>
        <w:ind w:left="1500" w:right="440" w:hanging="354"/>
        <w:spacing w:after="0" w:line="251" w:lineRule="auto"/>
        <w:tabs>
          <w:tab w:leader="none" w:pos="1500"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limitations contained in this Section 5 of this Addendum, Customer shall indemnify and hold harmless Galileo and its directors, officers, employees, agents and affiliates from and against any and all third party claims, liabilities, losses and damages (including reasonable attorney fees, expert witness fees, expenses and costs of settlement) arising out of or with respect to the Addendum or the Agreement to the extent Customer breaches its obligations to keep the Data secure.</w:t>
      </w:r>
    </w:p>
    <w:p>
      <w:pPr>
        <w:spacing w:after="0" w:line="195" w:lineRule="exact"/>
        <w:rPr>
          <w:rFonts w:ascii="Times New Roman" w:cs="Times New Roman" w:eastAsia="Times New Roman" w:hAnsi="Times New Roman"/>
          <w:sz w:val="21"/>
          <w:szCs w:val="21"/>
          <w:color w:val="auto"/>
        </w:rPr>
      </w:pPr>
    </w:p>
    <w:p>
      <w:pPr>
        <w:ind w:left="1500" w:right="240" w:hanging="354"/>
        <w:spacing w:after="0" w:line="236" w:lineRule="auto"/>
        <w:tabs>
          <w:tab w:leader="none" w:pos="1500"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except for willful misconduct, gross negligence, and fraud, Customer’s cumulative liability for any loss or damage, direct or indirect, for any cause whatsoever with respect to claims (whether third party claims, indemnity claims or otherwise) relating to this Addendum shall under any circumstances exceed</w:t>
      </w:r>
    </w:p>
    <w:p>
      <w:pPr>
        <w:ind w:left="1940" w:hanging="418"/>
        <w:spacing w:after="0"/>
        <w:tabs>
          <w:tab w:leader="none" w:pos="1940" w:val="left"/>
        </w:tabs>
        <w:numPr>
          <w:ilvl w:val="2"/>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aggregate.</w:t>
      </w:r>
    </w:p>
    <w:p>
      <w:pPr>
        <w:spacing w:after="0" w:line="209"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6.Galileo acknowledges that the Customer was party to a Merger Agreement dated on or about January 5, 2022, whereby “Dave Operating LLC” is the surviving entity of the transactions contemplated therein, such that all references to Customer hereinafter refer to “Dave Operating LLC”.</w:t>
      </w:r>
    </w:p>
    <w:p>
      <w:pPr>
        <w:spacing w:after="0" w:line="20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7.This Addendum constitutes the entire agreement between Customer and Galileo concerning the subject matter of this Addendum. Except as explicitly modified by this Addendum, all of the terms and conditions of the Agreement shall remain in full force and effect. This Addendum may be executed in any number of counterparts, each of which when so executed and delivered shall be deemed an original and all of which counterparts, taken together, shall constitute one and the same instrument. Delivery of an executed counterpart of this Addendum by telefacsimile shall be equally as effective as delivery of an original executed counterpart of this Addendum. This Addendum is governed by and must be construed under the laws of the State of Utah.</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892175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071" w:right="679" w:bottom="1440" w:gutter="0" w:footer="0" w:header="0"/>
        </w:sectPr>
      </w:pPr>
    </w:p>
    <w:bookmarkStart w:id="164" w:name="page165"/>
    <w:bookmarkEnd w:id="164"/>
    <w:p>
      <w:pPr>
        <w:ind w:left="120"/>
        <w:spacing w:after="0"/>
        <w:rPr>
          <w:sz w:val="20"/>
          <w:szCs w:val="20"/>
          <w:color w:val="auto"/>
        </w:rPr>
      </w:pPr>
      <w:r>
        <w:rPr>
          <w:rFonts w:ascii="Times New Roman" w:cs="Times New Roman" w:eastAsia="Times New Roman" w:hAnsi="Times New Roman"/>
          <w:sz w:val="21"/>
          <w:szCs w:val="21"/>
          <w:color w:val="auto"/>
        </w:rPr>
        <w:t>IN WITNESS WHEREOF, this Addendum is executed effective as of the Effective Date.</w:t>
      </w: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60" w:type="dxa"/>
            <w:vAlign w:val="bottom"/>
            <w:gridSpan w:val="6"/>
          </w:tcPr>
          <w:p>
            <w:pPr>
              <w:ind w:left="220"/>
              <w:spacing w:after="0"/>
              <w:rPr>
                <w:sz w:val="20"/>
                <w:szCs w:val="20"/>
                <w:color w:val="auto"/>
              </w:rPr>
            </w:pPr>
            <w:r>
              <w:rPr>
                <w:rFonts w:ascii="Times New Roman" w:cs="Times New Roman" w:eastAsia="Times New Roman" w:hAnsi="Times New Roman"/>
                <w:sz w:val="22"/>
                <w:szCs w:val="22"/>
                <w:b w:val="1"/>
                <w:bCs w:val="1"/>
                <w:color w:val="auto"/>
              </w:rPr>
              <w:t>Dave Operating LLC:</w:t>
            </w:r>
          </w:p>
        </w:tc>
        <w:tc>
          <w:tcPr>
            <w:tcW w:w="780" w:type="dxa"/>
            <w:vAlign w:val="bottom"/>
          </w:tcPr>
          <w:p>
            <w:pPr>
              <w:spacing w:after="0"/>
              <w:rPr>
                <w:sz w:val="24"/>
                <w:szCs w:val="24"/>
                <w:color w:val="auto"/>
              </w:rPr>
            </w:pPr>
          </w:p>
        </w:tc>
        <w:tc>
          <w:tcPr>
            <w:tcW w:w="7300" w:type="dxa"/>
            <w:vAlign w:val="bottom"/>
            <w:gridSpan w:val="5"/>
          </w:tcPr>
          <w:p>
            <w:pPr>
              <w:ind w:left="60"/>
              <w:spacing w:after="0"/>
              <w:rPr>
                <w:sz w:val="20"/>
                <w:szCs w:val="20"/>
                <w:color w:val="auto"/>
              </w:rPr>
            </w:pPr>
            <w:r>
              <w:rPr>
                <w:rFonts w:ascii="Times New Roman" w:cs="Times New Roman" w:eastAsia="Times New Roman" w:hAnsi="Times New Roman"/>
                <w:sz w:val="22"/>
                <w:szCs w:val="22"/>
                <w:b w:val="1"/>
                <w:bCs w:val="1"/>
                <w:color w:val="auto"/>
              </w:rPr>
              <w:t>Galileo Financial Technologies, LLC:</w:t>
            </w:r>
          </w:p>
        </w:tc>
      </w:tr>
      <w:tr>
        <w:trPr>
          <w:trHeight w:val="582"/>
        </w:trPr>
        <w:tc>
          <w:tcPr>
            <w:tcW w:w="316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auto"/>
              </w:rPr>
              <w:t>By: /s/ Kyle Beilman</w:t>
            </w:r>
          </w:p>
        </w:tc>
        <w:tc>
          <w:tcPr>
            <w:tcW w:w="8080" w:type="dxa"/>
            <w:vAlign w:val="bottom"/>
            <w:gridSpan w:val="6"/>
          </w:tcPr>
          <w:p>
            <w:pPr>
              <w:ind w:left="400"/>
              <w:spacing w:after="0"/>
              <w:rPr>
                <w:sz w:val="20"/>
                <w:szCs w:val="20"/>
                <w:color w:val="auto"/>
              </w:rPr>
            </w:pPr>
            <w:r>
              <w:rPr>
                <w:rFonts w:ascii="Times New Roman" w:cs="Times New Roman" w:eastAsia="Times New Roman" w:hAnsi="Times New Roman"/>
                <w:sz w:val="22"/>
                <w:szCs w:val="22"/>
                <w:color w:val="auto"/>
              </w:rPr>
              <w:t>By: /s/ William Kennedy</w:t>
            </w:r>
          </w:p>
        </w:tc>
      </w:tr>
      <w:tr>
        <w:trPr>
          <w:trHeight w:val="20"/>
        </w:trPr>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291"/>
        </w:trPr>
        <w:tc>
          <w:tcPr>
            <w:tcW w:w="316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auto"/>
              </w:rPr>
              <w:t>Name: Kyle Beilman</w:t>
            </w:r>
          </w:p>
        </w:tc>
        <w:tc>
          <w:tcPr>
            <w:tcW w:w="8080" w:type="dxa"/>
            <w:vAlign w:val="bottom"/>
            <w:gridSpan w:val="6"/>
          </w:tcPr>
          <w:p>
            <w:pPr>
              <w:ind w:left="400"/>
              <w:spacing w:after="0"/>
              <w:rPr>
                <w:sz w:val="20"/>
                <w:szCs w:val="20"/>
                <w:color w:val="auto"/>
              </w:rPr>
            </w:pPr>
            <w:r>
              <w:rPr>
                <w:rFonts w:ascii="Times New Roman" w:cs="Times New Roman" w:eastAsia="Times New Roman" w:hAnsi="Times New Roman"/>
                <w:sz w:val="22"/>
                <w:szCs w:val="22"/>
                <w:color w:val="auto"/>
              </w:rPr>
              <w:t>Name: William Kennedy</w:t>
            </w:r>
          </w:p>
        </w:tc>
      </w:tr>
      <w:tr>
        <w:trPr>
          <w:trHeight w:val="20"/>
        </w:trPr>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3160" w:type="dxa"/>
            <w:vAlign w:val="bottom"/>
            <w:gridSpan w:val="6"/>
          </w:tcPr>
          <w:p>
            <w:pPr>
              <w:ind w:left="2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780" w:type="dxa"/>
            <w:vAlign w:val="bottom"/>
          </w:tcPr>
          <w:p>
            <w:pPr>
              <w:spacing w:after="0"/>
              <w:rPr>
                <w:sz w:val="24"/>
                <w:szCs w:val="24"/>
                <w:color w:val="auto"/>
              </w:rPr>
            </w:pPr>
          </w:p>
        </w:tc>
        <w:tc>
          <w:tcPr>
            <w:tcW w:w="730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Title: Chief Financial Officer</w:t>
            </w:r>
          </w:p>
        </w:tc>
      </w:tr>
      <w:tr>
        <w:trPr>
          <w:trHeight w:val="2053"/>
        </w:trPr>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color w:val="auto"/>
        </w:rPr>
        <w:t>Exhibit 10.9</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DAVE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 AMENDED AND RESTATED: April</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24, 2024</w:t>
      </w:r>
    </w:p>
    <w:p>
      <w:pPr>
        <w:spacing w:after="0" w:line="200" w:lineRule="exact"/>
        <w:rPr>
          <w:sz w:val="20"/>
          <w:szCs w:val="20"/>
          <w:color w:val="auto"/>
        </w:rPr>
      </w:pPr>
    </w:p>
    <w:p>
      <w:pPr>
        <w:spacing w:after="0" w:line="233" w:lineRule="exact"/>
        <w:rPr>
          <w:sz w:val="20"/>
          <w:szCs w:val="20"/>
          <w:color w:val="auto"/>
        </w:rPr>
      </w:pPr>
    </w:p>
    <w:p>
      <w:pPr>
        <w:jc w:val="both"/>
        <w:ind w:left="40" w:right="80"/>
        <w:spacing w:after="0" w:line="250"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of Dave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who is not an employee of the Company (each such member, an “</w:t>
      </w:r>
      <w:r>
        <w:rPr>
          <w:rFonts w:ascii="Times New Roman" w:cs="Times New Roman" w:eastAsia="Times New Roman" w:hAnsi="Times New Roman"/>
          <w:sz w:val="20"/>
          <w:szCs w:val="20"/>
          <w:b w:val="1"/>
          <w:bCs w:val="1"/>
          <w:i w:val="1"/>
          <w:iCs w:val="1"/>
          <w:color w:val="auto"/>
        </w:rPr>
        <w:t>Outside Director</w:t>
      </w:r>
      <w:r>
        <w:rPr>
          <w:rFonts w:ascii="Times New Roman" w:cs="Times New Roman" w:eastAsia="Times New Roman" w:hAnsi="Times New Roman"/>
          <w:sz w:val="20"/>
          <w:szCs w:val="20"/>
          <w:color w:val="auto"/>
        </w:rPr>
        <w:t>”) will receive the compensation described in this Non-Employee Director Compensation Policy (the “</w:t>
      </w:r>
      <w:r>
        <w:rPr>
          <w:rFonts w:ascii="Times New Roman" w:cs="Times New Roman" w:eastAsia="Times New Roman" w:hAnsi="Times New Roman"/>
          <w:sz w:val="20"/>
          <w:szCs w:val="20"/>
          <w:b w:val="1"/>
          <w:bCs w:val="1"/>
          <w:i w:val="1"/>
          <w:iCs w:val="1"/>
          <w:color w:val="auto"/>
        </w:rPr>
        <w:t>Director Compensation Policy</w:t>
      </w:r>
      <w:r>
        <w:rPr>
          <w:rFonts w:ascii="Times New Roman" w:cs="Times New Roman" w:eastAsia="Times New Roman" w:hAnsi="Times New Roman"/>
          <w:sz w:val="20"/>
          <w:szCs w:val="20"/>
          <w:color w:val="auto"/>
        </w:rPr>
        <w:t>”), as amended, for his or her Board service following the date this Director Compensation Policy was originally adopted effective as of January 5, 2022 (the “</w:t>
      </w:r>
      <w:r>
        <w:rPr>
          <w:rFonts w:ascii="Times New Roman" w:cs="Times New Roman" w:eastAsia="Times New Roman" w:hAnsi="Times New Roman"/>
          <w:sz w:val="20"/>
          <w:szCs w:val="20"/>
          <w:b w:val="1"/>
          <w:bCs w:val="1"/>
          <w:i w:val="1"/>
          <w:iCs w:val="1"/>
          <w:color w:val="auto"/>
        </w:rPr>
        <w:t>Original Effective Date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Director Compensation Policy may be amended at any time in the sole discretion of the Board.</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33" w:lineRule="exact"/>
        <w:rPr>
          <w:sz w:val="20"/>
          <w:szCs w:val="20"/>
          <w:color w:val="auto"/>
        </w:rPr>
      </w:pPr>
    </w:p>
    <w:p>
      <w:pPr>
        <w:jc w:val="both"/>
        <w:ind w:left="40" w:right="80"/>
        <w:spacing w:after="0" w:line="246" w:lineRule="auto"/>
        <w:rPr>
          <w:sz w:val="20"/>
          <w:szCs w:val="20"/>
          <w:color w:val="auto"/>
        </w:rPr>
      </w:pPr>
      <w:r>
        <w:rPr>
          <w:rFonts w:ascii="Times New Roman" w:cs="Times New Roman" w:eastAsia="Times New Roman" w:hAnsi="Times New Roman"/>
          <w:sz w:val="20"/>
          <w:szCs w:val="20"/>
          <w:color w:val="auto"/>
        </w:rPr>
        <w:t>Each Outside Director will receive the cash compensation set forth below for service on the Board. The annual cash compensation amounts will be payable in arrears, in equal quarterly installments following the end of each fiscal quarter of the Company in which the service occurred. Any amount payable for a partial quarter of service will be pro-rated by multiplying such amount by a fraction, the numerator of which will be the number of days of service that the Outside Director provided in such quarter and the denominator of which will be the number of days in such quarter inclusive. All annual cash fees are vested upon payment.</w:t>
      </w:r>
    </w:p>
    <w:p>
      <w:pPr>
        <w:spacing w:after="0" w:line="198" w:lineRule="exact"/>
        <w:rPr>
          <w:sz w:val="20"/>
          <w:szCs w:val="20"/>
          <w:color w:val="auto"/>
        </w:rPr>
      </w:pPr>
    </w:p>
    <w:p>
      <w:pPr>
        <w:ind w:left="400" w:hanging="367"/>
        <w:spacing w:after="0"/>
        <w:tabs>
          <w:tab w:leader="none" w:pos="400" w:val="left"/>
        </w:tabs>
        <w:numPr>
          <w:ilvl w:val="0"/>
          <w:numId w:val="1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Annual Board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u w:val="single" w:color="auto"/>
          <w:color w:val="auto"/>
        </w:rPr>
      </w:pP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Outside Directors: </w:t>
      </w:r>
      <w:r>
        <w:rPr>
          <w:rFonts w:ascii="Times New Roman" w:cs="Times New Roman" w:eastAsia="Times New Roman" w:hAnsi="Times New Roman"/>
          <w:sz w:val="20"/>
          <w:szCs w:val="20"/>
          <w:b w:val="1"/>
          <w:bCs w:val="1"/>
          <w:u w:val="single" w:color="auto"/>
          <w:color w:val="auto"/>
        </w:rPr>
        <w:t>$40,000</w:t>
      </w:r>
      <w:r>
        <w:rPr>
          <w:rFonts w:ascii="Times New Roman" w:cs="Times New Roman" w:eastAsia="Times New Roman" w:hAnsi="Times New Roman"/>
          <w:sz w:val="20"/>
          <w:szCs w:val="20"/>
          <w:color w:val="auto"/>
        </w:rPr>
        <w:t>.</w:t>
      </w: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Outside Director serving as Chairperson: </w:t>
      </w:r>
      <w:r>
        <w:rPr>
          <w:rFonts w:ascii="Times New Roman" w:cs="Times New Roman" w:eastAsia="Times New Roman" w:hAnsi="Times New Roman"/>
          <w:sz w:val="20"/>
          <w:szCs w:val="20"/>
          <w:b w:val="1"/>
          <w:bCs w:val="1"/>
          <w:u w:val="single" w:color="auto"/>
          <w:color w:val="auto"/>
        </w:rPr>
        <w:t>$30,000</w:t>
      </w:r>
      <w:r>
        <w:rPr>
          <w:rFonts w:ascii="Times New Roman" w:cs="Times New Roman" w:eastAsia="Times New Roman" w:hAnsi="Times New Roman"/>
          <w:sz w:val="20"/>
          <w:szCs w:val="20"/>
          <w:color w:val="auto"/>
        </w:rPr>
        <w:t xml:space="preserve"> (in addition to above).</w:t>
      </w: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Outside Director serving as Lead Independent Director: </w:t>
      </w:r>
      <w:r>
        <w:rPr>
          <w:rFonts w:ascii="Times New Roman" w:cs="Times New Roman" w:eastAsia="Times New Roman" w:hAnsi="Times New Roman"/>
          <w:sz w:val="20"/>
          <w:szCs w:val="20"/>
          <w:b w:val="1"/>
          <w:bCs w:val="1"/>
          <w:u w:val="single" w:color="auto"/>
          <w:color w:val="auto"/>
        </w:rPr>
        <w:t>$22,000</w:t>
      </w:r>
      <w:r>
        <w:rPr>
          <w:rFonts w:ascii="Times New Roman" w:cs="Times New Roman" w:eastAsia="Times New Roman" w:hAnsi="Times New Roman"/>
          <w:sz w:val="20"/>
          <w:szCs w:val="20"/>
          <w:color w:val="auto"/>
        </w:rPr>
        <w:t xml:space="preserve"> (in addition to above).</w:t>
      </w:r>
    </w:p>
    <w:p>
      <w:pPr>
        <w:spacing w:after="0" w:line="207" w:lineRule="exact"/>
        <w:rPr>
          <w:rFonts w:ascii="Times New Roman" w:cs="Times New Roman" w:eastAsia="Times New Roman" w:hAnsi="Times New Roman"/>
          <w:sz w:val="20"/>
          <w:szCs w:val="20"/>
          <w:color w:val="auto"/>
        </w:rPr>
      </w:pPr>
    </w:p>
    <w:p>
      <w:pPr>
        <w:ind w:left="320" w:hanging="287"/>
        <w:spacing w:after="0"/>
        <w:tabs>
          <w:tab w:leader="none" w:pos="320" w:val="left"/>
        </w:tabs>
        <w:numPr>
          <w:ilvl w:val="0"/>
          <w:numId w:val="1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Annual Committee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u w:val="single" w:color="auto"/>
          <w:color w:val="auto"/>
        </w:rPr>
      </w:pPr>
    </w:p>
    <w:p>
      <w:pPr>
        <w:ind w:left="600" w:hanging="193"/>
        <w:spacing w:after="0"/>
        <w:tabs>
          <w:tab w:leader="none" w:pos="60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Member of the Audit Committee: </w:t>
      </w:r>
      <w:r>
        <w:rPr>
          <w:rFonts w:ascii="Times New Roman" w:cs="Times New Roman" w:eastAsia="Times New Roman" w:hAnsi="Times New Roman"/>
          <w:sz w:val="20"/>
          <w:szCs w:val="20"/>
          <w:b w:val="1"/>
          <w:bCs w:val="1"/>
          <w:u w:val="single" w:color="auto"/>
          <w:color w:val="auto"/>
        </w:rPr>
        <w:t>$10,000</w:t>
      </w:r>
      <w:r>
        <w:rPr>
          <w:rFonts w:ascii="Times New Roman" w:cs="Times New Roman" w:eastAsia="Times New Roman" w:hAnsi="Times New Roman"/>
          <w:sz w:val="20"/>
          <w:szCs w:val="20"/>
          <w:color w:val="auto"/>
        </w:rPr>
        <w:t>.</w:t>
      </w: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Member of the Compensation Committee: </w:t>
      </w:r>
      <w:r>
        <w:rPr>
          <w:rFonts w:ascii="Times New Roman" w:cs="Times New Roman" w:eastAsia="Times New Roman" w:hAnsi="Times New Roman"/>
          <w:sz w:val="20"/>
          <w:szCs w:val="20"/>
          <w:b w:val="1"/>
          <w:bCs w:val="1"/>
          <w:u w:val="single" w:color="auto"/>
          <w:color w:val="auto"/>
        </w:rPr>
        <w:t>$7,000</w:t>
      </w:r>
      <w:r>
        <w:rPr>
          <w:rFonts w:ascii="Times New Roman" w:cs="Times New Roman" w:eastAsia="Times New Roman" w:hAnsi="Times New Roman"/>
          <w:sz w:val="20"/>
          <w:szCs w:val="20"/>
          <w:color w:val="auto"/>
        </w:rPr>
        <w:t>.</w:t>
      </w: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Member of the Nominating and Corporate Governance Committee: </w:t>
      </w:r>
      <w:r>
        <w:rPr>
          <w:rFonts w:ascii="Times New Roman" w:cs="Times New Roman" w:eastAsia="Times New Roman" w:hAnsi="Times New Roman"/>
          <w:sz w:val="20"/>
          <w:szCs w:val="20"/>
          <w:b w:val="1"/>
          <w:bCs w:val="1"/>
          <w:u w:val="single" w:color="auto"/>
          <w:color w:val="auto"/>
        </w:rPr>
        <w:t>$4,500</w:t>
      </w:r>
      <w:r>
        <w:rPr>
          <w:rFonts w:ascii="Times New Roman" w:cs="Times New Roman" w:eastAsia="Times New Roman" w:hAnsi="Times New Roman"/>
          <w:sz w:val="20"/>
          <w:szCs w:val="20"/>
          <w:color w:val="auto"/>
        </w:rPr>
        <w:t>.</w:t>
      </w:r>
    </w:p>
    <w:p>
      <w:pPr>
        <w:spacing w:after="0" w:line="207" w:lineRule="exact"/>
        <w:rPr>
          <w:rFonts w:ascii="Times New Roman" w:cs="Times New Roman" w:eastAsia="Times New Roman" w:hAnsi="Times New Roman"/>
          <w:sz w:val="20"/>
          <w:szCs w:val="20"/>
          <w:color w:val="auto"/>
        </w:rPr>
      </w:pPr>
    </w:p>
    <w:p>
      <w:pPr>
        <w:ind w:left="400" w:hanging="367"/>
        <w:spacing w:after="0"/>
        <w:tabs>
          <w:tab w:leader="none" w:pos="400" w:val="left"/>
        </w:tabs>
        <w:numPr>
          <w:ilvl w:val="0"/>
          <w:numId w:val="1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Annual Committee Chair Service Retainer (in lieu of Annual Committee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u w:val="single" w:color="auto"/>
          <w:color w:val="auto"/>
        </w:rPr>
      </w:pP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Chairperson of the Audit Committee: </w:t>
      </w:r>
      <w:r>
        <w:rPr>
          <w:rFonts w:ascii="Times New Roman" w:cs="Times New Roman" w:eastAsia="Times New Roman" w:hAnsi="Times New Roman"/>
          <w:sz w:val="20"/>
          <w:szCs w:val="20"/>
          <w:b w:val="1"/>
          <w:bCs w:val="1"/>
          <w:u w:val="single" w:color="auto"/>
          <w:color w:val="auto"/>
        </w:rPr>
        <w:t>$20,000</w:t>
      </w:r>
      <w:r>
        <w:rPr>
          <w:rFonts w:ascii="Times New Roman" w:cs="Times New Roman" w:eastAsia="Times New Roman" w:hAnsi="Times New Roman"/>
          <w:sz w:val="20"/>
          <w:szCs w:val="20"/>
          <w:color w:val="auto"/>
        </w:rPr>
        <w:t>.</w:t>
      </w: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Chairperson of the Compensation Committee: </w:t>
      </w:r>
      <w:r>
        <w:rPr>
          <w:rFonts w:ascii="Times New Roman" w:cs="Times New Roman" w:eastAsia="Times New Roman" w:hAnsi="Times New Roman"/>
          <w:sz w:val="20"/>
          <w:szCs w:val="20"/>
          <w:b w:val="1"/>
          <w:bCs w:val="1"/>
          <w:u w:val="single" w:color="auto"/>
          <w:color w:val="auto"/>
        </w:rPr>
        <w:t>$14,000</w:t>
      </w:r>
      <w:r>
        <w:rPr>
          <w:rFonts w:ascii="Times New Roman" w:cs="Times New Roman" w:eastAsia="Times New Roman" w:hAnsi="Times New Roman"/>
          <w:sz w:val="20"/>
          <w:szCs w:val="20"/>
          <w:color w:val="auto"/>
        </w:rPr>
        <w:t>.</w:t>
      </w:r>
    </w:p>
    <w:p>
      <w:pPr>
        <w:ind w:left="780" w:hanging="373"/>
        <w:spacing w:after="0"/>
        <w:tabs>
          <w:tab w:leader="none" w:pos="780"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Chairperson of the Nominating and Corporate Governance Committee: </w:t>
      </w:r>
      <w:r>
        <w:rPr>
          <w:rFonts w:ascii="Times New Roman" w:cs="Times New Roman" w:eastAsia="Times New Roman" w:hAnsi="Times New Roman"/>
          <w:sz w:val="20"/>
          <w:szCs w:val="20"/>
          <w:b w:val="1"/>
          <w:bCs w:val="1"/>
          <w:u w:val="single" w:color="auto"/>
          <w:color w:val="auto"/>
        </w:rPr>
        <w:t>$9,000</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33" w:lineRule="exact"/>
        <w:rPr>
          <w:sz w:val="20"/>
          <w:szCs w:val="20"/>
          <w:color w:val="auto"/>
        </w:rPr>
      </w:pPr>
    </w:p>
    <w:p>
      <w:pPr>
        <w:ind w:left="40" w:right="480"/>
        <w:spacing w:after="0" w:line="269" w:lineRule="auto"/>
        <w:rPr>
          <w:sz w:val="20"/>
          <w:szCs w:val="20"/>
          <w:color w:val="auto"/>
        </w:rPr>
      </w:pPr>
      <w:r>
        <w:rPr>
          <w:rFonts w:ascii="Times New Roman" w:cs="Times New Roman" w:eastAsia="Times New Roman" w:hAnsi="Times New Roman"/>
          <w:sz w:val="20"/>
          <w:szCs w:val="20"/>
          <w:color w:val="auto"/>
        </w:rPr>
        <w:t>Equity awards will be granted under the Company’s 2021 Equity Incentive Plan or any successor equity incentive plan adopted by the Board and the stockholders of the Company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left="40" w:right="80"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(a)Automatic Annual Grant for Outside Directors. </w:t>
      </w:r>
      <w:r>
        <w:rPr>
          <w:rFonts w:ascii="Times New Roman" w:cs="Times New Roman" w:eastAsia="Times New Roman" w:hAnsi="Times New Roman"/>
          <w:sz w:val="19"/>
          <w:szCs w:val="19"/>
          <w:color w:val="auto"/>
        </w:rPr>
        <w:t>Without any further action of the Board, at the close of business on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date of each annual meeting of the Company’s stockholders (an “</w:t>
      </w:r>
      <w:r>
        <w:rPr>
          <w:rFonts w:ascii="Times New Roman" w:cs="Times New Roman" w:eastAsia="Times New Roman" w:hAnsi="Times New Roman"/>
          <w:sz w:val="19"/>
          <w:szCs w:val="19"/>
          <w:b w:val="1"/>
          <w:bCs w:val="1"/>
          <w:i w:val="1"/>
          <w:iCs w:val="1"/>
          <w:color w:val="auto"/>
        </w:rPr>
        <w:t>Annual Meeting</w:t>
      </w:r>
      <w:r>
        <w:rPr>
          <w:rFonts w:ascii="Times New Roman" w:cs="Times New Roman" w:eastAsia="Times New Roman" w:hAnsi="Times New Roman"/>
          <w:sz w:val="19"/>
          <w:szCs w:val="19"/>
          <w:color w:val="auto"/>
        </w:rPr>
        <w:t>”) following the Original Effective Date, each Outside Director who has served as a member of the Board since December 31</w:t>
      </w:r>
      <w:r>
        <w:rPr>
          <w:rFonts w:ascii="Times New Roman" w:cs="Times New Roman" w:eastAsia="Times New Roman" w:hAnsi="Times New Roman"/>
          <w:sz w:val="12"/>
          <w:szCs w:val="12"/>
          <w:color w:val="auto"/>
        </w:rPr>
        <w:t>st</w:t>
      </w:r>
      <w:r>
        <w:rPr>
          <w:rFonts w:ascii="Times New Roman" w:cs="Times New Roman" w:eastAsia="Times New Roman" w:hAnsi="Times New Roman"/>
          <w:sz w:val="19"/>
          <w:szCs w:val="19"/>
          <w:color w:val="auto"/>
        </w:rPr>
        <w:t xml:space="preserve"> of the calendar year prior to such Annual Meeting shall be granted restricted stock units under the Plan covering shares of Class A Common Stock of the Company (each, a “</w:t>
      </w:r>
      <w:r>
        <w:rPr>
          <w:rFonts w:ascii="Times New Roman" w:cs="Times New Roman" w:eastAsia="Times New Roman" w:hAnsi="Times New Roman"/>
          <w:sz w:val="19"/>
          <w:szCs w:val="19"/>
          <w:b w:val="1"/>
          <w:bCs w:val="1"/>
          <w:i w:val="1"/>
          <w:iCs w:val="1"/>
          <w:color w:val="auto"/>
        </w:rPr>
        <w:t>Share</w:t>
      </w:r>
      <w:r>
        <w:rPr>
          <w:rFonts w:ascii="Times New Roman" w:cs="Times New Roman" w:eastAsia="Times New Roman" w:hAnsi="Times New Roman"/>
          <w:sz w:val="19"/>
          <w:szCs w:val="19"/>
          <w:color w:val="auto"/>
        </w:rPr>
        <w:t xml:space="preserve">”) having an RSU Value of </w:t>
      </w:r>
      <w:r>
        <w:rPr>
          <w:rFonts w:ascii="Times New Roman" w:cs="Times New Roman" w:eastAsia="Times New Roman" w:hAnsi="Times New Roman"/>
          <w:sz w:val="19"/>
          <w:szCs w:val="19"/>
          <w:b w:val="1"/>
          <w:bCs w:val="1"/>
          <w:u w:val="single" w:color="auto"/>
          <w:color w:val="auto"/>
        </w:rPr>
        <w:t>$165,000</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i w:val="1"/>
          <w:iCs w:val="1"/>
          <w:color w:val="auto"/>
        </w:rPr>
        <w:t>Annual RSU Award</w:t>
      </w:r>
      <w:r>
        <w:rPr>
          <w:rFonts w:ascii="Times New Roman" w:cs="Times New Roman" w:eastAsia="Times New Roman" w:hAnsi="Times New Roman"/>
          <w:sz w:val="19"/>
          <w:szCs w:val="19"/>
          <w:color w:val="auto"/>
        </w:rPr>
        <w:t>”); provided that the number of Shares covered by each Annual RSU Award will be rounded down to the nearest whole Share. Each Annual RSU Award shall vest in full on the earlier to occur of (i) the next Annual Meeting or (ii) the 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701040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00" w:top="643" w:right="379" w:bottom="1440" w:gutter="0" w:footer="0" w:header="0"/>
        </w:sectPr>
      </w:pPr>
    </w:p>
    <w:bookmarkStart w:id="166" w:name="page167"/>
    <w:bookmarkEnd w:id="166"/>
    <w:p>
      <w:pPr>
        <w:jc w:val="both"/>
        <w:ind w:left="40"/>
        <w:spacing w:after="0" w:line="269" w:lineRule="auto"/>
        <w:rPr>
          <w:sz w:val="20"/>
          <w:szCs w:val="20"/>
          <w:color w:val="auto"/>
        </w:rPr>
      </w:pPr>
      <w:r>
        <w:rPr>
          <w:rFonts w:ascii="Times New Roman" w:cs="Times New Roman" w:eastAsia="Times New Roman" w:hAnsi="Times New Roman"/>
          <w:sz w:val="20"/>
          <w:szCs w:val="20"/>
          <w:color w:val="auto"/>
        </w:rPr>
        <w:t>year anniversary of the date of grant, subject to the applicable Outside Director’s continued service as a member of the Board through such date.</w:t>
      </w:r>
    </w:p>
    <w:p>
      <w:pPr>
        <w:spacing w:after="0" w:line="169" w:lineRule="exact"/>
        <w:rPr>
          <w:sz w:val="20"/>
          <w:szCs w:val="20"/>
          <w:color w:val="auto"/>
        </w:rPr>
      </w:pPr>
    </w:p>
    <w:p>
      <w:pPr>
        <w:jc w:val="both"/>
        <w:ind w:left="4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(b)Vesting; Change in Control. </w:t>
      </w:r>
      <w:r>
        <w:rPr>
          <w:rFonts w:ascii="Times New Roman" w:cs="Times New Roman" w:eastAsia="Times New Roman" w:hAnsi="Times New Roman"/>
          <w:sz w:val="20"/>
          <w:szCs w:val="20"/>
          <w:color w:val="auto"/>
        </w:rPr>
        <w:t>All vesting is subject to the Outside Director’s continued service as a member of the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each applicable vesting date. Notwithstanding the foregoing, for each Outside Director who remains in continuous service as a member of the Board until immediately prior to the closing of a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(as defined in the Plan), any unvested portion of any restricted stock unit award granted in consideration of such Outside Director’s service as a member of the Board shall vest in full immediately prior to, and contingent upon, the consummation of the Change in Control.</w:t>
      </w:r>
    </w:p>
    <w:p>
      <w:pPr>
        <w:spacing w:after="0" w:line="194" w:lineRule="exact"/>
        <w:rPr>
          <w:sz w:val="20"/>
          <w:szCs w:val="20"/>
          <w:color w:val="auto"/>
        </w:rPr>
      </w:pPr>
    </w:p>
    <w:p>
      <w:pPr>
        <w:jc w:val="both"/>
        <w:ind w:lef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(c)Calculation of RSU Value.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RSU Value</w:t>
      </w:r>
      <w:r>
        <w:rPr>
          <w:rFonts w:ascii="Times New Roman" w:cs="Times New Roman" w:eastAsia="Times New Roman" w:hAnsi="Times New Roman"/>
          <w:sz w:val="20"/>
          <w:szCs w:val="20"/>
          <w:color w:val="auto"/>
        </w:rPr>
        <w:t>” of a restricted stock unit award to be granted under this policy will equal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Shares subject to the restricted stock unit award multiplied by the average closing price of a Share on the stock exchange or a national market system on which the Shares are listed over the 30 trading days preceding the grant date.</w:t>
      </w:r>
    </w:p>
    <w:p>
      <w:pPr>
        <w:spacing w:after="0" w:line="182" w:lineRule="exact"/>
        <w:rPr>
          <w:sz w:val="20"/>
          <w:szCs w:val="20"/>
          <w:color w:val="auto"/>
        </w:rPr>
      </w:pPr>
    </w:p>
    <w:p>
      <w:pPr>
        <w:jc w:val="both"/>
        <w:ind w:left="4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(d)Discretionary Grants. </w:t>
      </w:r>
      <w:r>
        <w:rPr>
          <w:rFonts w:ascii="Times New Roman" w:cs="Times New Roman" w:eastAsia="Times New Roman" w:hAnsi="Times New Roman"/>
          <w:sz w:val="20"/>
          <w:szCs w:val="20"/>
          <w:color w:val="auto"/>
        </w:rPr>
        <w:t>In addition to the automatic grants described herein, the Board, in its sole discretion, may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 equity awards to certain Outside Directors for services to the Company that exceed the standard expectations of an Outside Director or for other circumstances determined appropriate by the Board, including, without limitation, an inducement for the Outside Director to remain on the Board or an initial grant for an individual to become an Outside Director.</w:t>
      </w:r>
    </w:p>
    <w:p>
      <w:pPr>
        <w:spacing w:after="0" w:line="176" w:lineRule="exact"/>
        <w:rPr>
          <w:sz w:val="20"/>
          <w:szCs w:val="20"/>
          <w:color w:val="auto"/>
        </w:rPr>
      </w:pPr>
    </w:p>
    <w:p>
      <w:pPr>
        <w:jc w:val="both"/>
        <w:ind w:left="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(e)Remaining Terms. </w:t>
      </w:r>
      <w:r>
        <w:rPr>
          <w:rFonts w:ascii="Times New Roman" w:cs="Times New Roman" w:eastAsia="Times New Roman" w:hAnsi="Times New Roman"/>
          <w:sz w:val="20"/>
          <w:szCs w:val="20"/>
          <w:color w:val="auto"/>
        </w:rPr>
        <w:t>The remaining terms and conditions of each restricted stock unit award granted under this policy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set forth in the Plan and the Company’s standard form of restricted stock unit award agreement, as amended from time to time by the Board or the Compensation Committee of the Board, as applicable.</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0" w:lineRule="exact"/>
        <w:rPr>
          <w:sz w:val="20"/>
          <w:szCs w:val="20"/>
          <w:color w:val="auto"/>
        </w:rPr>
      </w:pPr>
    </w:p>
    <w:p>
      <w:pPr>
        <w:jc w:val="both"/>
        <w:ind w:left="40"/>
        <w:spacing w:after="0" w:line="249" w:lineRule="auto"/>
        <w:rPr>
          <w:sz w:val="20"/>
          <w:szCs w:val="20"/>
          <w:color w:val="auto"/>
        </w:rPr>
      </w:pPr>
      <w:r>
        <w:rPr>
          <w:rFonts w:ascii="Times New Roman" w:cs="Times New Roman" w:eastAsia="Times New Roman" w:hAnsi="Times New Roman"/>
          <w:sz w:val="20"/>
          <w:szCs w:val="20"/>
          <w:color w:val="auto"/>
        </w:rPr>
        <w:t xml:space="preserve">The Company will reimburse each Outside Director for ordinary, necessary and reasonable out-of-pocket travel expenses to cover in-person attendance at, and participation in, Board and committee meetings;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Outside Director timely submits to the Company appropriate documentation substantiating such expenses in accordance with the Company’s travel and expense policy, as in effect from time to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701040</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13" w:right="459" w:bottom="1440" w:gutter="0" w:footer="0" w:header="0"/>
        </w:sectPr>
      </w:pPr>
    </w:p>
    <w:bookmarkStart w:id="167" w:name="page168"/>
    <w:bookmarkEnd w:id="16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Wilk, certify that:</w:t>
      </w:r>
    </w:p>
    <w:p>
      <w:pPr>
        <w:spacing w:after="0" w:line="117" w:lineRule="exact"/>
        <w:rPr>
          <w:sz w:val="20"/>
          <w:szCs w:val="20"/>
          <w:color w:val="auto"/>
        </w:rPr>
      </w:pPr>
    </w:p>
    <w:p>
      <w:pPr>
        <w:ind w:left="520" w:hanging="512"/>
        <w:spacing w:after="0"/>
        <w:tabs>
          <w:tab w:leader="none" w:pos="5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68" w:name="page169"/>
    <w:bookmarkEnd w:id="168"/>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Beilman, certify that:</w:t>
      </w:r>
    </w:p>
    <w:p>
      <w:pPr>
        <w:spacing w:after="0" w:line="117" w:lineRule="exact"/>
        <w:rPr>
          <w:sz w:val="20"/>
          <w:szCs w:val="20"/>
          <w:color w:val="auto"/>
        </w:rPr>
      </w:pPr>
    </w:p>
    <w:p>
      <w:pPr>
        <w:ind w:left="520" w:hanging="512"/>
        <w:spacing w:after="0"/>
        <w:tabs>
          <w:tab w:leader="none" w:pos="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2024 of Dave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30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undersigned, Jason Wilk, Chief Executive Officer, and Kyle Beilman, Chief Financial Officer of Dave Inc. (the “Company”), hereby certify as of the date hereof, solely for the purposes of 18 U.S.C. §1350, that:</w:t>
      </w:r>
    </w:p>
    <w:p>
      <w:pPr>
        <w:spacing w:after="0" w:line="54" w:lineRule="exact"/>
        <w:rPr>
          <w:sz w:val="20"/>
          <w:szCs w:val="20"/>
          <w:color w:val="auto"/>
        </w:rPr>
      </w:pPr>
    </w:p>
    <w:p>
      <w:pPr>
        <w:ind w:left="1020" w:right="620" w:hanging="503"/>
        <w:spacing w:after="0" w:line="282" w:lineRule="auto"/>
        <w:tabs>
          <w:tab w:leader="none" w:pos="10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September 30, 2024 of the Company (the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2"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0" w:name="page171"/>
    <w:bookmarkEnd w:id="17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1"/>
      <w:numFmt w:val="decimal"/>
      <w:start w:val="246"/>
    </w:lvl>
  </w:abstractNum>
  <w:abstractNum w:abstractNumId="5">
    <w:nsid w:val="5F3534A4"/>
    <w:multiLevelType w:val="hybridMultilevel"/>
    <w:lvl w:ilvl="0">
      <w:lvlJc w:val="left"/>
      <w:lvlText w:val="(%1)"/>
      <w:numFmt w:val="lowerRoman"/>
      <w:start w:val="1"/>
    </w:lvl>
  </w:abstractNum>
  <w:abstractNum w:abstractNumId="6">
    <w:nsid w:val="73A1821B"/>
    <w:multiLevelType w:val="hybridMultilevel"/>
    <w:lvl w:ilvl="0">
      <w:lvlJc w:val="left"/>
      <w:lvlText w:val="%1."/>
      <w:numFmt w:val="decimal"/>
      <w:start w:val="848"/>
    </w:lvl>
  </w:abstractNum>
  <w:abstractNum w:abstractNumId="7">
    <w:nsid w:val="7DE67713"/>
    <w:multiLevelType w:val="hybridMultilevel"/>
    <w:lvl w:ilvl="0">
      <w:lvlJc w:val="left"/>
      <w:lvlText w:val="•"/>
      <w:numFmt w:val="bullet"/>
      <w:start w:val="1"/>
    </w:lvl>
  </w:abstractNum>
  <w:abstractNum w:abstractNumId="8">
    <w:nsid w:val="555C55B5"/>
    <w:multiLevelType w:val="hybridMultilevel"/>
    <w:lvl w:ilvl="0">
      <w:lvlJc w:val="left"/>
      <w:lvlText w:val="•"/>
      <w:numFmt w:val="bullet"/>
      <w:start w:val="1"/>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1)"/>
      <w:numFmt w:val="lowerRoman"/>
      <w:start w:val="2"/>
    </w:lvl>
  </w:abstractNum>
  <w:abstractNum w:abstractNumId="11">
    <w:nsid w:val="6A3DD3E8"/>
    <w:multiLevelType w:val="hybridMultilevel"/>
    <w:lvl w:ilvl="0">
      <w:lvlJc w:val="left"/>
      <w:lvlText w:val="•"/>
      <w:numFmt w:val="bullet"/>
      <w:start w:val="1"/>
    </w:lvl>
  </w:abstractNum>
  <w:abstractNum w:abstractNumId="12">
    <w:nsid w:val="71C91298"/>
    <w:multiLevelType w:val="hybridMultilevel"/>
    <w:lvl w:ilvl="0">
      <w:lvlJc w:val="left"/>
      <w:lvlText w:val="•"/>
      <w:numFmt w:val="bullet"/>
      <w:start w:val="1"/>
    </w:lvl>
  </w:abstractNum>
  <w:abstractNum w:abstractNumId="13">
    <w:nsid w:val="9DAF632"/>
    <w:multiLevelType w:val="hybridMultilevel"/>
    <w:lvl w:ilvl="0">
      <w:lvlJc w:val="left"/>
      <w:lvlText w:val="•"/>
      <w:numFmt w:val="bullet"/>
      <w:start w:val="1"/>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1)"/>
      <w:numFmt w:val="lowerRoman"/>
      <w:start w:val="1"/>
    </w:lvl>
  </w:abstractNum>
  <w:abstractNum w:abstractNumId="16">
    <w:nsid w:val="5092CA79"/>
    <w:multiLevelType w:val="hybridMultilevel"/>
    <w:lvl w:ilvl="0">
      <w:lvlJc w:val="left"/>
      <w:lvlText w:val="•"/>
      <w:numFmt w:val="bullet"/>
      <w:start w:val="1"/>
    </w:lvl>
  </w:abstractNum>
  <w:abstractNum w:abstractNumId="17">
    <w:nsid w:val="1D545C4D"/>
    <w:multiLevelType w:val="hybridMultilevel"/>
    <w:lvl w:ilvl="0">
      <w:lvlJc w:val="left"/>
      <w:lvlText w:val="%1"/>
      <w:numFmt w:val="decimal"/>
      <w:start w:val="104"/>
    </w:lvl>
  </w:abstractNum>
  <w:abstractNum w:abstractNumId="18">
    <w:nsid w:val="59ADEA3D"/>
    <w:multiLevelType w:val="hybridMultilevel"/>
    <w:lvl w:ilvl="0">
      <w:lvlJc w:val="left"/>
      <w:lvlText w:val="†"/>
      <w:numFmt w:val="bullet"/>
      <w:start w:val="1"/>
    </w:lvl>
  </w:abstractNum>
  <w:abstractNum w:abstractNumId="19">
    <w:nsid w:val="288F1A34"/>
    <w:multiLevelType w:val="hybridMultilevel"/>
    <w:lvl w:ilvl="0">
      <w:lvlJc w:val="left"/>
      <w:lvlText w:val="%1."/>
      <w:numFmt w:val="decimal"/>
      <w:start w:val="1"/>
    </w:lvl>
    <w:lvl w:ilvl="1">
      <w:lvlJc w:val="left"/>
      <w:lvlText w:val="(%2)"/>
      <w:numFmt w:val="lowerLetter"/>
      <w:start w:val="1"/>
    </w:lvl>
  </w:abstractNum>
  <w:abstractNum w:abstractNumId="20">
    <w:nsid w:val="2A155DBC"/>
    <w:multiLevelType w:val="hybridMultilevel"/>
    <w:lvl w:ilvl="0">
      <w:lvlJc w:val="left"/>
      <w:lvlText w:val="(%1)"/>
      <w:numFmt w:val="lowerLetter"/>
      <w:start w:val="10"/>
    </w:lvl>
  </w:abstractNum>
  <w:abstractNum w:abstractNumId="21">
    <w:nsid w:val="1D9F6E5F"/>
    <w:multiLevelType w:val="hybridMultilevel"/>
    <w:lvl w:ilvl="0">
      <w:lvlJc w:val="left"/>
      <w:lvlText w:val="(%1)"/>
      <w:numFmt w:val="lowerLetter"/>
      <w:start w:val="27"/>
    </w:lvl>
  </w:abstractNum>
  <w:abstractNum w:abstractNumId="22">
    <w:nsid w:val="97E1B4E"/>
    <w:multiLevelType w:val="hybridMultilevel"/>
    <w:lvl w:ilvl="0">
      <w:lvlJc w:val="left"/>
      <w:lvlText w:val="(%1)"/>
      <w:numFmt w:val="lowerLetter"/>
      <w:start w:val="6"/>
    </w:lvl>
  </w:abstractNum>
  <w:abstractNum w:abstractNumId="23">
    <w:nsid w:val="51088277"/>
    <w:multiLevelType w:val="hybridMultilevel"/>
    <w:lvl w:ilvl="0">
      <w:lvlJc w:val="left"/>
      <w:lvlText w:val="(%1)"/>
      <w:numFmt w:val="lowerLetter"/>
      <w:start w:val="33"/>
    </w:lvl>
  </w:abstractNum>
  <w:abstractNum w:abstractNumId="24">
    <w:nsid w:val="1CA0C5FA"/>
    <w:multiLevelType w:val="hybridMultilevel"/>
    <w:lvl w:ilvl="0">
      <w:lvlJc w:val="left"/>
      <w:lvlText w:val="(%1)"/>
      <w:numFmt w:val="lowerLetter"/>
      <w:start w:val="34"/>
    </w:lvl>
  </w:abstractNum>
  <w:abstractNum w:abstractNumId="25">
    <w:nsid w:val="53584BCB"/>
    <w:multiLevelType w:val="hybridMultilevel"/>
    <w:lvl w:ilvl="0">
      <w:lvlJc w:val="left"/>
      <w:lvlText w:val="(%1)"/>
      <w:numFmt w:val="lowerLetter"/>
      <w:start w:val="20"/>
    </w:lvl>
  </w:abstractNum>
  <w:abstractNum w:abstractNumId="26">
    <w:nsid w:val="415E286C"/>
    <w:multiLevelType w:val="hybridMultilevel"/>
    <w:lvl w:ilvl="0">
      <w:lvlJc w:val="left"/>
      <w:lvlText w:val="(%1)"/>
      <w:numFmt w:val="lowerLetter"/>
      <w:start w:val="47"/>
    </w:lvl>
  </w:abstractNum>
  <w:abstractNum w:abstractNumId="27">
    <w:nsid w:val="7C58FD05"/>
    <w:multiLevelType w:val="hybridMultilevel"/>
    <w:lvl w:ilvl="0">
      <w:lvlJc w:val="left"/>
      <w:lvlText w:val="(%1)"/>
      <w:numFmt w:val="lowerLetter"/>
      <w:start w:val="53"/>
    </w:lvl>
  </w:abstractNum>
  <w:abstractNum w:abstractNumId="28">
    <w:nsid w:val="23D86AAC"/>
    <w:multiLevelType w:val="hybridMultilevel"/>
    <w:lvl w:ilvl="0">
      <w:lvlJc w:val="left"/>
      <w:lvlText w:val="(%1)"/>
      <w:numFmt w:val="lowerLetter"/>
      <w:start w:val="55"/>
    </w:lvl>
  </w:abstractNum>
  <w:abstractNum w:abstractNumId="29">
    <w:nsid w:val="45E6D486"/>
    <w:multiLevelType w:val="hybridMultilevel"/>
    <w:lvl w:ilvl="0">
      <w:lvlJc w:val="left"/>
      <w:lvlText w:val="(%1)"/>
      <w:numFmt w:val="lowerLetter"/>
      <w:start w:val="32"/>
    </w:lvl>
  </w:abstractNum>
  <w:abstractNum w:abstractNumId="30">
    <w:nsid w:val="5C10FE21"/>
    <w:multiLevelType w:val="hybridMultilevel"/>
    <w:lvl w:ilvl="0">
      <w:lvlJc w:val="left"/>
      <w:lvlText w:val="(%1)"/>
      <w:numFmt w:val="lowerLetter"/>
      <w:start w:val="59"/>
    </w:lvl>
  </w:abstractNum>
  <w:abstractNum w:abstractNumId="31">
    <w:nsid w:val="E7FFA2B"/>
    <w:multiLevelType w:val="hybridMultilevel"/>
    <w:lvl w:ilvl="0">
      <w:lvlJc w:val="left"/>
      <w:lvlText w:val="(%1)"/>
      <w:numFmt w:val="lowerLetter"/>
      <w:start w:val="46"/>
    </w:lvl>
  </w:abstractNum>
  <w:abstractNum w:abstractNumId="32">
    <w:nsid w:val="3C5991AA"/>
    <w:multiLevelType w:val="hybridMultilevel"/>
    <w:lvl w:ilvl="0">
      <w:lvlJc w:val="left"/>
      <w:lvlText w:val="(%1)"/>
      <w:numFmt w:val="lowerLetter"/>
      <w:start w:val="73"/>
    </w:lvl>
  </w:abstractNum>
  <w:abstractNum w:abstractNumId="33">
    <w:nsid w:val="4BD8591A"/>
    <w:multiLevelType w:val="hybridMultilevel"/>
    <w:lvl w:ilvl="0">
      <w:lvlJc w:val="left"/>
      <w:lvlText w:val="%1"/>
      <w:numFmt w:val="decimal"/>
      <w:start w:val="1"/>
    </w:lvl>
    <w:lvl w:ilvl="1">
      <w:lvlJc w:val="left"/>
      <w:lvlText w:val="(%2)"/>
      <w:numFmt w:val="lowerLetter"/>
      <w:start w:val="75"/>
    </w:lvl>
  </w:abstractNum>
  <w:abstractNum w:abstractNumId="34">
    <w:nsid w:val="78DF6A55"/>
    <w:multiLevelType w:val="hybridMultilevel"/>
    <w:lvl w:ilvl="0">
      <w:lvlJc w:val="left"/>
      <w:lvlText w:val="%1."/>
      <w:numFmt w:val="decimal"/>
      <w:start w:val="2"/>
    </w:lvl>
    <w:lvl w:ilvl="1">
      <w:lvlJc w:val="left"/>
      <w:lvlText w:val="(%2)"/>
      <w:numFmt w:val="lowerLetter"/>
      <w:start w:val="1"/>
    </w:lvl>
  </w:abstractNum>
  <w:abstractNum w:abstractNumId="35">
    <w:nsid w:val="39B7AAA2"/>
    <w:multiLevelType w:val="hybridMultilevel"/>
    <w:lvl w:ilvl="0">
      <w:lvlJc w:val="left"/>
      <w:lvlText w:val="%1"/>
      <w:numFmt w:val="decimal"/>
      <w:start w:val="1"/>
    </w:lvl>
    <w:lvl w:ilvl="1">
      <w:lvlJc w:val="left"/>
      <w:lvlText w:val="(%2)"/>
      <w:numFmt w:val="lowerLetter"/>
      <w:start w:val="1"/>
    </w:lvl>
  </w:abstractNum>
  <w:abstractNum w:abstractNumId="36">
    <w:nsid w:val="2B0D8DBE"/>
    <w:multiLevelType w:val="hybridMultilevel"/>
    <w:lvl w:ilvl="0">
      <w:lvlJc w:val="left"/>
      <w:lvlText w:val="%1."/>
      <w:numFmt w:val="decimal"/>
      <w:start w:val="6"/>
    </w:lvl>
    <w:lvl w:ilvl="1">
      <w:lvlJc w:val="left"/>
      <w:lvlText w:val="%2"/>
      <w:numFmt w:val="lowerLetter"/>
      <w:start w:val="1"/>
    </w:lvl>
  </w:abstractNum>
  <w:abstractNum w:abstractNumId="37">
    <w:nsid w:val="6C80EC70"/>
    <w:multiLevelType w:val="hybridMultilevel"/>
    <w:lvl w:ilvl="0">
      <w:lvlJc w:val="left"/>
      <w:lvlText w:val="%1"/>
      <w:numFmt w:val="decimal"/>
      <w:start w:val="1"/>
    </w:lvl>
    <w:lvl w:ilvl="1">
      <w:lvlJc w:val="left"/>
      <w:lvlText w:val="(%2)"/>
      <w:numFmt w:val="lowerLetter"/>
      <w:start w:val="1"/>
    </w:lvl>
  </w:abstractNum>
  <w:abstractNum w:abstractNumId="38">
    <w:nsid w:val="379E21B5"/>
    <w:multiLevelType w:val="hybridMultilevel"/>
    <w:lvl w:ilvl="0">
      <w:lvlJc w:val="left"/>
      <w:lvlText w:val="%1."/>
      <w:numFmt w:val="decimal"/>
      <w:start w:val="7"/>
    </w:lvl>
    <w:lvl w:ilvl="1">
      <w:lvlJc w:val="left"/>
      <w:lvlText w:val="(%2)"/>
      <w:numFmt w:val="lowerLetter"/>
      <w:start w:val="1"/>
    </w:lvl>
  </w:abstractNum>
  <w:abstractNum w:abstractNumId="39">
    <w:nsid w:val="69E373"/>
    <w:multiLevelType w:val="hybridMultilevel"/>
    <w:lvl w:ilvl="0">
      <w:lvlJc w:val="left"/>
      <w:lvlText w:val="%1"/>
      <w:numFmt w:val="decimal"/>
      <w:start w:val="1"/>
    </w:lvl>
    <w:lvl w:ilvl="1">
      <w:lvlJc w:val="left"/>
      <w:lvlText w:val="(%2)"/>
      <w:numFmt w:val="lowerLetter"/>
      <w:start w:val="5"/>
    </w:lvl>
  </w:abstractNum>
  <w:abstractNum w:abstractNumId="40">
    <w:nsid w:val="2C27173B"/>
    <w:multiLevelType w:val="hybridMultilevel"/>
    <w:lvl w:ilvl="0">
      <w:lvlJc w:val="left"/>
      <w:lvlText w:val="%1."/>
      <w:numFmt w:val="decimal"/>
      <w:start w:val="8"/>
    </w:lvl>
    <w:lvl w:ilvl="1">
      <w:lvlJc w:val="left"/>
      <w:lvlText w:val="(%2)"/>
      <w:numFmt w:val="lowerLetter"/>
      <w:start w:val="1"/>
    </w:lvl>
  </w:abstractNum>
  <w:abstractNum w:abstractNumId="41">
    <w:nsid w:val="4C9B0904"/>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5"/>
    </w:lvl>
  </w:abstractNum>
  <w:abstractNum w:abstractNumId="42">
    <w:nsid w:val="6AA7B75C"/>
    <w:multiLevelType w:val="hybridMultilevel"/>
    <w:lvl w:ilvl="0">
      <w:lvlJc w:val="left"/>
      <w:lvlText w:val="(%1)"/>
      <w:numFmt w:val="lowerLetter"/>
      <w:start w:val="7"/>
    </w:lvl>
    <w:lvl w:ilvl="1">
      <w:lvlJc w:val="left"/>
      <w:lvlText w:val="(%2)"/>
      <w:numFmt w:val="lowerRoman"/>
      <w:start w:val="1"/>
    </w:lvl>
  </w:abstractNum>
  <w:abstractNum w:abstractNumId="43">
    <w:nsid w:val="1DF029D3"/>
    <w:multiLevelType w:val="hybridMultilevel"/>
    <w:lvl w:ilvl="0">
      <w:lvlJc w:val="left"/>
      <w:lvlText w:val="%1"/>
      <w:numFmt w:val="decimal"/>
      <w:start w:val="1"/>
    </w:lvl>
    <w:lvl w:ilvl="1">
      <w:lvlJc w:val="left"/>
      <w:lvlText w:val="(%2)"/>
      <w:numFmt w:val="lowerLetter"/>
      <w:start w:val="11"/>
    </w:lvl>
  </w:abstractNum>
  <w:abstractNum w:abstractNumId="44">
    <w:nsid w:val="5675FF36"/>
    <w:multiLevelType w:val="hybridMultilevel"/>
    <w:lvl w:ilvl="0">
      <w:lvlJc w:val="left"/>
      <w:lvlText w:val="%1."/>
      <w:numFmt w:val="decimal"/>
      <w:start w:val="9"/>
    </w:lvl>
    <w:lvl w:ilvl="1">
      <w:lvlJc w:val="left"/>
      <w:lvlText w:val="(%2)"/>
      <w:numFmt w:val="lowerLetter"/>
      <w:start w:val="1"/>
    </w:lvl>
  </w:abstractNum>
  <w:abstractNum w:abstractNumId="45">
    <w:nsid w:val="3DD15094"/>
    <w:multiLevelType w:val="hybridMultilevel"/>
    <w:lvl w:ilvl="0">
      <w:lvlJc w:val="left"/>
      <w:lvlText w:val="%1."/>
      <w:numFmt w:val="decimal"/>
      <w:start w:val="10"/>
    </w:lvl>
    <w:lvl w:ilvl="1">
      <w:lvlJc w:val="left"/>
      <w:lvlText w:val="(%2)"/>
      <w:numFmt w:val="lowerLetter"/>
      <w:start w:val="1"/>
    </w:lvl>
  </w:abstractNum>
  <w:abstractNum w:abstractNumId="46">
    <w:nsid w:val="3DB012B3"/>
    <w:multiLevelType w:val="hybridMultilevel"/>
    <w:lvl w:ilvl="0">
      <w:lvlJc w:val="left"/>
      <w:lvlText w:val="(%1)"/>
      <w:numFmt w:val="lowerLetter"/>
      <w:start w:val="7"/>
    </w:lvl>
  </w:abstractNum>
  <w:abstractNum w:abstractNumId="47">
    <w:nsid w:val="2708C9AF"/>
    <w:multiLevelType w:val="hybridMultilevel"/>
    <w:lvl w:ilvl="0">
      <w:lvlJc w:val="left"/>
      <w:lvlText w:val="(%1)"/>
      <w:numFmt w:val="lowerLetter"/>
      <w:start w:val="13"/>
    </w:lvl>
    <w:lvl w:ilvl="1">
      <w:lvlJc w:val="left"/>
      <w:lvlText w:val="%2)"/>
      <w:numFmt w:val="decimal"/>
      <w:start w:val="1"/>
    </w:lvl>
  </w:abstractNum>
  <w:abstractNum w:abstractNumId="48">
    <w:nsid w:val="5B25ACE2"/>
    <w:multiLevelType w:val="hybridMultilevel"/>
    <w:lvl w:ilvl="0">
      <w:lvlJc w:val="left"/>
      <w:lvlText w:val="%1)"/>
      <w:numFmt w:val="decimal"/>
      <w:start w:val="3"/>
    </w:lvl>
  </w:abstractNum>
  <w:abstractNum w:abstractNumId="49">
    <w:nsid w:val="175DFCF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0">
    <w:nsid w:val="4F97E3E4"/>
    <w:multiLevelType w:val="hybridMultilevel"/>
    <w:lvl w:ilvl="0">
      <w:lvlJc w:val="left"/>
      <w:lvlText w:val="(%1)"/>
      <w:numFmt w:val="lowerLetter"/>
      <w:start w:val="2"/>
    </w:lvl>
    <w:lvl w:ilvl="1">
      <w:lvlJc w:val="left"/>
      <w:lvlText w:val="(%2)"/>
      <w:numFmt w:val="lowerRoman"/>
      <w:start w:val="1"/>
    </w:lvl>
  </w:abstractNum>
  <w:abstractNum w:abstractNumId="51">
    <w:nsid w:val="53B0A9E"/>
    <w:multiLevelType w:val="hybridMultilevel"/>
    <w:lvl w:ilvl="0">
      <w:lvlJc w:val="left"/>
      <w:lvlText w:val="%1"/>
      <w:numFmt w:val="decimal"/>
      <w:start w:val="1"/>
    </w:lvl>
    <w:lvl w:ilvl="1">
      <w:lvlJc w:val="left"/>
      <w:lvlText w:val="(%2)"/>
      <w:numFmt w:val="lowerLetter"/>
      <w:start w:val="5"/>
    </w:lvl>
  </w:abstractNum>
  <w:abstractNum w:abstractNumId="52">
    <w:nsid w:val="34FD6B4F"/>
    <w:multiLevelType w:val="hybridMultilevel"/>
    <w:lvl w:ilvl="0">
      <w:lvlJc w:val="left"/>
      <w:lvlText w:val="%1."/>
      <w:numFmt w:val="decimal"/>
      <w:start w:val="12"/>
    </w:lvl>
    <w:lvl w:ilvl="1">
      <w:lvlJc w:val="left"/>
      <w:lvlText w:val="(%2)"/>
      <w:numFmt w:val="lowerLetter"/>
      <w:start w:val="1"/>
    </w:lvl>
  </w:abstractNum>
  <w:abstractNum w:abstractNumId="53">
    <w:nsid w:val="5915FF32"/>
    <w:multiLevelType w:val="hybridMultilevel"/>
    <w:lvl w:ilvl="0">
      <w:lvlJc w:val="left"/>
      <w:lvlText w:val="%1"/>
      <w:numFmt w:val="decimal"/>
      <w:start w:val="1"/>
    </w:lvl>
    <w:lvl w:ilvl="1">
      <w:lvlJc w:val="left"/>
      <w:lvlText w:val="(%2)"/>
      <w:numFmt w:val="lowerLetter"/>
      <w:start w:val="4"/>
    </w:lvl>
  </w:abstractNum>
  <w:abstractNum w:abstractNumId="54">
    <w:nsid w:val="56438D15"/>
    <w:multiLevelType w:val="hybridMultilevel"/>
    <w:lvl w:ilvl="0">
      <w:lvlJc w:val="left"/>
      <w:lvlText w:val="%1."/>
      <w:numFmt w:val="decimal"/>
      <w:start w:val="15"/>
    </w:lvl>
    <w:lvl w:ilvl="1">
      <w:lvlJc w:val="left"/>
      <w:lvlText w:val="(%2)"/>
      <w:numFmt w:val="lowerLetter"/>
      <w:start w:val="1"/>
    </w:lvl>
  </w:abstractNum>
  <w:abstractNum w:abstractNumId="55">
    <w:nsid w:val="519E3149"/>
    <w:multiLevelType w:val="hybridMultilevel"/>
    <w:lvl w:ilvl="0">
      <w:lvlJc w:val="left"/>
      <w:lvlText w:val="%1"/>
      <w:numFmt w:val="decimal"/>
      <w:start w:val="1"/>
    </w:lvl>
    <w:lvl w:ilvl="1">
      <w:lvlJc w:val="left"/>
      <w:lvlText w:val="(%2)"/>
      <w:numFmt w:val="lowerLetter"/>
      <w:start w:val="2"/>
    </w:lvl>
  </w:abstractNum>
  <w:abstractNum w:abstractNumId="56">
    <w:nsid w:val="2C6E4AFD"/>
    <w:multiLevelType w:val="hybridMultilevel"/>
    <w:lvl w:ilvl="0">
      <w:lvlJc w:val="left"/>
      <w:lvlText w:val="%1."/>
      <w:numFmt w:val="decimal"/>
      <w:start w:val="16"/>
    </w:lvl>
    <w:lvl w:ilvl="1">
      <w:lvlJc w:val="left"/>
      <w:lvlText w:val="(%2)"/>
      <w:numFmt w:val="lowerLetter"/>
      <w:start w:val="1"/>
    </w:lvl>
  </w:abstractNum>
  <w:abstractNum w:abstractNumId="57">
    <w:nsid w:val="17A1B582"/>
    <w:multiLevelType w:val="hybridMultilevel"/>
    <w:lvl w:ilvl="0">
      <w:lvlJc w:val="left"/>
      <w:lvlText w:val="(%1)"/>
      <w:numFmt w:val="lowerLetter"/>
      <w:start w:val="7"/>
    </w:lvl>
    <w:lvl w:ilvl="1">
      <w:lvlJc w:val="left"/>
      <w:lvlText w:val="(%2)"/>
      <w:numFmt w:val="lowerRoman"/>
      <w:start w:val="1"/>
    </w:lvl>
  </w:abstractNum>
  <w:abstractNum w:abstractNumId="58">
    <w:nsid w:val="4DF72E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59">
    <w:nsid w:val="5046B5A9"/>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60">
    <w:nsid w:val="5D888A08"/>
    <w:multiLevelType w:val="hybridMultilevel"/>
    <w:lvl w:ilvl="0">
      <w:lvlJc w:val="left"/>
      <w:lvlText w:val="%1."/>
      <w:numFmt w:val="decimal"/>
      <w:start w:val="20"/>
    </w:lvl>
    <w:lvl w:ilvl="1">
      <w:lvlJc w:val="left"/>
      <w:lvlText w:val="(%2)"/>
      <w:numFmt w:val="lowerLetter"/>
      <w:start w:val="1"/>
    </w:lvl>
  </w:abstractNum>
  <w:abstractNum w:abstractNumId="61">
    <w:nsid w:val="2A082C70"/>
    <w:multiLevelType w:val="hybridMultilevel"/>
    <w:lvl w:ilvl="0">
      <w:lvlJc w:val="left"/>
      <w:lvlText w:val="%1"/>
      <w:numFmt w:val="decimal"/>
      <w:start w:val="1"/>
    </w:lvl>
    <w:lvl w:ilvl="1">
      <w:lvlJc w:val="left"/>
      <w:lvlText w:val="(%2)"/>
      <w:numFmt w:val="lowerLetter"/>
      <w:start w:val="5"/>
    </w:lvl>
  </w:abstractNum>
  <w:abstractNum w:abstractNumId="62">
    <w:nsid w:val="5EC6AFD4"/>
    <w:multiLevelType w:val="hybridMultilevel"/>
    <w:lvl w:ilvl="0">
      <w:lvlJc w:val="left"/>
      <w:lvlText w:val="%1."/>
      <w:numFmt w:val="decimal"/>
      <w:start w:val="21"/>
    </w:lvl>
    <w:lvl w:ilvl="1">
      <w:lvlJc w:val="left"/>
      <w:lvlText w:val="(%2)"/>
      <w:numFmt w:val="lowerLetter"/>
      <w:start w:val="1"/>
    </w:lvl>
  </w:abstractNum>
  <w:abstractNum w:abstractNumId="63">
    <w:nsid w:val="19E21BB2"/>
    <w:multiLevelType w:val="hybridMultilevel"/>
    <w:lvl w:ilvl="0">
      <w:lvlJc w:val="left"/>
      <w:lvlText w:val="%1."/>
      <w:numFmt w:val="decimal"/>
      <w:start w:val="23"/>
    </w:lvl>
    <w:lvl w:ilvl="1">
      <w:lvlJc w:val="left"/>
      <w:lvlText w:val="(%2)"/>
      <w:numFmt w:val="lowerLetter"/>
      <w:start w:val="1"/>
    </w:lvl>
  </w:abstractNum>
  <w:abstractNum w:abstractNumId="64">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5">
    <w:nsid w:val="57A61A29"/>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66">
    <w:nsid w:val="5399C654"/>
    <w:multiLevelType w:val="hybridMultilevel"/>
    <w:lvl w:ilvl="0">
      <w:lvlJc w:val="left"/>
      <w:lvlText w:val="%1"/>
      <w:numFmt w:val="decimal"/>
      <w:start w:val="1"/>
    </w:lvl>
    <w:lvl w:ilvl="1">
      <w:lvlJc w:val="left"/>
      <w:lvlText w:val="(%2)"/>
      <w:numFmt w:val="lowerRoman"/>
      <w:start w:val="3"/>
    </w:lvl>
  </w:abstractNum>
  <w:abstractNum w:abstractNumId="67">
    <w:nsid w:val="20EE1348"/>
    <w:multiLevelType w:val="hybridMultilevel"/>
    <w:lvl w:ilvl="0">
      <w:lvlJc w:val="left"/>
      <w:lvlText w:val="%1."/>
      <w:numFmt w:val="decimal"/>
      <w:start w:val="28"/>
    </w:lvl>
    <w:lvl w:ilvl="1">
      <w:lvlJc w:val="left"/>
      <w:lvlText w:val="%2"/>
      <w:numFmt w:val="lowerRoman"/>
      <w:start w:val="1"/>
    </w:lvl>
  </w:abstractNum>
  <w:abstractNum w:abstractNumId="68">
    <w:nsid w:val="4427069A"/>
    <w:multiLevelType w:val="hybridMultilevel"/>
    <w:lvl w:ilvl="0">
      <w:lvlJc w:val="left"/>
      <w:lvlText w:val="%1."/>
      <w:numFmt w:val="decimal"/>
      <w:start w:val="31"/>
    </w:lvl>
  </w:abstractNum>
  <w:abstractNum w:abstractNumId="69">
    <w:nsid w:val="B37E80A"/>
    <w:multiLevelType w:val="hybridMultilevel"/>
    <w:lvl w:ilvl="0">
      <w:lvlJc w:val="left"/>
      <w:lvlText w:val="%1."/>
      <w:numFmt w:val="decimal"/>
      <w:start w:val="1"/>
    </w:lvl>
  </w:abstractNum>
  <w:abstractNum w:abstractNumId="70">
    <w:nsid w:val="2157F6BC"/>
    <w:multiLevelType w:val="hybridMultilevel"/>
    <w:lvl w:ilvl="0">
      <w:lvlJc w:val="left"/>
      <w:lvlText w:val="%1."/>
      <w:numFmt w:val="decimal"/>
      <w:start w:val="6"/>
    </w:lvl>
    <w:lvl w:ilvl="1">
      <w:lvlJc w:val="left"/>
      <w:lvlText w:val="(%2)"/>
      <w:numFmt w:val="lowerLetter"/>
      <w:start w:val="6"/>
    </w:lvl>
  </w:abstractNum>
  <w:abstractNum w:abstractNumId="71">
    <w:nsid w:val="704E1DD5"/>
    <w:multiLevelType w:val="hybridMultilevel"/>
    <w:lvl w:ilvl="0">
      <w:lvlJc w:val="left"/>
      <w:lvlText w:val="(%1)"/>
      <w:numFmt w:val="lowerLetter"/>
      <w:start w:val="23"/>
    </w:lvl>
  </w:abstractNum>
  <w:abstractNum w:abstractNumId="72">
    <w:nsid w:val="57D2F10E"/>
    <w:multiLevelType w:val="hybridMultilevel"/>
    <w:lvl w:ilvl="0">
      <w:lvlJc w:val="left"/>
      <w:lvlText w:val="(%1)"/>
      <w:numFmt w:val="lowerLetter"/>
      <w:start w:val="25"/>
    </w:lvl>
  </w:abstractNum>
  <w:abstractNum w:abstractNumId="73">
    <w:nsid w:val="BFFAE18"/>
    <w:multiLevelType w:val="hybridMultilevel"/>
    <w:lvl w:ilvl="0">
      <w:lvlJc w:val="left"/>
      <w:lvlText w:val="(%1)"/>
      <w:numFmt w:val="lowerLetter"/>
      <w:start w:val="32"/>
    </w:lvl>
  </w:abstractNum>
  <w:abstractNum w:abstractNumId="74">
    <w:nsid w:val="E3E47A8"/>
    <w:multiLevelType w:val="hybridMultilevel"/>
    <w:lvl w:ilvl="0">
      <w:lvlJc w:val="left"/>
      <w:lvlText w:val="(%1)"/>
      <w:numFmt w:val="lowerLetter"/>
      <w:start w:val="64"/>
    </w:lvl>
  </w:abstractNum>
  <w:abstractNum w:abstractNumId="75">
    <w:nsid w:val="2E48F044"/>
    <w:multiLevelType w:val="hybridMultilevel"/>
    <w:lvl w:ilvl="0">
      <w:lvlJc w:val="left"/>
      <w:lvlText w:val="%1."/>
      <w:numFmt w:val="decimal"/>
      <w:start w:val="7"/>
    </w:lvl>
  </w:abstractNum>
  <w:abstractNum w:abstractNumId="76">
    <w:nsid w:val="49D0FEAC"/>
    <w:multiLevelType w:val="hybridMultilevel"/>
    <w:lvl w:ilvl="0">
      <w:lvlJc w:val="left"/>
      <w:lvlText w:val="%1."/>
      <w:numFmt w:val="decimal"/>
      <w:start w:val="1"/>
    </w:lvl>
  </w:abstractNum>
  <w:abstractNum w:abstractNumId="77">
    <w:nsid w:val="4BEE5A5B"/>
    <w:multiLevelType w:val="hybridMultilevel"/>
    <w:lvl w:ilvl="0">
      <w:lvlJc w:val="left"/>
      <w:lvlText w:val="%1."/>
      <w:numFmt w:val="decimal"/>
      <w:start w:val="2"/>
    </w:lvl>
  </w:abstractNum>
  <w:abstractNum w:abstractNumId="78">
    <w:nsid w:val="5551B9F3"/>
    <w:multiLevelType w:val="hybridMultilevel"/>
    <w:lvl w:ilvl="0">
      <w:lvlJc w:val="left"/>
      <w:lvlText w:val="(%1)"/>
      <w:numFmt w:val="lowerLetter"/>
      <w:start w:val="1"/>
    </w:lvl>
  </w:abstractNum>
  <w:abstractNum w:abstractNumId="79">
    <w:nsid w:val="24F6AB8E"/>
    <w:multiLevelType w:val="hybridMultilevel"/>
    <w:lvl w:ilvl="0">
      <w:lvlJc w:val="left"/>
      <w:lvlText w:val="(%1)"/>
      <w:numFmt w:val="lowerLetter"/>
      <w:start w:val="3"/>
    </w:lvl>
  </w:abstractNum>
  <w:abstractNum w:abstractNumId="80">
    <w:nsid w:val="634C574C"/>
    <w:multiLevelType w:val="hybridMultilevel"/>
    <w:lvl w:ilvl="0">
      <w:lvlJc w:val="left"/>
      <w:lvlText w:val="%1"/>
      <w:numFmt w:val="decimal"/>
      <w:start w:val="1"/>
    </w:lvl>
    <w:lvl w:ilvl="1">
      <w:lvlJc w:val="left"/>
      <w:lvlText w:val="(%2)"/>
      <w:numFmt w:val="lowerLetter"/>
      <w:start w:val="5"/>
    </w:lvl>
  </w:abstractNum>
  <w:abstractNum w:abstractNumId="81">
    <w:nsid w:val="24E99DD7"/>
    <w:multiLevelType w:val="hybridMultilevel"/>
    <w:lvl w:ilvl="0">
      <w:lvlJc w:val="left"/>
      <w:lvlText w:val="%1."/>
      <w:numFmt w:val="decimal"/>
      <w:start w:val="4"/>
    </w:lvl>
    <w:lvl w:ilvl="1">
      <w:lvlJc w:val="left"/>
      <w:lvlText w:val="(%2)"/>
      <w:numFmt w:val="lowerLetter"/>
      <w:start w:val="1"/>
    </w:lvl>
  </w:abstractNum>
  <w:abstractNum w:abstractNumId="82">
    <w:nsid w:val="2A31B62D"/>
    <w:multiLevelType w:val="hybridMultilevel"/>
    <w:lvl w:ilvl="0">
      <w:lvlJc w:val="left"/>
      <w:lvlText w:val="%1."/>
      <w:numFmt w:val="decimal"/>
      <w:start w:val="5"/>
    </w:lvl>
  </w:abstractNum>
  <w:abstractNum w:abstractNumId="83">
    <w:nsid w:val="1849C29B"/>
    <w:multiLevelType w:val="hybridMultilevel"/>
    <w:lvl w:ilvl="0">
      <w:lvlJc w:val="left"/>
      <w:lvlText w:val="(%1)"/>
      <w:numFmt w:val="lowerLetter"/>
      <w:start w:val="1"/>
    </w:lvl>
  </w:abstractNum>
  <w:abstractNum w:abstractNumId="84">
    <w:nsid w:val="7DFF9D09"/>
    <w:multiLevelType w:val="hybridMultilevel"/>
    <w:lvl w:ilvl="0">
      <w:lvlJc w:val="left"/>
      <w:lvlText w:val="(%1)"/>
      <w:numFmt w:val="decimal"/>
      <w:start w:val="30"/>
    </w:lvl>
    <w:lvl w:ilvl="1">
      <w:lvlJc w:val="left"/>
      <w:lvlText w:val="%2."/>
      <w:numFmt w:val="decimal"/>
      <w:start w:val="7"/>
    </w:lvl>
  </w:abstractNum>
  <w:abstractNum w:abstractNumId="85">
    <w:nsid w:val="754342"/>
    <w:multiLevelType w:val="hybridMultilevel"/>
    <w:lvl w:ilvl="0">
      <w:lvlJc w:val="left"/>
      <w:lvlText w:val="(%1)"/>
      <w:numFmt w:val="lowerLetter"/>
      <w:start w:val="1"/>
    </w:lvl>
  </w:abstractNum>
  <w:abstractNum w:abstractNumId="86">
    <w:nsid w:val="69E7F3E5"/>
    <w:multiLevelType w:val="hybridMultilevel"/>
    <w:lvl w:ilvl="0">
      <w:lvlJc w:val="left"/>
      <w:lvlText w:val="%1."/>
      <w:numFmt w:val="decimal"/>
      <w:start w:val="8"/>
    </w:lvl>
  </w:abstractNum>
  <w:abstractNum w:abstractNumId="87">
    <w:nsid w:val="2A6DE806"/>
    <w:multiLevelType w:val="hybridMultilevel"/>
    <w:lvl w:ilvl="0">
      <w:lvlJc w:val="left"/>
      <w:lvlText w:val="(%1)"/>
      <w:numFmt w:val="lowerLetter"/>
      <w:start w:val="1"/>
    </w:lvl>
  </w:abstractNum>
  <w:abstractNum w:abstractNumId="88">
    <w:nsid w:val="1816F8C4"/>
    <w:multiLevelType w:val="hybridMultilevel"/>
    <w:lvl w:ilvl="0">
      <w:lvlJc w:val="left"/>
      <w:lvlText w:val="(%1)"/>
      <w:numFmt w:val="lowerLetter"/>
      <w:start w:val="3"/>
    </w:lvl>
  </w:abstractNum>
  <w:abstractNum w:abstractNumId="89">
    <w:nsid w:val="37DF2233"/>
    <w:multiLevelType w:val="hybridMultilevel"/>
    <w:lvl w:ilvl="0">
      <w:lvlJc w:val="left"/>
      <w:lvlText w:val="%1."/>
      <w:numFmt w:val="decimal"/>
      <w:start w:val="9"/>
    </w:lvl>
  </w:abstractNum>
  <w:abstractNum w:abstractNumId="90">
    <w:nsid w:val="7AB49DAF"/>
    <w:multiLevelType w:val="hybridMultilevel"/>
    <w:lvl w:ilvl="0">
      <w:lvlJc w:val="left"/>
      <w:lvlText w:val="(%1)"/>
      <w:numFmt w:val="lowerLetter"/>
      <w:start w:val="1"/>
    </w:lvl>
  </w:abstractNum>
  <w:abstractNum w:abstractNumId="91">
    <w:nsid w:val="759F82CD"/>
    <w:multiLevelType w:val="hybridMultilevel"/>
    <w:lvl w:ilvl="0">
      <w:lvlJc w:val="left"/>
      <w:lvlText w:val="(%1)"/>
      <w:numFmt w:val="lowerLetter"/>
      <w:start w:val="3"/>
    </w:lvl>
  </w:abstractNum>
  <w:abstractNum w:abstractNumId="92">
    <w:nsid w:val="61E74EA3"/>
    <w:multiLevelType w:val="hybridMultilevel"/>
    <w:lvl w:ilvl="0">
      <w:lvlJc w:val="left"/>
      <w:lvlText w:val="%1."/>
      <w:numFmt w:val="decimal"/>
      <w:start w:val="12"/>
    </w:lvl>
    <w:lvl w:ilvl="1">
      <w:lvlJc w:val="left"/>
      <w:lvlText w:val="(%2)"/>
      <w:numFmt w:val="lowerLetter"/>
      <w:start w:val="1"/>
    </w:lvl>
  </w:abstractNum>
  <w:abstractNum w:abstractNumId="93">
    <w:nsid w:val="597B4D84"/>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94">
    <w:nsid w:val="F819E7F"/>
    <w:multiLevelType w:val="hybridMultilevel"/>
    <w:lvl w:ilvl="0">
      <w:lvlJc w:val="left"/>
      <w:lvlText w:val="(%1)"/>
      <w:numFmt w:val="lowerLetter"/>
      <w:start w:val="2"/>
    </w:lvl>
    <w:lvl w:ilvl="1">
      <w:lvlJc w:val="left"/>
      <w:lvlText w:val="(%2)"/>
      <w:numFmt w:val="lowerRoman"/>
      <w:start w:val="1"/>
    </w:lvl>
  </w:abstractNum>
  <w:abstractNum w:abstractNumId="95">
    <w:nsid w:val="57C7D42D"/>
    <w:multiLevelType w:val="hybridMultilevel"/>
    <w:lvl w:ilvl="0">
      <w:lvlJc w:val="left"/>
      <w:lvlText w:val="%1"/>
      <w:numFmt w:val="decimal"/>
      <w:start w:val="1"/>
    </w:lvl>
    <w:lvl w:ilvl="1">
      <w:lvlJc w:val="left"/>
      <w:lvlText w:val="(%2)"/>
      <w:numFmt w:val="lowerRoman"/>
      <w:start w:val="5"/>
    </w:lvl>
  </w:abstractNum>
  <w:abstractNum w:abstractNumId="96">
    <w:nsid w:val="312167AD"/>
    <w:multiLevelType w:val="hybridMultilevel"/>
    <w:lvl w:ilvl="0">
      <w:lvlJc w:val="left"/>
      <w:lvlText w:val="(%1)"/>
      <w:numFmt w:val="decimal"/>
      <w:start w:val="1"/>
    </w:lvl>
    <w:lvl w:ilvl="1">
      <w:lvlJc w:val="left"/>
      <w:lvlText w:val="(%2)"/>
      <w:numFmt w:val="lowerRoman"/>
      <w:start w:val="7"/>
    </w:lvl>
  </w:abstractNum>
  <w:abstractNum w:abstractNumId="97">
    <w:nsid w:val="631B64D4"/>
    <w:multiLevelType w:val="hybridMultilevel"/>
    <w:lvl w:ilvl="0">
      <w:lvlJc w:val="left"/>
      <w:lvlText w:val="(%1)"/>
      <w:numFmt w:val="lowerLetter"/>
      <w:start w:val="3"/>
    </w:lvl>
  </w:abstractNum>
  <w:abstractNum w:abstractNumId="98">
    <w:nsid w:val="78B5E776"/>
    <w:multiLevelType w:val="hybridMultilevel"/>
    <w:lvl w:ilvl="0">
      <w:lvlJc w:val="left"/>
      <w:lvlText w:val="%1."/>
      <w:numFmt w:val="decimal"/>
      <w:start w:val="14"/>
    </w:lvl>
  </w:abstractNum>
  <w:abstractNum w:abstractNumId="99">
    <w:nsid w:val="75486E47"/>
    <w:multiLevelType w:val="hybridMultilevel"/>
    <w:lvl w:ilvl="0">
      <w:lvlJc w:val="left"/>
      <w:lvlText w:val="(%1)"/>
      <w:numFmt w:val="lowerLetter"/>
      <w:start w:val="1"/>
    </w:lvl>
  </w:abstractNum>
  <w:abstractNum w:abstractNumId="100">
    <w:nsid w:val="6E534CDE"/>
    <w:multiLevelType w:val="hybridMultilevel"/>
    <w:lvl w:ilvl="0">
      <w:lvlJc w:val="left"/>
      <w:lvlText w:val="%1."/>
      <w:numFmt w:val="decimal"/>
      <w:start w:val="15"/>
    </w:lvl>
  </w:abstractNum>
  <w:abstractNum w:abstractNumId="101">
    <w:nsid w:val="1A0DDE32"/>
    <w:multiLevelType w:val="hybridMultilevel"/>
    <w:lvl w:ilvl="0">
      <w:lvlJc w:val="left"/>
      <w:lvlText w:val="(%1)"/>
      <w:numFmt w:val="lowerLetter"/>
      <w:start w:val="1"/>
    </w:lvl>
    <w:lvl w:ilvl="1">
      <w:lvlJc w:val="left"/>
      <w:lvlText w:val="(%2)"/>
      <w:numFmt w:val="lowerRoman"/>
      <w:start w:val="1"/>
    </w:lvl>
  </w:abstractNum>
  <w:abstractNum w:abstractNumId="102">
    <w:nsid w:val="65968C1C"/>
    <w:multiLevelType w:val="hybridMultilevel"/>
    <w:lvl w:ilvl="0">
      <w:lvlJc w:val="left"/>
      <w:lvlText w:val="%1"/>
      <w:numFmt w:val="decimal"/>
      <w:start w:val="1"/>
    </w:lvl>
    <w:lvl w:ilvl="1">
      <w:lvlJc w:val="left"/>
      <w:lvlText w:val="(%2)"/>
      <w:numFmt w:val="lowerRoman"/>
      <w:start w:val="9"/>
    </w:lvl>
  </w:abstractNum>
  <w:abstractNum w:abstractNumId="103">
    <w:nsid w:val="46263DEC"/>
    <w:multiLevelType w:val="hybridMultilevel"/>
    <w:lvl w:ilvl="0">
      <w:lvlJc w:val="left"/>
      <w:lvlText w:val="(%1)"/>
      <w:numFmt w:val="decimal"/>
      <w:start w:val="2"/>
    </w:lvl>
    <w:lvl w:ilvl="1">
      <w:lvlJc w:val="left"/>
      <w:lvlText w:val="%2"/>
      <w:numFmt w:val="lowerRoman"/>
      <w:start w:val="1"/>
    </w:lvl>
  </w:abstractNum>
  <w:abstractNum w:abstractNumId="104">
    <w:nsid w:val="260D8C4A"/>
    <w:multiLevelType w:val="hybridMultilevel"/>
    <w:lvl w:ilvl="0">
      <w:lvlJc w:val="left"/>
      <w:lvlText w:val="%1."/>
      <w:numFmt w:val="decimal"/>
      <w:start w:val="16"/>
    </w:lvl>
  </w:abstractNum>
  <w:abstractNum w:abstractNumId="105">
    <w:nsid w:val="73D4D3C4"/>
    <w:multiLevelType w:val="hybridMultilevel"/>
    <w:lvl w:ilvl="0">
      <w:lvlJc w:val="left"/>
      <w:lvlText w:val="%1."/>
      <w:numFmt w:val="decimal"/>
      <w:start w:val="17"/>
    </w:lvl>
  </w:abstractNum>
  <w:abstractNum w:abstractNumId="106">
    <w:nsid w:val="746F2E30"/>
    <w:multiLevelType w:val="hybridMultilevel"/>
    <w:lvl w:ilvl="0">
      <w:lvlJc w:val="left"/>
      <w:lvlText w:val="%1"/>
      <w:numFmt w:val="lowerRoman"/>
      <w:start w:val="1"/>
    </w:lvl>
    <w:lvl w:ilvl="1">
      <w:lvlJc w:val="left"/>
      <w:lvlText w:val="(%2)"/>
      <w:numFmt w:val="lowerLetter"/>
      <w:start w:val="1"/>
    </w:lvl>
  </w:abstractNum>
  <w:abstractNum w:abstractNumId="107">
    <w:nsid w:val="6FDE8AF6"/>
    <w:multiLevelType w:val="hybridMultilevel"/>
    <w:lvl w:ilvl="0">
      <w:lvlJc w:val="left"/>
      <w:lvlText w:val="(%1)"/>
      <w:numFmt w:val="lowerRoman"/>
      <w:start w:val="4"/>
    </w:lvl>
    <w:lvl w:ilvl="1">
      <w:lvlJc w:val="left"/>
      <w:lvlText w:val="%2"/>
      <w:numFmt w:val="lowerLetter"/>
      <w:start w:val="1"/>
    </w:lvl>
  </w:abstractNum>
  <w:abstractNum w:abstractNumId="108">
    <w:nsid w:val="3FC32E20"/>
    <w:multiLevelType w:val="hybridMultilevel"/>
    <w:lvl w:ilvl="0">
      <w:lvlJc w:val="left"/>
      <w:lvlText w:val="(%1)"/>
      <w:numFmt w:val="lowerLetter"/>
      <w:start w:val="3"/>
    </w:lvl>
  </w:abstractNum>
  <w:abstractNum w:abstractNumId="109">
    <w:nsid w:val="49C0E823"/>
    <w:multiLevelType w:val="hybridMultilevel"/>
    <w:lvl w:ilvl="0">
      <w:lvlJc w:val="left"/>
      <w:lvlText w:val="%1."/>
      <w:numFmt w:val="decimal"/>
      <w:start w:val="18"/>
    </w:lvl>
  </w:abstractNum>
  <w:abstractNum w:abstractNumId="110">
    <w:nsid w:val="14D53685"/>
    <w:multiLevelType w:val="hybridMultilevel"/>
    <w:lvl w:ilvl="0">
      <w:lvlJc w:val="left"/>
      <w:lvlText w:val="(%1)"/>
      <w:numFmt w:val="lowerLetter"/>
      <w:start w:val="1"/>
    </w:lvl>
  </w:abstractNum>
  <w:abstractNum w:abstractNumId="111">
    <w:nsid w:val="230F856C"/>
    <w:multiLevelType w:val="hybridMultilevel"/>
    <w:lvl w:ilvl="0">
      <w:lvlJc w:val="left"/>
      <w:lvlText w:val="%1."/>
      <w:numFmt w:val="decimal"/>
      <w:start w:val="19"/>
    </w:lvl>
  </w:abstractNum>
  <w:abstractNum w:abstractNumId="112">
    <w:nsid w:val="6EAA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3">
    <w:nsid w:val="3F06ECB2"/>
    <w:multiLevelType w:val="hybridMultilevel"/>
    <w:lvl w:ilvl="0">
      <w:lvlJc w:val="left"/>
      <w:lvlText w:val="(%1)"/>
      <w:numFmt w:val="decimal"/>
      <w:start w:val="180"/>
    </w:lvl>
    <w:lvl w:ilvl="1">
      <w:lvlJc w:val="left"/>
      <w:lvlText w:val="(%2)"/>
      <w:numFmt w:val="lowerLetter"/>
      <w:start w:val="2"/>
    </w:lvl>
    <w:lvl w:ilvl="2">
      <w:lvlJc w:val="left"/>
      <w:lvlText w:val="(%3)"/>
      <w:numFmt w:val="lowerLetter"/>
      <w:start w:val="9"/>
    </w:lvl>
  </w:abstractNum>
  <w:abstractNum w:abstractNumId="114">
    <w:nsid w:val="3B594807"/>
    <w:multiLevelType w:val="hybridMultilevel"/>
    <w:lvl w:ilvl="0">
      <w:lvlJc w:val="left"/>
      <w:lvlText w:val="%1"/>
      <w:numFmt w:val="lowerLetter"/>
      <w:start w:val="1"/>
    </w:lvl>
    <w:lvl w:ilvl="1">
      <w:lvlJc w:val="left"/>
      <w:lvlText w:val="(%2)"/>
      <w:numFmt w:val="lowerRoman"/>
      <w:start w:val="2"/>
    </w:lvl>
  </w:abstractNum>
  <w:abstractNum w:abstractNumId="115">
    <w:nsid w:val="6CAA2304"/>
    <w:multiLevelType w:val="hybridMultilevel"/>
    <w:lvl w:ilvl="0">
      <w:lvlJc w:val="left"/>
      <w:lvlText w:val="(%1)"/>
      <w:numFmt w:val="lowerLetter"/>
      <w:start w:val="3"/>
    </w:lvl>
    <w:lvl w:ilvl="1">
      <w:lvlJc w:val="left"/>
      <w:lvlText w:val="(%2)"/>
      <w:numFmt w:val="lowerRoman"/>
      <w:start w:val="1"/>
    </w:lvl>
  </w:abstractNum>
  <w:abstractNum w:abstractNumId="116">
    <w:nsid w:val="3F7C2FF4"/>
    <w:multiLevelType w:val="hybridMultilevel"/>
    <w:lvl w:ilvl="0">
      <w:lvlJc w:val="left"/>
      <w:lvlText w:val="%1"/>
      <w:numFmt w:val="decimal"/>
      <w:start w:val="1"/>
    </w:lvl>
    <w:lvl w:ilvl="1">
      <w:lvlJc w:val="left"/>
      <w:lvlText w:val="(%2)"/>
      <w:numFmt w:val="lowerRoman"/>
      <w:start w:val="5"/>
    </w:lvl>
  </w:abstractNum>
  <w:abstractNum w:abstractNumId="117">
    <w:nsid w:val="25413BEC"/>
    <w:multiLevelType w:val="hybridMultilevel"/>
    <w:lvl w:ilvl="0">
      <w:lvlJc w:val="left"/>
      <w:lvlText w:val="%1"/>
      <w:numFmt w:val="decimal"/>
      <w:start w:val="21"/>
    </w:lvl>
    <w:lvl w:ilvl="1">
      <w:lvlJc w:val="left"/>
      <w:lvlText w:val="%2"/>
      <w:numFmt w:val="lowerRoman"/>
      <w:start w:val="1"/>
    </w:lvl>
  </w:abstractNum>
  <w:abstractNum w:abstractNumId="118">
    <w:nsid w:val="17180B0B"/>
    <w:multiLevelType w:val="hybridMultilevel"/>
    <w:lvl w:ilvl="0">
      <w:lvlJc w:val="left"/>
      <w:lvlText w:val="%1."/>
      <w:numFmt w:val="decimal"/>
      <w:start w:val="20"/>
    </w:lvl>
    <w:lvl w:ilvl="1">
      <w:lvlJc w:val="left"/>
      <w:lvlText w:val="%2"/>
      <w:numFmt w:val="lowerRoman"/>
      <w:start w:val="1"/>
    </w:lvl>
  </w:abstractNum>
  <w:abstractNum w:abstractNumId="119">
    <w:nsid w:val="579328B9"/>
    <w:multiLevelType w:val="hybridMultilevel"/>
    <w:lvl w:ilvl="0">
      <w:lvlJc w:val="left"/>
      <w:lvlText w:val="(%1)"/>
      <w:numFmt w:val="lowerLetter"/>
      <w:start w:val="1"/>
    </w:lvl>
  </w:abstractNum>
  <w:abstractNum w:abstractNumId="120">
    <w:nsid w:val="5D205E20"/>
    <w:multiLevelType w:val="hybridMultilevel"/>
    <w:lvl w:ilvl="0">
      <w:lvlJc w:val="left"/>
      <w:lvlText w:val="(%1)"/>
      <w:numFmt w:val="lowerLetter"/>
      <w:start w:val="6"/>
    </w:lvl>
  </w:abstractNum>
  <w:abstractNum w:abstractNumId="121">
    <w:nsid w:val="11CCA8BA"/>
    <w:multiLevelType w:val="hybridMultilevel"/>
    <w:lvl w:ilvl="0">
      <w:lvlJc w:val="left"/>
      <w:lvlText w:val="%1."/>
      <w:numFmt w:val="decimal"/>
      <w:start w:val="21"/>
    </w:lvl>
  </w:abstractNum>
  <w:abstractNum w:abstractNumId="122">
    <w:nsid w:val="4D32AB86"/>
    <w:multiLevelType w:val="hybridMultilevel"/>
    <w:lvl w:ilvl="0">
      <w:lvlJc w:val="left"/>
      <w:lvlText w:val="(%1)"/>
      <w:numFmt w:val="lowerLetter"/>
      <w:start w:val="1"/>
    </w:lvl>
  </w:abstractNum>
  <w:abstractNum w:abstractNumId="123">
    <w:nsid w:val="3F07ACC3"/>
    <w:multiLevelType w:val="hybridMultilevel"/>
    <w:lvl w:ilvl="0">
      <w:lvlJc w:val="left"/>
      <w:lvlText w:val="%1."/>
      <w:numFmt w:val="decimal"/>
      <w:start w:val="22"/>
    </w:lvl>
  </w:abstractNum>
  <w:abstractNum w:abstractNumId="124">
    <w:nsid w:val="6B47F63E"/>
    <w:multiLevelType w:val="hybridMultilevel"/>
    <w:lvl w:ilvl="0">
      <w:lvlJc w:val="left"/>
      <w:lvlText w:val="(%1)"/>
      <w:numFmt w:val="lowerLetter"/>
      <w:start w:val="1"/>
    </w:lvl>
  </w:abstractNum>
  <w:abstractNum w:abstractNumId="125">
    <w:nsid w:val="5CB44A05"/>
    <w:multiLevelType w:val="hybridMultilevel"/>
    <w:lvl w:ilvl="0">
      <w:lvlJc w:val="left"/>
      <w:lvlText w:val="%1."/>
      <w:numFmt w:val="decimal"/>
      <w:start w:val="23"/>
    </w:lvl>
  </w:abstractNum>
  <w:abstractNum w:abstractNumId="126">
    <w:nsid w:val="16CF80F1"/>
    <w:multiLevelType w:val="hybridMultilevel"/>
    <w:lvl w:ilvl="0">
      <w:lvlJc w:val="left"/>
      <w:lvlText w:val="(%1)"/>
      <w:numFmt w:val="lowerLetter"/>
      <w:start w:val="1"/>
    </w:lvl>
  </w:abstractNum>
  <w:abstractNum w:abstractNumId="127">
    <w:nsid w:val="1C695DEC"/>
    <w:multiLevelType w:val="hybridMultilevel"/>
    <w:lvl w:ilvl="0">
      <w:lvlJc w:val="left"/>
      <w:lvlText w:val="(%1)"/>
      <w:numFmt w:val="lowerLetter"/>
      <w:start w:val="2"/>
    </w:lvl>
  </w:abstractNum>
  <w:abstractNum w:abstractNumId="128">
    <w:nsid w:val="3FCFAED9"/>
    <w:multiLevelType w:val="hybridMultilevel"/>
    <w:lvl w:ilvl="0">
      <w:lvlJc w:val="left"/>
      <w:lvlText w:val="%1."/>
      <w:numFmt w:val="decimal"/>
      <w:start w:val="24"/>
    </w:lvl>
  </w:abstractNum>
  <w:abstractNum w:abstractNumId="129">
    <w:nsid w:val="F856867"/>
    <w:multiLevelType w:val="hybridMultilevel"/>
    <w:lvl w:ilvl="0">
      <w:lvlJc w:val="left"/>
      <w:lvlText w:val="(%1)"/>
      <w:numFmt w:val="lowerLetter"/>
      <w:start w:val="1"/>
    </w:lvl>
  </w:abstractNum>
  <w:abstractNum w:abstractNumId="130">
    <w:nsid w:val="11B1CC33"/>
    <w:multiLevelType w:val="hybridMultilevel"/>
    <w:lvl w:ilvl="0">
      <w:lvlJc w:val="left"/>
      <w:lvlText w:val="%1."/>
      <w:numFmt w:val="decimal"/>
      <w:start w:val="27"/>
    </w:lvl>
    <w:lvl w:ilvl="1">
      <w:lvlJc w:val="left"/>
      <w:lvlText w:val="(%2)"/>
      <w:numFmt w:val="lowerLetter"/>
      <w:start w:val="1"/>
    </w:lvl>
  </w:abstractNum>
  <w:abstractNum w:abstractNumId="131">
    <w:nsid w:val="2E22FBB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132">
    <w:nsid w:val="29934699"/>
    <w:multiLevelType w:val="hybridMultilevel"/>
    <w:lvl w:ilvl="0">
      <w:lvlJc w:val="left"/>
      <w:lvlText w:val="%1"/>
      <w:numFmt w:val="lowerLetter"/>
      <w:start w:val="1"/>
    </w:lvl>
    <w:lvl w:ilvl="1">
      <w:lvlJc w:val="left"/>
      <w:lvlText w:val="%2."/>
      <w:numFmt w:val="decimal"/>
      <w:start w:val="30"/>
    </w:lvl>
    <w:lvl w:ilvl="2">
      <w:lvlJc w:val="left"/>
      <w:lvlText w:val="%3"/>
      <w:numFmt w:val="lowerLetter"/>
      <w:start w:val="1"/>
    </w:lvl>
    <w:lvl w:ilvl="3">
      <w:lvlJc w:val="left"/>
      <w:lvlText w:val="(%4)"/>
      <w:numFmt w:val="lowerLetter"/>
      <w:start w:val="1"/>
    </w:lvl>
  </w:abstractNum>
  <w:abstractNum w:abstractNumId="133">
    <w:nsid w:val="7748585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34">
    <w:nsid w:val="744939A3"/>
    <w:multiLevelType w:val="hybridMultilevel"/>
    <w:lvl w:ilvl="0">
      <w:lvlJc w:val="left"/>
      <w:lvlText w:val="(%1)"/>
      <w:numFmt w:val="lowerLetter"/>
      <w:start w:val="4"/>
    </w:lvl>
  </w:abstractNum>
  <w:abstractNum w:abstractNumId="135">
    <w:nsid w:val="4FA0D2E3"/>
    <w:multiLevelType w:val="hybridMultilevel"/>
    <w:lvl w:ilvl="0">
      <w:lvlJc w:val="left"/>
      <w:lvlText w:val="%1."/>
      <w:numFmt w:val="decimal"/>
      <w:start w:val="32"/>
    </w:lvl>
    <w:lvl w:ilvl="1">
      <w:lvlJc w:val="left"/>
      <w:lvlText w:val="(%2)"/>
      <w:numFmt w:val="lowerLetter"/>
      <w:start w:val="1"/>
    </w:lvl>
  </w:abstractNum>
  <w:abstractNum w:abstractNumId="136">
    <w:nsid w:val="6B1D2C14"/>
    <w:multiLevelType w:val="hybridMultilevel"/>
    <w:lvl w:ilvl="0">
      <w:lvlJc w:val="left"/>
      <w:lvlText w:val="%1"/>
      <w:numFmt w:val="decimal"/>
      <w:start w:val="1"/>
    </w:lvl>
    <w:lvl w:ilvl="1">
      <w:lvlJc w:val="left"/>
      <w:lvlText w:val="(%2)"/>
      <w:numFmt w:val="lowerRoman"/>
      <w:start w:val="1"/>
    </w:lvl>
  </w:abstractNum>
  <w:abstractNum w:abstractNumId="137">
    <w:nsid w:val="68B867D3"/>
    <w:multiLevelType w:val="hybridMultilevel"/>
    <w:lvl w:ilvl="0">
      <w:lvlJc w:val="left"/>
      <w:lvlText w:val="%1."/>
      <w:numFmt w:val="decimal"/>
      <w:start w:val="35"/>
    </w:lvl>
    <w:lvl w:ilvl="1">
      <w:lvlJc w:val="left"/>
      <w:lvlText w:val="%2"/>
      <w:numFmt w:val="lowerRoman"/>
      <w:start w:val="1"/>
    </w:lvl>
  </w:abstractNum>
  <w:abstractNum w:abstractNumId="138">
    <w:nsid w:val="3F7F5DD9"/>
    <w:multiLevelType w:val="hybridMultilevel"/>
    <w:lvl w:ilvl="0">
      <w:lvlJc w:val="left"/>
      <w:lvlText w:val="%1."/>
      <w:numFmt w:val="decimal"/>
      <w:start w:val="37"/>
    </w:lvl>
  </w:abstractNum>
  <w:abstractNum w:abstractNumId="139">
    <w:nsid w:val="2AE05A34"/>
    <w:multiLevelType w:val="hybridMultilevel"/>
    <w:lvl w:ilvl="0">
      <w:lvlJc w:val="left"/>
      <w:lvlText w:val="%1."/>
      <w:numFmt w:val="decimal"/>
      <w:start w:val="38"/>
    </w:lvl>
  </w:abstractNum>
  <w:abstractNum w:abstractNumId="140">
    <w:nsid w:val="32794FF7"/>
    <w:multiLevelType w:val="hybridMultilevel"/>
    <w:lvl w:ilvl="0">
      <w:lvlJc w:val="left"/>
      <w:lvlText w:val="%1."/>
      <w:numFmt w:val="decimal"/>
      <w:start w:val="1"/>
    </w:lvl>
  </w:abstractNum>
  <w:abstractNum w:abstractNumId="141">
    <w:nsid w:val="5454945E"/>
    <w:multiLevelType w:val="hybridMultilevel"/>
    <w:lvl w:ilvl="0">
      <w:lvlJc w:val="left"/>
      <w:lvlText w:val="%1"/>
      <w:numFmt w:val="lowerLetter"/>
      <w:start w:val="1"/>
    </w:lvl>
    <w:lvl w:ilvl="1">
      <w:lvlJc w:val="left"/>
      <w:lvlText w:val="(%2)"/>
      <w:numFmt w:val="lowerLetter"/>
      <w:start w:val="1"/>
    </w:lvl>
  </w:abstractNum>
  <w:abstractNum w:abstractNumId="142">
    <w:nsid w:val="4DEFDFA0"/>
    <w:multiLevelType w:val="hybridMultilevel"/>
    <w:lvl w:ilvl="0">
      <w:lvlJc w:val="left"/>
      <w:lvlText w:val="(%1)"/>
      <w:numFmt w:val="lowerLetter"/>
      <w:start w:val="5"/>
    </w:lvl>
    <w:lvl w:ilvl="1">
      <w:lvlJc w:val="left"/>
      <w:lvlText w:val="%2"/>
      <w:numFmt w:val="lowerLetter"/>
      <w:start w:val="1"/>
    </w:lvl>
  </w:abstractNum>
  <w:abstractNum w:abstractNumId="143">
    <w:nsid w:val="2123D5F2"/>
    <w:multiLevelType w:val="hybridMultilevel"/>
    <w:lvl w:ilvl="0">
      <w:lvlJc w:val="left"/>
      <w:lvlText w:val="%1."/>
      <w:numFmt w:val="decimal"/>
      <w:start w:val="3"/>
    </w:lvl>
  </w:abstractNum>
  <w:abstractNum w:abstractNumId="144">
    <w:nsid w:val="135B8110"/>
    <w:multiLevelType w:val="hybridMultilevel"/>
    <w:lvl w:ilvl="0">
      <w:lvlJc w:val="left"/>
      <w:lvlText w:val="(%1)"/>
      <w:numFmt w:val="lowerLetter"/>
      <w:start w:val="1"/>
    </w:lvl>
  </w:abstractNum>
  <w:abstractNum w:abstractNumId="145">
    <w:nsid w:val="94927A8"/>
    <w:multiLevelType w:val="hybridMultilevel"/>
    <w:lvl w:ilvl="0">
      <w:lvlJc w:val="left"/>
      <w:lvlText w:val="(%1)"/>
      <w:numFmt w:val="lowerLetter"/>
      <w:start w:val="9"/>
    </w:lvl>
  </w:abstractNum>
  <w:abstractNum w:abstractNumId="146">
    <w:nsid w:val="DCDF8F6"/>
    <w:multiLevelType w:val="hybridMultilevel"/>
    <w:lvl w:ilvl="0">
      <w:lvlJc w:val="left"/>
      <w:lvlText w:val="(%1)"/>
      <w:numFmt w:val="lowerLetter"/>
      <w:start w:val="2"/>
    </w:lvl>
  </w:abstractNum>
  <w:abstractNum w:abstractNumId="147">
    <w:nsid w:val="52D7B105"/>
    <w:multiLevelType w:val="hybridMultilevel"/>
    <w:lvl w:ilvl="0">
      <w:lvlJc w:val="left"/>
      <w:lvlText w:val="%1"/>
      <w:numFmt w:val="decimal"/>
      <w:start w:val="1"/>
    </w:lvl>
    <w:lvl w:ilvl="1">
      <w:lvlJc w:val="left"/>
      <w:lvlText w:val="(%2)"/>
      <w:numFmt w:val="decimal"/>
      <w:start w:val="12"/>
    </w:lvl>
  </w:abstractNum>
  <w:abstractNum w:abstractNumId="148">
    <w:nsid w:val="2E8A6394"/>
    <w:multiLevelType w:val="hybridMultilevel"/>
    <w:lvl w:ilvl="0">
      <w:lvlJc w:val="left"/>
      <w:lvlText w:val="%1."/>
      <w:numFmt w:val="decimal"/>
      <w:start w:val="4"/>
    </w:lvl>
    <w:lvl w:ilvl="1">
      <w:lvlJc w:val="left"/>
      <w:lvlText w:val="%2"/>
      <w:numFmt w:val="decimal"/>
      <w:start w:val="1"/>
    </w:lvl>
  </w:abstractNum>
  <w:abstractNum w:abstractNumId="149">
    <w:nsid w:val="24E60401"/>
    <w:multiLevelType w:val="hybridMultilevel"/>
    <w:lvl w:ilvl="0">
      <w:lvlJc w:val="left"/>
      <w:lvlText w:val="%1."/>
      <w:numFmt w:val="decimal"/>
      <w:start w:val="5"/>
    </w:lvl>
  </w:abstractNum>
  <w:abstractNum w:abstractNumId="150">
    <w:nsid w:val="2A6AD9BE"/>
    <w:multiLevelType w:val="hybridMultilevel"/>
    <w:lvl w:ilvl="0">
      <w:lvlJc w:val="left"/>
      <w:lvlText w:val="(%1)"/>
      <w:numFmt w:val="lowerLetter"/>
      <w:start w:val="2"/>
    </w:lvl>
  </w:abstractNum>
  <w:abstractNum w:abstractNumId="151">
    <w:nsid w:val="BAAC1B4"/>
    <w:multiLevelType w:val="hybridMultilevel"/>
    <w:lvl w:ilvl="0">
      <w:lvlJc w:val="left"/>
      <w:lvlText w:val="%1."/>
      <w:numFmt w:val="decimal"/>
      <w:start w:val="6"/>
    </w:lvl>
  </w:abstractNum>
  <w:abstractNum w:abstractNumId="152">
    <w:nsid w:val="36B2ACBC"/>
    <w:multiLevelType w:val="hybridMultilevel"/>
    <w:lvl w:ilvl="0">
      <w:lvlJc w:val="left"/>
      <w:lvlText w:val="%1."/>
      <w:numFmt w:val="decimal"/>
      <w:start w:val="7"/>
    </w:lvl>
  </w:abstractNum>
  <w:abstractNum w:abstractNumId="153">
    <w:nsid w:val="779D8544"/>
    <w:multiLevelType w:val="hybridMultilevel"/>
    <w:lvl w:ilvl="0">
      <w:lvlJc w:val="left"/>
      <w:lvlText w:val="%1"/>
      <w:numFmt w:val="decimal"/>
      <w:start w:val="1"/>
    </w:lvl>
    <w:lvl w:ilvl="1">
      <w:lvlJc w:val="left"/>
      <w:lvlText w:val="(%2)"/>
      <w:numFmt w:val="decimal"/>
      <w:start w:val="1"/>
    </w:lvl>
  </w:abstractNum>
  <w:abstractNum w:abstractNumId="154">
    <w:nsid w:val="4AB26E78"/>
    <w:multiLevelType w:val="hybridMultilevel"/>
    <w:lvl w:ilvl="0">
      <w:lvlJc w:val="left"/>
      <w:lvlText w:val="%1."/>
      <w:numFmt w:val="decimal"/>
      <w:start w:val="9"/>
    </w:lvl>
    <w:lvl w:ilvl="1">
      <w:lvlJc w:val="left"/>
      <w:lvlText w:val="%2"/>
      <w:numFmt w:val="decimal"/>
      <w:start w:val="1"/>
    </w:lvl>
  </w:abstractNum>
  <w:abstractNum w:abstractNumId="155">
    <w:nsid w:val="21FAA2FA"/>
    <w:multiLevelType w:val="hybridMultilevel"/>
    <w:lvl w:ilvl="0">
      <w:lvlJc w:val="left"/>
      <w:lvlText w:val="(%1)"/>
      <w:numFmt w:val="lowerLetter"/>
      <w:start w:val="1"/>
    </w:lvl>
  </w:abstractNum>
  <w:abstractNum w:abstractNumId="156">
    <w:nsid w:val="5451CF49"/>
    <w:multiLevelType w:val="hybridMultilevel"/>
    <w:lvl w:ilvl="0">
      <w:lvlJc w:val="left"/>
      <w:lvlText w:val="(%1)"/>
      <w:numFmt w:val="lowerLetter"/>
      <w:start w:val="1"/>
    </w:lvl>
  </w:abstractNum>
  <w:abstractNum w:abstractNumId="157">
    <w:nsid w:val="6181EF69"/>
    <w:multiLevelType w:val="hybridMultilevel"/>
    <w:lvl w:ilvl="0">
      <w:lvlJc w:val="left"/>
      <w:lvlText w:val="(%1)"/>
      <w:numFmt w:val="lowerLetter"/>
      <w:start w:val="3"/>
    </w:lvl>
  </w:abstractNum>
  <w:abstractNum w:abstractNumId="158">
    <w:nsid w:val="3E6400E6"/>
    <w:multiLevelType w:val="hybridMultilevel"/>
    <w:lvl w:ilvl="0">
      <w:lvlJc w:val="left"/>
      <w:lvlText w:val="(%1)"/>
      <w:numFmt w:val="lowerLetter"/>
      <w:start w:val="1"/>
    </w:lvl>
  </w:abstractNum>
  <w:abstractNum w:abstractNumId="159">
    <w:nsid w:val="14217E23"/>
    <w:multiLevelType w:val="hybridMultilevel"/>
    <w:lvl w:ilvl="0">
      <w:lvlJc w:val="left"/>
      <w:lvlText w:val="(%1)"/>
      <w:numFmt w:val="lowerLetter"/>
      <w:start w:val="1"/>
    </w:lvl>
  </w:abstractNum>
  <w:abstractNum w:abstractNumId="160">
    <w:nsid w:val="710757D0"/>
    <w:multiLevelType w:val="hybridMultilevel"/>
    <w:lvl w:ilvl="0">
      <w:lvlJc w:val="left"/>
      <w:lvlText w:val="%1"/>
      <w:numFmt w:val="decimal"/>
      <w:start w:val="1"/>
    </w:lvl>
    <w:lvl w:ilvl="1">
      <w:lvlJc w:val="left"/>
      <w:lvlText w:val="(%2)"/>
      <w:numFmt w:val="lowerLetter"/>
      <w:start w:val="3"/>
    </w:lvl>
  </w:abstractNum>
  <w:abstractNum w:abstractNumId="161">
    <w:nsid w:val="5015CD1A"/>
    <w:multiLevelType w:val="hybridMultilevel"/>
    <w:lvl w:ilvl="0">
      <w:lvlJc w:val="left"/>
      <w:lvlText w:val="%1."/>
      <w:numFmt w:val="decimal"/>
      <w:start w:val="10"/>
    </w:lvl>
    <w:lvl w:ilvl="1">
      <w:lvlJc w:val="left"/>
      <w:lvlText w:val="%2"/>
      <w:numFmt w:val="lowerLetter"/>
      <w:start w:val="1"/>
    </w:lvl>
  </w:abstractNum>
  <w:abstractNum w:abstractNumId="162">
    <w:nsid w:val="424479DA"/>
    <w:multiLevelType w:val="hybridMultilevel"/>
    <w:lvl w:ilvl="0">
      <w:lvlJc w:val="left"/>
      <w:lvlText w:val="(%1)"/>
      <w:numFmt w:val="lowerLetter"/>
      <w:start w:val="1"/>
    </w:lvl>
    <w:lvl w:ilvl="1">
      <w:lvlJc w:val="left"/>
      <w:lvlText w:val="(%2)"/>
      <w:numFmt w:val="lowerLetter"/>
      <w:start w:val="2"/>
    </w:lvl>
  </w:abstractNum>
  <w:abstractNum w:abstractNumId="163">
    <w:nsid w:val="1A9A9E69"/>
    <w:multiLevelType w:val="hybridMultilevel"/>
    <w:lvl w:ilvl="0">
      <w:lvlJc w:val="left"/>
      <w:lvlText w:val="(%1)"/>
      <w:numFmt w:val="lowerLetter"/>
      <w:start w:val="3"/>
    </w:lvl>
  </w:abstractNum>
  <w:abstractNum w:abstractNumId="164">
    <w:nsid w:val="475E256A"/>
    <w:multiLevelType w:val="hybridMultilevel"/>
    <w:lvl w:ilvl="0">
      <w:lvlJc w:val="left"/>
      <w:lvlText w:val="%1."/>
      <w:numFmt w:val="decimal"/>
      <w:start w:val="11"/>
    </w:lvl>
  </w:abstractNum>
  <w:abstractNum w:abstractNumId="165">
    <w:nsid w:val="368DB37E"/>
    <w:multiLevelType w:val="hybridMultilevel"/>
    <w:lvl w:ilvl="0">
      <w:lvlJc w:val="left"/>
      <w:lvlText w:val="(%1)"/>
      <w:numFmt w:val="lowerRoman"/>
      <w:start w:val="5"/>
    </w:lvl>
  </w:abstractNum>
  <w:abstractNum w:abstractNumId="166">
    <w:nsid w:val="6A3B714C"/>
    <w:multiLevelType w:val="hybridMultilevel"/>
    <w:lvl w:ilvl="0">
      <w:lvlJc w:val="left"/>
      <w:lvlText w:val="(%1)"/>
      <w:numFmt w:val="lowerRoman"/>
      <w:start w:val="2"/>
    </w:lvl>
  </w:abstractNum>
  <w:abstractNum w:abstractNumId="167">
    <w:nsid w:val="327B517E"/>
    <w:multiLevelType w:val="hybridMultilevel"/>
    <w:lvl w:ilvl="0">
      <w:lvlJc w:val="left"/>
      <w:lvlText w:val="%1"/>
      <w:numFmt w:val="lowerRoman"/>
      <w:start w:val="1"/>
    </w:lvl>
    <w:lvl w:ilvl="1">
      <w:lvlJc w:val="left"/>
      <w:lvlText w:val="(%2)"/>
      <w:numFmt w:val="lowerLetter"/>
      <w:start w:val="1"/>
    </w:lvl>
  </w:abstractNum>
  <w:abstractNum w:abstractNumId="168">
    <w:nsid w:val="1F461B51"/>
    <w:multiLevelType w:val="hybridMultilevel"/>
    <w:lvl w:ilvl="0">
      <w:lvlJc w:val="left"/>
      <w:lvlText w:val="%1."/>
      <w:numFmt w:val="lowerRoman"/>
      <w:start w:val="1"/>
    </w:lvl>
    <w:lvl w:ilvl="1">
      <w:lvlJc w:val="left"/>
      <w:lvlText w:val="%2"/>
      <w:numFmt w:val="lowerLetter"/>
      <w:start w:val="1"/>
    </w:lvl>
  </w:abstractNum>
  <w:abstractNum w:abstractNumId="169">
    <w:nsid w:val="29BACF25"/>
    <w:multiLevelType w:val="hybridMultilevel"/>
    <w:lvl w:ilvl="0">
      <w:lvlJc w:val="left"/>
      <w:lvlText w:val="(%1)"/>
      <w:numFmt w:val="lowerLetter"/>
      <w:start w:val="2"/>
    </w:lvl>
  </w:abstractNum>
  <w:abstractNum w:abstractNumId="170">
    <w:nsid w:val="5D5BABB3"/>
    <w:multiLevelType w:val="hybridMultilevel"/>
    <w:lvl w:ilvl="0">
      <w:lvlJc w:val="left"/>
      <w:lvlText w:val="%1"/>
      <w:numFmt w:val="decimal"/>
      <w:start w:val="1"/>
    </w:lvl>
    <w:lvl w:ilvl="1">
      <w:lvlJc w:val="left"/>
      <w:lvlText w:val="(%2)"/>
      <w:numFmt w:val="lowerRoman"/>
      <w:start w:val="1"/>
    </w:lvl>
  </w:abstractNum>
  <w:abstractNum w:abstractNumId="171">
    <w:nsid w:val="51BF6B48"/>
    <w:multiLevelType w:val="hybridMultilevel"/>
    <w:lvl w:ilvl="0">
      <w:lvlJc w:val="left"/>
      <w:lvlText w:val="(%1)"/>
      <w:numFmt w:val="decimal"/>
      <w:start w:val="30"/>
    </w:lvl>
    <w:lvl w:ilvl="1">
      <w:lvlJc w:val="left"/>
      <w:lvlText w:val="%2"/>
      <w:numFmt w:val="lowerRoman"/>
      <w:start w:val="1"/>
    </w:lvl>
  </w:abstractNum>
  <w:abstractNum w:abstractNumId="172">
    <w:nsid w:val="7E0F6384"/>
    <w:multiLevelType w:val="hybridMultilevel"/>
    <w:lvl w:ilvl="0">
      <w:lvlJc w:val="left"/>
      <w:lvlText w:val="(%1)"/>
      <w:numFmt w:val="lowerLetter"/>
      <w:start w:val="2"/>
    </w:lvl>
  </w:abstractNum>
  <w:abstractNum w:abstractNumId="173">
    <w:nsid w:val="2B4B8B53"/>
    <w:multiLevelType w:val="hybridMultilevel"/>
    <w:lvl w:ilvl="0">
      <w:lvlJc w:val="left"/>
      <w:lvlText w:val="(%1)"/>
      <w:numFmt w:val="lowerLetter"/>
      <w:start w:val="11"/>
    </w:lvl>
  </w:abstractNum>
  <w:abstractNum w:abstractNumId="174">
    <w:nsid w:val="72E3413A"/>
    <w:multiLevelType w:val="hybridMultilevel"/>
    <w:lvl w:ilvl="0">
      <w:lvlJc w:val="left"/>
      <w:lvlText w:val="(%1)"/>
      <w:numFmt w:val="lowerLetter"/>
      <w:start w:val="16"/>
    </w:lvl>
  </w:abstractNum>
  <w:abstractNum w:abstractNumId="175">
    <w:nsid w:val="116AE494"/>
    <w:multiLevelType w:val="hybridMultilevel"/>
    <w:lvl w:ilvl="0">
      <w:lvlJc w:val="left"/>
      <w:lvlText w:val="(%1)"/>
      <w:numFmt w:val="lowerLetter"/>
      <w:start w:val="1"/>
    </w:lvl>
  </w:abstractNum>
  <w:abstractNum w:abstractNumId="176">
    <w:nsid w:val="3494B2FB"/>
    <w:multiLevelType w:val="hybridMultilevel"/>
    <w:lvl w:ilvl="0">
      <w:lvlJc w:val="left"/>
      <w:lvlText w:val="[**]"/>
      <w:numFmt w:val="bullet"/>
      <w:start w:val="1"/>
    </w:lvl>
    <w:lvl w:ilvl="1">
      <w:lvlJc w:val="left"/>
      <w:lvlText w:val="(%2)"/>
      <w:numFmt w:val="lowerLetter"/>
      <w:start w:val="4"/>
    </w:lvl>
  </w:abstractNum>
  <w:abstractNum w:abstractNumId="177">
    <w:nsid w:val="B13A31"/>
    <w:multiLevelType w:val="hybridMultilevel"/>
    <w:lvl w:ilvl="0">
      <w:lvlJc w:val="left"/>
      <w:lvlText w:val="(%1)"/>
      <w:numFmt w:val="lowerLetter"/>
      <w:start w:val="1"/>
    </w:lvl>
  </w:abstractNum>
  <w:abstractNum w:abstractNumId="178">
    <w:nsid w:val="64429599"/>
    <w:multiLevelType w:val="hybridMultilevel"/>
    <w:lvl w:ilvl="0">
      <w:lvlJc w:val="left"/>
      <w:lvlText w:val="(%1)"/>
      <w:numFmt w:val="lowerLetter"/>
      <w:start w:val="2"/>
    </w:lvl>
  </w:abstractNum>
  <w:abstractNum w:abstractNumId="179">
    <w:nsid w:val="631F1690"/>
    <w:multiLevelType w:val="hybridMultilevel"/>
    <w:lvl w:ilvl="0">
      <w:lvlJc w:val="left"/>
      <w:lvlText w:val="(%1)"/>
      <w:numFmt w:val="lowerLetter"/>
      <w:start w:val="1"/>
    </w:lvl>
  </w:abstractNum>
  <w:abstractNum w:abstractNumId="180">
    <w:nsid w:val="25973E32"/>
    <w:multiLevelType w:val="hybridMultilevel"/>
    <w:lvl w:ilvl="0">
      <w:lvlJc w:val="left"/>
      <w:lvlText w:val="%1."/>
      <w:numFmt w:val="upperLetter"/>
      <w:start w:val="2"/>
    </w:lvl>
  </w:abstractNum>
  <w:abstractNum w:abstractNumId="181">
    <w:nsid w:val="EAD6F57"/>
    <w:multiLevelType w:val="hybridMultilevel"/>
    <w:lvl w:ilvl="0">
      <w:lvlJc w:val="left"/>
      <w:lvlText w:val="%1."/>
      <w:numFmt w:val="decimal"/>
      <w:start w:val="1"/>
    </w:lvl>
  </w:abstractNum>
  <w:abstractNum w:abstractNumId="182">
    <w:nsid w:val="6EC9D844"/>
    <w:multiLevelType w:val="hybridMultilevel"/>
    <w:lvl w:ilvl="0">
      <w:lvlJc w:val="left"/>
      <w:lvlText w:val="(%1)"/>
      <w:numFmt w:val="lowerLetter"/>
      <w:start w:val="1"/>
    </w:lvl>
  </w:abstractNum>
  <w:abstractNum w:abstractNumId="183">
    <w:nsid w:val="5C49EAEE"/>
    <w:multiLevelType w:val="hybridMultilevel"/>
    <w:lvl w:ilvl="0">
      <w:lvlJc w:val="left"/>
      <w:lvlText w:val="(%1)"/>
      <w:numFmt w:val="lowerLetter"/>
      <w:start w:val="5"/>
    </w:lvl>
  </w:abstractNum>
  <w:abstractNum w:abstractNumId="184">
    <w:nsid w:val="64AF49B"/>
    <w:multiLevelType w:val="hybridMultilevel"/>
    <w:lvl w:ilvl="0">
      <w:lvlJc w:val="left"/>
      <w:lvlText w:val="%1."/>
      <w:numFmt w:val="decimal"/>
      <w:start w:val="2"/>
    </w:lvl>
  </w:abstractNum>
  <w:abstractNum w:abstractNumId="185">
    <w:nsid w:val="397C46BC"/>
    <w:multiLevelType w:val="hybridMultilevel"/>
    <w:lvl w:ilvl="0">
      <w:lvlJc w:val="left"/>
      <w:lvlText w:val="%1."/>
      <w:numFmt w:val="upperLetter"/>
      <w:start w:val="2"/>
    </w:lvl>
  </w:abstractNum>
  <w:abstractNum w:abstractNumId="186">
    <w:nsid w:val="7E448DE9"/>
    <w:multiLevelType w:val="hybridMultilevel"/>
    <w:lvl w:ilvl="0">
      <w:lvlJc w:val="left"/>
      <w:lvlText w:val="%1."/>
      <w:numFmt w:val="decimal"/>
      <w:start w:val="1"/>
    </w:lvl>
  </w:abstractNum>
  <w:abstractNum w:abstractNumId="187">
    <w:nsid w:val="5A9CC3E5"/>
    <w:multiLevelType w:val="hybridMultilevel"/>
    <w:lvl w:ilvl="0">
      <w:lvlJc w:val="left"/>
      <w:lvlText w:val="%1."/>
      <w:numFmt w:val="decimal"/>
      <w:start w:val="3"/>
    </w:lvl>
  </w:abstractNum>
  <w:abstractNum w:abstractNumId="188">
    <w:nsid w:val="1AFE3625"/>
    <w:multiLevelType w:val="hybridMultilevel"/>
    <w:lvl w:ilvl="0">
      <w:lvlJc w:val="left"/>
      <w:lvlText w:val="%1."/>
      <w:numFmt w:val="upperLetter"/>
      <w:start w:val="2"/>
    </w:lvl>
  </w:abstractNum>
  <w:abstractNum w:abstractNumId="189">
    <w:nsid w:val="3CA88ECF"/>
    <w:multiLevelType w:val="hybridMultilevel"/>
    <w:lvl w:ilvl="0">
      <w:lvlJc w:val="left"/>
      <w:lvlText w:val="%1."/>
      <w:numFmt w:val="decimal"/>
      <w:start w:val="1"/>
    </w:lvl>
  </w:abstractNum>
  <w:abstractNum w:abstractNumId="190">
    <w:nsid w:val="6EBE4208"/>
    <w:multiLevelType w:val="hybridMultilevel"/>
    <w:lvl w:ilvl="0">
      <w:lvlJc w:val="left"/>
      <w:lvlText w:val="%1."/>
      <w:numFmt w:val="decimal"/>
      <w:start w:val="2"/>
    </w:lvl>
  </w:abstractNum>
  <w:abstractNum w:abstractNumId="191">
    <w:nsid w:val="C058DF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92">
    <w:nsid w:val="CBE5BE9"/>
    <w:multiLevelType w:val="hybridMultilevel"/>
    <w:lvl w:ilvl="0">
      <w:lvlJc w:val="left"/>
      <w:lvlText w:val="%1."/>
      <w:numFmt w:val="decimal"/>
      <w:start w:val="1"/>
    </w:lvl>
    <w:lvl w:ilvl="1">
      <w:lvlJc w:val="left"/>
      <w:lvlText w:val="%2."/>
      <w:numFmt w:val="lowerLetter"/>
      <w:start w:val="1"/>
    </w:lvl>
  </w:abstractNum>
  <w:abstractNum w:abstractNumId="193">
    <w:nsid w:val="3102BBE2"/>
    <w:multiLevelType w:val="hybridMultilevel"/>
    <w:lvl w:ilvl="0">
      <w:lvlJc w:val="left"/>
      <w:lvlText w:val="%1)"/>
      <w:numFmt w:val="decimal"/>
      <w:start w:val="1"/>
    </w:lvl>
    <w:lvl w:ilvl="1">
      <w:lvlJc w:val="left"/>
      <w:lvlText w:val="(%2)"/>
      <w:numFmt w:val="lowerLetter"/>
      <w:start w:val="1"/>
    </w:lvl>
  </w:abstractNum>
  <w:abstractNum w:abstractNumId="194">
    <w:nsid w:val="26A02C5E"/>
    <w:multiLevelType w:val="hybridMultilevel"/>
    <w:lvl w:ilvl="0">
      <w:lvlJc w:val="left"/>
      <w:lvlText w:val="%1)"/>
      <w:numFmt w:val="decimal"/>
      <w:start w:val="1"/>
    </w:lvl>
    <w:lvl w:ilvl="1">
      <w:lvlJc w:val="left"/>
      <w:lvlText w:val="(%2)"/>
      <w:numFmt w:val="lowerLetter"/>
      <w:start w:val="1"/>
    </w:lvl>
  </w:abstractNum>
  <w:abstractNum w:abstractNumId="195">
    <w:nsid w:val="541C815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jpeg"/><Relationship Id="rId373" Type="http://schemas.openxmlformats.org/officeDocument/2006/relationships/image" Target="media/image364.png"/><Relationship Id="rId374" Type="http://schemas.openxmlformats.org/officeDocument/2006/relationships/image" Target="media/image365.jpeg"/><Relationship Id="rId375" Type="http://schemas.openxmlformats.org/officeDocument/2006/relationships/image" Target="media/image366.png"/><Relationship Id="rId376" Type="http://schemas.openxmlformats.org/officeDocument/2006/relationships/image" Target="media/image367.jpeg"/><Relationship Id="rId377" Type="http://schemas.openxmlformats.org/officeDocument/2006/relationships/image" Target="media/image368.png"/><Relationship Id="rId378" Type="http://schemas.openxmlformats.org/officeDocument/2006/relationships/image" Target="media/image369.jpeg"/><Relationship Id="rId379" Type="http://schemas.openxmlformats.org/officeDocument/2006/relationships/image" Target="media/image370.png"/><Relationship Id="rId380" Type="http://schemas.openxmlformats.org/officeDocument/2006/relationships/image" Target="media/image371.jpe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jpeg"/><Relationship Id="rId384" Type="http://schemas.openxmlformats.org/officeDocument/2006/relationships/image" Target="media/image375.png"/><Relationship Id="rId385" Type="http://schemas.openxmlformats.org/officeDocument/2006/relationships/image" Target="media/image376.jpeg"/><Relationship Id="rId386" Type="http://schemas.openxmlformats.org/officeDocument/2006/relationships/image" Target="media/image377.png"/><Relationship Id="rId387" Type="http://schemas.openxmlformats.org/officeDocument/2006/relationships/image" Target="media/image378.jpeg"/><Relationship Id="rId388" Type="http://schemas.openxmlformats.org/officeDocument/2006/relationships/image" Target="media/image379.png"/><Relationship Id="rId389" Type="http://schemas.openxmlformats.org/officeDocument/2006/relationships/image" Target="media/image380.jpeg"/><Relationship Id="rId390" Type="http://schemas.openxmlformats.org/officeDocument/2006/relationships/image" Target="media/image381.png"/><Relationship Id="rId391" Type="http://schemas.openxmlformats.org/officeDocument/2006/relationships/image" Target="media/image382.jpeg"/><Relationship Id="rId392" Type="http://schemas.openxmlformats.org/officeDocument/2006/relationships/image" Target="media/image383.png"/><Relationship Id="rId393" Type="http://schemas.openxmlformats.org/officeDocument/2006/relationships/image" Target="media/image384.jpeg"/><Relationship Id="rId394" Type="http://schemas.openxmlformats.org/officeDocument/2006/relationships/image" Target="media/image385.png"/><Relationship Id="rId395" Type="http://schemas.openxmlformats.org/officeDocument/2006/relationships/image" Target="media/image386.jpeg"/><Relationship Id="rId396" Type="http://schemas.openxmlformats.org/officeDocument/2006/relationships/image" Target="media/image387.png"/><Relationship Id="rId397" Type="http://schemas.openxmlformats.org/officeDocument/2006/relationships/image" Target="media/image388.jpeg"/><Relationship Id="rId398" Type="http://schemas.openxmlformats.org/officeDocument/2006/relationships/image" Target="media/image389.png"/><Relationship Id="rId399" Type="http://schemas.openxmlformats.org/officeDocument/2006/relationships/image" Target="media/image390.jpeg"/><Relationship Id="rId400" Type="http://schemas.openxmlformats.org/officeDocument/2006/relationships/image" Target="media/image391.png"/><Relationship Id="rId401" Type="http://schemas.openxmlformats.org/officeDocument/2006/relationships/image" Target="media/image392.jpeg"/><Relationship Id="rId402" Type="http://schemas.openxmlformats.org/officeDocument/2006/relationships/image" Target="media/image393.png"/><Relationship Id="rId403" Type="http://schemas.openxmlformats.org/officeDocument/2006/relationships/image" Target="media/image394.jpeg"/><Relationship Id="rId404" Type="http://schemas.openxmlformats.org/officeDocument/2006/relationships/image" Target="media/image395.png"/><Relationship Id="rId405" Type="http://schemas.openxmlformats.org/officeDocument/2006/relationships/image" Target="media/image396.jpeg"/><Relationship Id="rId406" Type="http://schemas.openxmlformats.org/officeDocument/2006/relationships/image" Target="media/image397.png"/><Relationship Id="rId407" Type="http://schemas.openxmlformats.org/officeDocument/2006/relationships/image" Target="media/image398.jpeg"/><Relationship Id="rId408" Type="http://schemas.openxmlformats.org/officeDocument/2006/relationships/image" Target="media/image399.png"/><Relationship Id="rId409" Type="http://schemas.openxmlformats.org/officeDocument/2006/relationships/image" Target="media/image400.jpeg"/><Relationship Id="rId410" Type="http://schemas.openxmlformats.org/officeDocument/2006/relationships/image" Target="media/image401.png"/><Relationship Id="rId411" Type="http://schemas.openxmlformats.org/officeDocument/2006/relationships/image" Target="media/image402.jpeg"/><Relationship Id="rId412" Type="http://schemas.openxmlformats.org/officeDocument/2006/relationships/image" Target="media/image403.png"/><Relationship Id="rId413" Type="http://schemas.openxmlformats.org/officeDocument/2006/relationships/image" Target="media/image404.jpeg"/><Relationship Id="rId414" Type="http://schemas.openxmlformats.org/officeDocument/2006/relationships/image" Target="media/image405.png"/><Relationship Id="rId415" Type="http://schemas.openxmlformats.org/officeDocument/2006/relationships/image" Target="media/image406.jpeg"/><Relationship Id="rId416" Type="http://schemas.openxmlformats.org/officeDocument/2006/relationships/image" Target="media/image407.png"/><Relationship Id="rId417" Type="http://schemas.openxmlformats.org/officeDocument/2006/relationships/image" Target="media/image408.jpeg"/><Relationship Id="rId418" Type="http://schemas.openxmlformats.org/officeDocument/2006/relationships/image" Target="media/image409.png"/><Relationship Id="rId419" Type="http://schemas.openxmlformats.org/officeDocument/2006/relationships/image" Target="media/image410.jpeg"/><Relationship Id="rId420" Type="http://schemas.openxmlformats.org/officeDocument/2006/relationships/image" Target="media/image411.png"/><Relationship Id="rId421" Type="http://schemas.openxmlformats.org/officeDocument/2006/relationships/image" Target="media/image412.jpeg"/><Relationship Id="rId422" Type="http://schemas.openxmlformats.org/officeDocument/2006/relationships/image" Target="media/image413.png"/><Relationship Id="rId423" Type="http://schemas.openxmlformats.org/officeDocument/2006/relationships/image" Target="media/image414.jpeg"/><Relationship Id="rId424" Type="http://schemas.openxmlformats.org/officeDocument/2006/relationships/image" Target="media/image415.png"/><Relationship Id="rId425" Type="http://schemas.openxmlformats.org/officeDocument/2006/relationships/image" Target="media/image416.jpeg"/><Relationship Id="rId426" Type="http://schemas.openxmlformats.org/officeDocument/2006/relationships/image" Target="media/image417.png"/><Relationship Id="rId427" Type="http://schemas.openxmlformats.org/officeDocument/2006/relationships/image" Target="media/image418.jpeg"/><Relationship Id="rId428" Type="http://schemas.openxmlformats.org/officeDocument/2006/relationships/image" Target="media/image419.png"/><Relationship Id="rId429" Type="http://schemas.openxmlformats.org/officeDocument/2006/relationships/image" Target="media/image420.jpeg"/><Relationship Id="rId430" Type="http://schemas.openxmlformats.org/officeDocument/2006/relationships/image" Target="media/image421.png"/><Relationship Id="rId431" Type="http://schemas.openxmlformats.org/officeDocument/2006/relationships/image" Target="media/image422.jpe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jpeg"/><Relationship Id="rId435" Type="http://schemas.openxmlformats.org/officeDocument/2006/relationships/image" Target="media/image426.png"/><Relationship Id="rId436" Type="http://schemas.openxmlformats.org/officeDocument/2006/relationships/image" Target="media/image427.jpeg"/><Relationship Id="rId437" Type="http://schemas.openxmlformats.org/officeDocument/2006/relationships/image" Target="media/image428.png"/><Relationship Id="rId438" Type="http://schemas.openxmlformats.org/officeDocument/2006/relationships/image" Target="media/image429.jpeg"/><Relationship Id="rId439" Type="http://schemas.openxmlformats.org/officeDocument/2006/relationships/image" Target="media/image430.png"/><Relationship Id="rId440" Type="http://schemas.openxmlformats.org/officeDocument/2006/relationships/image" Target="media/image431.jpeg"/><Relationship Id="rId441" Type="http://schemas.openxmlformats.org/officeDocument/2006/relationships/image" Target="media/image432.png"/><Relationship Id="rId442" Type="http://schemas.openxmlformats.org/officeDocument/2006/relationships/image" Target="media/image433.jpeg"/><Relationship Id="rId443" Type="http://schemas.openxmlformats.org/officeDocument/2006/relationships/image" Target="media/image434.png"/><Relationship Id="rId444" Type="http://schemas.openxmlformats.org/officeDocument/2006/relationships/image" Target="media/image435.jpeg"/><Relationship Id="rId445" Type="http://schemas.openxmlformats.org/officeDocument/2006/relationships/image" Target="media/image436.png"/><Relationship Id="rId446" Type="http://schemas.openxmlformats.org/officeDocument/2006/relationships/image" Target="media/image437.jpeg"/><Relationship Id="rId447" Type="http://schemas.openxmlformats.org/officeDocument/2006/relationships/image" Target="media/image438.png"/><Relationship Id="rId448" Type="http://schemas.openxmlformats.org/officeDocument/2006/relationships/image" Target="media/image439.jpeg"/><Relationship Id="rId449" Type="http://schemas.openxmlformats.org/officeDocument/2006/relationships/image" Target="media/image440.png"/><Relationship Id="rId450" Type="http://schemas.openxmlformats.org/officeDocument/2006/relationships/image" Target="media/image441.jpe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jpeg"/><Relationship Id="rId454" Type="http://schemas.openxmlformats.org/officeDocument/2006/relationships/image" Target="media/image445.png"/><Relationship Id="rId455" Type="http://schemas.openxmlformats.org/officeDocument/2006/relationships/image" Target="media/image446.jpeg"/><Relationship Id="rId456" Type="http://schemas.openxmlformats.org/officeDocument/2006/relationships/image" Target="media/image447.png"/><Relationship Id="rId457" Type="http://schemas.openxmlformats.org/officeDocument/2006/relationships/image" Target="media/image448.jpeg"/><Relationship Id="rId458" Type="http://schemas.openxmlformats.org/officeDocument/2006/relationships/image" Target="media/image449.png"/><Relationship Id="rId459" Type="http://schemas.openxmlformats.org/officeDocument/2006/relationships/image" Target="media/image450.jpeg"/><Relationship Id="rId460" Type="http://schemas.openxmlformats.org/officeDocument/2006/relationships/image" Target="media/image451.png"/><Relationship Id="rId461" Type="http://schemas.openxmlformats.org/officeDocument/2006/relationships/image" Target="media/image452.jpeg"/><Relationship Id="rId462" Type="http://schemas.openxmlformats.org/officeDocument/2006/relationships/image" Target="media/image453.png"/><Relationship Id="rId463" Type="http://schemas.openxmlformats.org/officeDocument/2006/relationships/image" Target="media/image454.jpeg"/><Relationship Id="rId464" Type="http://schemas.openxmlformats.org/officeDocument/2006/relationships/image" Target="media/image455.png"/><Relationship Id="rId465" Type="http://schemas.openxmlformats.org/officeDocument/2006/relationships/image" Target="media/image456.jpeg"/><Relationship Id="rId466" Type="http://schemas.openxmlformats.org/officeDocument/2006/relationships/image" Target="media/image457.png"/><Relationship Id="rId467" Type="http://schemas.openxmlformats.org/officeDocument/2006/relationships/image" Target="media/image458.jpeg"/><Relationship Id="rId468" Type="http://schemas.openxmlformats.org/officeDocument/2006/relationships/image" Target="media/image459.png"/><Relationship Id="rId469" Type="http://schemas.openxmlformats.org/officeDocument/2006/relationships/image" Target="media/image460.jpeg"/><Relationship Id="rId470" Type="http://schemas.openxmlformats.org/officeDocument/2006/relationships/image" Target="media/image461.png"/><Relationship Id="rId471" Type="http://schemas.openxmlformats.org/officeDocument/2006/relationships/image" Target="media/image462.jpeg"/><Relationship Id="rId472" Type="http://schemas.openxmlformats.org/officeDocument/2006/relationships/image" Target="media/image463.png"/><Relationship Id="rId473" Type="http://schemas.openxmlformats.org/officeDocument/2006/relationships/image" Target="media/image464.jpeg"/><Relationship Id="rId474" Type="http://schemas.openxmlformats.org/officeDocument/2006/relationships/image" Target="media/image465.png"/><Relationship Id="rId475" Type="http://schemas.openxmlformats.org/officeDocument/2006/relationships/image" Target="media/image466.jpeg"/><Relationship Id="rId476" Type="http://schemas.openxmlformats.org/officeDocument/2006/relationships/image" Target="media/image467.png"/><Relationship Id="rId477" Type="http://schemas.openxmlformats.org/officeDocument/2006/relationships/image" Target="media/image468.jpeg"/><Relationship Id="rId478" Type="http://schemas.openxmlformats.org/officeDocument/2006/relationships/image" Target="media/image469.png"/><Relationship Id="rId479" Type="http://schemas.openxmlformats.org/officeDocument/2006/relationships/image" Target="media/image470.jpeg"/><Relationship Id="rId480" Type="http://schemas.openxmlformats.org/officeDocument/2006/relationships/image" Target="media/image471.png"/><Relationship Id="rId481" Type="http://schemas.openxmlformats.org/officeDocument/2006/relationships/image" Target="media/image472.jpeg"/><Relationship Id="rId482" Type="http://schemas.openxmlformats.org/officeDocument/2006/relationships/image" Target="media/image473.png"/><Relationship Id="rId483" Type="http://schemas.openxmlformats.org/officeDocument/2006/relationships/image" Target="media/image474.jpeg"/><Relationship Id="rId484" Type="http://schemas.openxmlformats.org/officeDocument/2006/relationships/image" Target="media/image475.png"/><Relationship Id="rId485" Type="http://schemas.openxmlformats.org/officeDocument/2006/relationships/image" Target="media/image476.jpeg"/><Relationship Id="rId486" Type="http://schemas.openxmlformats.org/officeDocument/2006/relationships/image" Target="media/image477.png"/><Relationship Id="rId487" Type="http://schemas.openxmlformats.org/officeDocument/2006/relationships/image" Target="media/image478.jpe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349" Type="http://schemas.openxmlformats.org/officeDocument/2006/relationships/hyperlink" Target="https://www.sec.gov/Archives/edgar/data/1841408/000119312522006854/d253532dex31.htm" TargetMode="External"/><Relationship Id="rId352" Type="http://schemas.openxmlformats.org/officeDocument/2006/relationships/hyperlink" Target="https://www.sec.gov/Archives/edgar/data/1841408/000119312522006854/d2535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2024-11-12T16:11:42Z</dcterms:created>
  <dcterms:modified xsi:type="dcterms:W3CDTF">2024-11-12T16:11:42Z</dcterms:modified>
</cp:coreProperties>
</file>