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gif" ContentType="image/gif"/>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dave-20260805.htm"/>
      <w:bookmarkStart w:id="1" w:name="ksdave20260805"/>
      <w:bookmarkEnd w:id="0"/>
      <w:bookmarkEnd w:id="1"/>
      <w:r>
        <w:rPr/>
        <w:t> </w:t>
      </w:r>
    </w:p>
    <w:p>
      <w:pPr>
        <w:pStyle w:val="TextBody"/>
        <w:bidi w:val="0"/>
        <w:spacing w:before="115" w:after="283"/>
        <w:jc w:val="center"/>
        <w:rPr>
          <w:rFonts w:ascii="Times New Roman" w:hAnsi="Times New Roman"/>
          <w:sz w:val="20"/>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jc w:val="left"/>
        <w:rPr/>
      </w:pPr>
      <w:r>
        <w:rPr/>
        <w:t> </w:t>
      </w:r>
    </w:p>
    <w:p>
      <w:pPr>
        <w:pStyle w:val="Heading2"/>
        <w:bidi w:val="0"/>
        <w:spacing w:before="200" w:after="283"/>
        <w:jc w:val="center"/>
        <w:rPr>
          <w:rFonts w:ascii="Times New Roman" w:hAnsi="Times New Roman"/>
          <w:sz w:val="20"/>
        </w:rPr>
      </w:pPr>
      <w:r>
        <w:rPr>
          <w:rFonts w:ascii="Times New Roman" w:hAnsi="Times New Roman"/>
          <w:color w:val="000000"/>
          <w:sz w:val="36"/>
        </w:rPr>
        <w:t xml:space="preserve">FORM </w:t>
      </w:r>
      <w:r>
        <w:rPr>
          <w:rFonts w:ascii="Times New Roman" w:hAnsi="Times New Roman"/>
          <w:b/>
          <w:color w:val="000000"/>
          <w:sz w:val="36"/>
        </w:rPr>
        <w:t>8-K</w:t>
      </w:r>
    </w:p>
    <w:p>
      <w:pPr>
        <w:pStyle w:val="TextBody"/>
        <w:pBdr>
          <w:bottom w:val="single" w:sz="6" w:space="1" w:color="000000"/>
        </w:pBdr>
        <w:bidi w:val="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566" w:type="dxa"/>
        <w:jc w:val="left"/>
        <w:tblInd w:w="0" w:type="dxa"/>
        <w:tblLayout w:type="fixed"/>
        <w:tblCellMar>
          <w:top w:w="28" w:type="dxa"/>
          <w:left w:w="28" w:type="dxa"/>
          <w:bottom w:w="28" w:type="dxa"/>
          <w:right w:w="28" w:type="dxa"/>
        </w:tblCellMar>
      </w:tblPr>
      <w:tblGrid>
        <w:gridCol w:w="5566"/>
      </w:tblGrid>
      <w:tr>
        <w:trPr/>
        <w:tc>
          <w:tcPr>
            <w:tcW w:w="5566" w:type="dxa"/>
            <w:tcBorders/>
            <w:vAlign w:val="center"/>
          </w:tcPr>
          <w:p>
            <w:pPr>
              <w:pStyle w:val="TableContents"/>
              <w:bidi w:val="0"/>
              <w:spacing w:before="0" w:after="283"/>
              <w:jc w:val="left"/>
              <w:rPr>
                <w:sz w:val="4"/>
                <w:szCs w:val="4"/>
              </w:rPr>
            </w:pPr>
            <w:r>
              <w:rPr>
                <w:sz w:val="4"/>
                <w:szCs w:val="4"/>
              </w:rPr>
            </w:r>
          </w:p>
        </w:tc>
      </w:tr>
      <w:tr>
        <w:trPr/>
        <w:tc>
          <w:tcPr>
            <w:tcW w:w="55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 of Report (Date of earliest event reported): August 05, 2026</w:t>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Dave Inc.</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5866" w:type="dxa"/>
        <w:jc w:val="left"/>
        <w:tblInd w:w="0" w:type="dxa"/>
        <w:tblLayout w:type="fixed"/>
        <w:tblCellMar>
          <w:top w:w="28" w:type="dxa"/>
          <w:left w:w="28" w:type="dxa"/>
          <w:bottom w:w="28" w:type="dxa"/>
          <w:right w:w="28" w:type="dxa"/>
        </w:tblCellMar>
      </w:tblPr>
      <w:tblGrid>
        <w:gridCol w:w="949"/>
        <w:gridCol w:w="866"/>
        <w:gridCol w:w="869"/>
        <w:gridCol w:w="1846"/>
        <w:gridCol w:w="1336"/>
      </w:tblGrid>
      <w:tr>
        <w:trPr/>
        <w:tc>
          <w:tcPr>
            <w:tcW w:w="949"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001-40161</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86-1481509</w:t>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949" w:type="dxa"/>
            <w:tcBorders/>
            <w:tcMar>
              <w:top w:w="0" w:type="dxa"/>
              <w:left w:w="0" w:type="dxa"/>
              <w:bottom w:w="0" w:type="dxa"/>
              <w:right w:w="0" w:type="dxa"/>
            </w:tcMar>
            <w:vAlign w:val="center"/>
          </w:tcPr>
          <w:p>
            <w:pPr>
              <w:pStyle w:val="TableContents"/>
              <w:bidi w:val="0"/>
              <w:spacing w:before="0" w:after="283"/>
              <w:jc w:val="center"/>
              <w:rPr/>
            </w:pPr>
            <w:r>
              <w:rPr/>
              <w:t> </w:t>
            </w:r>
          </w:p>
        </w:tc>
        <w:tc>
          <w:tcPr>
            <w:tcW w:w="8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6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1265 South Cochran Ave</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Los Angeles, California</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90019</w:t>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844</w:t>
            </w:r>
            <w:r>
              <w:rPr>
                <w:rFonts w:ascii="Times New Roman" w:hAnsi="Times New Roman"/>
                <w:color w:val="000000"/>
                <w:sz w:val="20"/>
              </w:rPr>
              <w:t xml:space="preserve"> </w:t>
            </w:r>
            <w:r>
              <w:rPr>
                <w:rFonts w:ascii="Times New Roman" w:hAnsi="Times New Roman"/>
                <w:b/>
                <w:color w:val="000000"/>
                <w:sz w:val="20"/>
              </w:rPr>
              <w:t>857-3283</w:t>
            </w:r>
          </w:p>
        </w:tc>
      </w:tr>
    </w:tbl>
    <w:p>
      <w:pPr>
        <w:pStyle w:val="TextBody"/>
        <w:bidi w:val="0"/>
        <w:jc w:val="left"/>
        <w:rPr/>
      </w:pPr>
      <w:r>
        <w:rPr/>
        <w:t> </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jc w:val="left"/>
        <w:rPr/>
      </w:pPr>
      <w:r>
        <w:rPr/>
        <w:t> </w:t>
      </w:r>
    </w:p>
    <w:p>
      <w:pPr>
        <w:pStyle w:val="TextBody"/>
        <w:bidi w:val="0"/>
        <w:spacing w:before="187"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60" w:after="283"/>
        <w:ind w:left="0" w:right="0" w:hanging="490"/>
        <w:jc w:val="left"/>
        <w:rPr/>
      </w:pPr>
      <w:r>
        <w:rPr/>
        <w:t>☐</w:t>
      </w:r>
      <w:r>
        <w:rPr>
          <w:rFonts w:ascii="Times New Roman" w:hAnsi="Times New Roman"/>
          <w:color w:val="000000"/>
          <w:sz w:val="20"/>
        </w:rPr>
        <w:t>Written communications pursuant to Rule 425 under the Securities Act (17 CFR 230.425)</w:t>
      </w:r>
    </w:p>
    <w:p>
      <w:pPr>
        <w:pStyle w:val="TextBody"/>
        <w:bidi w:val="0"/>
        <w:spacing w:before="120" w:after="283"/>
        <w:ind w:left="0" w:right="0" w:hanging="490"/>
        <w:jc w:val="left"/>
        <w:rPr/>
      </w:pPr>
      <w:r>
        <w:rPr/>
        <w:t>☐</w:t>
      </w:r>
      <w:r>
        <w:rPr>
          <w:rFonts w:ascii="Times New Roman" w:hAnsi="Times New Roman"/>
          <w:color w:val="000000"/>
          <w:sz w:val="20"/>
        </w:rPr>
        <w:t>Soliciting material pursuant to Rule 14a-12 under the Exchange Act (17 CFR 240.14a-12)</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14d-2(b) under the Exchange Act (17 CFR 240.14d-2(b))</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13e-4(c) under the Exchange Act (17 CFR 240.13e-4(c))</w:t>
      </w:r>
    </w:p>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10205" w:type="dxa"/>
        <w:jc w:val="left"/>
        <w:tblInd w:w="0" w:type="dxa"/>
        <w:tblLayout w:type="fixed"/>
        <w:tblCellMar>
          <w:top w:w="28" w:type="dxa"/>
          <w:left w:w="28" w:type="dxa"/>
          <w:bottom w:w="28" w:type="dxa"/>
          <w:right w:w="28" w:type="dxa"/>
        </w:tblCellMar>
      </w:tblPr>
      <w:tblGrid>
        <w:gridCol w:w="6539"/>
        <w:gridCol w:w="146"/>
        <w:gridCol w:w="882"/>
        <w:gridCol w:w="146"/>
        <w:gridCol w:w="2492"/>
      </w:tblGrid>
      <w:tr>
        <w:trPr/>
        <w:tc>
          <w:tcPr>
            <w:tcW w:w="653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2" w:type="dxa"/>
            <w:tcBorders/>
            <w:vAlign w:val="center"/>
          </w:tcPr>
          <w:p>
            <w:pPr>
              <w:pStyle w:val="TableContents"/>
              <w:bidi w:val="0"/>
              <w:spacing w:before="0" w:after="283"/>
              <w:jc w:val="left"/>
              <w:rPr>
                <w:sz w:val="4"/>
                <w:szCs w:val="4"/>
              </w:rPr>
            </w:pPr>
            <w:r>
              <w:rPr>
                <w:sz w:val="4"/>
                <w:szCs w:val="4"/>
              </w:rPr>
            </w:r>
          </w:p>
        </w:tc>
      </w:tr>
      <w:tr>
        <w:trPr/>
        <w:tc>
          <w:tcPr>
            <w:tcW w:w="6539"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882"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2492"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653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Class A common stock, par value $0.0001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8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DAVE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9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Stock Market LLC</w:t>
            </w:r>
          </w:p>
        </w:tc>
      </w:tr>
      <w:tr>
        <w:trPr/>
        <w:tc>
          <w:tcPr>
            <w:tcW w:w="653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Redeemable warrants, each lot of 32 warrants exercisable for one share of Class A common stock, each at an exercise price of $368 per share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8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DAVEW</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9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Stock Market LLC</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Emerging growth company </w:t>
      </w:r>
      <w:r>
        <w:rPr>
          <w:rFonts w:ascii="Times New Roman" w:hAnsi="Times New Roman"/>
          <w:sz w:val="20"/>
        </w:rPr>
        <w:t>☐</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2.02 Results of Operations and Financial Condition.</w:t>
      </w:r>
    </w:p>
    <w:p>
      <w:pPr>
        <w:pStyle w:val="TextBody"/>
        <w:bidi w:val="0"/>
        <w:jc w:val="left"/>
        <w:rPr>
          <w:rFonts w:ascii="Times New Roman" w:hAnsi="Times New Roman"/>
          <w:color w:val="000000"/>
          <w:sz w:val="20"/>
        </w:rPr>
      </w:pPr>
      <w:r>
        <w:rPr>
          <w:rFonts w:ascii="Times New Roman" w:hAnsi="Times New Roman"/>
          <w:color w:val="000000"/>
          <w:sz w:val="20"/>
        </w:rPr>
        <w:t xml:space="preserve">On August 5, 2026, Dave Inc. (the "Company") issued a press release announcing its financial results for the quarter ended June 30, 2026. The press release is furnished as Exhibit 99.1 to this Current Report on Form 8-K and is incorporated herein by reference.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information furnished under this Item 2.02, including Exhibit 99.1, will not be deemed “filed” for purposes of Section 18 of the Securities Exchange Act of 1934, as amended (the “Exchange Act”), or otherwise subject to the liabilities of that section, and will not be deemed incorporated by reference into any filing under the Securities Act of 1933, as amended, or the Exchange Act, except as expressly set forth by specific reference in such a filing.</w:t>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9.01 Financial Statements and Exhibits.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 Exhibits.</w:t>
      </w:r>
    </w:p>
    <w:tbl>
      <w:tblPr>
        <w:tblW w:w="6118" w:type="dxa"/>
        <w:jc w:val="left"/>
        <w:tblInd w:w="0" w:type="dxa"/>
        <w:tblLayout w:type="fixed"/>
        <w:tblCellMar>
          <w:top w:w="28" w:type="dxa"/>
          <w:left w:w="28" w:type="dxa"/>
          <w:bottom w:w="28" w:type="dxa"/>
          <w:right w:w="28" w:type="dxa"/>
        </w:tblCellMar>
      </w:tblPr>
      <w:tblGrid>
        <w:gridCol w:w="946"/>
        <w:gridCol w:w="146"/>
        <w:gridCol w:w="5026"/>
      </w:tblGrid>
      <w:tr>
        <w:trPr/>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026" w:type="dxa"/>
            <w:tcBorders/>
            <w:vAlign w:val="center"/>
          </w:tcPr>
          <w:p>
            <w:pPr>
              <w:pStyle w:val="TableContents"/>
              <w:bidi w:val="0"/>
              <w:spacing w:before="0" w:after="283"/>
              <w:jc w:val="left"/>
              <w:rPr>
                <w:sz w:val="4"/>
                <w:szCs w:val="4"/>
              </w:rPr>
            </w:pPr>
            <w:r>
              <w:rPr>
                <w:sz w:val="4"/>
                <w:szCs w:val="4"/>
              </w:rPr>
            </w:r>
          </w:p>
        </w:tc>
      </w:tr>
      <w:tr>
        <w:trPr/>
        <w:tc>
          <w:tcPr>
            <w:tcW w:w="9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02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Exhibit No.</w:t>
              <w:br/>
            </w:r>
            <w:r>
              <w:rPr>
                <w:rFonts w:ascii="Times New Roman" w:hAnsi="Times New Roman"/>
                <w:color w:val="000000"/>
                <w:sz w:val="16"/>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b/>
                <w:color w:val="000000"/>
                <w:sz w:val="16"/>
              </w:rPr>
              <w:t>Description</w:t>
              <w:br/>
            </w:r>
            <w:r>
              <w:rPr>
                <w:rFonts w:ascii="Times New Roman" w:hAnsi="Times New Roman"/>
                <w:color w:val="000000"/>
                <w:sz w:val="16"/>
              </w:rPr>
              <w:t> </w:t>
            </w:r>
          </w:p>
        </w:tc>
      </w:tr>
      <w:tr>
        <w:trPr/>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99.1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6" w:type="dxa"/>
            <w:tcBorders/>
            <w:tcMar>
              <w:top w:w="0" w:type="dxa"/>
              <w:left w:w="0" w:type="dxa"/>
              <w:bottom w:w="0" w:type="dxa"/>
              <w:right w:w="0" w:type="dxa"/>
            </w:tcMar>
            <w:vAlign w:val="center"/>
          </w:tcPr>
          <w:p>
            <w:pPr>
              <w:pStyle w:val="TableContents"/>
              <w:bidi w:val="0"/>
              <w:spacing w:before="0" w:after="283"/>
              <w:jc w:val="left"/>
              <w:rPr/>
            </w:pPr>
            <w:hyperlink w:anchor="dave-ex99_1.htm">
              <w:r>
                <w:rPr>
                  <w:rStyle w:val="InternetLink"/>
                  <w:rFonts w:ascii="Times New Roman" w:hAnsi="Times New Roman"/>
                  <w:color w:val="0000FF"/>
                  <w:sz w:val="20"/>
                  <w:u w:val="single"/>
                </w:rPr>
                <w:t>Press Release dated August 5, 2026</w:t>
              </w:r>
            </w:hyperlink>
          </w:p>
        </w:tc>
      </w:tr>
      <w:tr>
        <w:trPr/>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(formatted as inline XBRL)</w:t>
            </w:r>
          </w:p>
        </w:tc>
      </w:tr>
    </w:tbl>
    <w:p>
      <w:pPr>
        <w:pStyle w:val="TextBody"/>
        <w:bidi w:val="0"/>
        <w:jc w:val="left"/>
        <w:rPr/>
      </w:pPr>
      <w:r>
        <w:rPr/>
        <w:t> </w:t>
      </w:r>
    </w:p>
    <w:p>
      <w:pPr>
        <w:pStyle w:val="TextBody"/>
        <w:bidi w:val="0"/>
        <w:jc w:val="left"/>
        <w:rPr/>
      </w:pPr>
      <w:r>
        <w:rPr/>
        <w:t> </w:t>
      </w:r>
    </w:p>
    <w:p>
      <w:pPr>
        <w:pStyle w:val="Heading2"/>
        <w:bidi w:val="0"/>
        <w:spacing w:before="360" w:after="12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187"/>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tbl>
      <w:tblPr>
        <w:tblW w:w="6844" w:type="dxa"/>
        <w:jc w:val="left"/>
        <w:tblInd w:w="0" w:type="dxa"/>
        <w:tblLayout w:type="fixed"/>
        <w:tblCellMar>
          <w:top w:w="28" w:type="dxa"/>
          <w:left w:w="28" w:type="dxa"/>
          <w:bottom w:w="28" w:type="dxa"/>
          <w:right w:w="28" w:type="dxa"/>
        </w:tblCellMar>
      </w:tblPr>
      <w:tblGrid>
        <w:gridCol w:w="556"/>
        <w:gridCol w:w="1351"/>
        <w:gridCol w:w="631"/>
        <w:gridCol w:w="4306"/>
      </w:tblGrid>
      <w:tr>
        <w:trPr/>
        <w:tc>
          <w:tcPr>
            <w:tcW w:w="55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4306"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4306" w:type="dxa"/>
            <w:tcBorders/>
            <w:tcMar>
              <w:top w:w="0" w:type="dxa"/>
              <w:left w:w="0" w:type="dxa"/>
              <w:bottom w:w="0" w:type="dxa"/>
              <w:right w:w="0" w:type="dxa"/>
            </w:tcMar>
            <w:vAlign w:val="center"/>
          </w:tcPr>
          <w:p>
            <w:pPr>
              <w:pStyle w:val="TableContents"/>
              <w:bidi w:val="0"/>
              <w:spacing w:before="86" w:after="86"/>
              <w:jc w:val="left"/>
              <w:rPr>
                <w:rFonts w:ascii="Times New Roman" w:hAnsi="Times New Roman"/>
                <w:b/>
                <w:color w:val="000000"/>
                <w:sz w:val="20"/>
              </w:rPr>
            </w:pPr>
            <w:r>
              <w:rPr>
                <w:rFonts w:ascii="Times New Roman" w:hAnsi="Times New Roman"/>
                <w:b/>
                <w:color w:val="000000"/>
                <w:sz w:val="20"/>
              </w:rPr>
              <w:t>Dave Inc.</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430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Date:</w:t>
            </w:r>
          </w:p>
        </w:tc>
        <w:tc>
          <w:tcPr>
            <w:tcW w:w="135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August 5, 2026</w:t>
            </w:r>
          </w:p>
        </w:tc>
        <w:tc>
          <w:tcPr>
            <w:tcW w:w="63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 xml:space="preserve">By: </w:t>
            </w:r>
          </w:p>
        </w:tc>
        <w:tc>
          <w:tcPr>
            <w:tcW w:w="4306" w:type="dxa"/>
            <w:tcBorders>
              <w:bottom w:val="single" w:sz="2" w:space="0" w:color="000000"/>
            </w:tcBorders>
            <w:tcMar>
              <w:top w:w="0" w:type="dxa"/>
              <w:left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/s/ Kyle Beilman</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Name:</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4306" w:type="dxa"/>
            <w:tcBorders/>
            <w:tcMar>
              <w:top w:w="0" w:type="dxa"/>
              <w:left w:w="0" w:type="dxa"/>
              <w:bottom w:w="0" w:type="dxa"/>
              <w:right w:w="0" w:type="dxa"/>
            </w:tcMar>
            <w:vAlign w:val="center"/>
          </w:tcPr>
          <w:p>
            <w:pPr>
              <w:pStyle w:val="TableContents"/>
              <w:bidi w:val="0"/>
              <w:spacing w:before="14" w:after="187"/>
              <w:jc w:val="left"/>
              <w:rPr>
                <w:rFonts w:ascii="Times New Roman" w:hAnsi="Times New Roman"/>
                <w:color w:val="000000"/>
                <w:sz w:val="20"/>
              </w:rPr>
            </w:pPr>
            <w:r>
              <w:rPr>
                <w:rFonts w:ascii="Times New Roman" w:hAnsi="Times New Roman"/>
                <w:color w:val="000000"/>
                <w:sz w:val="20"/>
              </w:rPr>
              <w:t>Kyle Beilman</w:t>
              <w:br/>
              <w:t>Chief Financial Officer and Chief Operating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 w:name="dave-ex99_1.htm"/>
      <w:bookmarkStart w:id="3" w:name="ksdaveex99_1"/>
      <w:bookmarkEnd w:id="2"/>
      <w:bookmarkEnd w:id="3"/>
      <w:r>
        <w:rPr>
          <w:rFonts w:ascii="Times New Roman" w:hAnsi="Times New Roman"/>
          <w:b/>
          <w:color w:val="000000"/>
          <w:sz w:val="20"/>
        </w:rPr>
        <w:t>Exhibit 99.1</w:t>
      </w:r>
      <w:r>
        <w:br w:type="page"/>
      </w:r>
    </w:p>
    <w:p>
      <w:pPr>
        <w:pStyle w:val="TextBody"/>
        <w:bidi w:val="0"/>
        <w:jc w:val="right"/>
        <w:rPr/>
      </w:pPr>
      <w:r>
        <w:rPr/>
        <w:t> </w:t>
      </w:r>
    </w:p>
    <w:p>
      <w:pPr>
        <w:pStyle w:val="TextBody"/>
        <w:bidi w:val="0"/>
        <w:jc w:val="right"/>
        <w:rPr/>
      </w:pPr>
      <w:r>
        <w:rPr/>
        <w:drawing>
          <wp:inline distT="0" distB="0" distL="0" distR="0">
            <wp:extent cx="1495425" cy="3810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495425" cy="381000"/>
                    </a:xfrm>
                    <a:prstGeom prst="rect">
                      <a:avLst/>
                    </a:prstGeom>
                  </pic:spPr>
                </pic:pic>
              </a:graphicData>
            </a:graphic>
          </wp:inline>
        </w:drawing>
      </w:r>
    </w:p>
    <w:p>
      <w:pPr>
        <w:pStyle w:val="TextBody"/>
        <w:bidi w:val="0"/>
        <w:jc w:val="right"/>
        <w:rPr/>
      </w:pPr>
      <w:r>
        <w:rPr/>
        <w:t> </w:t>
      </w:r>
    </w:p>
    <w:p>
      <w:pPr>
        <w:pStyle w:val="TextBody"/>
        <w:bidi w:val="0"/>
        <w:jc w:val="center"/>
        <w:rPr>
          <w:rFonts w:ascii="Times New Roman" w:hAnsi="Times New Roman"/>
          <w:b/>
          <w:color w:val="000000"/>
          <w:sz w:val="28"/>
        </w:rPr>
      </w:pPr>
      <w:r>
        <w:rPr>
          <w:rFonts w:ascii="Times New Roman" w:hAnsi="Times New Roman"/>
          <w:b/>
          <w:color w:val="000000"/>
          <w:sz w:val="28"/>
        </w:rPr>
        <w:t>Dave Reports Second Quarter 2026 Financial Results</w:t>
      </w:r>
    </w:p>
    <w:p>
      <w:pPr>
        <w:pStyle w:val="TextBody"/>
        <w:bidi w:val="0"/>
        <w:spacing w:before="0" w:after="160"/>
        <w:jc w:val="center"/>
        <w:rPr>
          <w:rFonts w:ascii="Times New Roman" w:hAnsi="Times New Roman"/>
          <w:i/>
          <w:color w:val="000000"/>
          <w:sz w:val="21"/>
        </w:rPr>
      </w:pPr>
      <w:r>
        <w:rPr>
          <w:rFonts w:ascii="Times New Roman" w:hAnsi="Times New Roman"/>
          <w:i/>
          <w:color w:val="000000"/>
          <w:sz w:val="21"/>
        </w:rPr>
        <w:t>Q2 Revenue Grows 30% Y/Y to $170.8 Million Driven by Continued MTM Growth and ARPU Expansion</w:t>
      </w:r>
    </w:p>
    <w:p>
      <w:pPr>
        <w:pStyle w:val="TextBody"/>
        <w:bidi w:val="0"/>
        <w:spacing w:before="0" w:after="160"/>
        <w:jc w:val="center"/>
        <w:rPr>
          <w:rFonts w:ascii="Times New Roman" w:hAnsi="Times New Roman"/>
          <w:i/>
          <w:color w:val="000000"/>
          <w:sz w:val="21"/>
        </w:rPr>
      </w:pPr>
      <w:r>
        <w:rPr>
          <w:rFonts w:ascii="Times New Roman" w:hAnsi="Times New Roman"/>
          <w:i/>
          <w:color w:val="000000"/>
          <w:sz w:val="21"/>
        </w:rPr>
        <w:t>28-DPD Rate Improves 14 Basis Points Y/Y to 2.12%, While ExtraCash Originations Grew 27% Y/Y to $2.3 Billion</w:t>
      </w:r>
    </w:p>
    <w:p>
      <w:pPr>
        <w:pStyle w:val="TextBody"/>
        <w:bidi w:val="0"/>
        <w:spacing w:before="0" w:after="160"/>
        <w:jc w:val="center"/>
        <w:rPr>
          <w:rFonts w:ascii="Times New Roman" w:hAnsi="Times New Roman"/>
          <w:sz w:val="20"/>
        </w:rPr>
      </w:pPr>
      <w:r>
        <w:rPr>
          <w:rFonts w:ascii="Times New Roman" w:hAnsi="Times New Roman"/>
          <w:i/>
          <w:color w:val="000000"/>
          <w:sz w:val="21"/>
        </w:rPr>
        <w:t>Net Income of $6.7 Million Includes $36.9 Million of Non-Cash Warrant and Earnout Remeasurement Charges</w:t>
      </w:r>
      <w:r>
        <w:rPr>
          <w:rFonts w:ascii="Times New Roman" w:hAnsi="Times New Roman"/>
          <w:color w:val="000000"/>
          <w:sz w:val="20"/>
        </w:rPr>
        <w:t xml:space="preserve"> </w:t>
      </w:r>
    </w:p>
    <w:p>
      <w:pPr>
        <w:pStyle w:val="TextBody"/>
        <w:bidi w:val="0"/>
        <w:spacing w:before="0" w:after="160"/>
        <w:jc w:val="center"/>
        <w:rPr>
          <w:rFonts w:ascii="Times New Roman" w:hAnsi="Times New Roman"/>
          <w:i/>
          <w:color w:val="000000"/>
          <w:sz w:val="21"/>
        </w:rPr>
      </w:pPr>
      <w:r>
        <w:rPr>
          <w:rFonts w:ascii="Times New Roman" w:hAnsi="Times New Roman"/>
          <w:i/>
          <w:color w:val="000000"/>
          <w:sz w:val="21"/>
        </w:rPr>
        <w:t>Adj. EBITDA Increases 48% Y/Y to $75.5 Million, Representing a 44% Margin</w:t>
      </w:r>
    </w:p>
    <w:p>
      <w:pPr>
        <w:pStyle w:val="TextBody"/>
        <w:bidi w:val="0"/>
        <w:spacing w:before="0" w:after="160"/>
        <w:jc w:val="center"/>
        <w:rPr>
          <w:rFonts w:ascii="Times New Roman" w:hAnsi="Times New Roman"/>
          <w:i/>
          <w:color w:val="000000"/>
          <w:sz w:val="21"/>
        </w:rPr>
      </w:pPr>
      <w:r>
        <w:rPr>
          <w:rFonts w:ascii="Times New Roman" w:hAnsi="Times New Roman"/>
          <w:i/>
          <w:color w:val="000000"/>
          <w:sz w:val="21"/>
        </w:rPr>
        <w:t>Raises 2026 Revenue, Adj. EBITDA and Adj. Diluted EPS Guidance</w:t>
      </w:r>
    </w:p>
    <w:p>
      <w:pPr>
        <w:pStyle w:val="TextBody"/>
        <w:bidi w:val="0"/>
        <w:jc w:val="both"/>
        <w:rPr/>
      </w:pPr>
      <w:r>
        <w:rPr/>
        <w:t> </w:t>
      </w:r>
    </w:p>
    <w:p>
      <w:pPr>
        <w:pStyle w:val="TextBody"/>
        <w:bidi w:val="0"/>
        <w:spacing w:before="80" w:after="160"/>
        <w:jc w:val="both"/>
        <w:rPr>
          <w:rFonts w:ascii="Times New Roman" w:hAnsi="Times New Roman"/>
          <w:sz w:val="20"/>
        </w:rPr>
      </w:pPr>
      <w:r>
        <w:rPr>
          <w:rFonts w:ascii="Times New Roman" w:hAnsi="Times New Roman"/>
          <w:b/>
          <w:color w:val="000000"/>
          <w:sz w:val="21"/>
        </w:rPr>
        <w:t xml:space="preserve">LOS ANGELES, CA – August 5, 2026 – </w:t>
      </w:r>
      <w:r>
        <w:rPr>
          <w:rFonts w:ascii="Times New Roman" w:hAnsi="Times New Roman"/>
          <w:color w:val="000000"/>
          <w:sz w:val="21"/>
        </w:rPr>
        <w:t>Dave Inc. (“Dave” or the “Company”) (Nasdaq: DAVE), one of the nation's leading neobanks, today reported its financial results for the second quarter ended June 30, 2026.</w:t>
      </w:r>
    </w:p>
    <w:p>
      <w:pPr>
        <w:pStyle w:val="TextBody"/>
        <w:bidi w:val="0"/>
        <w:spacing w:before="0" w:after="160"/>
        <w:jc w:val="both"/>
        <w:rPr>
          <w:color w:val="000000"/>
        </w:rPr>
      </w:pPr>
      <w:r>
        <w:rPr>
          <w:color w:val="000000"/>
        </w:rPr>
        <w:t>“</w:t>
      </w:r>
      <w:r>
        <w:rPr>
          <w:rFonts w:ascii="Times New Roman" w:hAnsi="Times New Roman"/>
          <w:color w:val="000000"/>
          <w:sz w:val="21"/>
        </w:rPr>
        <w:t>We closed the first half with our ninth consecutive quarter of at least 30% year-over-year revenue growth as we once again demonstrated the strength and durability of our business,” said Jason Wilk, Founder and CEO of Dave. “The rollout of CashAI v6.0, alongside the relaxing of legacy fee caps and planned higher ExtraCash limits, gives us even greater conviction in our ARPU outlook. In addition, early engagement with Dave Flex has been promising and we continue to expand test cohorts. At the same time, we expect MTM growth to accelerate in the second half of 2026, supported by strong member acquisition trends.”</w:t>
      </w:r>
    </w:p>
    <w:p>
      <w:pPr>
        <w:pStyle w:val="TextBody"/>
        <w:bidi w:val="0"/>
        <w:jc w:val="both"/>
        <w:rPr>
          <w:rFonts w:ascii="Times New Roman" w:hAnsi="Times New Roman"/>
          <w:color w:val="000000"/>
          <w:sz w:val="21"/>
        </w:rPr>
      </w:pPr>
      <w:r>
        <w:rPr>
          <w:rFonts w:ascii="Times New Roman" w:hAnsi="Times New Roman"/>
          <w:color w:val="000000"/>
          <w:sz w:val="21"/>
        </w:rPr>
        <w:t>Wilk continued, “Based on our strong first-half performance, the depth of our product roadmap, and the significant operating leverage we continue to see in our model, we are raising our full-year 2026 guidance for Revenue, Adjusted EBITDA, and Adjusted Diluted EPS.”</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80" w:after="120"/>
        <w:jc w:val="left"/>
        <w:rPr>
          <w:rFonts w:ascii="Times New Roman" w:hAnsi="Times New Roman"/>
          <w:sz w:val="20"/>
        </w:rPr>
      </w:pPr>
      <w:r>
        <w:rPr>
          <w:rFonts w:ascii="Times New Roman" w:hAnsi="Times New Roman"/>
          <w:b/>
          <w:color w:val="000000"/>
          <w:sz w:val="21"/>
        </w:rPr>
        <w:t xml:space="preserve">Quarterly Financial Highlights </w:t>
      </w:r>
      <w:r>
        <w:rPr>
          <w:rFonts w:ascii="Times New Roman" w:hAnsi="Times New Roman"/>
          <w:i/>
          <w:color w:val="000000"/>
          <w:sz w:val="21"/>
        </w:rPr>
        <w:t>($ in millions, except for per share amounts, unaudited)</w:t>
      </w:r>
    </w:p>
    <w:tbl>
      <w:tblPr>
        <w:tblW w:w="7671" w:type="dxa"/>
        <w:jc w:val="left"/>
        <w:tblInd w:w="0" w:type="dxa"/>
        <w:tblLayout w:type="fixed"/>
        <w:tblCellMar>
          <w:top w:w="28" w:type="dxa"/>
          <w:left w:w="28" w:type="dxa"/>
          <w:bottom w:w="28" w:type="dxa"/>
          <w:right w:w="28" w:type="dxa"/>
        </w:tblCellMar>
      </w:tblPr>
      <w:tblGrid>
        <w:gridCol w:w="3541"/>
        <w:gridCol w:w="766"/>
        <w:gridCol w:w="871"/>
        <w:gridCol w:w="766"/>
        <w:gridCol w:w="916"/>
        <w:gridCol w:w="811"/>
      </w:tblGrid>
      <w:tr>
        <w:trPr/>
        <w:tc>
          <w:tcPr>
            <w:tcW w:w="354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r>
      <w:tr>
        <w:trPr/>
        <w:tc>
          <w:tcPr>
            <w:tcW w:w="3541" w:type="dxa"/>
            <w:tcBorders>
              <w:top w:val="single" w:sz="4" w:space="0" w:color="000000"/>
              <w:left w:val="single" w:sz="4" w:space="0" w:color="000000"/>
            </w:tcBorders>
            <w:shd w:fill="004318" w:val="clear"/>
            <w:tcMar>
              <w:top w:w="40" w:type="dxa"/>
              <w:left w:w="60" w:type="dxa"/>
              <w:bottom w:w="0" w:type="dxa"/>
              <w:right w:w="0" w:type="dxa"/>
            </w:tcMar>
            <w:vAlign w:val="center"/>
          </w:tcPr>
          <w:p>
            <w:pPr>
              <w:pStyle w:val="TableContents"/>
              <w:bidi w:val="0"/>
              <w:spacing w:before="0" w:after="283"/>
              <w:jc w:val="left"/>
              <w:rPr/>
            </w:pPr>
            <w:r>
              <w:rPr/>
              <w:t> </w:t>
            </w:r>
          </w:p>
        </w:tc>
        <w:tc>
          <w:tcPr>
            <w:tcW w:w="766" w:type="dxa"/>
            <w:tcBorders>
              <w:top w:val="single" w:sz="4" w:space="0" w:color="000000"/>
            </w:tcBorders>
            <w:shd w:fill="004318" w:val="clear"/>
            <w:tcMar>
              <w:top w:w="40" w:type="dxa"/>
              <w:left w:w="0" w:type="dxa"/>
              <w:bottom w:w="0" w:type="dxa"/>
              <w:right w:w="0" w:type="dxa"/>
            </w:tcMar>
            <w:vAlign w:val="center"/>
          </w:tcPr>
          <w:p>
            <w:pPr>
              <w:pStyle w:val="TableContents"/>
              <w:bidi w:val="0"/>
              <w:spacing w:before="0" w:after="283"/>
              <w:jc w:val="center"/>
              <w:rPr>
                <w:rFonts w:ascii="Times New Roman" w:hAnsi="Times New Roman"/>
                <w:b/>
                <w:color w:val="FFFFFF"/>
                <w:sz w:val="21"/>
              </w:rPr>
            </w:pPr>
            <w:r>
              <w:rPr>
                <w:rFonts w:ascii="Times New Roman" w:hAnsi="Times New Roman"/>
                <w:b/>
                <w:color w:val="FFFFFF"/>
                <w:sz w:val="21"/>
              </w:rPr>
              <w:t>2Q25</w:t>
            </w:r>
          </w:p>
        </w:tc>
        <w:tc>
          <w:tcPr>
            <w:tcW w:w="871" w:type="dxa"/>
            <w:tcBorders>
              <w:top w:val="single" w:sz="4" w:space="0" w:color="000000"/>
            </w:tcBorders>
            <w:shd w:fill="004318" w:val="clear"/>
            <w:tcMar>
              <w:top w:w="40" w:type="dxa"/>
              <w:left w:w="0" w:type="dxa"/>
              <w:bottom w:w="0" w:type="dxa"/>
              <w:right w:w="0" w:type="dxa"/>
            </w:tcMar>
            <w:vAlign w:val="center"/>
          </w:tcPr>
          <w:p>
            <w:pPr>
              <w:pStyle w:val="TableContents"/>
              <w:bidi w:val="0"/>
              <w:spacing w:before="0" w:after="283"/>
              <w:jc w:val="center"/>
              <w:rPr>
                <w:rFonts w:ascii="Times New Roman" w:hAnsi="Times New Roman"/>
                <w:b/>
                <w:color w:val="FFFFFF"/>
                <w:sz w:val="21"/>
              </w:rPr>
            </w:pPr>
            <w:r>
              <w:rPr>
                <w:rFonts w:ascii="Times New Roman" w:hAnsi="Times New Roman"/>
                <w:b/>
                <w:color w:val="FFFFFF"/>
                <w:sz w:val="21"/>
              </w:rPr>
              <w:t>3Q25</w:t>
            </w:r>
          </w:p>
        </w:tc>
        <w:tc>
          <w:tcPr>
            <w:tcW w:w="766" w:type="dxa"/>
            <w:tcBorders>
              <w:top w:val="single" w:sz="4" w:space="0" w:color="000000"/>
            </w:tcBorders>
            <w:shd w:fill="004318" w:val="clear"/>
            <w:tcMar>
              <w:top w:w="40" w:type="dxa"/>
              <w:left w:w="0" w:type="dxa"/>
              <w:bottom w:w="0" w:type="dxa"/>
              <w:right w:w="0" w:type="dxa"/>
            </w:tcMar>
            <w:vAlign w:val="center"/>
          </w:tcPr>
          <w:p>
            <w:pPr>
              <w:pStyle w:val="TableContents"/>
              <w:bidi w:val="0"/>
              <w:spacing w:before="0" w:after="283"/>
              <w:jc w:val="center"/>
              <w:rPr>
                <w:rFonts w:ascii="Times New Roman" w:hAnsi="Times New Roman"/>
                <w:b/>
                <w:color w:val="FFFFFF"/>
                <w:sz w:val="21"/>
              </w:rPr>
            </w:pPr>
            <w:r>
              <w:rPr>
                <w:rFonts w:ascii="Times New Roman" w:hAnsi="Times New Roman"/>
                <w:b/>
                <w:color w:val="FFFFFF"/>
                <w:sz w:val="21"/>
              </w:rPr>
              <w:t>4Q25</w:t>
            </w:r>
          </w:p>
        </w:tc>
        <w:tc>
          <w:tcPr>
            <w:tcW w:w="916" w:type="dxa"/>
            <w:tcBorders>
              <w:top w:val="single" w:sz="4" w:space="0" w:color="000000"/>
            </w:tcBorders>
            <w:shd w:fill="004318" w:val="clear"/>
            <w:tcMar>
              <w:top w:w="40" w:type="dxa"/>
              <w:left w:w="0" w:type="dxa"/>
              <w:bottom w:w="0" w:type="dxa"/>
              <w:right w:w="0" w:type="dxa"/>
            </w:tcMar>
            <w:vAlign w:val="center"/>
          </w:tcPr>
          <w:p>
            <w:pPr>
              <w:pStyle w:val="TableContents"/>
              <w:bidi w:val="0"/>
              <w:spacing w:before="0" w:after="283"/>
              <w:jc w:val="center"/>
              <w:rPr>
                <w:rFonts w:ascii="Times New Roman" w:hAnsi="Times New Roman"/>
                <w:b/>
                <w:color w:val="FFFFFF"/>
                <w:sz w:val="21"/>
              </w:rPr>
            </w:pPr>
            <w:r>
              <w:rPr>
                <w:rFonts w:ascii="Times New Roman" w:hAnsi="Times New Roman"/>
                <w:b/>
                <w:color w:val="FFFFFF"/>
                <w:sz w:val="21"/>
              </w:rPr>
              <w:t>1Q26</w:t>
            </w:r>
          </w:p>
        </w:tc>
        <w:tc>
          <w:tcPr>
            <w:tcW w:w="811" w:type="dxa"/>
            <w:tcBorders>
              <w:top w:val="single" w:sz="4" w:space="0" w:color="000000"/>
              <w:right w:val="single" w:sz="4" w:space="0" w:color="000000"/>
            </w:tcBorders>
            <w:shd w:fill="004318" w:val="clear"/>
            <w:tcMar>
              <w:top w:w="40" w:type="dxa"/>
              <w:left w:w="0" w:type="dxa"/>
              <w:bottom w:w="0" w:type="dxa"/>
              <w:right w:w="60" w:type="dxa"/>
            </w:tcMar>
            <w:vAlign w:val="center"/>
          </w:tcPr>
          <w:p>
            <w:pPr>
              <w:pStyle w:val="TableContents"/>
              <w:bidi w:val="0"/>
              <w:spacing w:before="0" w:after="283"/>
              <w:jc w:val="center"/>
              <w:rPr>
                <w:rFonts w:ascii="Times New Roman" w:hAnsi="Times New Roman"/>
                <w:b/>
                <w:color w:val="FFFFFF"/>
                <w:sz w:val="21"/>
              </w:rPr>
            </w:pPr>
            <w:r>
              <w:rPr>
                <w:rFonts w:ascii="Times New Roman" w:hAnsi="Times New Roman"/>
                <w:b/>
                <w:color w:val="FFFFFF"/>
                <w:sz w:val="21"/>
              </w:rPr>
              <w:t>2Q26</w:t>
            </w:r>
          </w:p>
        </w:tc>
      </w:tr>
      <w:tr>
        <w:trPr/>
        <w:tc>
          <w:tcPr>
            <w:tcW w:w="3541" w:type="dxa"/>
            <w:tcBorders>
              <w:left w:val="single" w:sz="4" w:space="0" w:color="000000"/>
            </w:tcBorders>
            <w:shd w:fill="F2F2F2" w:val="clear"/>
            <w:tcMar>
              <w:top w:w="0" w:type="dxa"/>
              <w:left w:w="60" w:type="dxa"/>
              <w:bottom w:w="0" w:type="dxa"/>
              <w:right w:w="0" w:type="dxa"/>
            </w:tcMar>
            <w:vAlign w:val="center"/>
          </w:tcPr>
          <w:p>
            <w:pPr>
              <w:pStyle w:val="TableContents"/>
              <w:bidi w:val="0"/>
              <w:spacing w:before="0" w:after="283"/>
              <w:jc w:val="left"/>
              <w:rPr>
                <w:rFonts w:ascii="Times New Roman" w:hAnsi="Times New Roman"/>
                <w:b/>
                <w:color w:val="000000"/>
                <w:sz w:val="21"/>
              </w:rPr>
            </w:pPr>
            <w:r>
              <w:rPr>
                <w:rFonts w:ascii="Times New Roman" w:hAnsi="Times New Roman"/>
                <w:b/>
                <w:color w:val="000000"/>
                <w:sz w:val="21"/>
              </w:rPr>
              <w:t>GAAP Operating Revenues, Net</w:t>
            </w:r>
          </w:p>
        </w:tc>
        <w:tc>
          <w:tcPr>
            <w:tcW w:w="766" w:type="dxa"/>
            <w:tcBorders/>
            <w:shd w:fill="F2F2F2"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1"/>
              </w:rPr>
            </w:pPr>
            <w:r>
              <w:rPr>
                <w:rFonts w:ascii="Times New Roman" w:hAnsi="Times New Roman"/>
                <w:b/>
                <w:color w:val="000000"/>
                <w:sz w:val="21"/>
              </w:rPr>
              <w:t>$131.7</w:t>
            </w:r>
          </w:p>
        </w:tc>
        <w:tc>
          <w:tcPr>
            <w:tcW w:w="871" w:type="dxa"/>
            <w:tcBorders/>
            <w:shd w:fill="F2F2F2"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1"/>
              </w:rPr>
            </w:pPr>
            <w:r>
              <w:rPr>
                <w:rFonts w:ascii="Times New Roman" w:hAnsi="Times New Roman"/>
                <w:b/>
                <w:color w:val="000000"/>
                <w:sz w:val="21"/>
              </w:rPr>
              <w:t>$150.8</w:t>
            </w:r>
          </w:p>
        </w:tc>
        <w:tc>
          <w:tcPr>
            <w:tcW w:w="766" w:type="dxa"/>
            <w:tcBorders/>
            <w:shd w:fill="F2F2F2"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1"/>
              </w:rPr>
            </w:pPr>
            <w:r>
              <w:rPr>
                <w:rFonts w:ascii="Times New Roman" w:hAnsi="Times New Roman"/>
                <w:b/>
                <w:color w:val="000000"/>
                <w:sz w:val="21"/>
              </w:rPr>
              <w:t>$163.7</w:t>
            </w:r>
          </w:p>
        </w:tc>
        <w:tc>
          <w:tcPr>
            <w:tcW w:w="916" w:type="dxa"/>
            <w:tcBorders/>
            <w:shd w:fill="F2F2F2"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1"/>
              </w:rPr>
            </w:pPr>
            <w:r>
              <w:rPr>
                <w:rFonts w:ascii="Times New Roman" w:hAnsi="Times New Roman"/>
                <w:b/>
                <w:color w:val="000000"/>
                <w:sz w:val="21"/>
              </w:rPr>
              <w:t>$158.4</w:t>
            </w:r>
          </w:p>
        </w:tc>
        <w:tc>
          <w:tcPr>
            <w:tcW w:w="811" w:type="dxa"/>
            <w:tcBorders>
              <w:right w:val="single" w:sz="4" w:space="0" w:color="000000"/>
            </w:tcBorders>
            <w:shd w:fill="F2F2F2" w:val="clear"/>
            <w:tcMar>
              <w:top w:w="0" w:type="dxa"/>
              <w:left w:w="0" w:type="dxa"/>
              <w:bottom w:w="0" w:type="dxa"/>
              <w:right w:w="60" w:type="dxa"/>
            </w:tcMar>
            <w:vAlign w:val="center"/>
          </w:tcPr>
          <w:p>
            <w:pPr>
              <w:pStyle w:val="TableContents"/>
              <w:bidi w:val="0"/>
              <w:spacing w:before="0" w:after="283"/>
              <w:jc w:val="center"/>
              <w:rPr>
                <w:rFonts w:ascii="Times New Roman" w:hAnsi="Times New Roman"/>
                <w:b/>
                <w:color w:val="000000"/>
                <w:sz w:val="21"/>
              </w:rPr>
            </w:pPr>
            <w:r>
              <w:rPr>
                <w:rFonts w:ascii="Times New Roman" w:hAnsi="Times New Roman"/>
                <w:b/>
                <w:color w:val="000000"/>
                <w:sz w:val="21"/>
              </w:rPr>
              <w:t>$170.8</w:t>
            </w:r>
          </w:p>
        </w:tc>
      </w:tr>
      <w:tr>
        <w:trPr/>
        <w:tc>
          <w:tcPr>
            <w:tcW w:w="3541" w:type="dxa"/>
            <w:tcBorders>
              <w:left w:val="single" w:sz="4" w:space="0" w:color="000000"/>
              <w:bottom w:val="dotted" w:sz="4" w:space="0" w:color="000000"/>
            </w:tcBorders>
            <w:shd w:fill="FFFFFF" w:val="clear"/>
            <w:tcMar>
              <w:top w:w="0" w:type="dxa"/>
              <w:left w:w="60" w:type="dxa"/>
              <w:bottom w:w="40" w:type="dxa"/>
              <w:right w:w="0" w:type="dxa"/>
            </w:tcMar>
            <w:vAlign w:val="center"/>
          </w:tcPr>
          <w:p>
            <w:pPr>
              <w:pStyle w:val="TableContents"/>
              <w:bidi w:val="0"/>
              <w:spacing w:before="0" w:after="283"/>
              <w:jc w:val="left"/>
              <w:rPr>
                <w:rFonts w:ascii="Times New Roman" w:hAnsi="Times New Roman"/>
                <w:i/>
                <w:color w:val="000000"/>
                <w:sz w:val="21"/>
              </w:rPr>
            </w:pPr>
            <w:r>
              <w:rPr>
                <w:rFonts w:ascii="Times New Roman" w:hAnsi="Times New Roman"/>
                <w:i/>
                <w:color w:val="000000"/>
                <w:sz w:val="21"/>
              </w:rPr>
              <w:t>% Change vs. prior year period</w:t>
            </w:r>
          </w:p>
        </w:tc>
        <w:tc>
          <w:tcPr>
            <w:tcW w:w="766" w:type="dxa"/>
            <w:tcBorders>
              <w:bottom w:val="dotted" w:sz="4" w:space="0" w:color="000000"/>
            </w:tcBorders>
            <w:shd w:fill="FFFFFF" w:val="clear"/>
            <w:tcMar>
              <w:top w:w="0" w:type="dxa"/>
              <w:left w:w="0" w:type="dxa"/>
              <w:bottom w:w="40" w:type="dxa"/>
              <w:right w:w="0" w:type="dxa"/>
            </w:tcMar>
            <w:vAlign w:val="center"/>
          </w:tcPr>
          <w:p>
            <w:pPr>
              <w:pStyle w:val="TableContents"/>
              <w:bidi w:val="0"/>
              <w:spacing w:before="0" w:after="283"/>
              <w:jc w:val="center"/>
              <w:rPr>
                <w:rFonts w:ascii="Times New Roman" w:hAnsi="Times New Roman"/>
                <w:i/>
                <w:color w:val="000000"/>
                <w:sz w:val="21"/>
              </w:rPr>
            </w:pPr>
            <w:r>
              <w:rPr>
                <w:rFonts w:ascii="Times New Roman" w:hAnsi="Times New Roman"/>
                <w:i/>
                <w:color w:val="000000"/>
                <w:sz w:val="21"/>
              </w:rPr>
              <w:t>64%</w:t>
            </w:r>
          </w:p>
        </w:tc>
        <w:tc>
          <w:tcPr>
            <w:tcW w:w="871" w:type="dxa"/>
            <w:tcBorders>
              <w:bottom w:val="dotted" w:sz="4" w:space="0" w:color="000000"/>
            </w:tcBorders>
            <w:shd w:fill="FFFFFF" w:val="clear"/>
            <w:tcMar>
              <w:top w:w="0" w:type="dxa"/>
              <w:left w:w="0" w:type="dxa"/>
              <w:bottom w:w="40" w:type="dxa"/>
              <w:right w:w="0" w:type="dxa"/>
            </w:tcMar>
            <w:vAlign w:val="center"/>
          </w:tcPr>
          <w:p>
            <w:pPr>
              <w:pStyle w:val="TableContents"/>
              <w:bidi w:val="0"/>
              <w:spacing w:before="0" w:after="283"/>
              <w:jc w:val="center"/>
              <w:rPr>
                <w:rFonts w:ascii="Times New Roman" w:hAnsi="Times New Roman"/>
                <w:i/>
                <w:color w:val="000000"/>
                <w:sz w:val="21"/>
              </w:rPr>
            </w:pPr>
            <w:r>
              <w:rPr>
                <w:rFonts w:ascii="Times New Roman" w:hAnsi="Times New Roman"/>
                <w:i/>
                <w:color w:val="000000"/>
                <w:sz w:val="21"/>
              </w:rPr>
              <w:t>63%</w:t>
            </w:r>
          </w:p>
        </w:tc>
        <w:tc>
          <w:tcPr>
            <w:tcW w:w="766" w:type="dxa"/>
            <w:tcBorders>
              <w:bottom w:val="dotted" w:sz="4" w:space="0" w:color="000000"/>
            </w:tcBorders>
            <w:shd w:fill="FFFFFF" w:val="clear"/>
            <w:tcMar>
              <w:top w:w="0" w:type="dxa"/>
              <w:left w:w="0" w:type="dxa"/>
              <w:bottom w:w="40" w:type="dxa"/>
              <w:right w:w="0" w:type="dxa"/>
            </w:tcMar>
            <w:vAlign w:val="center"/>
          </w:tcPr>
          <w:p>
            <w:pPr>
              <w:pStyle w:val="TableContents"/>
              <w:bidi w:val="0"/>
              <w:spacing w:before="0" w:after="283"/>
              <w:jc w:val="center"/>
              <w:rPr>
                <w:rFonts w:ascii="Times New Roman" w:hAnsi="Times New Roman"/>
                <w:i/>
                <w:color w:val="000000"/>
                <w:sz w:val="21"/>
              </w:rPr>
            </w:pPr>
            <w:r>
              <w:rPr>
                <w:rFonts w:ascii="Times New Roman" w:hAnsi="Times New Roman"/>
                <w:i/>
                <w:color w:val="000000"/>
                <w:sz w:val="21"/>
              </w:rPr>
              <w:t>62%</w:t>
            </w:r>
          </w:p>
        </w:tc>
        <w:tc>
          <w:tcPr>
            <w:tcW w:w="916" w:type="dxa"/>
            <w:tcBorders>
              <w:bottom w:val="dotted" w:sz="4" w:space="0" w:color="000000"/>
            </w:tcBorders>
            <w:shd w:fill="FFFFFF" w:val="clear"/>
            <w:tcMar>
              <w:top w:w="0" w:type="dxa"/>
              <w:left w:w="0" w:type="dxa"/>
              <w:bottom w:w="40" w:type="dxa"/>
              <w:right w:w="0" w:type="dxa"/>
            </w:tcMar>
            <w:vAlign w:val="center"/>
          </w:tcPr>
          <w:p>
            <w:pPr>
              <w:pStyle w:val="TableContents"/>
              <w:bidi w:val="0"/>
              <w:spacing w:before="0" w:after="283"/>
              <w:jc w:val="center"/>
              <w:rPr>
                <w:rFonts w:ascii="Times New Roman" w:hAnsi="Times New Roman"/>
                <w:i/>
                <w:color w:val="000000"/>
                <w:sz w:val="21"/>
              </w:rPr>
            </w:pPr>
            <w:r>
              <w:rPr>
                <w:rFonts w:ascii="Times New Roman" w:hAnsi="Times New Roman"/>
                <w:i/>
                <w:color w:val="000000"/>
                <w:sz w:val="21"/>
              </w:rPr>
              <w:t>47%</w:t>
            </w:r>
          </w:p>
        </w:tc>
        <w:tc>
          <w:tcPr>
            <w:tcW w:w="811" w:type="dxa"/>
            <w:tcBorders>
              <w:bottom w:val="dotted" w:sz="4" w:space="0" w:color="000000"/>
              <w:right w:val="single" w:sz="4" w:space="0" w:color="000000"/>
            </w:tcBorders>
            <w:shd w:fill="FFFFFF" w:val="clear"/>
            <w:tcMar>
              <w:top w:w="0" w:type="dxa"/>
              <w:left w:w="0" w:type="dxa"/>
              <w:bottom w:w="40" w:type="dxa"/>
              <w:right w:w="60" w:type="dxa"/>
            </w:tcMar>
            <w:vAlign w:val="center"/>
          </w:tcPr>
          <w:p>
            <w:pPr>
              <w:pStyle w:val="TableContents"/>
              <w:bidi w:val="0"/>
              <w:spacing w:before="0" w:after="283"/>
              <w:jc w:val="center"/>
              <w:rPr>
                <w:rFonts w:ascii="Times New Roman" w:hAnsi="Times New Roman"/>
                <w:i/>
                <w:color w:val="000000"/>
                <w:sz w:val="21"/>
              </w:rPr>
            </w:pPr>
            <w:r>
              <w:rPr>
                <w:rFonts w:ascii="Times New Roman" w:hAnsi="Times New Roman"/>
                <w:i/>
                <w:color w:val="000000"/>
                <w:sz w:val="21"/>
              </w:rPr>
              <w:t>30%</w:t>
            </w:r>
          </w:p>
        </w:tc>
      </w:tr>
      <w:tr>
        <w:trPr/>
        <w:tc>
          <w:tcPr>
            <w:tcW w:w="3541" w:type="dxa"/>
            <w:tcBorders>
              <w:left w:val="single" w:sz="4" w:space="0" w:color="000000"/>
            </w:tcBorders>
            <w:shd w:fill="F2F2F2" w:val="clear"/>
            <w:tcMar>
              <w:top w:w="0" w:type="dxa"/>
              <w:left w:w="60" w:type="dxa"/>
              <w:bottom w:w="0" w:type="dxa"/>
              <w:right w:w="0" w:type="dxa"/>
            </w:tcMar>
            <w:vAlign w:val="center"/>
          </w:tcPr>
          <w:p>
            <w:pPr>
              <w:pStyle w:val="TableContents"/>
              <w:bidi w:val="0"/>
              <w:spacing w:before="0" w:after="283"/>
              <w:jc w:val="left"/>
              <w:rPr>
                <w:rFonts w:ascii="Times New Roman" w:hAnsi="Times New Roman"/>
                <w:sz w:val="21"/>
              </w:rPr>
            </w:pPr>
            <w:r>
              <w:rPr>
                <w:rFonts w:ascii="Times New Roman" w:hAnsi="Times New Roman"/>
                <w:b/>
                <w:color w:val="000000"/>
                <w:sz w:val="21"/>
              </w:rPr>
              <w:t>Non-GAAP Gross Profit</w:t>
            </w:r>
            <w:r>
              <w:rPr>
                <w:rFonts w:ascii="Times New Roman" w:hAnsi="Times New Roman"/>
                <w:b/>
                <w:color w:val="000000"/>
                <w:sz w:val="14"/>
              </w:rPr>
              <w:t>*</w:t>
            </w:r>
          </w:p>
        </w:tc>
        <w:tc>
          <w:tcPr>
            <w:tcW w:w="766" w:type="dxa"/>
            <w:tcBorders/>
            <w:shd w:fill="F2F2F2"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1"/>
              </w:rPr>
            </w:pPr>
            <w:r>
              <w:rPr>
                <w:rFonts w:ascii="Times New Roman" w:hAnsi="Times New Roman"/>
                <w:b/>
                <w:color w:val="000000"/>
                <w:sz w:val="21"/>
              </w:rPr>
              <w:t>$92.0</w:t>
            </w:r>
          </w:p>
        </w:tc>
        <w:tc>
          <w:tcPr>
            <w:tcW w:w="871" w:type="dxa"/>
            <w:tcBorders/>
            <w:shd w:fill="F2F2F2"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1"/>
              </w:rPr>
            </w:pPr>
            <w:r>
              <w:rPr>
                <w:rFonts w:ascii="Times New Roman" w:hAnsi="Times New Roman"/>
                <w:b/>
                <w:color w:val="000000"/>
                <w:sz w:val="21"/>
              </w:rPr>
              <w:t>$104.2</w:t>
            </w:r>
          </w:p>
        </w:tc>
        <w:tc>
          <w:tcPr>
            <w:tcW w:w="766" w:type="dxa"/>
            <w:tcBorders/>
            <w:shd w:fill="F2F2F2"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1"/>
              </w:rPr>
            </w:pPr>
            <w:r>
              <w:rPr>
                <w:rFonts w:ascii="Times New Roman" w:hAnsi="Times New Roman"/>
                <w:b/>
                <w:color w:val="000000"/>
                <w:sz w:val="21"/>
              </w:rPr>
              <w:t>$121.9</w:t>
            </w:r>
          </w:p>
        </w:tc>
        <w:tc>
          <w:tcPr>
            <w:tcW w:w="916" w:type="dxa"/>
            <w:tcBorders/>
            <w:shd w:fill="F2F2F2"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1"/>
              </w:rPr>
            </w:pPr>
            <w:r>
              <w:rPr>
                <w:rFonts w:ascii="Times New Roman" w:hAnsi="Times New Roman"/>
                <w:b/>
                <w:color w:val="000000"/>
                <w:sz w:val="21"/>
              </w:rPr>
              <w:t>$114.4</w:t>
            </w:r>
          </w:p>
        </w:tc>
        <w:tc>
          <w:tcPr>
            <w:tcW w:w="811" w:type="dxa"/>
            <w:tcBorders>
              <w:right w:val="single" w:sz="4" w:space="0" w:color="000000"/>
            </w:tcBorders>
            <w:shd w:fill="F2F2F2" w:val="clear"/>
            <w:tcMar>
              <w:top w:w="0" w:type="dxa"/>
              <w:left w:w="0" w:type="dxa"/>
              <w:bottom w:w="0" w:type="dxa"/>
              <w:right w:w="60" w:type="dxa"/>
            </w:tcMar>
            <w:vAlign w:val="center"/>
          </w:tcPr>
          <w:p>
            <w:pPr>
              <w:pStyle w:val="TableContents"/>
              <w:bidi w:val="0"/>
              <w:spacing w:before="0" w:after="283"/>
              <w:jc w:val="center"/>
              <w:rPr>
                <w:rFonts w:ascii="Times New Roman" w:hAnsi="Times New Roman"/>
                <w:b/>
                <w:color w:val="000000"/>
                <w:sz w:val="21"/>
              </w:rPr>
            </w:pPr>
            <w:r>
              <w:rPr>
                <w:rFonts w:ascii="Times New Roman" w:hAnsi="Times New Roman"/>
                <w:b/>
                <w:color w:val="000000"/>
                <w:sz w:val="21"/>
              </w:rPr>
              <w:t>$123.8</w:t>
            </w:r>
          </w:p>
        </w:tc>
      </w:tr>
      <w:tr>
        <w:trPr/>
        <w:tc>
          <w:tcPr>
            <w:tcW w:w="3541" w:type="dxa"/>
            <w:tcBorders>
              <w:left w:val="single" w:sz="4" w:space="0" w:color="000000"/>
              <w:bottom w:val="dotted" w:sz="4" w:space="0" w:color="000000"/>
            </w:tcBorders>
            <w:shd w:fill="FFFFFF" w:val="clear"/>
            <w:tcMar>
              <w:top w:w="0" w:type="dxa"/>
              <w:left w:w="60" w:type="dxa"/>
              <w:bottom w:w="40" w:type="dxa"/>
              <w:right w:w="0" w:type="dxa"/>
            </w:tcMar>
            <w:vAlign w:val="center"/>
          </w:tcPr>
          <w:p>
            <w:pPr>
              <w:pStyle w:val="TableContents"/>
              <w:bidi w:val="0"/>
              <w:spacing w:before="0" w:after="283"/>
              <w:jc w:val="left"/>
              <w:rPr>
                <w:rFonts w:ascii="Times New Roman" w:hAnsi="Times New Roman"/>
                <w:i/>
                <w:color w:val="000000"/>
                <w:sz w:val="21"/>
              </w:rPr>
            </w:pPr>
            <w:r>
              <w:rPr>
                <w:rFonts w:ascii="Times New Roman" w:hAnsi="Times New Roman"/>
                <w:i/>
                <w:color w:val="000000"/>
                <w:sz w:val="21"/>
              </w:rPr>
              <w:t>% Change vs. prior year period</w:t>
            </w:r>
          </w:p>
        </w:tc>
        <w:tc>
          <w:tcPr>
            <w:tcW w:w="766" w:type="dxa"/>
            <w:tcBorders>
              <w:bottom w:val="dotted" w:sz="4" w:space="0" w:color="000000"/>
            </w:tcBorders>
            <w:shd w:fill="FFFFFF" w:val="clear"/>
            <w:tcMar>
              <w:top w:w="0" w:type="dxa"/>
              <w:left w:w="0" w:type="dxa"/>
              <w:bottom w:w="40" w:type="dxa"/>
              <w:right w:w="0" w:type="dxa"/>
            </w:tcMar>
            <w:vAlign w:val="center"/>
          </w:tcPr>
          <w:p>
            <w:pPr>
              <w:pStyle w:val="TableContents"/>
              <w:bidi w:val="0"/>
              <w:spacing w:before="0" w:after="283"/>
              <w:jc w:val="center"/>
              <w:rPr>
                <w:rFonts w:ascii="Times New Roman" w:hAnsi="Times New Roman"/>
                <w:i/>
                <w:color w:val="000000"/>
                <w:sz w:val="21"/>
              </w:rPr>
            </w:pPr>
            <w:r>
              <w:rPr>
                <w:rFonts w:ascii="Times New Roman" w:hAnsi="Times New Roman"/>
                <w:i/>
                <w:color w:val="000000"/>
                <w:sz w:val="21"/>
              </w:rPr>
              <w:t>78%</w:t>
            </w:r>
          </w:p>
        </w:tc>
        <w:tc>
          <w:tcPr>
            <w:tcW w:w="871" w:type="dxa"/>
            <w:tcBorders>
              <w:bottom w:val="dotted" w:sz="4" w:space="0" w:color="000000"/>
            </w:tcBorders>
            <w:shd w:fill="FFFFFF" w:val="clear"/>
            <w:tcMar>
              <w:top w:w="0" w:type="dxa"/>
              <w:left w:w="0" w:type="dxa"/>
              <w:bottom w:w="40" w:type="dxa"/>
              <w:right w:w="0" w:type="dxa"/>
            </w:tcMar>
            <w:vAlign w:val="center"/>
          </w:tcPr>
          <w:p>
            <w:pPr>
              <w:pStyle w:val="TableContents"/>
              <w:bidi w:val="0"/>
              <w:spacing w:before="0" w:after="283"/>
              <w:jc w:val="center"/>
              <w:rPr>
                <w:rFonts w:ascii="Times New Roman" w:hAnsi="Times New Roman"/>
                <w:i/>
                <w:color w:val="000000"/>
                <w:sz w:val="21"/>
              </w:rPr>
            </w:pPr>
            <w:r>
              <w:rPr>
                <w:rFonts w:ascii="Times New Roman" w:hAnsi="Times New Roman"/>
                <w:i/>
                <w:color w:val="000000"/>
                <w:sz w:val="21"/>
              </w:rPr>
              <w:t>62%</w:t>
            </w:r>
          </w:p>
        </w:tc>
        <w:tc>
          <w:tcPr>
            <w:tcW w:w="766" w:type="dxa"/>
            <w:tcBorders>
              <w:bottom w:val="dotted" w:sz="4" w:space="0" w:color="000000"/>
            </w:tcBorders>
            <w:shd w:fill="FFFFFF" w:val="clear"/>
            <w:tcMar>
              <w:top w:w="0" w:type="dxa"/>
              <w:left w:w="0" w:type="dxa"/>
              <w:bottom w:w="40" w:type="dxa"/>
              <w:right w:w="0" w:type="dxa"/>
            </w:tcMar>
            <w:vAlign w:val="center"/>
          </w:tcPr>
          <w:p>
            <w:pPr>
              <w:pStyle w:val="TableContents"/>
              <w:bidi w:val="0"/>
              <w:spacing w:before="0" w:after="283"/>
              <w:jc w:val="center"/>
              <w:rPr>
                <w:rFonts w:ascii="Times New Roman" w:hAnsi="Times New Roman"/>
                <w:i/>
                <w:color w:val="000000"/>
                <w:sz w:val="21"/>
              </w:rPr>
            </w:pPr>
            <w:r>
              <w:rPr>
                <w:rFonts w:ascii="Times New Roman" w:hAnsi="Times New Roman"/>
                <w:i/>
                <w:color w:val="000000"/>
                <w:sz w:val="21"/>
              </w:rPr>
              <w:t>68%</w:t>
            </w:r>
          </w:p>
        </w:tc>
        <w:tc>
          <w:tcPr>
            <w:tcW w:w="916" w:type="dxa"/>
            <w:tcBorders>
              <w:bottom w:val="dotted" w:sz="4" w:space="0" w:color="000000"/>
            </w:tcBorders>
            <w:shd w:fill="FFFFFF" w:val="clear"/>
            <w:tcMar>
              <w:top w:w="0" w:type="dxa"/>
              <w:left w:w="0" w:type="dxa"/>
              <w:bottom w:w="40" w:type="dxa"/>
              <w:right w:w="0" w:type="dxa"/>
            </w:tcMar>
            <w:vAlign w:val="center"/>
          </w:tcPr>
          <w:p>
            <w:pPr>
              <w:pStyle w:val="TableContents"/>
              <w:bidi w:val="0"/>
              <w:spacing w:before="0" w:after="283"/>
              <w:jc w:val="center"/>
              <w:rPr>
                <w:rFonts w:ascii="Times New Roman" w:hAnsi="Times New Roman"/>
                <w:i/>
                <w:color w:val="000000"/>
                <w:sz w:val="21"/>
              </w:rPr>
            </w:pPr>
            <w:r>
              <w:rPr>
                <w:rFonts w:ascii="Times New Roman" w:hAnsi="Times New Roman"/>
                <w:i/>
                <w:color w:val="000000"/>
                <w:sz w:val="21"/>
              </w:rPr>
              <w:t>37%</w:t>
            </w:r>
          </w:p>
        </w:tc>
        <w:tc>
          <w:tcPr>
            <w:tcW w:w="811" w:type="dxa"/>
            <w:tcBorders>
              <w:bottom w:val="dotted" w:sz="4" w:space="0" w:color="000000"/>
              <w:right w:val="single" w:sz="4" w:space="0" w:color="000000"/>
            </w:tcBorders>
            <w:shd w:fill="FFFFFF" w:val="clear"/>
            <w:tcMar>
              <w:top w:w="0" w:type="dxa"/>
              <w:left w:w="0" w:type="dxa"/>
              <w:bottom w:w="40" w:type="dxa"/>
              <w:right w:w="60" w:type="dxa"/>
            </w:tcMar>
            <w:vAlign w:val="center"/>
          </w:tcPr>
          <w:p>
            <w:pPr>
              <w:pStyle w:val="TableContents"/>
              <w:bidi w:val="0"/>
              <w:spacing w:before="0" w:after="283"/>
              <w:jc w:val="center"/>
              <w:rPr>
                <w:rFonts w:ascii="Times New Roman" w:hAnsi="Times New Roman"/>
                <w:i/>
                <w:color w:val="000000"/>
                <w:sz w:val="21"/>
              </w:rPr>
            </w:pPr>
            <w:r>
              <w:rPr>
                <w:rFonts w:ascii="Times New Roman" w:hAnsi="Times New Roman"/>
                <w:i/>
                <w:color w:val="000000"/>
                <w:sz w:val="21"/>
              </w:rPr>
              <w:t>34%</w:t>
            </w:r>
          </w:p>
        </w:tc>
      </w:tr>
      <w:tr>
        <w:trPr/>
        <w:tc>
          <w:tcPr>
            <w:tcW w:w="3541" w:type="dxa"/>
            <w:tcBorders>
              <w:left w:val="single" w:sz="4" w:space="0" w:color="000000"/>
            </w:tcBorders>
            <w:shd w:fill="F2F2F2" w:val="clear"/>
            <w:tcMar>
              <w:top w:w="0" w:type="dxa"/>
              <w:left w:w="60" w:type="dxa"/>
              <w:bottom w:w="0" w:type="dxa"/>
              <w:right w:w="0" w:type="dxa"/>
            </w:tcMar>
            <w:vAlign w:val="center"/>
          </w:tcPr>
          <w:p>
            <w:pPr>
              <w:pStyle w:val="TableContents"/>
              <w:bidi w:val="0"/>
              <w:spacing w:before="0" w:after="283"/>
              <w:jc w:val="left"/>
              <w:rPr>
                <w:rFonts w:ascii="Times New Roman" w:hAnsi="Times New Roman"/>
                <w:sz w:val="21"/>
              </w:rPr>
            </w:pPr>
            <w:r>
              <w:rPr>
                <w:rFonts w:ascii="Times New Roman" w:hAnsi="Times New Roman"/>
                <w:b/>
                <w:color w:val="000000"/>
                <w:sz w:val="21"/>
              </w:rPr>
              <w:t>Non-GAAP Gross Profit Margin</w:t>
            </w:r>
            <w:r>
              <w:rPr>
                <w:rFonts w:ascii="Times New Roman" w:hAnsi="Times New Roman"/>
                <w:b/>
                <w:color w:val="000000"/>
                <w:sz w:val="14"/>
              </w:rPr>
              <w:t>*</w:t>
            </w:r>
          </w:p>
        </w:tc>
        <w:tc>
          <w:tcPr>
            <w:tcW w:w="766" w:type="dxa"/>
            <w:tcBorders/>
            <w:shd w:fill="F2F2F2"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1"/>
              </w:rPr>
            </w:pPr>
            <w:r>
              <w:rPr>
                <w:rFonts w:ascii="Times New Roman" w:hAnsi="Times New Roman"/>
                <w:b/>
                <w:color w:val="000000"/>
                <w:sz w:val="21"/>
              </w:rPr>
              <w:t>70%</w:t>
            </w:r>
          </w:p>
        </w:tc>
        <w:tc>
          <w:tcPr>
            <w:tcW w:w="871" w:type="dxa"/>
            <w:tcBorders/>
            <w:shd w:fill="F2F2F2"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1"/>
              </w:rPr>
            </w:pPr>
            <w:r>
              <w:rPr>
                <w:rFonts w:ascii="Times New Roman" w:hAnsi="Times New Roman"/>
                <w:b/>
                <w:color w:val="000000"/>
                <w:sz w:val="21"/>
              </w:rPr>
              <w:t>69%</w:t>
            </w:r>
          </w:p>
        </w:tc>
        <w:tc>
          <w:tcPr>
            <w:tcW w:w="766" w:type="dxa"/>
            <w:tcBorders/>
            <w:shd w:fill="F2F2F2"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1"/>
              </w:rPr>
            </w:pPr>
            <w:r>
              <w:rPr>
                <w:rFonts w:ascii="Times New Roman" w:hAnsi="Times New Roman"/>
                <w:b/>
                <w:color w:val="000000"/>
                <w:sz w:val="21"/>
              </w:rPr>
              <w:t>74%</w:t>
            </w:r>
          </w:p>
        </w:tc>
        <w:tc>
          <w:tcPr>
            <w:tcW w:w="916" w:type="dxa"/>
            <w:tcBorders/>
            <w:shd w:fill="F2F2F2"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1"/>
              </w:rPr>
            </w:pPr>
            <w:r>
              <w:rPr>
                <w:rFonts w:ascii="Times New Roman" w:hAnsi="Times New Roman"/>
                <w:b/>
                <w:color w:val="000000"/>
                <w:sz w:val="21"/>
              </w:rPr>
              <w:t>72%</w:t>
            </w:r>
          </w:p>
        </w:tc>
        <w:tc>
          <w:tcPr>
            <w:tcW w:w="811" w:type="dxa"/>
            <w:tcBorders>
              <w:right w:val="single" w:sz="4" w:space="0" w:color="000000"/>
            </w:tcBorders>
            <w:shd w:fill="F2F2F2" w:val="clear"/>
            <w:tcMar>
              <w:top w:w="0" w:type="dxa"/>
              <w:left w:w="0" w:type="dxa"/>
              <w:bottom w:w="0" w:type="dxa"/>
              <w:right w:w="60" w:type="dxa"/>
            </w:tcMar>
            <w:vAlign w:val="center"/>
          </w:tcPr>
          <w:p>
            <w:pPr>
              <w:pStyle w:val="TableContents"/>
              <w:bidi w:val="0"/>
              <w:spacing w:before="0" w:after="283"/>
              <w:jc w:val="center"/>
              <w:rPr>
                <w:rFonts w:ascii="Times New Roman" w:hAnsi="Times New Roman"/>
                <w:b/>
                <w:color w:val="000000"/>
                <w:sz w:val="21"/>
              </w:rPr>
            </w:pPr>
            <w:r>
              <w:rPr>
                <w:rFonts w:ascii="Times New Roman" w:hAnsi="Times New Roman"/>
                <w:b/>
                <w:color w:val="000000"/>
                <w:sz w:val="21"/>
              </w:rPr>
              <w:t>72%</w:t>
            </w:r>
          </w:p>
        </w:tc>
      </w:tr>
      <w:tr>
        <w:trPr/>
        <w:tc>
          <w:tcPr>
            <w:tcW w:w="3541" w:type="dxa"/>
            <w:tcBorders>
              <w:left w:val="single" w:sz="4" w:space="0" w:color="000000"/>
              <w:bottom w:val="dotted" w:sz="4" w:space="0" w:color="000000"/>
            </w:tcBorders>
            <w:shd w:fill="FFFFFF" w:val="clear"/>
            <w:tcMar>
              <w:top w:w="0" w:type="dxa"/>
              <w:left w:w="60" w:type="dxa"/>
              <w:bottom w:w="40" w:type="dxa"/>
              <w:right w:w="0" w:type="dxa"/>
            </w:tcMar>
            <w:vAlign w:val="center"/>
          </w:tcPr>
          <w:p>
            <w:pPr>
              <w:pStyle w:val="TableContents"/>
              <w:bidi w:val="0"/>
              <w:spacing w:before="0" w:after="283"/>
              <w:jc w:val="left"/>
              <w:rPr>
                <w:rFonts w:ascii="Times New Roman" w:hAnsi="Times New Roman"/>
                <w:i/>
                <w:color w:val="000000"/>
                <w:sz w:val="21"/>
              </w:rPr>
            </w:pPr>
            <w:r>
              <w:rPr>
                <w:rFonts w:ascii="Times New Roman" w:hAnsi="Times New Roman"/>
                <w:i/>
                <w:color w:val="000000"/>
                <w:sz w:val="21"/>
              </w:rPr>
              <w:t>Change vs. prior year period</w:t>
            </w:r>
          </w:p>
        </w:tc>
        <w:tc>
          <w:tcPr>
            <w:tcW w:w="766" w:type="dxa"/>
            <w:tcBorders>
              <w:bottom w:val="dotted" w:sz="4" w:space="0" w:color="000000"/>
            </w:tcBorders>
            <w:shd w:fill="FFFFFF" w:val="clear"/>
            <w:tcMar>
              <w:top w:w="0" w:type="dxa"/>
              <w:left w:w="0" w:type="dxa"/>
              <w:bottom w:w="40" w:type="dxa"/>
              <w:right w:w="0" w:type="dxa"/>
            </w:tcMar>
            <w:vAlign w:val="center"/>
          </w:tcPr>
          <w:p>
            <w:pPr>
              <w:pStyle w:val="TableContents"/>
              <w:bidi w:val="0"/>
              <w:spacing w:before="0" w:after="283"/>
              <w:jc w:val="center"/>
              <w:rPr>
                <w:rFonts w:ascii="Times New Roman" w:hAnsi="Times New Roman"/>
                <w:i/>
                <w:color w:val="000000"/>
                <w:sz w:val="21"/>
              </w:rPr>
            </w:pPr>
            <w:r>
              <w:rPr>
                <w:rFonts w:ascii="Times New Roman" w:hAnsi="Times New Roman"/>
                <w:i/>
                <w:color w:val="000000"/>
                <w:sz w:val="21"/>
              </w:rPr>
              <w:t>500 bps</w:t>
            </w:r>
          </w:p>
        </w:tc>
        <w:tc>
          <w:tcPr>
            <w:tcW w:w="871" w:type="dxa"/>
            <w:tcBorders>
              <w:bottom w:val="dotted" w:sz="4" w:space="0" w:color="000000"/>
            </w:tcBorders>
            <w:shd w:fill="FFFFFF" w:val="clear"/>
            <w:tcMar>
              <w:top w:w="0" w:type="dxa"/>
              <w:left w:w="0" w:type="dxa"/>
              <w:bottom w:w="40" w:type="dxa"/>
              <w:right w:w="0" w:type="dxa"/>
            </w:tcMar>
            <w:vAlign w:val="center"/>
          </w:tcPr>
          <w:p>
            <w:pPr>
              <w:pStyle w:val="TableContents"/>
              <w:bidi w:val="0"/>
              <w:spacing w:before="0" w:after="283"/>
              <w:jc w:val="center"/>
              <w:rPr>
                <w:rFonts w:ascii="Times New Roman" w:hAnsi="Times New Roman"/>
                <w:i/>
                <w:color w:val="000000"/>
                <w:sz w:val="21"/>
              </w:rPr>
            </w:pPr>
            <w:r>
              <w:rPr>
                <w:rFonts w:ascii="Times New Roman" w:hAnsi="Times New Roman"/>
                <w:i/>
                <w:color w:val="000000"/>
                <w:sz w:val="21"/>
              </w:rPr>
              <w:t>0 bps</w:t>
            </w:r>
          </w:p>
        </w:tc>
        <w:tc>
          <w:tcPr>
            <w:tcW w:w="766" w:type="dxa"/>
            <w:tcBorders>
              <w:bottom w:val="dotted" w:sz="4" w:space="0" w:color="000000"/>
            </w:tcBorders>
            <w:shd w:fill="FFFFFF" w:val="clear"/>
            <w:tcMar>
              <w:top w:w="0" w:type="dxa"/>
              <w:left w:w="0" w:type="dxa"/>
              <w:bottom w:w="40" w:type="dxa"/>
              <w:right w:w="0" w:type="dxa"/>
            </w:tcMar>
            <w:vAlign w:val="center"/>
          </w:tcPr>
          <w:p>
            <w:pPr>
              <w:pStyle w:val="TableContents"/>
              <w:bidi w:val="0"/>
              <w:spacing w:before="0" w:after="283"/>
              <w:jc w:val="center"/>
              <w:rPr>
                <w:rFonts w:ascii="Times New Roman" w:hAnsi="Times New Roman"/>
                <w:i/>
                <w:color w:val="000000"/>
                <w:sz w:val="21"/>
              </w:rPr>
            </w:pPr>
            <w:r>
              <w:rPr>
                <w:rFonts w:ascii="Times New Roman" w:hAnsi="Times New Roman"/>
                <w:i/>
                <w:color w:val="000000"/>
                <w:sz w:val="21"/>
              </w:rPr>
              <w:t>300 bps</w:t>
            </w:r>
          </w:p>
        </w:tc>
        <w:tc>
          <w:tcPr>
            <w:tcW w:w="916" w:type="dxa"/>
            <w:tcBorders>
              <w:bottom w:val="dotted" w:sz="4" w:space="0" w:color="000000"/>
            </w:tcBorders>
            <w:shd w:fill="FFFFFF" w:val="clear"/>
            <w:tcMar>
              <w:top w:w="0" w:type="dxa"/>
              <w:left w:w="0" w:type="dxa"/>
              <w:bottom w:w="40" w:type="dxa"/>
              <w:right w:w="0" w:type="dxa"/>
            </w:tcMar>
            <w:vAlign w:val="center"/>
          </w:tcPr>
          <w:p>
            <w:pPr>
              <w:pStyle w:val="TableContents"/>
              <w:bidi w:val="0"/>
              <w:spacing w:before="0" w:after="283"/>
              <w:jc w:val="center"/>
              <w:rPr>
                <w:rFonts w:ascii="Times New Roman" w:hAnsi="Times New Roman"/>
                <w:i/>
                <w:color w:val="000000"/>
                <w:sz w:val="21"/>
              </w:rPr>
            </w:pPr>
            <w:r>
              <w:rPr>
                <w:rFonts w:ascii="Times New Roman" w:hAnsi="Times New Roman"/>
                <w:i/>
                <w:color w:val="000000"/>
                <w:sz w:val="21"/>
              </w:rPr>
              <w:t>(500) bps</w:t>
            </w:r>
          </w:p>
        </w:tc>
        <w:tc>
          <w:tcPr>
            <w:tcW w:w="811" w:type="dxa"/>
            <w:tcBorders>
              <w:bottom w:val="dotted" w:sz="4" w:space="0" w:color="000000"/>
              <w:right w:val="single" w:sz="4" w:space="0" w:color="000000"/>
            </w:tcBorders>
            <w:shd w:fill="FFFFFF" w:val="clear"/>
            <w:tcMar>
              <w:top w:w="0" w:type="dxa"/>
              <w:left w:w="0" w:type="dxa"/>
              <w:bottom w:w="40" w:type="dxa"/>
              <w:right w:w="60" w:type="dxa"/>
            </w:tcMar>
            <w:vAlign w:val="center"/>
          </w:tcPr>
          <w:p>
            <w:pPr>
              <w:pStyle w:val="TableContents"/>
              <w:bidi w:val="0"/>
              <w:spacing w:before="0" w:after="283"/>
              <w:jc w:val="center"/>
              <w:rPr>
                <w:rFonts w:ascii="Times New Roman" w:hAnsi="Times New Roman"/>
                <w:i/>
                <w:color w:val="000000"/>
                <w:sz w:val="21"/>
              </w:rPr>
            </w:pPr>
            <w:r>
              <w:rPr>
                <w:rFonts w:ascii="Times New Roman" w:hAnsi="Times New Roman"/>
                <w:i/>
                <w:color w:val="000000"/>
                <w:sz w:val="21"/>
              </w:rPr>
              <w:t>300 bps</w:t>
            </w:r>
          </w:p>
        </w:tc>
      </w:tr>
      <w:tr>
        <w:trPr/>
        <w:tc>
          <w:tcPr>
            <w:tcW w:w="3541" w:type="dxa"/>
            <w:tcBorders>
              <w:left w:val="single" w:sz="4" w:space="0" w:color="000000"/>
            </w:tcBorders>
            <w:shd w:fill="F2F2F2" w:val="clear"/>
            <w:tcMar>
              <w:top w:w="0" w:type="dxa"/>
              <w:left w:w="60" w:type="dxa"/>
              <w:bottom w:w="0" w:type="dxa"/>
              <w:right w:w="0" w:type="dxa"/>
            </w:tcMar>
            <w:vAlign w:val="center"/>
          </w:tcPr>
          <w:p>
            <w:pPr>
              <w:pStyle w:val="TableContents"/>
              <w:bidi w:val="0"/>
              <w:spacing w:before="0" w:after="283"/>
              <w:jc w:val="left"/>
              <w:rPr>
                <w:rFonts w:ascii="Times New Roman" w:hAnsi="Times New Roman"/>
                <w:b/>
                <w:color w:val="000000"/>
                <w:sz w:val="21"/>
              </w:rPr>
            </w:pPr>
            <w:r>
              <w:rPr>
                <w:rFonts w:ascii="Times New Roman" w:hAnsi="Times New Roman"/>
                <w:b/>
                <w:color w:val="000000"/>
                <w:sz w:val="21"/>
              </w:rPr>
              <w:t>GAAP Net Income</w:t>
            </w:r>
          </w:p>
        </w:tc>
        <w:tc>
          <w:tcPr>
            <w:tcW w:w="766" w:type="dxa"/>
            <w:tcBorders/>
            <w:shd w:fill="F2F2F2"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1"/>
              </w:rPr>
            </w:pPr>
            <w:r>
              <w:rPr>
                <w:rFonts w:ascii="Times New Roman" w:hAnsi="Times New Roman"/>
                <w:b/>
                <w:color w:val="000000"/>
                <w:sz w:val="21"/>
              </w:rPr>
              <w:t>$9.1</w:t>
            </w:r>
          </w:p>
        </w:tc>
        <w:tc>
          <w:tcPr>
            <w:tcW w:w="871" w:type="dxa"/>
            <w:tcBorders/>
            <w:shd w:fill="F2F2F2"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1"/>
              </w:rPr>
            </w:pPr>
            <w:r>
              <w:rPr>
                <w:rFonts w:ascii="Times New Roman" w:hAnsi="Times New Roman"/>
                <w:b/>
                <w:color w:val="000000"/>
                <w:sz w:val="21"/>
              </w:rPr>
              <w:t>$92.0</w:t>
            </w:r>
          </w:p>
        </w:tc>
        <w:tc>
          <w:tcPr>
            <w:tcW w:w="766" w:type="dxa"/>
            <w:tcBorders/>
            <w:shd w:fill="F2F2F2"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1"/>
              </w:rPr>
            </w:pPr>
            <w:r>
              <w:rPr>
                <w:rFonts w:ascii="Times New Roman" w:hAnsi="Times New Roman"/>
                <w:b/>
                <w:color w:val="000000"/>
                <w:sz w:val="21"/>
              </w:rPr>
              <w:t>$66.0</w:t>
            </w:r>
          </w:p>
        </w:tc>
        <w:tc>
          <w:tcPr>
            <w:tcW w:w="916" w:type="dxa"/>
            <w:tcBorders/>
            <w:shd w:fill="F2F2F2"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1"/>
              </w:rPr>
            </w:pPr>
            <w:r>
              <w:rPr>
                <w:rFonts w:ascii="Times New Roman" w:hAnsi="Times New Roman"/>
                <w:b/>
                <w:color w:val="000000"/>
                <w:sz w:val="21"/>
              </w:rPr>
              <w:t>$57.9</w:t>
            </w:r>
          </w:p>
        </w:tc>
        <w:tc>
          <w:tcPr>
            <w:tcW w:w="811" w:type="dxa"/>
            <w:tcBorders>
              <w:right w:val="single" w:sz="4" w:space="0" w:color="000000"/>
            </w:tcBorders>
            <w:shd w:fill="F2F2F2" w:val="clear"/>
            <w:tcMar>
              <w:top w:w="0" w:type="dxa"/>
              <w:left w:w="0" w:type="dxa"/>
              <w:bottom w:w="0" w:type="dxa"/>
              <w:right w:w="60" w:type="dxa"/>
            </w:tcMar>
            <w:vAlign w:val="center"/>
          </w:tcPr>
          <w:p>
            <w:pPr>
              <w:pStyle w:val="TableContents"/>
              <w:bidi w:val="0"/>
              <w:spacing w:before="0" w:after="283"/>
              <w:jc w:val="center"/>
              <w:rPr>
                <w:rFonts w:ascii="Times New Roman" w:hAnsi="Times New Roman"/>
                <w:b/>
                <w:color w:val="000000"/>
                <w:sz w:val="21"/>
              </w:rPr>
            </w:pPr>
            <w:r>
              <w:rPr>
                <w:rFonts w:ascii="Times New Roman" w:hAnsi="Times New Roman"/>
                <w:b/>
                <w:color w:val="000000"/>
                <w:sz w:val="21"/>
              </w:rPr>
              <w:t>$6.7</w:t>
            </w:r>
          </w:p>
        </w:tc>
      </w:tr>
      <w:tr>
        <w:trPr/>
        <w:tc>
          <w:tcPr>
            <w:tcW w:w="3541" w:type="dxa"/>
            <w:tcBorders>
              <w:left w:val="single" w:sz="4" w:space="0" w:color="000000"/>
              <w:bottom w:val="dotted" w:sz="4" w:space="0" w:color="000000"/>
            </w:tcBorders>
            <w:shd w:fill="FFFFFF" w:val="clear"/>
            <w:tcMar>
              <w:top w:w="0" w:type="dxa"/>
              <w:left w:w="60" w:type="dxa"/>
              <w:bottom w:w="40" w:type="dxa"/>
              <w:right w:w="0" w:type="dxa"/>
            </w:tcMar>
            <w:vAlign w:val="center"/>
          </w:tcPr>
          <w:p>
            <w:pPr>
              <w:pStyle w:val="TableContents"/>
              <w:bidi w:val="0"/>
              <w:spacing w:before="0" w:after="283"/>
              <w:jc w:val="left"/>
              <w:rPr>
                <w:rFonts w:ascii="Times New Roman" w:hAnsi="Times New Roman"/>
                <w:i/>
                <w:color w:val="000000"/>
                <w:sz w:val="21"/>
              </w:rPr>
            </w:pPr>
            <w:r>
              <w:rPr>
                <w:rFonts w:ascii="Times New Roman" w:hAnsi="Times New Roman"/>
                <w:i/>
                <w:color w:val="000000"/>
                <w:sz w:val="21"/>
              </w:rPr>
              <w:t>% Change vs. prior year period</w:t>
            </w:r>
          </w:p>
        </w:tc>
        <w:tc>
          <w:tcPr>
            <w:tcW w:w="766" w:type="dxa"/>
            <w:tcBorders>
              <w:bottom w:val="dotted" w:sz="4" w:space="0" w:color="000000"/>
            </w:tcBorders>
            <w:shd w:fill="FFFFFF" w:val="clear"/>
            <w:tcMar>
              <w:top w:w="0" w:type="dxa"/>
              <w:left w:w="0" w:type="dxa"/>
              <w:bottom w:w="40" w:type="dxa"/>
              <w:right w:w="0" w:type="dxa"/>
            </w:tcMar>
            <w:vAlign w:val="center"/>
          </w:tcPr>
          <w:p>
            <w:pPr>
              <w:pStyle w:val="TableContents"/>
              <w:bidi w:val="0"/>
              <w:spacing w:before="0" w:after="283"/>
              <w:jc w:val="center"/>
              <w:rPr>
                <w:rFonts w:ascii="Times New Roman" w:hAnsi="Times New Roman"/>
                <w:i/>
                <w:color w:val="000000"/>
                <w:sz w:val="21"/>
              </w:rPr>
            </w:pPr>
            <w:r>
              <w:rPr>
                <w:rFonts w:ascii="Times New Roman" w:hAnsi="Times New Roman"/>
                <w:i/>
                <w:color w:val="000000"/>
                <w:sz w:val="21"/>
              </w:rPr>
              <w:t>42%</w:t>
            </w:r>
          </w:p>
        </w:tc>
        <w:tc>
          <w:tcPr>
            <w:tcW w:w="871" w:type="dxa"/>
            <w:tcBorders>
              <w:bottom w:val="dotted" w:sz="4" w:space="0" w:color="000000"/>
            </w:tcBorders>
            <w:shd w:fill="FFFFFF" w:val="clear"/>
            <w:tcMar>
              <w:top w:w="0" w:type="dxa"/>
              <w:left w:w="0" w:type="dxa"/>
              <w:bottom w:w="40" w:type="dxa"/>
              <w:right w:w="0" w:type="dxa"/>
            </w:tcMar>
            <w:vAlign w:val="center"/>
          </w:tcPr>
          <w:p>
            <w:pPr>
              <w:pStyle w:val="TableContents"/>
              <w:bidi w:val="0"/>
              <w:spacing w:before="0" w:after="283"/>
              <w:jc w:val="center"/>
              <w:rPr>
                <w:rFonts w:ascii="Times New Roman" w:hAnsi="Times New Roman"/>
                <w:i/>
                <w:color w:val="000000"/>
                <w:sz w:val="21"/>
              </w:rPr>
            </w:pPr>
            <w:r>
              <w:rPr>
                <w:rFonts w:ascii="Times New Roman" w:hAnsi="Times New Roman"/>
                <w:i/>
                <w:color w:val="000000"/>
                <w:sz w:val="21"/>
              </w:rPr>
              <w:t>19,658%</w:t>
            </w:r>
          </w:p>
        </w:tc>
        <w:tc>
          <w:tcPr>
            <w:tcW w:w="766" w:type="dxa"/>
            <w:tcBorders>
              <w:bottom w:val="dotted" w:sz="4" w:space="0" w:color="000000"/>
            </w:tcBorders>
            <w:shd w:fill="FFFFFF" w:val="clear"/>
            <w:tcMar>
              <w:top w:w="0" w:type="dxa"/>
              <w:left w:w="0" w:type="dxa"/>
              <w:bottom w:w="40" w:type="dxa"/>
              <w:right w:w="0" w:type="dxa"/>
            </w:tcMar>
            <w:vAlign w:val="center"/>
          </w:tcPr>
          <w:p>
            <w:pPr>
              <w:pStyle w:val="TableContents"/>
              <w:bidi w:val="0"/>
              <w:spacing w:before="0" w:after="283"/>
              <w:jc w:val="center"/>
              <w:rPr>
                <w:rFonts w:ascii="Times New Roman" w:hAnsi="Times New Roman"/>
                <w:i/>
                <w:color w:val="000000"/>
                <w:sz w:val="21"/>
              </w:rPr>
            </w:pPr>
            <w:r>
              <w:rPr>
                <w:rFonts w:ascii="Times New Roman" w:hAnsi="Times New Roman"/>
                <w:i/>
                <w:color w:val="000000"/>
                <w:sz w:val="21"/>
              </w:rPr>
              <w:t>292%</w:t>
            </w:r>
          </w:p>
        </w:tc>
        <w:tc>
          <w:tcPr>
            <w:tcW w:w="916" w:type="dxa"/>
            <w:tcBorders>
              <w:bottom w:val="dotted" w:sz="4" w:space="0" w:color="000000"/>
            </w:tcBorders>
            <w:shd w:fill="FFFFFF" w:val="clear"/>
            <w:tcMar>
              <w:top w:w="0" w:type="dxa"/>
              <w:left w:w="0" w:type="dxa"/>
              <w:bottom w:w="40" w:type="dxa"/>
              <w:right w:w="0" w:type="dxa"/>
            </w:tcMar>
            <w:vAlign w:val="center"/>
          </w:tcPr>
          <w:p>
            <w:pPr>
              <w:pStyle w:val="TableContents"/>
              <w:bidi w:val="0"/>
              <w:spacing w:before="0" w:after="283"/>
              <w:jc w:val="center"/>
              <w:rPr>
                <w:rFonts w:ascii="Times New Roman" w:hAnsi="Times New Roman"/>
                <w:i/>
                <w:color w:val="000000"/>
                <w:sz w:val="21"/>
              </w:rPr>
            </w:pPr>
            <w:r>
              <w:rPr>
                <w:rFonts w:ascii="Times New Roman" w:hAnsi="Times New Roman"/>
                <w:i/>
                <w:color w:val="000000"/>
                <w:sz w:val="21"/>
              </w:rPr>
              <w:t>101%</w:t>
            </w:r>
          </w:p>
        </w:tc>
        <w:tc>
          <w:tcPr>
            <w:tcW w:w="811" w:type="dxa"/>
            <w:tcBorders>
              <w:bottom w:val="dotted" w:sz="4" w:space="0" w:color="000000"/>
              <w:right w:val="single" w:sz="4" w:space="0" w:color="000000"/>
            </w:tcBorders>
            <w:shd w:fill="FFFFFF" w:val="clear"/>
            <w:tcMar>
              <w:top w:w="0" w:type="dxa"/>
              <w:left w:w="0" w:type="dxa"/>
              <w:bottom w:w="40" w:type="dxa"/>
              <w:right w:w="60" w:type="dxa"/>
            </w:tcMar>
            <w:vAlign w:val="center"/>
          </w:tcPr>
          <w:p>
            <w:pPr>
              <w:pStyle w:val="TableContents"/>
              <w:bidi w:val="0"/>
              <w:spacing w:before="0" w:after="283"/>
              <w:jc w:val="center"/>
              <w:rPr>
                <w:rFonts w:ascii="Times New Roman" w:hAnsi="Times New Roman"/>
                <w:i/>
                <w:color w:val="000000"/>
                <w:sz w:val="21"/>
              </w:rPr>
            </w:pPr>
            <w:r>
              <w:rPr>
                <w:rFonts w:ascii="Times New Roman" w:hAnsi="Times New Roman"/>
                <w:i/>
                <w:color w:val="000000"/>
                <w:sz w:val="21"/>
              </w:rPr>
              <w:t>-26%</w:t>
            </w:r>
          </w:p>
        </w:tc>
      </w:tr>
      <w:tr>
        <w:trPr/>
        <w:tc>
          <w:tcPr>
            <w:tcW w:w="3541" w:type="dxa"/>
            <w:tcBorders>
              <w:left w:val="single" w:sz="4" w:space="0" w:color="000000"/>
            </w:tcBorders>
            <w:shd w:fill="F2F2F2" w:val="clear"/>
            <w:tcMar>
              <w:top w:w="0" w:type="dxa"/>
              <w:left w:w="60" w:type="dxa"/>
              <w:bottom w:w="0" w:type="dxa"/>
              <w:right w:w="0" w:type="dxa"/>
            </w:tcMar>
            <w:vAlign w:val="center"/>
          </w:tcPr>
          <w:p>
            <w:pPr>
              <w:pStyle w:val="TableContents"/>
              <w:bidi w:val="0"/>
              <w:spacing w:before="0" w:after="283"/>
              <w:jc w:val="left"/>
              <w:rPr>
                <w:rFonts w:ascii="Times New Roman" w:hAnsi="Times New Roman"/>
                <w:sz w:val="21"/>
              </w:rPr>
            </w:pPr>
            <w:r>
              <w:rPr>
                <w:rFonts w:ascii="Times New Roman" w:hAnsi="Times New Roman"/>
                <w:b/>
                <w:color w:val="000000"/>
                <w:sz w:val="21"/>
              </w:rPr>
              <w:t>Adjusted Net Income</w:t>
            </w:r>
            <w:r>
              <w:rPr>
                <w:rFonts w:ascii="Times New Roman" w:hAnsi="Times New Roman"/>
                <w:b/>
                <w:color w:val="000000"/>
                <w:sz w:val="14"/>
              </w:rPr>
              <w:t>*(1)</w:t>
            </w:r>
          </w:p>
        </w:tc>
        <w:tc>
          <w:tcPr>
            <w:tcW w:w="766" w:type="dxa"/>
            <w:tcBorders/>
            <w:shd w:fill="F2F2F2"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1"/>
              </w:rPr>
            </w:pPr>
            <w:r>
              <w:rPr>
                <w:rFonts w:ascii="Times New Roman" w:hAnsi="Times New Roman"/>
                <w:b/>
                <w:color w:val="000000"/>
                <w:sz w:val="21"/>
              </w:rPr>
              <w:t>$40.5</w:t>
            </w:r>
          </w:p>
        </w:tc>
        <w:tc>
          <w:tcPr>
            <w:tcW w:w="871" w:type="dxa"/>
            <w:tcBorders/>
            <w:shd w:fill="F2F2F2"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1"/>
              </w:rPr>
            </w:pPr>
            <w:r>
              <w:rPr>
                <w:rFonts w:ascii="Times New Roman" w:hAnsi="Times New Roman"/>
                <w:b/>
                <w:color w:val="000000"/>
                <w:sz w:val="21"/>
              </w:rPr>
              <w:t>$64.6</w:t>
            </w:r>
          </w:p>
        </w:tc>
        <w:tc>
          <w:tcPr>
            <w:tcW w:w="766" w:type="dxa"/>
            <w:tcBorders/>
            <w:shd w:fill="F2F2F2"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1"/>
              </w:rPr>
            </w:pPr>
            <w:r>
              <w:rPr>
                <w:rFonts w:ascii="Times New Roman" w:hAnsi="Times New Roman"/>
                <w:b/>
                <w:color w:val="000000"/>
                <w:sz w:val="21"/>
              </w:rPr>
              <w:t>$53.3</w:t>
            </w:r>
          </w:p>
        </w:tc>
        <w:tc>
          <w:tcPr>
            <w:tcW w:w="916" w:type="dxa"/>
            <w:tcBorders/>
            <w:shd w:fill="F2F2F2"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1"/>
              </w:rPr>
            </w:pPr>
            <w:r>
              <w:rPr>
                <w:rFonts w:ascii="Times New Roman" w:hAnsi="Times New Roman"/>
                <w:b/>
                <w:color w:val="000000"/>
                <w:sz w:val="21"/>
              </w:rPr>
              <w:t>$52.3</w:t>
            </w:r>
          </w:p>
        </w:tc>
        <w:tc>
          <w:tcPr>
            <w:tcW w:w="811" w:type="dxa"/>
            <w:tcBorders>
              <w:right w:val="single" w:sz="4" w:space="0" w:color="000000"/>
            </w:tcBorders>
            <w:shd w:fill="F2F2F2" w:val="clear"/>
            <w:tcMar>
              <w:top w:w="0" w:type="dxa"/>
              <w:left w:w="0" w:type="dxa"/>
              <w:bottom w:w="0" w:type="dxa"/>
              <w:right w:w="60" w:type="dxa"/>
            </w:tcMar>
            <w:vAlign w:val="center"/>
          </w:tcPr>
          <w:p>
            <w:pPr>
              <w:pStyle w:val="TableContents"/>
              <w:bidi w:val="0"/>
              <w:spacing w:before="0" w:after="283"/>
              <w:jc w:val="center"/>
              <w:rPr>
                <w:rFonts w:ascii="Times New Roman" w:hAnsi="Times New Roman"/>
                <w:b/>
                <w:color w:val="000000"/>
                <w:sz w:val="21"/>
              </w:rPr>
            </w:pPr>
            <w:r>
              <w:rPr>
                <w:rFonts w:ascii="Times New Roman" w:hAnsi="Times New Roman"/>
                <w:b/>
                <w:color w:val="000000"/>
                <w:sz w:val="21"/>
              </w:rPr>
              <w:t>$56.4</w:t>
            </w:r>
          </w:p>
        </w:tc>
      </w:tr>
      <w:tr>
        <w:trPr/>
        <w:tc>
          <w:tcPr>
            <w:tcW w:w="3541" w:type="dxa"/>
            <w:tcBorders>
              <w:left w:val="single" w:sz="4" w:space="0" w:color="000000"/>
              <w:bottom w:val="dotted" w:sz="4" w:space="0" w:color="000000"/>
            </w:tcBorders>
            <w:shd w:fill="FFFFFF" w:val="clear"/>
            <w:tcMar>
              <w:top w:w="0" w:type="dxa"/>
              <w:left w:w="60" w:type="dxa"/>
              <w:bottom w:w="40" w:type="dxa"/>
              <w:right w:w="0" w:type="dxa"/>
            </w:tcMar>
            <w:vAlign w:val="center"/>
          </w:tcPr>
          <w:p>
            <w:pPr>
              <w:pStyle w:val="TableContents"/>
              <w:bidi w:val="0"/>
              <w:spacing w:before="0" w:after="283"/>
              <w:jc w:val="left"/>
              <w:rPr>
                <w:rFonts w:ascii="Times New Roman" w:hAnsi="Times New Roman"/>
                <w:i/>
                <w:color w:val="000000"/>
                <w:sz w:val="21"/>
              </w:rPr>
            </w:pPr>
            <w:r>
              <w:rPr>
                <w:rFonts w:ascii="Times New Roman" w:hAnsi="Times New Roman"/>
                <w:i/>
                <w:color w:val="000000"/>
                <w:sz w:val="21"/>
              </w:rPr>
              <w:t>% Change vs. prior year period</w:t>
            </w:r>
          </w:p>
        </w:tc>
        <w:tc>
          <w:tcPr>
            <w:tcW w:w="766" w:type="dxa"/>
            <w:tcBorders>
              <w:bottom w:val="dotted" w:sz="4" w:space="0" w:color="000000"/>
            </w:tcBorders>
            <w:shd w:fill="FFFFFF" w:val="clear"/>
            <w:tcMar>
              <w:top w:w="0" w:type="dxa"/>
              <w:left w:w="0" w:type="dxa"/>
              <w:bottom w:w="40" w:type="dxa"/>
              <w:right w:w="0" w:type="dxa"/>
            </w:tcMar>
            <w:vAlign w:val="center"/>
          </w:tcPr>
          <w:p>
            <w:pPr>
              <w:pStyle w:val="TableContents"/>
              <w:bidi w:val="0"/>
              <w:spacing w:before="0" w:after="283"/>
              <w:jc w:val="center"/>
              <w:rPr>
                <w:rFonts w:ascii="Times New Roman" w:hAnsi="Times New Roman"/>
                <w:i/>
                <w:color w:val="000000"/>
                <w:sz w:val="21"/>
              </w:rPr>
            </w:pPr>
            <w:r>
              <w:rPr>
                <w:rFonts w:ascii="Times New Roman" w:hAnsi="Times New Roman"/>
                <w:i/>
                <w:color w:val="000000"/>
                <w:sz w:val="21"/>
              </w:rPr>
              <w:t>290%</w:t>
            </w:r>
          </w:p>
        </w:tc>
        <w:tc>
          <w:tcPr>
            <w:tcW w:w="871" w:type="dxa"/>
            <w:tcBorders>
              <w:bottom w:val="dotted" w:sz="4" w:space="0" w:color="000000"/>
            </w:tcBorders>
            <w:shd w:fill="FFFFFF" w:val="clear"/>
            <w:tcMar>
              <w:top w:w="0" w:type="dxa"/>
              <w:left w:w="0" w:type="dxa"/>
              <w:bottom w:w="40" w:type="dxa"/>
              <w:right w:w="0" w:type="dxa"/>
            </w:tcMar>
            <w:vAlign w:val="center"/>
          </w:tcPr>
          <w:p>
            <w:pPr>
              <w:pStyle w:val="TableContents"/>
              <w:bidi w:val="0"/>
              <w:spacing w:before="0" w:after="283"/>
              <w:jc w:val="center"/>
              <w:rPr>
                <w:rFonts w:ascii="Times New Roman" w:hAnsi="Times New Roman"/>
                <w:i/>
                <w:color w:val="000000"/>
                <w:sz w:val="21"/>
              </w:rPr>
            </w:pPr>
            <w:r>
              <w:rPr>
                <w:rFonts w:ascii="Times New Roman" w:hAnsi="Times New Roman"/>
                <w:i/>
                <w:color w:val="000000"/>
                <w:sz w:val="21"/>
              </w:rPr>
              <w:t>208%</w:t>
            </w:r>
          </w:p>
        </w:tc>
        <w:tc>
          <w:tcPr>
            <w:tcW w:w="766" w:type="dxa"/>
            <w:tcBorders>
              <w:bottom w:val="dotted" w:sz="4" w:space="0" w:color="000000"/>
            </w:tcBorders>
            <w:shd w:fill="FFFFFF" w:val="clear"/>
            <w:tcMar>
              <w:top w:w="0" w:type="dxa"/>
              <w:left w:w="0" w:type="dxa"/>
              <w:bottom w:w="40" w:type="dxa"/>
              <w:right w:w="0" w:type="dxa"/>
            </w:tcMar>
            <w:vAlign w:val="center"/>
          </w:tcPr>
          <w:p>
            <w:pPr>
              <w:pStyle w:val="TableContents"/>
              <w:bidi w:val="0"/>
              <w:spacing w:before="0" w:after="283"/>
              <w:jc w:val="center"/>
              <w:rPr>
                <w:rFonts w:ascii="Times New Roman" w:hAnsi="Times New Roman"/>
                <w:i/>
                <w:color w:val="000000"/>
                <w:sz w:val="21"/>
              </w:rPr>
            </w:pPr>
            <w:r>
              <w:rPr>
                <w:rFonts w:ascii="Times New Roman" w:hAnsi="Times New Roman"/>
                <w:i/>
                <w:color w:val="000000"/>
                <w:sz w:val="21"/>
              </w:rPr>
              <w:t>92%</w:t>
            </w:r>
          </w:p>
        </w:tc>
        <w:tc>
          <w:tcPr>
            <w:tcW w:w="916" w:type="dxa"/>
            <w:tcBorders>
              <w:bottom w:val="dotted" w:sz="4" w:space="0" w:color="000000"/>
            </w:tcBorders>
            <w:shd w:fill="FFFFFF" w:val="clear"/>
            <w:tcMar>
              <w:top w:w="0" w:type="dxa"/>
              <w:left w:w="0" w:type="dxa"/>
              <w:bottom w:w="40" w:type="dxa"/>
              <w:right w:w="0" w:type="dxa"/>
            </w:tcMar>
            <w:vAlign w:val="center"/>
          </w:tcPr>
          <w:p>
            <w:pPr>
              <w:pStyle w:val="TableContents"/>
              <w:bidi w:val="0"/>
              <w:spacing w:before="0" w:after="283"/>
              <w:jc w:val="center"/>
              <w:rPr>
                <w:rFonts w:ascii="Times New Roman" w:hAnsi="Times New Roman"/>
                <w:i/>
                <w:color w:val="000000"/>
                <w:sz w:val="21"/>
              </w:rPr>
            </w:pPr>
            <w:r>
              <w:rPr>
                <w:rFonts w:ascii="Times New Roman" w:hAnsi="Times New Roman"/>
                <w:i/>
                <w:color w:val="000000"/>
                <w:sz w:val="21"/>
              </w:rPr>
              <w:t>61%</w:t>
            </w:r>
          </w:p>
        </w:tc>
        <w:tc>
          <w:tcPr>
            <w:tcW w:w="811" w:type="dxa"/>
            <w:tcBorders>
              <w:bottom w:val="dotted" w:sz="4" w:space="0" w:color="000000"/>
              <w:right w:val="single" w:sz="4" w:space="0" w:color="000000"/>
            </w:tcBorders>
            <w:shd w:fill="FFFFFF" w:val="clear"/>
            <w:tcMar>
              <w:top w:w="0" w:type="dxa"/>
              <w:left w:w="0" w:type="dxa"/>
              <w:bottom w:w="40" w:type="dxa"/>
              <w:right w:w="60" w:type="dxa"/>
            </w:tcMar>
            <w:vAlign w:val="center"/>
          </w:tcPr>
          <w:p>
            <w:pPr>
              <w:pStyle w:val="TableContents"/>
              <w:bidi w:val="0"/>
              <w:spacing w:before="0" w:after="283"/>
              <w:jc w:val="center"/>
              <w:rPr>
                <w:rFonts w:ascii="Times New Roman" w:hAnsi="Times New Roman"/>
                <w:i/>
                <w:color w:val="000000"/>
                <w:sz w:val="21"/>
              </w:rPr>
            </w:pPr>
            <w:r>
              <w:rPr>
                <w:rFonts w:ascii="Times New Roman" w:hAnsi="Times New Roman"/>
                <w:i/>
                <w:color w:val="000000"/>
                <w:sz w:val="21"/>
              </w:rPr>
              <w:t>39%</w:t>
            </w:r>
          </w:p>
        </w:tc>
      </w:tr>
      <w:tr>
        <w:trPr/>
        <w:tc>
          <w:tcPr>
            <w:tcW w:w="3541" w:type="dxa"/>
            <w:tcBorders>
              <w:left w:val="single" w:sz="4" w:space="0" w:color="000000"/>
            </w:tcBorders>
            <w:shd w:fill="F2F2F2" w:val="clear"/>
            <w:tcMar>
              <w:top w:w="0" w:type="dxa"/>
              <w:left w:w="60" w:type="dxa"/>
              <w:bottom w:w="0" w:type="dxa"/>
              <w:right w:w="0" w:type="dxa"/>
            </w:tcMar>
            <w:vAlign w:val="center"/>
          </w:tcPr>
          <w:p>
            <w:pPr>
              <w:pStyle w:val="TableContents"/>
              <w:bidi w:val="0"/>
              <w:spacing w:before="0" w:after="283"/>
              <w:jc w:val="left"/>
              <w:rPr>
                <w:rFonts w:ascii="Times New Roman" w:hAnsi="Times New Roman"/>
                <w:sz w:val="21"/>
              </w:rPr>
            </w:pPr>
            <w:r>
              <w:rPr>
                <w:rFonts w:ascii="Times New Roman" w:hAnsi="Times New Roman"/>
                <w:b/>
                <w:color w:val="000000"/>
                <w:sz w:val="21"/>
              </w:rPr>
              <w:t>Adjusted EBITDA</w:t>
            </w:r>
            <w:r>
              <w:rPr>
                <w:rFonts w:ascii="Times New Roman" w:hAnsi="Times New Roman"/>
                <w:b/>
                <w:color w:val="000000"/>
                <w:sz w:val="14"/>
              </w:rPr>
              <w:t>*(1)</w:t>
            </w:r>
          </w:p>
        </w:tc>
        <w:tc>
          <w:tcPr>
            <w:tcW w:w="766" w:type="dxa"/>
            <w:tcBorders/>
            <w:shd w:fill="F2F2F2"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1"/>
              </w:rPr>
            </w:pPr>
            <w:r>
              <w:rPr>
                <w:rFonts w:ascii="Times New Roman" w:hAnsi="Times New Roman"/>
                <w:b/>
                <w:color w:val="000000"/>
                <w:sz w:val="21"/>
              </w:rPr>
              <w:t>$50.9</w:t>
            </w:r>
          </w:p>
        </w:tc>
        <w:tc>
          <w:tcPr>
            <w:tcW w:w="871" w:type="dxa"/>
            <w:tcBorders/>
            <w:shd w:fill="F2F2F2"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1"/>
              </w:rPr>
            </w:pPr>
            <w:r>
              <w:rPr>
                <w:rFonts w:ascii="Times New Roman" w:hAnsi="Times New Roman"/>
                <w:b/>
                <w:color w:val="000000"/>
                <w:sz w:val="21"/>
              </w:rPr>
              <w:t>$58.7</w:t>
            </w:r>
          </w:p>
        </w:tc>
        <w:tc>
          <w:tcPr>
            <w:tcW w:w="766" w:type="dxa"/>
            <w:tcBorders/>
            <w:shd w:fill="F2F2F2"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1"/>
              </w:rPr>
            </w:pPr>
            <w:r>
              <w:rPr>
                <w:rFonts w:ascii="Times New Roman" w:hAnsi="Times New Roman"/>
                <w:b/>
                <w:color w:val="000000"/>
                <w:sz w:val="21"/>
              </w:rPr>
              <w:t>$72.9</w:t>
            </w:r>
          </w:p>
        </w:tc>
        <w:tc>
          <w:tcPr>
            <w:tcW w:w="916" w:type="dxa"/>
            <w:tcBorders/>
            <w:shd w:fill="F2F2F2"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1"/>
              </w:rPr>
            </w:pPr>
            <w:r>
              <w:rPr>
                <w:rFonts w:ascii="Times New Roman" w:hAnsi="Times New Roman"/>
                <w:b/>
                <w:color w:val="000000"/>
                <w:sz w:val="21"/>
              </w:rPr>
              <w:t>$69.3</w:t>
            </w:r>
          </w:p>
        </w:tc>
        <w:tc>
          <w:tcPr>
            <w:tcW w:w="811" w:type="dxa"/>
            <w:tcBorders>
              <w:right w:val="single" w:sz="4" w:space="0" w:color="000000"/>
            </w:tcBorders>
            <w:shd w:fill="F2F2F2" w:val="clear"/>
            <w:tcMar>
              <w:top w:w="0" w:type="dxa"/>
              <w:left w:w="0" w:type="dxa"/>
              <w:bottom w:w="0" w:type="dxa"/>
              <w:right w:w="60" w:type="dxa"/>
            </w:tcMar>
            <w:vAlign w:val="center"/>
          </w:tcPr>
          <w:p>
            <w:pPr>
              <w:pStyle w:val="TableContents"/>
              <w:bidi w:val="0"/>
              <w:spacing w:before="0" w:after="283"/>
              <w:jc w:val="center"/>
              <w:rPr>
                <w:rFonts w:ascii="Times New Roman" w:hAnsi="Times New Roman"/>
                <w:b/>
                <w:color w:val="000000"/>
                <w:sz w:val="21"/>
              </w:rPr>
            </w:pPr>
            <w:r>
              <w:rPr>
                <w:rFonts w:ascii="Times New Roman" w:hAnsi="Times New Roman"/>
                <w:b/>
                <w:color w:val="000000"/>
                <w:sz w:val="21"/>
              </w:rPr>
              <w:t>$75.5</w:t>
            </w:r>
          </w:p>
        </w:tc>
      </w:tr>
      <w:tr>
        <w:trPr/>
        <w:tc>
          <w:tcPr>
            <w:tcW w:w="3541" w:type="dxa"/>
            <w:tcBorders>
              <w:left w:val="single" w:sz="4" w:space="0" w:color="000000"/>
              <w:bottom w:val="dotted" w:sz="4" w:space="0" w:color="000000"/>
            </w:tcBorders>
            <w:shd w:fill="FFFFFF" w:val="clear"/>
            <w:tcMar>
              <w:top w:w="0" w:type="dxa"/>
              <w:left w:w="60" w:type="dxa"/>
              <w:bottom w:w="40" w:type="dxa"/>
              <w:right w:w="0" w:type="dxa"/>
            </w:tcMar>
            <w:vAlign w:val="center"/>
          </w:tcPr>
          <w:p>
            <w:pPr>
              <w:pStyle w:val="TableContents"/>
              <w:bidi w:val="0"/>
              <w:spacing w:before="0" w:after="283"/>
              <w:jc w:val="left"/>
              <w:rPr>
                <w:rFonts w:ascii="Times New Roman" w:hAnsi="Times New Roman"/>
                <w:i/>
                <w:color w:val="000000"/>
                <w:sz w:val="21"/>
              </w:rPr>
            </w:pPr>
            <w:r>
              <w:rPr>
                <w:rFonts w:ascii="Times New Roman" w:hAnsi="Times New Roman"/>
                <w:i/>
                <w:color w:val="000000"/>
                <w:sz w:val="21"/>
              </w:rPr>
              <w:t>% Change vs. prior year period</w:t>
            </w:r>
          </w:p>
        </w:tc>
        <w:tc>
          <w:tcPr>
            <w:tcW w:w="766" w:type="dxa"/>
            <w:tcBorders>
              <w:bottom w:val="dotted" w:sz="4" w:space="0" w:color="000000"/>
            </w:tcBorders>
            <w:shd w:fill="FFFFFF" w:val="clear"/>
            <w:tcMar>
              <w:top w:w="0" w:type="dxa"/>
              <w:left w:w="0" w:type="dxa"/>
              <w:bottom w:w="40" w:type="dxa"/>
              <w:right w:w="0" w:type="dxa"/>
            </w:tcMar>
            <w:vAlign w:val="center"/>
          </w:tcPr>
          <w:p>
            <w:pPr>
              <w:pStyle w:val="TableContents"/>
              <w:bidi w:val="0"/>
              <w:spacing w:before="0" w:after="283"/>
              <w:jc w:val="center"/>
              <w:rPr>
                <w:rFonts w:ascii="Times New Roman" w:hAnsi="Times New Roman"/>
                <w:i/>
                <w:color w:val="000000"/>
                <w:sz w:val="21"/>
              </w:rPr>
            </w:pPr>
            <w:r>
              <w:rPr>
                <w:rFonts w:ascii="Times New Roman" w:hAnsi="Times New Roman"/>
                <w:i/>
                <w:color w:val="000000"/>
                <w:sz w:val="21"/>
              </w:rPr>
              <w:t>236%</w:t>
            </w:r>
          </w:p>
        </w:tc>
        <w:tc>
          <w:tcPr>
            <w:tcW w:w="871" w:type="dxa"/>
            <w:tcBorders>
              <w:bottom w:val="dotted" w:sz="4" w:space="0" w:color="000000"/>
            </w:tcBorders>
            <w:shd w:fill="FFFFFF" w:val="clear"/>
            <w:tcMar>
              <w:top w:w="0" w:type="dxa"/>
              <w:left w:w="0" w:type="dxa"/>
              <w:bottom w:w="40" w:type="dxa"/>
              <w:right w:w="0" w:type="dxa"/>
            </w:tcMar>
            <w:vAlign w:val="center"/>
          </w:tcPr>
          <w:p>
            <w:pPr>
              <w:pStyle w:val="TableContents"/>
              <w:bidi w:val="0"/>
              <w:spacing w:before="0" w:after="283"/>
              <w:jc w:val="center"/>
              <w:rPr>
                <w:rFonts w:ascii="Times New Roman" w:hAnsi="Times New Roman"/>
                <w:i/>
                <w:color w:val="000000"/>
                <w:sz w:val="21"/>
              </w:rPr>
            </w:pPr>
            <w:r>
              <w:rPr>
                <w:rFonts w:ascii="Times New Roman" w:hAnsi="Times New Roman"/>
                <w:i/>
                <w:color w:val="000000"/>
                <w:sz w:val="21"/>
              </w:rPr>
              <w:t>137%</w:t>
            </w:r>
          </w:p>
        </w:tc>
        <w:tc>
          <w:tcPr>
            <w:tcW w:w="766" w:type="dxa"/>
            <w:tcBorders>
              <w:bottom w:val="dotted" w:sz="4" w:space="0" w:color="000000"/>
            </w:tcBorders>
            <w:shd w:fill="FFFFFF" w:val="clear"/>
            <w:tcMar>
              <w:top w:w="0" w:type="dxa"/>
              <w:left w:w="0" w:type="dxa"/>
              <w:bottom w:w="40" w:type="dxa"/>
              <w:right w:w="0" w:type="dxa"/>
            </w:tcMar>
            <w:vAlign w:val="center"/>
          </w:tcPr>
          <w:p>
            <w:pPr>
              <w:pStyle w:val="TableContents"/>
              <w:bidi w:val="0"/>
              <w:spacing w:before="0" w:after="283"/>
              <w:jc w:val="center"/>
              <w:rPr>
                <w:rFonts w:ascii="Times New Roman" w:hAnsi="Times New Roman"/>
                <w:i/>
                <w:color w:val="000000"/>
                <w:sz w:val="21"/>
              </w:rPr>
            </w:pPr>
            <w:r>
              <w:rPr>
                <w:rFonts w:ascii="Times New Roman" w:hAnsi="Times New Roman"/>
                <w:i/>
                <w:color w:val="000000"/>
                <w:sz w:val="21"/>
              </w:rPr>
              <w:t>118%</w:t>
            </w:r>
          </w:p>
        </w:tc>
        <w:tc>
          <w:tcPr>
            <w:tcW w:w="916" w:type="dxa"/>
            <w:tcBorders>
              <w:bottom w:val="dotted" w:sz="4" w:space="0" w:color="000000"/>
            </w:tcBorders>
            <w:shd w:fill="FFFFFF" w:val="clear"/>
            <w:tcMar>
              <w:top w:w="0" w:type="dxa"/>
              <w:left w:w="0" w:type="dxa"/>
              <w:bottom w:w="40" w:type="dxa"/>
              <w:right w:w="0" w:type="dxa"/>
            </w:tcMar>
            <w:vAlign w:val="center"/>
          </w:tcPr>
          <w:p>
            <w:pPr>
              <w:pStyle w:val="TableContents"/>
              <w:bidi w:val="0"/>
              <w:spacing w:before="0" w:after="283"/>
              <w:jc w:val="center"/>
              <w:rPr>
                <w:rFonts w:ascii="Times New Roman" w:hAnsi="Times New Roman"/>
                <w:i/>
                <w:color w:val="000000"/>
                <w:sz w:val="21"/>
              </w:rPr>
            </w:pPr>
            <w:r>
              <w:rPr>
                <w:rFonts w:ascii="Times New Roman" w:hAnsi="Times New Roman"/>
                <w:i/>
                <w:color w:val="000000"/>
                <w:sz w:val="21"/>
              </w:rPr>
              <w:t>57%</w:t>
            </w:r>
          </w:p>
        </w:tc>
        <w:tc>
          <w:tcPr>
            <w:tcW w:w="811" w:type="dxa"/>
            <w:tcBorders>
              <w:bottom w:val="dotted" w:sz="4" w:space="0" w:color="000000"/>
              <w:right w:val="single" w:sz="4" w:space="0" w:color="000000"/>
            </w:tcBorders>
            <w:shd w:fill="FFFFFF" w:val="clear"/>
            <w:tcMar>
              <w:top w:w="0" w:type="dxa"/>
              <w:left w:w="0" w:type="dxa"/>
              <w:bottom w:w="40" w:type="dxa"/>
              <w:right w:w="60" w:type="dxa"/>
            </w:tcMar>
            <w:vAlign w:val="center"/>
          </w:tcPr>
          <w:p>
            <w:pPr>
              <w:pStyle w:val="TableContents"/>
              <w:bidi w:val="0"/>
              <w:spacing w:before="0" w:after="283"/>
              <w:jc w:val="center"/>
              <w:rPr>
                <w:rFonts w:ascii="Times New Roman" w:hAnsi="Times New Roman"/>
                <w:i/>
                <w:color w:val="000000"/>
                <w:sz w:val="21"/>
              </w:rPr>
            </w:pPr>
            <w:r>
              <w:rPr>
                <w:rFonts w:ascii="Times New Roman" w:hAnsi="Times New Roman"/>
                <w:i/>
                <w:color w:val="000000"/>
                <w:sz w:val="21"/>
              </w:rPr>
              <w:t>48%</w:t>
            </w:r>
          </w:p>
        </w:tc>
      </w:tr>
      <w:tr>
        <w:trPr/>
        <w:tc>
          <w:tcPr>
            <w:tcW w:w="3541" w:type="dxa"/>
            <w:tcBorders>
              <w:left w:val="single" w:sz="4" w:space="0" w:color="000000"/>
            </w:tcBorders>
            <w:shd w:fill="F2F2F2" w:val="clear"/>
            <w:tcMar>
              <w:top w:w="0" w:type="dxa"/>
              <w:left w:w="60" w:type="dxa"/>
              <w:bottom w:w="0" w:type="dxa"/>
              <w:right w:w="0" w:type="dxa"/>
            </w:tcMar>
            <w:vAlign w:val="center"/>
          </w:tcPr>
          <w:p>
            <w:pPr>
              <w:pStyle w:val="TableContents"/>
              <w:bidi w:val="0"/>
              <w:spacing w:before="0" w:after="283"/>
              <w:jc w:val="left"/>
              <w:rPr>
                <w:rFonts w:ascii="Times New Roman" w:hAnsi="Times New Roman"/>
                <w:sz w:val="21"/>
              </w:rPr>
            </w:pPr>
            <w:r>
              <w:rPr>
                <w:rFonts w:ascii="Times New Roman" w:hAnsi="Times New Roman"/>
                <w:b/>
                <w:color w:val="000000"/>
                <w:sz w:val="21"/>
              </w:rPr>
              <w:t>Adj. Net Income per Diluted Share</w:t>
            </w:r>
            <w:r>
              <w:rPr>
                <w:rFonts w:ascii="Times New Roman" w:hAnsi="Times New Roman"/>
                <w:b/>
                <w:color w:val="000000"/>
                <w:sz w:val="14"/>
              </w:rPr>
              <w:t>*(1)</w:t>
            </w:r>
          </w:p>
        </w:tc>
        <w:tc>
          <w:tcPr>
            <w:tcW w:w="766" w:type="dxa"/>
            <w:tcBorders/>
            <w:shd w:fill="F2F2F2"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1"/>
              </w:rPr>
            </w:pPr>
            <w:r>
              <w:rPr>
                <w:rFonts w:ascii="Times New Roman" w:hAnsi="Times New Roman"/>
                <w:b/>
                <w:color w:val="000000"/>
                <w:sz w:val="21"/>
              </w:rPr>
              <w:t>$2.78</w:t>
            </w:r>
          </w:p>
        </w:tc>
        <w:tc>
          <w:tcPr>
            <w:tcW w:w="871" w:type="dxa"/>
            <w:tcBorders/>
            <w:shd w:fill="F2F2F2"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1"/>
              </w:rPr>
            </w:pPr>
            <w:r>
              <w:rPr>
                <w:rFonts w:ascii="Times New Roman" w:hAnsi="Times New Roman"/>
                <w:b/>
                <w:color w:val="000000"/>
                <w:sz w:val="21"/>
              </w:rPr>
              <w:t>$4.45</w:t>
            </w:r>
          </w:p>
        </w:tc>
        <w:tc>
          <w:tcPr>
            <w:tcW w:w="766" w:type="dxa"/>
            <w:tcBorders/>
            <w:shd w:fill="F2F2F2"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1"/>
              </w:rPr>
            </w:pPr>
            <w:r>
              <w:rPr>
                <w:rFonts w:ascii="Times New Roman" w:hAnsi="Times New Roman"/>
                <w:b/>
                <w:color w:val="000000"/>
                <w:sz w:val="21"/>
              </w:rPr>
              <w:t>$3.69</w:t>
            </w:r>
          </w:p>
        </w:tc>
        <w:tc>
          <w:tcPr>
            <w:tcW w:w="916" w:type="dxa"/>
            <w:tcBorders/>
            <w:shd w:fill="F2F2F2"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1"/>
              </w:rPr>
            </w:pPr>
            <w:r>
              <w:rPr>
                <w:rFonts w:ascii="Times New Roman" w:hAnsi="Times New Roman"/>
                <w:b/>
                <w:color w:val="000000"/>
                <w:sz w:val="21"/>
              </w:rPr>
              <w:t>$3.64</w:t>
            </w:r>
          </w:p>
        </w:tc>
        <w:tc>
          <w:tcPr>
            <w:tcW w:w="811" w:type="dxa"/>
            <w:tcBorders>
              <w:right w:val="single" w:sz="4" w:space="0" w:color="000000"/>
            </w:tcBorders>
            <w:shd w:fill="F2F2F2" w:val="clear"/>
            <w:tcMar>
              <w:top w:w="0" w:type="dxa"/>
              <w:left w:w="0" w:type="dxa"/>
              <w:bottom w:w="0" w:type="dxa"/>
              <w:right w:w="60" w:type="dxa"/>
            </w:tcMar>
            <w:vAlign w:val="center"/>
          </w:tcPr>
          <w:p>
            <w:pPr>
              <w:pStyle w:val="TableContents"/>
              <w:bidi w:val="0"/>
              <w:spacing w:before="0" w:after="283"/>
              <w:jc w:val="center"/>
              <w:rPr>
                <w:rFonts w:ascii="Times New Roman" w:hAnsi="Times New Roman"/>
                <w:b/>
                <w:color w:val="000000"/>
                <w:sz w:val="21"/>
              </w:rPr>
            </w:pPr>
            <w:r>
              <w:rPr>
                <w:rFonts w:ascii="Times New Roman" w:hAnsi="Times New Roman"/>
                <w:b/>
                <w:color w:val="000000"/>
                <w:sz w:val="21"/>
              </w:rPr>
              <w:t>$4.12</w:t>
            </w:r>
          </w:p>
        </w:tc>
      </w:tr>
      <w:tr>
        <w:trPr/>
        <w:tc>
          <w:tcPr>
            <w:tcW w:w="3541" w:type="dxa"/>
            <w:tcBorders>
              <w:left w:val="single" w:sz="4" w:space="0" w:color="000000"/>
              <w:bottom w:val="single" w:sz="4" w:space="0" w:color="000000"/>
            </w:tcBorders>
            <w:shd w:fill="FFFFFF" w:val="clear"/>
            <w:tcMar>
              <w:top w:w="0" w:type="dxa"/>
              <w:left w:w="60" w:type="dxa"/>
              <w:bottom w:w="40" w:type="dxa"/>
              <w:right w:w="0" w:type="dxa"/>
            </w:tcMar>
            <w:vAlign w:val="center"/>
          </w:tcPr>
          <w:p>
            <w:pPr>
              <w:pStyle w:val="TableContents"/>
              <w:bidi w:val="0"/>
              <w:spacing w:before="0" w:after="283"/>
              <w:jc w:val="left"/>
              <w:rPr>
                <w:rFonts w:ascii="Times New Roman" w:hAnsi="Times New Roman"/>
                <w:i/>
                <w:color w:val="000000"/>
                <w:sz w:val="21"/>
              </w:rPr>
            </w:pPr>
            <w:r>
              <w:rPr>
                <w:rFonts w:ascii="Times New Roman" w:hAnsi="Times New Roman"/>
                <w:i/>
                <w:color w:val="000000"/>
                <w:sz w:val="21"/>
              </w:rPr>
              <w:t>% Change vs. prior year period</w:t>
            </w:r>
          </w:p>
        </w:tc>
        <w:tc>
          <w:tcPr>
            <w:tcW w:w="766" w:type="dxa"/>
            <w:tcBorders>
              <w:bottom w:val="single" w:sz="4" w:space="0" w:color="000000"/>
            </w:tcBorders>
            <w:shd w:fill="FFFFFF" w:val="clear"/>
            <w:tcMar>
              <w:top w:w="0" w:type="dxa"/>
              <w:left w:w="0" w:type="dxa"/>
              <w:bottom w:w="40" w:type="dxa"/>
              <w:right w:w="0" w:type="dxa"/>
            </w:tcMar>
            <w:vAlign w:val="center"/>
          </w:tcPr>
          <w:p>
            <w:pPr>
              <w:pStyle w:val="TableContents"/>
              <w:bidi w:val="0"/>
              <w:spacing w:before="0" w:after="283"/>
              <w:jc w:val="center"/>
              <w:rPr>
                <w:rFonts w:ascii="Times New Roman" w:hAnsi="Times New Roman"/>
                <w:i/>
                <w:color w:val="000000"/>
                <w:sz w:val="21"/>
              </w:rPr>
            </w:pPr>
            <w:r>
              <w:rPr>
                <w:rFonts w:ascii="Times New Roman" w:hAnsi="Times New Roman"/>
                <w:i/>
                <w:color w:val="000000"/>
                <w:sz w:val="21"/>
              </w:rPr>
              <w:t>263%</w:t>
            </w:r>
          </w:p>
        </w:tc>
        <w:tc>
          <w:tcPr>
            <w:tcW w:w="871" w:type="dxa"/>
            <w:tcBorders>
              <w:bottom w:val="single" w:sz="4" w:space="0" w:color="000000"/>
            </w:tcBorders>
            <w:shd w:fill="FFFFFF" w:val="clear"/>
            <w:tcMar>
              <w:top w:w="0" w:type="dxa"/>
              <w:left w:w="0" w:type="dxa"/>
              <w:bottom w:w="40" w:type="dxa"/>
              <w:right w:w="0" w:type="dxa"/>
            </w:tcMar>
            <w:vAlign w:val="center"/>
          </w:tcPr>
          <w:p>
            <w:pPr>
              <w:pStyle w:val="TableContents"/>
              <w:bidi w:val="0"/>
              <w:spacing w:before="0" w:after="283"/>
              <w:jc w:val="center"/>
              <w:rPr>
                <w:rFonts w:ascii="Times New Roman" w:hAnsi="Times New Roman"/>
                <w:i/>
                <w:color w:val="000000"/>
                <w:sz w:val="21"/>
              </w:rPr>
            </w:pPr>
            <w:r>
              <w:rPr>
                <w:rFonts w:ascii="Times New Roman" w:hAnsi="Times New Roman"/>
                <w:i/>
                <w:color w:val="000000"/>
                <w:sz w:val="21"/>
              </w:rPr>
              <w:t>196%</w:t>
            </w:r>
          </w:p>
        </w:tc>
        <w:tc>
          <w:tcPr>
            <w:tcW w:w="766" w:type="dxa"/>
            <w:tcBorders>
              <w:bottom w:val="single" w:sz="4" w:space="0" w:color="000000"/>
            </w:tcBorders>
            <w:shd w:fill="FFFFFF" w:val="clear"/>
            <w:tcMar>
              <w:top w:w="0" w:type="dxa"/>
              <w:left w:w="0" w:type="dxa"/>
              <w:bottom w:w="40" w:type="dxa"/>
              <w:right w:w="0" w:type="dxa"/>
            </w:tcMar>
            <w:vAlign w:val="center"/>
          </w:tcPr>
          <w:p>
            <w:pPr>
              <w:pStyle w:val="TableContents"/>
              <w:bidi w:val="0"/>
              <w:spacing w:before="0" w:after="283"/>
              <w:jc w:val="center"/>
              <w:rPr>
                <w:rFonts w:ascii="Times New Roman" w:hAnsi="Times New Roman"/>
                <w:i/>
                <w:color w:val="000000"/>
                <w:sz w:val="21"/>
              </w:rPr>
            </w:pPr>
            <w:r>
              <w:rPr>
                <w:rFonts w:ascii="Times New Roman" w:hAnsi="Times New Roman"/>
                <w:i/>
                <w:color w:val="000000"/>
                <w:sz w:val="21"/>
              </w:rPr>
              <w:t>93%</w:t>
            </w:r>
          </w:p>
        </w:tc>
        <w:tc>
          <w:tcPr>
            <w:tcW w:w="916" w:type="dxa"/>
            <w:tcBorders>
              <w:bottom w:val="single" w:sz="4" w:space="0" w:color="000000"/>
            </w:tcBorders>
            <w:shd w:fill="FFFFFF" w:val="clear"/>
            <w:tcMar>
              <w:top w:w="0" w:type="dxa"/>
              <w:left w:w="0" w:type="dxa"/>
              <w:bottom w:w="40" w:type="dxa"/>
              <w:right w:w="0" w:type="dxa"/>
            </w:tcMar>
            <w:vAlign w:val="center"/>
          </w:tcPr>
          <w:p>
            <w:pPr>
              <w:pStyle w:val="TableContents"/>
              <w:bidi w:val="0"/>
              <w:spacing w:before="0" w:after="283"/>
              <w:jc w:val="center"/>
              <w:rPr>
                <w:rFonts w:ascii="Times New Roman" w:hAnsi="Times New Roman"/>
                <w:i/>
                <w:color w:val="000000"/>
                <w:sz w:val="21"/>
              </w:rPr>
            </w:pPr>
            <w:r>
              <w:rPr>
                <w:rFonts w:ascii="Times New Roman" w:hAnsi="Times New Roman"/>
                <w:i/>
                <w:color w:val="000000"/>
                <w:sz w:val="21"/>
              </w:rPr>
              <w:t>64%</w:t>
            </w:r>
          </w:p>
        </w:tc>
        <w:tc>
          <w:tcPr>
            <w:tcW w:w="811" w:type="dxa"/>
            <w:tcBorders>
              <w:bottom w:val="single" w:sz="4" w:space="0" w:color="000000"/>
              <w:right w:val="single" w:sz="4" w:space="0" w:color="000000"/>
            </w:tcBorders>
            <w:shd w:fill="FFFFFF" w:val="clear"/>
            <w:tcMar>
              <w:top w:w="0" w:type="dxa"/>
              <w:left w:w="0" w:type="dxa"/>
              <w:bottom w:w="40" w:type="dxa"/>
              <w:right w:w="60" w:type="dxa"/>
            </w:tcMar>
            <w:vAlign w:val="center"/>
          </w:tcPr>
          <w:p>
            <w:pPr>
              <w:pStyle w:val="TableContents"/>
              <w:bidi w:val="0"/>
              <w:spacing w:before="0" w:after="283"/>
              <w:jc w:val="center"/>
              <w:rPr>
                <w:rFonts w:ascii="Times New Roman" w:hAnsi="Times New Roman"/>
                <w:i/>
                <w:color w:val="000000"/>
                <w:sz w:val="21"/>
              </w:rPr>
            </w:pPr>
            <w:r>
              <w:rPr>
                <w:rFonts w:ascii="Times New Roman" w:hAnsi="Times New Roman"/>
                <w:i/>
                <w:color w:val="000000"/>
                <w:sz w:val="21"/>
              </w:rPr>
              <w:t>48%</w:t>
            </w:r>
          </w:p>
        </w:tc>
      </w:tr>
    </w:tbl>
    <w:p>
      <w:pPr>
        <w:pStyle w:val="TextBody"/>
        <w:bidi w:val="0"/>
        <w:spacing w:before="0" w:after="60"/>
        <w:jc w:val="left"/>
        <w:rPr>
          <w:rFonts w:ascii="Times New Roman" w:hAnsi="Times New Roman"/>
          <w:i/>
          <w:color w:val="000000"/>
          <w:sz w:val="21"/>
        </w:rPr>
      </w:pPr>
      <w:r>
        <w:rPr>
          <w:rFonts w:ascii="Times New Roman" w:hAnsi="Times New Roman"/>
          <w:i/>
          <w:color w:val="000000"/>
          <w:sz w:val="21"/>
        </w:rPr>
        <w:t>*Non-GAAP measures. See reconciliation of non-GAAP measures at the end of the press release.</w:t>
      </w:r>
    </w:p>
    <w:p>
      <w:pPr>
        <w:pStyle w:val="TextBody"/>
        <w:bidi w:val="0"/>
        <w:spacing w:before="0" w:after="60"/>
        <w:jc w:val="left"/>
        <w:rPr>
          <w:rFonts w:ascii="Times New Roman" w:hAnsi="Times New Roman"/>
          <w:i/>
          <w:color w:val="000000"/>
          <w:sz w:val="21"/>
        </w:rPr>
      </w:pPr>
      <w:r>
        <w:rPr>
          <w:rFonts w:ascii="Times New Roman" w:hAnsi="Times New Roman"/>
          <w:i/>
          <w:color w:val="000000"/>
          <w:sz w:val="21"/>
        </w:rPr>
        <w:t>(1) Beginning in the second quarter of 2026, the Company updated its definitions of Adjusted Net Income and Adjusted EBITDA to exclude: (i) other strategic financing and transactional expenses and (ii) litigation expenses related to the FTC/DOJ matter; Adjusted EBITDA was further updated to exclude (iii) funding costs. Prior periods have not been recast because the effect of these items on such periods was immaterial.</w:t>
      </w:r>
    </w:p>
    <w:p>
      <w:pPr>
        <w:pStyle w:val="TextBody"/>
        <w:bidi w:val="0"/>
        <w:spacing w:before="180" w:after="283"/>
        <w:jc w:val="left"/>
        <w:rPr/>
      </w:pPr>
      <w:r>
        <w:rPr/>
        <w:t> </w:t>
      </w:r>
    </w:p>
    <w:p>
      <w:pPr>
        <w:pStyle w:val="TextBody"/>
        <w:bidi w:val="0"/>
        <w:spacing w:before="240" w:after="283"/>
        <w:jc w:val="left"/>
        <w:rPr>
          <w:rFonts w:ascii="Times New Roman" w:hAnsi="Times New Roman"/>
          <w:b/>
          <w:color w:val="000000"/>
          <w:sz w:val="21"/>
        </w:rPr>
      </w:pPr>
      <w:r>
        <w:rPr>
          <w:rFonts w:ascii="Times New Roman" w:hAnsi="Times New Roman"/>
          <w:b/>
          <w:color w:val="000000"/>
          <w:sz w:val="21"/>
        </w:rPr>
        <w:t>Second Quarter 2026 Operating Highlights (vs. Second Quarter 2025)</w:t>
      </w:r>
    </w:p>
    <w:p>
      <w:pPr>
        <w:pStyle w:val="TextBody"/>
        <w:bidi w:val="0"/>
        <w:spacing w:before="0" w:after="120"/>
        <w:jc w:val="left"/>
        <w:rPr>
          <w:color w:val="1E5315"/>
        </w:rPr>
      </w:pPr>
      <w:r>
        <w:rPr>
          <w:color w:val="1E5315"/>
        </w:rPr>
        <w:t>•</w:t>
      </w:r>
    </w:p>
    <w:p>
      <w:pPr>
        <w:pStyle w:val="TextBody"/>
        <w:bidi w:val="0"/>
        <w:spacing w:before="0" w:after="120"/>
        <w:jc w:val="left"/>
        <w:rPr>
          <w:rFonts w:ascii="Times New Roman" w:hAnsi="Times New Roman"/>
          <w:color w:val="000000"/>
          <w:sz w:val="21"/>
        </w:rPr>
      </w:pPr>
      <w:r>
        <w:rPr>
          <w:rFonts w:ascii="Times New Roman" w:hAnsi="Times New Roman"/>
          <w:color w:val="000000"/>
          <w:sz w:val="21"/>
        </w:rPr>
        <w:t>New members increased 32% to 951,000, at a customer acquisition cost of $19</w:t>
      </w:r>
    </w:p>
    <w:p>
      <w:pPr>
        <w:pStyle w:val="TextBody"/>
        <w:bidi w:val="0"/>
        <w:spacing w:before="0" w:after="120"/>
        <w:jc w:val="left"/>
        <w:rPr>
          <w:color w:val="1E5315"/>
        </w:rPr>
      </w:pPr>
      <w:r>
        <w:rPr>
          <w:color w:val="1E5315"/>
        </w:rPr>
        <w:t>•</w:t>
      </w:r>
    </w:p>
    <w:p>
      <w:pPr>
        <w:pStyle w:val="TextBody"/>
        <w:bidi w:val="0"/>
        <w:spacing w:before="0" w:after="120"/>
        <w:jc w:val="left"/>
        <w:rPr>
          <w:rFonts w:ascii="Times New Roman" w:hAnsi="Times New Roman"/>
          <w:color w:val="000000"/>
          <w:sz w:val="21"/>
        </w:rPr>
      </w:pPr>
      <w:r>
        <w:rPr>
          <w:rFonts w:ascii="Times New Roman" w:hAnsi="Times New Roman"/>
          <w:color w:val="000000"/>
          <w:sz w:val="21"/>
        </w:rPr>
        <w:t>Monthly Transacting Members (“MTMs”) increased 17% to 3.08 million</w:t>
      </w:r>
    </w:p>
    <w:p>
      <w:pPr>
        <w:pStyle w:val="TextBody"/>
        <w:bidi w:val="0"/>
        <w:spacing w:before="0" w:after="120"/>
        <w:jc w:val="left"/>
        <w:rPr>
          <w:color w:val="1E5315"/>
        </w:rPr>
      </w:pPr>
      <w:r>
        <w:rPr>
          <w:color w:val="1E5315"/>
        </w:rPr>
        <w:t>•</w:t>
      </w:r>
    </w:p>
    <w:p>
      <w:pPr>
        <w:pStyle w:val="TextBody"/>
        <w:bidi w:val="0"/>
        <w:spacing w:before="0" w:after="120"/>
        <w:jc w:val="left"/>
        <w:rPr>
          <w:rFonts w:ascii="Times New Roman" w:hAnsi="Times New Roman"/>
          <w:color w:val="000000"/>
          <w:sz w:val="21"/>
        </w:rPr>
      </w:pPr>
      <w:r>
        <w:rPr>
          <w:rFonts w:ascii="Times New Roman" w:hAnsi="Times New Roman"/>
          <w:color w:val="000000"/>
          <w:sz w:val="21"/>
        </w:rPr>
        <w:t>ExtraCash originations increased 27% to $2.3 billion, while ExtraCash Monetization Rate Net of Losses expanded nearly 9 basis points to 4.8%</w:t>
      </w:r>
    </w:p>
    <w:p>
      <w:pPr>
        <w:pStyle w:val="TextBody"/>
        <w:bidi w:val="0"/>
        <w:spacing w:before="0" w:after="120"/>
        <w:jc w:val="left"/>
        <w:rPr>
          <w:color w:val="1E5315"/>
        </w:rPr>
      </w:pPr>
      <w:r>
        <w:rPr>
          <w:color w:val="1E5315"/>
        </w:rPr>
        <w:t>•</w:t>
      </w:r>
    </w:p>
    <w:p>
      <w:pPr>
        <w:pStyle w:val="TextBody"/>
        <w:bidi w:val="0"/>
        <w:spacing w:before="0" w:after="120"/>
        <w:jc w:val="left"/>
        <w:rPr>
          <w:rFonts w:ascii="Times New Roman" w:hAnsi="Times New Roman"/>
          <w:color w:val="000000"/>
          <w:sz w:val="21"/>
        </w:rPr>
      </w:pPr>
      <w:r>
        <w:rPr>
          <w:rFonts w:ascii="Times New Roman" w:hAnsi="Times New Roman"/>
          <w:color w:val="000000"/>
          <w:sz w:val="21"/>
        </w:rPr>
        <w:t xml:space="preserve">28-day past due rate improved 6% to 2.12% </w:t>
      </w:r>
    </w:p>
    <w:p>
      <w:pPr>
        <w:pStyle w:val="TextBody"/>
        <w:bidi w:val="0"/>
        <w:spacing w:before="0" w:after="120"/>
        <w:jc w:val="left"/>
        <w:rPr>
          <w:color w:val="1E5315"/>
        </w:rPr>
      </w:pPr>
      <w:r>
        <w:rPr>
          <w:color w:val="1E5315"/>
        </w:rPr>
        <w:t>•</w:t>
      </w:r>
    </w:p>
    <w:p>
      <w:pPr>
        <w:pStyle w:val="TextBody"/>
        <w:bidi w:val="0"/>
        <w:spacing w:before="0" w:after="120"/>
        <w:jc w:val="left"/>
        <w:rPr>
          <w:rFonts w:ascii="Times New Roman" w:hAnsi="Times New Roman"/>
          <w:color w:val="000000"/>
          <w:sz w:val="21"/>
        </w:rPr>
      </w:pPr>
      <w:r>
        <w:rPr>
          <w:rFonts w:ascii="Times New Roman" w:hAnsi="Times New Roman"/>
          <w:color w:val="000000"/>
          <w:sz w:val="21"/>
        </w:rPr>
        <w:t>Dave Debit Card spend increased 7% to $530 million</w:t>
      </w:r>
    </w:p>
    <w:p>
      <w:pPr>
        <w:pStyle w:val="TextBody"/>
        <w:bidi w:val="0"/>
        <w:spacing w:before="0" w:after="120"/>
        <w:jc w:val="left"/>
        <w:rPr/>
      </w:pPr>
      <w:r>
        <w:rPr/>
        <w:t> </w:t>
      </w:r>
    </w:p>
    <w:p>
      <w:pPr>
        <w:pStyle w:val="TextBody"/>
        <w:bidi w:val="0"/>
        <w:spacing w:before="0" w:after="120"/>
        <w:jc w:val="left"/>
        <w:rPr>
          <w:rFonts w:ascii="Times New Roman" w:hAnsi="Times New Roman"/>
          <w:b/>
          <w:color w:val="000000"/>
          <w:sz w:val="21"/>
        </w:rPr>
      </w:pPr>
      <w:r>
        <w:rPr>
          <w:rFonts w:ascii="Times New Roman" w:hAnsi="Times New Roman"/>
          <w:b/>
          <w:color w:val="000000"/>
          <w:sz w:val="21"/>
        </w:rPr>
        <w:t>Liquidity Summary</w:t>
      </w:r>
    </w:p>
    <w:p>
      <w:pPr>
        <w:pStyle w:val="TextBody"/>
        <w:bidi w:val="0"/>
        <w:spacing w:before="0" w:after="160"/>
        <w:jc w:val="both"/>
        <w:rPr>
          <w:rFonts w:ascii="Times New Roman" w:hAnsi="Times New Roman"/>
          <w:color w:val="000000"/>
          <w:sz w:val="21"/>
        </w:rPr>
      </w:pPr>
      <w:r>
        <w:rPr>
          <w:rFonts w:ascii="Times New Roman" w:hAnsi="Times New Roman"/>
          <w:color w:val="000000"/>
          <w:sz w:val="21"/>
        </w:rPr>
        <w:t>As of June 30, 2026, the Company had $254.4 million in cash and cash equivalents, investments, and restricted cash, compared to $177.8 million as of March 31, 2026. The $76.6 million increase was primarily driven by $93.0 million funded through the Coastal Community Bank arrangement, offset by $19.1 million of share repurchases during the quarter, leaving $94.1 million available under the Company’s share repurchase authorization.</w:t>
      </w:r>
    </w:p>
    <w:p>
      <w:pPr>
        <w:pStyle w:val="TextBody"/>
        <w:bidi w:val="0"/>
        <w:spacing w:before="0" w:after="160"/>
        <w:jc w:val="both"/>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60"/>
        <w:jc w:val="both"/>
        <w:rPr>
          <w:rFonts w:ascii="Times New Roman" w:hAnsi="Times New Roman"/>
          <w:sz w:val="20"/>
        </w:rPr>
      </w:pPr>
      <w:r>
        <w:rPr>
          <w:rFonts w:ascii="Times New Roman" w:hAnsi="Times New Roman"/>
          <w:b/>
          <w:color w:val="000000"/>
          <w:sz w:val="21"/>
        </w:rPr>
        <w:t xml:space="preserve">2026 Financial Guidance </w:t>
      </w:r>
      <w:r>
        <w:rPr>
          <w:rFonts w:ascii="Times New Roman" w:hAnsi="Times New Roman"/>
          <w:i/>
          <w:color w:val="000000"/>
          <w:sz w:val="21"/>
        </w:rPr>
        <w:t>($ in millions)</w:t>
      </w:r>
    </w:p>
    <w:tbl>
      <w:tblPr>
        <w:tblW w:w="6363" w:type="dxa"/>
        <w:jc w:val="left"/>
        <w:tblInd w:w="0" w:type="dxa"/>
        <w:tblLayout w:type="fixed"/>
        <w:tblCellMar>
          <w:top w:w="28" w:type="dxa"/>
          <w:left w:w="28" w:type="dxa"/>
          <w:bottom w:w="28" w:type="dxa"/>
          <w:right w:w="28" w:type="dxa"/>
        </w:tblCellMar>
      </w:tblPr>
      <w:tblGrid>
        <w:gridCol w:w="3376"/>
        <w:gridCol w:w="1471"/>
        <w:gridCol w:w="1516"/>
      </w:tblGrid>
      <w:tr>
        <w:trPr/>
        <w:tc>
          <w:tcPr>
            <w:tcW w:w="3376" w:type="dxa"/>
            <w:tcBorders/>
            <w:vAlign w:val="center"/>
          </w:tcPr>
          <w:p>
            <w:pPr>
              <w:pStyle w:val="TableContents"/>
              <w:bidi w:val="0"/>
              <w:spacing w:before="0" w:after="283"/>
              <w:jc w:val="left"/>
              <w:rPr>
                <w:sz w:val="4"/>
                <w:szCs w:val="4"/>
              </w:rPr>
            </w:pPr>
            <w:r>
              <w:rPr>
                <w:sz w:val="4"/>
                <w:szCs w:val="4"/>
              </w:rPr>
            </w:r>
          </w:p>
        </w:tc>
        <w:tc>
          <w:tcPr>
            <w:tcW w:w="1471" w:type="dxa"/>
            <w:tcBorders/>
            <w:vAlign w:val="center"/>
          </w:tcPr>
          <w:p>
            <w:pPr>
              <w:pStyle w:val="TableContents"/>
              <w:bidi w:val="0"/>
              <w:spacing w:before="0" w:after="283"/>
              <w:jc w:val="left"/>
              <w:rPr>
                <w:sz w:val="4"/>
                <w:szCs w:val="4"/>
              </w:rPr>
            </w:pPr>
            <w:r>
              <w:rPr>
                <w:sz w:val="4"/>
                <w:szCs w:val="4"/>
              </w:rPr>
            </w:r>
          </w:p>
        </w:tc>
        <w:tc>
          <w:tcPr>
            <w:tcW w:w="1516" w:type="dxa"/>
            <w:tcBorders/>
            <w:vAlign w:val="center"/>
          </w:tcPr>
          <w:p>
            <w:pPr>
              <w:pStyle w:val="TableContents"/>
              <w:bidi w:val="0"/>
              <w:spacing w:before="0" w:after="283"/>
              <w:jc w:val="left"/>
              <w:rPr>
                <w:sz w:val="4"/>
                <w:szCs w:val="4"/>
              </w:rPr>
            </w:pPr>
            <w:r>
              <w:rPr>
                <w:sz w:val="4"/>
                <w:szCs w:val="4"/>
              </w:rPr>
            </w:r>
          </w:p>
        </w:tc>
      </w:tr>
      <w:tr>
        <w:trPr/>
        <w:tc>
          <w:tcPr>
            <w:tcW w:w="3376" w:type="dxa"/>
            <w:tcBorders>
              <w:top w:val="single" w:sz="4" w:space="0" w:color="000000"/>
              <w:left w:val="single" w:sz="4" w:space="0" w:color="000000"/>
            </w:tcBorders>
            <w:shd w:fill="004318" w:val="clear"/>
            <w:tcMar>
              <w:top w:w="40" w:type="dxa"/>
              <w:left w:w="60" w:type="dxa"/>
              <w:bottom w:w="0" w:type="dxa"/>
              <w:right w:w="0" w:type="dxa"/>
            </w:tcMar>
            <w:vAlign w:val="center"/>
          </w:tcPr>
          <w:p>
            <w:pPr>
              <w:pStyle w:val="TableContents"/>
              <w:bidi w:val="0"/>
              <w:spacing w:before="0" w:after="283"/>
              <w:jc w:val="center"/>
              <w:rPr/>
            </w:pPr>
            <w:r>
              <w:rPr/>
              <w:t> </w:t>
            </w:r>
          </w:p>
        </w:tc>
        <w:tc>
          <w:tcPr>
            <w:tcW w:w="1471" w:type="dxa"/>
            <w:tcBorders>
              <w:top w:val="single" w:sz="4" w:space="0" w:color="000000"/>
            </w:tcBorders>
            <w:shd w:fill="004318" w:val="clear"/>
            <w:tcMar>
              <w:top w:w="40" w:type="dxa"/>
              <w:left w:w="0" w:type="dxa"/>
              <w:bottom w:w="0" w:type="dxa"/>
              <w:right w:w="0" w:type="dxa"/>
            </w:tcMar>
            <w:vAlign w:val="center"/>
          </w:tcPr>
          <w:p>
            <w:pPr>
              <w:pStyle w:val="TableContents"/>
              <w:bidi w:val="0"/>
              <w:spacing w:before="0" w:after="283"/>
              <w:jc w:val="center"/>
              <w:rPr>
                <w:rFonts w:ascii="Times New Roman" w:hAnsi="Times New Roman"/>
                <w:b/>
                <w:color w:val="FFFFFF"/>
                <w:sz w:val="21"/>
              </w:rPr>
            </w:pPr>
            <w:r>
              <w:rPr>
                <w:rFonts w:ascii="Times New Roman" w:hAnsi="Times New Roman"/>
                <w:b/>
                <w:color w:val="FFFFFF"/>
                <w:sz w:val="21"/>
              </w:rPr>
              <w:t>Prior FY 2026</w:t>
            </w:r>
          </w:p>
        </w:tc>
        <w:tc>
          <w:tcPr>
            <w:tcW w:w="1516" w:type="dxa"/>
            <w:tcBorders>
              <w:top w:val="single" w:sz="4" w:space="0" w:color="000000"/>
              <w:right w:val="single" w:sz="4" w:space="0" w:color="000000"/>
            </w:tcBorders>
            <w:shd w:fill="004318" w:val="clear"/>
            <w:tcMar>
              <w:top w:w="40" w:type="dxa"/>
              <w:left w:w="0" w:type="dxa"/>
              <w:bottom w:w="0" w:type="dxa"/>
              <w:right w:w="60" w:type="dxa"/>
            </w:tcMar>
            <w:vAlign w:val="center"/>
          </w:tcPr>
          <w:p>
            <w:pPr>
              <w:pStyle w:val="TableContents"/>
              <w:bidi w:val="0"/>
              <w:spacing w:before="0" w:after="283"/>
              <w:jc w:val="center"/>
              <w:rPr>
                <w:rFonts w:ascii="Times New Roman" w:hAnsi="Times New Roman"/>
                <w:b/>
                <w:color w:val="FFFFFF"/>
                <w:sz w:val="21"/>
              </w:rPr>
            </w:pPr>
            <w:r>
              <w:rPr>
                <w:rFonts w:ascii="Times New Roman" w:hAnsi="Times New Roman"/>
                <w:b/>
                <w:color w:val="FFFFFF"/>
                <w:sz w:val="21"/>
              </w:rPr>
              <w:t>New FY 2026</w:t>
            </w:r>
          </w:p>
        </w:tc>
      </w:tr>
      <w:tr>
        <w:trPr/>
        <w:tc>
          <w:tcPr>
            <w:tcW w:w="3376" w:type="dxa"/>
            <w:tcBorders>
              <w:left w:val="single" w:sz="4" w:space="0" w:color="000000"/>
            </w:tcBorders>
            <w:shd w:fill="F2F2F2" w:val="clear"/>
            <w:tcMar>
              <w:top w:w="0" w:type="dxa"/>
              <w:left w:w="60" w:type="dxa"/>
              <w:bottom w:w="0" w:type="dxa"/>
              <w:right w:w="0" w:type="dxa"/>
            </w:tcMar>
            <w:vAlign w:val="center"/>
          </w:tcPr>
          <w:p>
            <w:pPr>
              <w:pStyle w:val="TableContents"/>
              <w:bidi w:val="0"/>
              <w:spacing w:before="0" w:after="283"/>
              <w:jc w:val="left"/>
              <w:rPr>
                <w:rFonts w:ascii="Times New Roman" w:hAnsi="Times New Roman"/>
                <w:b/>
                <w:color w:val="000000"/>
                <w:sz w:val="21"/>
              </w:rPr>
            </w:pPr>
            <w:r>
              <w:rPr>
                <w:rFonts w:ascii="Times New Roman" w:hAnsi="Times New Roman"/>
                <w:b/>
                <w:color w:val="000000"/>
                <w:sz w:val="21"/>
              </w:rPr>
              <w:t>GAAP Operating Revenues, Net</w:t>
            </w:r>
          </w:p>
        </w:tc>
        <w:tc>
          <w:tcPr>
            <w:tcW w:w="1471" w:type="dxa"/>
            <w:tcBorders/>
            <w:shd w:fill="F2F2F2"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1"/>
              </w:rPr>
            </w:pPr>
            <w:r>
              <w:rPr>
                <w:rFonts w:ascii="Times New Roman" w:hAnsi="Times New Roman"/>
                <w:b/>
                <w:color w:val="000000"/>
                <w:sz w:val="21"/>
              </w:rPr>
              <w:t>$710 - $720</w:t>
            </w:r>
          </w:p>
        </w:tc>
        <w:tc>
          <w:tcPr>
            <w:tcW w:w="1516" w:type="dxa"/>
            <w:tcBorders>
              <w:right w:val="single" w:sz="4" w:space="0" w:color="000000"/>
            </w:tcBorders>
            <w:shd w:fill="F2F2F2" w:val="clear"/>
            <w:tcMar>
              <w:top w:w="0" w:type="dxa"/>
              <w:left w:w="0" w:type="dxa"/>
              <w:bottom w:w="0" w:type="dxa"/>
              <w:right w:w="60" w:type="dxa"/>
            </w:tcMar>
            <w:vAlign w:val="center"/>
          </w:tcPr>
          <w:p>
            <w:pPr>
              <w:pStyle w:val="TableContents"/>
              <w:bidi w:val="0"/>
              <w:spacing w:before="0" w:after="283"/>
              <w:jc w:val="center"/>
              <w:rPr>
                <w:rFonts w:ascii="Times New Roman" w:hAnsi="Times New Roman"/>
                <w:b/>
                <w:color w:val="000000"/>
                <w:sz w:val="21"/>
              </w:rPr>
            </w:pPr>
            <w:r>
              <w:rPr>
                <w:rFonts w:ascii="Times New Roman" w:hAnsi="Times New Roman"/>
                <w:b/>
                <w:color w:val="000000"/>
                <w:sz w:val="21"/>
              </w:rPr>
              <w:t>$725 - $735</w:t>
            </w:r>
          </w:p>
        </w:tc>
      </w:tr>
      <w:tr>
        <w:trPr/>
        <w:tc>
          <w:tcPr>
            <w:tcW w:w="3376" w:type="dxa"/>
            <w:tcBorders>
              <w:left w:val="single" w:sz="4" w:space="0" w:color="000000"/>
              <w:bottom w:val="dotted" w:sz="4" w:space="0" w:color="000000"/>
            </w:tcBorders>
            <w:shd w:fill="FFFFFF" w:val="clear"/>
            <w:tcMar>
              <w:top w:w="0" w:type="dxa"/>
              <w:left w:w="60" w:type="dxa"/>
              <w:bottom w:w="40" w:type="dxa"/>
              <w:right w:w="0" w:type="dxa"/>
            </w:tcMar>
            <w:vAlign w:val="center"/>
          </w:tcPr>
          <w:p>
            <w:pPr>
              <w:pStyle w:val="TableContents"/>
              <w:bidi w:val="0"/>
              <w:spacing w:before="0" w:after="283"/>
              <w:jc w:val="left"/>
              <w:rPr>
                <w:rFonts w:ascii="Times New Roman" w:hAnsi="Times New Roman"/>
                <w:i/>
                <w:color w:val="000000"/>
                <w:sz w:val="21"/>
              </w:rPr>
            </w:pPr>
            <w:r>
              <w:rPr>
                <w:rFonts w:ascii="Times New Roman" w:hAnsi="Times New Roman"/>
                <w:i/>
                <w:color w:val="000000"/>
                <w:sz w:val="21"/>
              </w:rPr>
              <w:t>Year-Over-Year Growth</w:t>
            </w:r>
          </w:p>
        </w:tc>
        <w:tc>
          <w:tcPr>
            <w:tcW w:w="1471" w:type="dxa"/>
            <w:tcBorders>
              <w:bottom w:val="dotted" w:sz="4" w:space="0" w:color="000000"/>
            </w:tcBorders>
            <w:shd w:fill="FFFFFF" w:val="clear"/>
            <w:tcMar>
              <w:top w:w="0" w:type="dxa"/>
              <w:left w:w="0" w:type="dxa"/>
              <w:bottom w:w="40" w:type="dxa"/>
              <w:right w:w="0" w:type="dxa"/>
            </w:tcMar>
            <w:vAlign w:val="center"/>
          </w:tcPr>
          <w:p>
            <w:pPr>
              <w:pStyle w:val="TableContents"/>
              <w:bidi w:val="0"/>
              <w:spacing w:before="0" w:after="283"/>
              <w:jc w:val="center"/>
              <w:rPr>
                <w:rFonts w:ascii="Times New Roman" w:hAnsi="Times New Roman"/>
                <w:i/>
                <w:color w:val="000000"/>
                <w:sz w:val="21"/>
              </w:rPr>
            </w:pPr>
            <w:r>
              <w:rPr>
                <w:rFonts w:ascii="Times New Roman" w:hAnsi="Times New Roman"/>
                <w:i/>
                <w:color w:val="000000"/>
                <w:sz w:val="21"/>
              </w:rPr>
              <w:t>28% - 30%</w:t>
            </w:r>
          </w:p>
        </w:tc>
        <w:tc>
          <w:tcPr>
            <w:tcW w:w="1516" w:type="dxa"/>
            <w:tcBorders>
              <w:bottom w:val="dotted" w:sz="4" w:space="0" w:color="000000"/>
              <w:right w:val="single" w:sz="4" w:space="0" w:color="000000"/>
            </w:tcBorders>
            <w:shd w:fill="FFFFFF" w:val="clear"/>
            <w:tcMar>
              <w:top w:w="0" w:type="dxa"/>
              <w:left w:w="0" w:type="dxa"/>
              <w:bottom w:w="40" w:type="dxa"/>
              <w:right w:w="60" w:type="dxa"/>
            </w:tcMar>
            <w:vAlign w:val="center"/>
          </w:tcPr>
          <w:p>
            <w:pPr>
              <w:pStyle w:val="TableContents"/>
              <w:bidi w:val="0"/>
              <w:spacing w:before="0" w:after="283"/>
              <w:jc w:val="center"/>
              <w:rPr>
                <w:rFonts w:ascii="Times New Roman" w:hAnsi="Times New Roman"/>
                <w:i/>
                <w:color w:val="000000"/>
                <w:sz w:val="21"/>
              </w:rPr>
            </w:pPr>
            <w:r>
              <w:rPr>
                <w:rFonts w:ascii="Times New Roman" w:hAnsi="Times New Roman"/>
                <w:i/>
                <w:color w:val="000000"/>
                <w:sz w:val="21"/>
              </w:rPr>
              <w:t>31% - 33%</w:t>
            </w:r>
          </w:p>
        </w:tc>
      </w:tr>
      <w:tr>
        <w:trPr/>
        <w:tc>
          <w:tcPr>
            <w:tcW w:w="3376" w:type="dxa"/>
            <w:tcBorders>
              <w:left w:val="single" w:sz="4" w:space="0" w:color="000000"/>
              <w:bottom w:val="dotted" w:sz="4" w:space="0" w:color="000000"/>
            </w:tcBorders>
            <w:shd w:fill="F2F2F2" w:val="clear"/>
            <w:tcMar>
              <w:top w:w="0" w:type="dxa"/>
              <w:left w:w="60" w:type="dxa"/>
              <w:bottom w:w="40" w:type="dxa"/>
              <w:right w:w="0" w:type="dxa"/>
            </w:tcMar>
            <w:vAlign w:val="center"/>
          </w:tcPr>
          <w:p>
            <w:pPr>
              <w:pStyle w:val="TableContents"/>
              <w:bidi w:val="0"/>
              <w:spacing w:before="0" w:after="283"/>
              <w:jc w:val="left"/>
              <w:rPr>
                <w:rFonts w:ascii="Times New Roman" w:hAnsi="Times New Roman"/>
                <w:sz w:val="21"/>
              </w:rPr>
            </w:pPr>
            <w:r>
              <w:rPr>
                <w:rFonts w:ascii="Times New Roman" w:hAnsi="Times New Roman"/>
                <w:b/>
                <w:color w:val="000000"/>
                <w:sz w:val="21"/>
              </w:rPr>
              <w:t>Adjusted EBITDA</w:t>
            </w:r>
            <w:r>
              <w:rPr>
                <w:rFonts w:ascii="Times New Roman" w:hAnsi="Times New Roman"/>
                <w:b/>
                <w:color w:val="000000"/>
                <w:sz w:val="14"/>
              </w:rPr>
              <w:t>*</w:t>
            </w:r>
          </w:p>
        </w:tc>
        <w:tc>
          <w:tcPr>
            <w:tcW w:w="1471" w:type="dxa"/>
            <w:tcBorders>
              <w:bottom w:val="dotted" w:sz="4" w:space="0" w:color="000000"/>
            </w:tcBorders>
            <w:shd w:fill="F2F2F2" w:val="clear"/>
            <w:tcMar>
              <w:top w:w="0" w:type="dxa"/>
              <w:left w:w="0" w:type="dxa"/>
              <w:bottom w:w="40" w:type="dxa"/>
              <w:right w:w="0" w:type="dxa"/>
            </w:tcMar>
            <w:vAlign w:val="center"/>
          </w:tcPr>
          <w:p>
            <w:pPr>
              <w:pStyle w:val="TableContents"/>
              <w:bidi w:val="0"/>
              <w:spacing w:before="0" w:after="283"/>
              <w:jc w:val="center"/>
              <w:rPr>
                <w:rFonts w:ascii="Times New Roman" w:hAnsi="Times New Roman"/>
                <w:b/>
                <w:color w:val="000000"/>
                <w:sz w:val="21"/>
              </w:rPr>
            </w:pPr>
            <w:r>
              <w:rPr>
                <w:rFonts w:ascii="Times New Roman" w:hAnsi="Times New Roman"/>
                <w:b/>
                <w:color w:val="000000"/>
                <w:sz w:val="21"/>
              </w:rPr>
              <w:t>$305 - $315</w:t>
            </w:r>
          </w:p>
        </w:tc>
        <w:tc>
          <w:tcPr>
            <w:tcW w:w="1516" w:type="dxa"/>
            <w:tcBorders>
              <w:bottom w:val="dotted" w:sz="4" w:space="0" w:color="000000"/>
              <w:right w:val="single" w:sz="4" w:space="0" w:color="000000"/>
            </w:tcBorders>
            <w:shd w:fill="F2F2F2" w:val="clear"/>
            <w:tcMar>
              <w:top w:w="0" w:type="dxa"/>
              <w:left w:w="0" w:type="dxa"/>
              <w:bottom w:w="40" w:type="dxa"/>
              <w:right w:w="60" w:type="dxa"/>
            </w:tcMar>
            <w:vAlign w:val="center"/>
          </w:tcPr>
          <w:p>
            <w:pPr>
              <w:pStyle w:val="TableContents"/>
              <w:bidi w:val="0"/>
              <w:spacing w:before="0" w:after="283"/>
              <w:jc w:val="center"/>
              <w:rPr>
                <w:rFonts w:ascii="Times New Roman" w:hAnsi="Times New Roman"/>
                <w:b/>
                <w:color w:val="000000"/>
                <w:sz w:val="21"/>
              </w:rPr>
            </w:pPr>
            <w:r>
              <w:rPr>
                <w:rFonts w:ascii="Times New Roman" w:hAnsi="Times New Roman"/>
                <w:b/>
                <w:color w:val="000000"/>
                <w:sz w:val="21"/>
              </w:rPr>
              <w:t>$315 - $325</w:t>
            </w:r>
          </w:p>
        </w:tc>
      </w:tr>
      <w:tr>
        <w:trPr/>
        <w:tc>
          <w:tcPr>
            <w:tcW w:w="3376" w:type="dxa"/>
            <w:tcBorders>
              <w:left w:val="single" w:sz="4" w:space="0" w:color="000000"/>
              <w:bottom w:val="single" w:sz="4" w:space="0" w:color="000000"/>
            </w:tcBorders>
            <w:shd w:fill="FFFFFF" w:val="clear"/>
            <w:tcMar>
              <w:top w:w="0" w:type="dxa"/>
              <w:left w:w="60" w:type="dxa"/>
              <w:bottom w:w="40" w:type="dxa"/>
              <w:right w:w="0" w:type="dxa"/>
            </w:tcMar>
            <w:vAlign w:val="center"/>
          </w:tcPr>
          <w:p>
            <w:pPr>
              <w:pStyle w:val="TableContents"/>
              <w:bidi w:val="0"/>
              <w:spacing w:before="0" w:after="283"/>
              <w:jc w:val="left"/>
              <w:rPr>
                <w:rFonts w:ascii="Times New Roman" w:hAnsi="Times New Roman"/>
                <w:sz w:val="21"/>
              </w:rPr>
            </w:pPr>
            <w:r>
              <w:rPr>
                <w:rFonts w:ascii="Times New Roman" w:hAnsi="Times New Roman"/>
                <w:b/>
                <w:color w:val="000000"/>
                <w:sz w:val="21"/>
              </w:rPr>
              <w:t>Adj. Net Income per Diluted Share</w:t>
            </w:r>
            <w:r>
              <w:rPr>
                <w:rFonts w:ascii="Times New Roman" w:hAnsi="Times New Roman"/>
                <w:b/>
                <w:color w:val="000000"/>
                <w:sz w:val="14"/>
              </w:rPr>
              <w:t>*</w:t>
            </w:r>
          </w:p>
        </w:tc>
        <w:tc>
          <w:tcPr>
            <w:tcW w:w="1471" w:type="dxa"/>
            <w:tcBorders>
              <w:bottom w:val="single" w:sz="4" w:space="0" w:color="000000"/>
            </w:tcBorders>
            <w:shd w:fill="FFFFFF" w:val="clear"/>
            <w:tcMar>
              <w:top w:w="0" w:type="dxa"/>
              <w:left w:w="0" w:type="dxa"/>
              <w:bottom w:w="40" w:type="dxa"/>
              <w:right w:w="0" w:type="dxa"/>
            </w:tcMar>
            <w:vAlign w:val="center"/>
          </w:tcPr>
          <w:p>
            <w:pPr>
              <w:pStyle w:val="TableContents"/>
              <w:bidi w:val="0"/>
              <w:spacing w:before="0" w:after="283"/>
              <w:jc w:val="center"/>
              <w:rPr>
                <w:rFonts w:ascii="Times New Roman" w:hAnsi="Times New Roman"/>
                <w:b/>
                <w:color w:val="000000"/>
                <w:sz w:val="21"/>
              </w:rPr>
            </w:pPr>
            <w:r>
              <w:rPr>
                <w:rFonts w:ascii="Times New Roman" w:hAnsi="Times New Roman"/>
                <w:b/>
                <w:color w:val="000000"/>
                <w:sz w:val="21"/>
              </w:rPr>
              <w:t>$16.25 - $16.75</w:t>
            </w:r>
          </w:p>
        </w:tc>
        <w:tc>
          <w:tcPr>
            <w:tcW w:w="1516" w:type="dxa"/>
            <w:tcBorders>
              <w:bottom w:val="single" w:sz="4" w:space="0" w:color="000000"/>
              <w:right w:val="single" w:sz="4" w:space="0" w:color="000000"/>
            </w:tcBorders>
            <w:shd w:fill="FFFFFF" w:val="clear"/>
            <w:tcMar>
              <w:top w:w="0" w:type="dxa"/>
              <w:left w:w="0" w:type="dxa"/>
              <w:bottom w:w="40" w:type="dxa"/>
              <w:right w:w="60" w:type="dxa"/>
            </w:tcMar>
            <w:vAlign w:val="center"/>
          </w:tcPr>
          <w:p>
            <w:pPr>
              <w:pStyle w:val="TableContents"/>
              <w:bidi w:val="0"/>
              <w:spacing w:before="0" w:after="283"/>
              <w:jc w:val="center"/>
              <w:rPr>
                <w:rFonts w:ascii="Times New Roman" w:hAnsi="Times New Roman"/>
                <w:b/>
                <w:color w:val="000000"/>
                <w:sz w:val="21"/>
              </w:rPr>
            </w:pPr>
            <w:r>
              <w:rPr>
                <w:rFonts w:ascii="Times New Roman" w:hAnsi="Times New Roman"/>
                <w:b/>
                <w:color w:val="000000"/>
                <w:sz w:val="21"/>
              </w:rPr>
              <w:t>$17.00 - $17.50</w:t>
            </w:r>
          </w:p>
        </w:tc>
      </w:tr>
    </w:tbl>
    <w:p>
      <w:pPr>
        <w:pStyle w:val="TextBody"/>
        <w:bidi w:val="0"/>
        <w:spacing w:before="0" w:after="160"/>
        <w:jc w:val="left"/>
        <w:rPr>
          <w:rFonts w:ascii="Times New Roman" w:hAnsi="Times New Roman"/>
          <w:i/>
          <w:color w:val="000000"/>
          <w:sz w:val="21"/>
        </w:rPr>
      </w:pPr>
      <w:r>
        <w:rPr>
          <w:rFonts w:ascii="Times New Roman" w:hAnsi="Times New Roman"/>
          <w:i/>
          <w:color w:val="000000"/>
          <w:sz w:val="21"/>
        </w:rPr>
        <w:t>*Non-GAAP measure. The Company does not provide a quantitative reconciliation of forward-looking non-GAAP financial measures because it is unable to predict without unreasonable effort the exact amount or timing of the reconciling items, including interest expense, investment income, and loss provision, among others. The variability of these items could have a significant impact on our future GAAP financial results.</w:t>
      </w:r>
    </w:p>
    <w:p>
      <w:pPr>
        <w:pStyle w:val="TextBody"/>
        <w:bidi w:val="0"/>
        <w:spacing w:before="0" w:after="160"/>
        <w:jc w:val="left"/>
        <w:rPr>
          <w:rFonts w:ascii="Times New Roman" w:hAnsi="Times New Roman"/>
          <w:color w:val="000000"/>
          <w:sz w:val="21"/>
        </w:rPr>
      </w:pPr>
      <w:r>
        <w:rPr>
          <w:rFonts w:ascii="Times New Roman" w:hAnsi="Times New Roman"/>
          <w:color w:val="000000"/>
          <w:sz w:val="21"/>
        </w:rPr>
        <w:t>Dave's CFO and COO, Kyle Beilman, commented: “This quarter demonstrated the quality of our earnings growth. Non-GAAP gross margin expanded nearly 300 basis points year-over-year to 72%. Credit performance remained strong, with our 28-day past due rate improving 6% year-over-year while originations grew 27%. That strength has continued into the third quarter, supported by the early rollout of our CashAI v6.0 underwriting model, which we expect to sustain loss rates in a similar range to Q2 while driving larger ExtraCash origination sizes. With loss provision calendar dynamics turning favorable in the second half, we expect non-GAAP gross margin to continue expanding into the mid-70s.”</w:t>
      </w:r>
    </w:p>
    <w:p>
      <w:pPr>
        <w:pStyle w:val="TextBody"/>
        <w:bidi w:val="0"/>
        <w:spacing w:before="0" w:after="160"/>
        <w:jc w:val="left"/>
        <w:rPr>
          <w:color w:val="000000"/>
        </w:rPr>
      </w:pPr>
      <w:r>
        <w:rPr>
          <w:color w:val="000000"/>
        </w:rPr>
        <w:t>“</w:t>
      </w:r>
      <w:r>
        <w:rPr>
          <w:rFonts w:ascii="Times New Roman" w:hAnsi="Times New Roman"/>
          <w:color w:val="000000"/>
          <w:sz w:val="21"/>
        </w:rPr>
        <w:t>Marketing and activation investment grew 32% year-over-year while CAC held flat at $19, further demonstrating the scalability of our growth engine. As returns have exceeded our expectations at higher spend levels, we plan to invest above our original plan in the second half. Near term, that incremental investment is expected to shift our growth mix toward MTMs, as newer members begin at lower ARPU and monetize more over time.”</w:t>
      </w:r>
    </w:p>
    <w:p>
      <w:pPr>
        <w:pStyle w:val="TextBody"/>
        <w:bidi w:val="0"/>
        <w:spacing w:before="0" w:after="160"/>
        <w:jc w:val="left"/>
        <w:rPr>
          <w:color w:val="000000"/>
        </w:rPr>
      </w:pPr>
      <w:r>
        <w:rPr>
          <w:color w:val="000000"/>
        </w:rPr>
        <w:t>“</w:t>
      </w:r>
      <w:r>
        <w:rPr>
          <w:rFonts w:ascii="Times New Roman" w:hAnsi="Times New Roman"/>
          <w:color w:val="000000"/>
          <w:sz w:val="21"/>
        </w:rPr>
        <w:t>Our Coastal Community Bank funding structure had $93.0 million outstanding at the end of Q2. As this program scales, it makes our funding model significantly more capital-efficient, lowers our cost of funds, and frees up meaningful liquidity to pursue high-return organic growth opportunities and continue to return capital to shareholders.”</w:t>
      </w:r>
    </w:p>
    <w:p>
      <w:pPr>
        <w:pStyle w:val="TextBody"/>
        <w:bidi w:val="0"/>
        <w:jc w:val="left"/>
        <w:rPr/>
      </w:pPr>
      <w:r>
        <w:rPr/>
        <w:t> </w:t>
      </w:r>
    </w:p>
    <w:p>
      <w:pPr>
        <w:pStyle w:val="TextBody"/>
        <w:bidi w:val="0"/>
        <w:jc w:val="left"/>
        <w:rPr>
          <w:rFonts w:ascii="Times New Roman" w:hAnsi="Times New Roman"/>
          <w:b/>
          <w:color w:val="000000"/>
          <w:sz w:val="21"/>
        </w:rPr>
      </w:pPr>
      <w:r>
        <w:rPr>
          <w:rFonts w:ascii="Times New Roman" w:hAnsi="Times New Roman"/>
          <w:b/>
          <w:color w:val="000000"/>
          <w:sz w:val="21"/>
        </w:rPr>
        <w:t>Conference Call</w:t>
      </w:r>
    </w:p>
    <w:p>
      <w:pPr>
        <w:pStyle w:val="TextBody"/>
        <w:bidi w:val="0"/>
        <w:jc w:val="left"/>
        <w:rPr>
          <w:rFonts w:ascii="Times New Roman" w:hAnsi="Times New Roman"/>
          <w:color w:val="000000"/>
          <w:sz w:val="21"/>
        </w:rPr>
      </w:pPr>
      <w:r>
        <w:rPr>
          <w:rFonts w:ascii="Times New Roman" w:hAnsi="Times New Roman"/>
          <w:color w:val="000000"/>
          <w:sz w:val="21"/>
        </w:rPr>
        <w:t>Dave management will host a conference call on Wednesday, August 5, 2026, at 5:00 p.m. Eastern time to discuss its financial results for the second quarter ended June 30, 2026, followed by a question-and-answer period. The conference call details are as follows:</w:t>
      </w:r>
    </w:p>
    <w:p>
      <w:pPr>
        <w:pStyle w:val="TextBody"/>
        <w:bidi w:val="0"/>
        <w:jc w:val="both"/>
        <w:rPr/>
      </w:pPr>
      <w:r>
        <w:rPr/>
        <w:t> </w:t>
      </w:r>
    </w:p>
    <w:p>
      <w:pPr>
        <w:pStyle w:val="TextBody"/>
        <w:bidi w:val="0"/>
        <w:jc w:val="both"/>
        <w:rPr>
          <w:rFonts w:ascii="Times New Roman" w:hAnsi="Times New Roman"/>
          <w:color w:val="000000"/>
          <w:sz w:val="21"/>
        </w:rPr>
      </w:pPr>
      <w:r>
        <w:rPr>
          <w:rFonts w:ascii="Times New Roman" w:hAnsi="Times New Roman"/>
          <w:color w:val="000000"/>
          <w:sz w:val="21"/>
        </w:rPr>
        <w:t>Date: Wednesday, August 5, 2026</w:t>
      </w:r>
    </w:p>
    <w:p>
      <w:pPr>
        <w:pStyle w:val="TextBody"/>
        <w:bidi w:val="0"/>
        <w:jc w:val="both"/>
        <w:rPr>
          <w:rFonts w:ascii="Times New Roman" w:hAnsi="Times New Roman"/>
          <w:color w:val="000000"/>
          <w:sz w:val="21"/>
        </w:rPr>
      </w:pPr>
      <w:r>
        <w:rPr>
          <w:rFonts w:ascii="Times New Roman" w:hAnsi="Times New Roman"/>
          <w:color w:val="000000"/>
          <w:sz w:val="21"/>
        </w:rPr>
        <w:t>Time: 5:00 p.m. Eastern time</w:t>
      </w:r>
    </w:p>
    <w:p>
      <w:pPr>
        <w:pStyle w:val="TextBody"/>
        <w:bidi w:val="0"/>
        <w:jc w:val="both"/>
        <w:rPr>
          <w:rFonts w:ascii="Times New Roman" w:hAnsi="Times New Roman"/>
          <w:sz w:val="20"/>
        </w:rPr>
      </w:pPr>
      <w:r>
        <w:rPr>
          <w:rFonts w:ascii="Times New Roman" w:hAnsi="Times New Roman"/>
          <w:color w:val="000000"/>
          <w:sz w:val="21"/>
        </w:rPr>
        <w:t xml:space="preserve">Conference Call Registration: </w:t>
      </w:r>
      <w:r>
        <w:rPr>
          <w:rFonts w:ascii="Times New Roman" w:hAnsi="Times New Roman"/>
          <w:sz w:val="21"/>
        </w:rPr>
        <w:t>link</w:t>
      </w:r>
    </w:p>
    <w:p>
      <w:pPr>
        <w:pStyle w:val="TextBody"/>
        <w:bidi w:val="0"/>
        <w:jc w:val="both"/>
        <w:rPr>
          <w:rFonts w:ascii="Times New Roman" w:hAnsi="Times New Roman"/>
          <w:sz w:val="20"/>
        </w:rPr>
      </w:pPr>
      <w:r>
        <w:rPr>
          <w:rFonts w:ascii="Times New Roman" w:hAnsi="Times New Roman"/>
          <w:color w:val="000000"/>
          <w:sz w:val="21"/>
        </w:rPr>
        <w:t xml:space="preserve">Webcast: </w:t>
      </w:r>
      <w:r>
        <w:rPr>
          <w:rFonts w:ascii="Times New Roman" w:hAnsi="Times New Roman"/>
          <w:sz w:val="21"/>
        </w:rPr>
        <w:t>link</w:t>
      </w:r>
    </w:p>
    <w:p>
      <w:pPr>
        <w:pStyle w:val="TextBody"/>
        <w:bidi w:val="0"/>
        <w:spacing w:before="0" w:after="40"/>
        <w:jc w:val="left"/>
        <w:rPr/>
      </w:pPr>
      <w:r>
        <w:rPr/>
        <w:t> </w:t>
      </w:r>
    </w:p>
    <w:p>
      <w:pPr>
        <w:pStyle w:val="TextBody"/>
        <w:bidi w:val="0"/>
        <w:spacing w:before="0" w:after="160"/>
        <w:jc w:val="both"/>
        <w:rPr>
          <w:rFonts w:ascii="Times New Roman" w:hAnsi="Times New Roman"/>
          <w:sz w:val="20"/>
        </w:rPr>
      </w:pPr>
      <w:r>
        <w:rPr>
          <w:rFonts w:ascii="Times New Roman" w:hAnsi="Times New Roman"/>
          <w:color w:val="000000"/>
          <w:sz w:val="21"/>
        </w:rPr>
        <w:t xml:space="preserve">The conference call will also be available for replay in the Events section of the Company’s website, along with the transcript, at </w:t>
      </w:r>
      <w:r>
        <w:rPr>
          <w:rFonts w:ascii="Times New Roman" w:hAnsi="Times New Roman"/>
          <w:sz w:val="21"/>
        </w:rPr>
        <w:t>https://investors.dave.com</w:t>
      </w:r>
      <w:r>
        <w:rPr>
          <w:rFonts w:ascii="Times New Roman" w:hAnsi="Times New Roman"/>
          <w:color w:val="000000"/>
          <w:sz w:val="21"/>
        </w:rPr>
        <w:t>.</w:t>
      </w:r>
    </w:p>
    <w:p>
      <w:pPr>
        <w:pStyle w:val="TextBody"/>
        <w:bidi w:val="0"/>
        <w:spacing w:before="0" w:after="160"/>
        <w:jc w:val="both"/>
        <w:rPr>
          <w:rFonts w:ascii="Times New Roman" w:hAnsi="Times New Roman"/>
          <w:sz w:val="20"/>
        </w:rPr>
      </w:pPr>
      <w:r>
        <w:rPr>
          <w:rFonts w:ascii="Times New Roman" w:hAnsi="Times New Roman"/>
          <w:color w:val="000000"/>
          <w:sz w:val="21"/>
        </w:rPr>
        <w:t xml:space="preserve">If you have any difficulty registering for or connecting to the conference call, please contact Elevate IR at </w:t>
      </w:r>
      <w:r>
        <w:rPr>
          <w:rFonts w:ascii="Times New Roman" w:hAnsi="Times New Roman"/>
          <w:sz w:val="21"/>
        </w:rPr>
        <w:t>DAVE@elevate-ir.com</w:t>
      </w:r>
      <w:r>
        <w:rPr>
          <w:rFonts w:ascii="Times New Roman" w:hAnsi="Times New Roman"/>
          <w:color w:val="000000"/>
          <w:sz w:val="21"/>
        </w:rPr>
        <w:t>.</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1"/>
        </w:rPr>
      </w:pPr>
      <w:r>
        <w:rPr>
          <w:rFonts w:ascii="Times New Roman" w:hAnsi="Times New Roman"/>
          <w:b/>
          <w:color w:val="000000"/>
          <w:sz w:val="21"/>
        </w:rPr>
        <w:t>About Dave</w:t>
      </w:r>
    </w:p>
    <w:p>
      <w:pPr>
        <w:pStyle w:val="TextBody"/>
        <w:bidi w:val="0"/>
        <w:jc w:val="left"/>
        <w:rPr>
          <w:rFonts w:ascii="Times New Roman" w:hAnsi="Times New Roman"/>
          <w:sz w:val="20"/>
        </w:rPr>
      </w:pPr>
      <w:r>
        <w:rPr>
          <w:rFonts w:ascii="Times New Roman" w:hAnsi="Times New Roman"/>
          <w:color w:val="000000"/>
          <w:sz w:val="21"/>
        </w:rPr>
        <w:t xml:space="preserve">Dave (Nasdaq: DAVE) is a U.S. neobank pioneering innovative credit products for everyday Americans. For more information about the Company, visit: </w:t>
      </w:r>
      <w:r>
        <w:rPr>
          <w:rFonts w:ascii="Times New Roman" w:hAnsi="Times New Roman"/>
          <w:sz w:val="21"/>
        </w:rPr>
        <w:t>www.dave.com</w:t>
      </w:r>
      <w:r>
        <w:rPr>
          <w:rFonts w:ascii="Times New Roman" w:hAnsi="Times New Roman"/>
          <w:color w:val="000000"/>
          <w:sz w:val="21"/>
        </w:rPr>
        <w:t xml:space="preserve">. For investor information and updates, visit: </w:t>
      </w:r>
      <w:r>
        <w:rPr>
          <w:rFonts w:ascii="Times New Roman" w:hAnsi="Times New Roman"/>
          <w:sz w:val="21"/>
        </w:rPr>
        <w:t>investors.dave.com</w:t>
      </w:r>
      <w:r>
        <w:rPr>
          <w:rFonts w:ascii="Times New Roman" w:hAnsi="Times New Roman"/>
          <w:color w:val="000000"/>
          <w:sz w:val="20"/>
        </w:rPr>
        <w:t xml:space="preserve"> </w:t>
      </w:r>
      <w:r>
        <w:rPr>
          <w:rFonts w:ascii="Times New Roman" w:hAnsi="Times New Roman"/>
          <w:color w:val="000000"/>
          <w:sz w:val="21"/>
        </w:rPr>
        <w:t>and follow @</w:t>
      </w:r>
      <w:r>
        <w:rPr>
          <w:rFonts w:ascii="Times New Roman" w:hAnsi="Times New Roman"/>
          <w:sz w:val="21"/>
        </w:rPr>
        <w:t>davebanking</w:t>
      </w:r>
      <w:r>
        <w:rPr>
          <w:rFonts w:ascii="Times New Roman" w:hAnsi="Times New Roman"/>
          <w:color w:val="000000"/>
          <w:sz w:val="20"/>
        </w:rPr>
        <w:t xml:space="preserve"> </w:t>
      </w:r>
      <w:r>
        <w:rPr>
          <w:rFonts w:ascii="Times New Roman" w:hAnsi="Times New Roman"/>
          <w:color w:val="000000"/>
          <w:sz w:val="21"/>
        </w:rPr>
        <w:t>on X.</w:t>
      </w:r>
    </w:p>
    <w:p>
      <w:pPr>
        <w:pStyle w:val="TextBody"/>
        <w:bidi w:val="0"/>
        <w:jc w:val="left"/>
        <w:rPr/>
      </w:pPr>
      <w:r>
        <w:rPr/>
        <w:t> </w:t>
      </w:r>
    </w:p>
    <w:p>
      <w:pPr>
        <w:pStyle w:val="TextBody"/>
        <w:bidi w:val="0"/>
        <w:jc w:val="left"/>
        <w:rPr>
          <w:rFonts w:ascii="Times New Roman" w:hAnsi="Times New Roman"/>
          <w:b/>
          <w:color w:val="000000"/>
          <w:sz w:val="21"/>
        </w:rPr>
      </w:pPr>
      <w:r>
        <w:rPr>
          <w:rFonts w:ascii="Times New Roman" w:hAnsi="Times New Roman"/>
          <w:b/>
          <w:color w:val="000000"/>
          <w:sz w:val="21"/>
        </w:rPr>
        <w:t>Forward-Looking Statements</w:t>
      </w:r>
    </w:p>
    <w:p>
      <w:pPr>
        <w:pStyle w:val="TextBody"/>
        <w:bidi w:val="0"/>
        <w:spacing w:before="0" w:after="240"/>
        <w:jc w:val="left"/>
        <w:rPr>
          <w:rFonts w:ascii="Times New Roman" w:hAnsi="Times New Roman"/>
          <w:color w:val="000000"/>
          <w:sz w:val="21"/>
        </w:rPr>
      </w:pPr>
      <w:r>
        <w:rPr>
          <w:rFonts w:ascii="Times New Roman" w:hAnsi="Times New Roman"/>
          <w:color w:val="000000"/>
          <w:sz w:val="21"/>
        </w:rPr>
        <w:t>This press release includes forward-looking statements within the meaning of the “safe harbor” provisions of the U.S. Private Securities Litigation Reform Act of 1995. These statements may be identified by words such as “anticipates,” “believes,” “could,” “estimates,” “expects,” “intends,” “may,” “might,” “opportunity,” “plans,” “projects,” “remains,” “should,” “targets,” “well-positioned,” or the negative of such terms, or other comparable terminology and include, among other things, the quotations of our Chief Executive Officer and Chief Financial Officer relating to Dave's future performance and growth, statements relating to fiscal year 2026 guidance, projected financial results for future periods and other statements about future events. Such forward-looking statements are not guarantees of future performance and are subject to risks and uncertainties, which could cause actual results to differ materially from the forward-looking statements contained herein due to many factors, including, but not limited to: the ability of Dave to compete in its highly competitive industry; the ability of Dave to keep pace with the rapid technological and AI-related developments in its industry and the larger financial services industry; the ability of Dave to manage risks associated with providing ExtraCash; the ability of Dave to retain its current customers, acquire new customers (collectively, “Members”) and sell additional functionality and services to its Members; the ability of Dave to successfully launch new products and services; the ability of Dave to protect intellectual property and trade secrets; the ability of Dave to maintain the integrity of its confidential information and information systems or comply with applicable privacy and data security requirements and regulations; the reliance by Dave on two bank partners; the ability of Dave to maintain or secure current and future key banking relationships and other third-party service providers, including its ability to comply with applicable requirements of such third parties; the ability of Dave to comply with extensive and evolving laws and regulations applicable to its business; changes in applicable laws or regulations and extensive and evolving government regulations that impact operations and business; the ability to attract or maintain a qualified workforce; the level of product service failures that could lead Members to use competitors’ services; investigations, claims, disputes, enforcement actions, arbitration, litigation and/or other regulatory or legal proceedings, including the Department of Justice’s lawsuit against Dave; the possibility that Dave may be adversely affected by other macroeconomic factors, including regulatory uncertainty, fluctuating interest rates, inflation, tariffs, unemployment rates, consumer sentiment, market volatility and business, and/or competitive factors; and other risks and uncertainties discussed in Dave’s Annual Report on Form 10-K filed with the Securities and Exchange Commission (the “SEC”) on March 2, 2026 and any subsequent Quarterly Reports on Form 10-Q under the heading “Risk Factors,” filed with the SEC and other reports and documents Dave files from time to time with the SEC. Any forward-looking statements speak only as of the date on which they are made, and Dave undertakes no obligation to update any forward-looking statement to reflect events or circumstances after the date of this press release.</w:t>
      </w:r>
    </w:p>
    <w:p>
      <w:pPr>
        <w:pStyle w:val="TextBody"/>
        <w:bidi w:val="0"/>
        <w:jc w:val="left"/>
        <w:rPr>
          <w:rFonts w:ascii="Times New Roman" w:hAnsi="Times New Roman"/>
          <w:b/>
          <w:color w:val="000000"/>
          <w:sz w:val="21"/>
        </w:rPr>
      </w:pPr>
      <w:r>
        <w:rPr>
          <w:rFonts w:ascii="Times New Roman" w:hAnsi="Times New Roman"/>
          <w:b/>
          <w:color w:val="000000"/>
          <w:sz w:val="21"/>
        </w:rPr>
        <w:t>Non-GAAP Financial Information</w:t>
      </w:r>
    </w:p>
    <w:p>
      <w:pPr>
        <w:pStyle w:val="TextBody"/>
        <w:bidi w:val="0"/>
        <w:spacing w:before="0" w:after="240"/>
        <w:jc w:val="left"/>
        <w:rPr>
          <w:rFonts w:ascii="Times New Roman" w:hAnsi="Times New Roman"/>
          <w:sz w:val="20"/>
        </w:rPr>
      </w:pPr>
      <w:r>
        <w:rPr>
          <w:rFonts w:ascii="Times New Roman" w:hAnsi="Times New Roman"/>
          <w:color w:val="000000"/>
          <w:sz w:val="21"/>
        </w:rPr>
        <w:t>This press release contains references to adjusted net income, adjusted EBITDA, adjusted EBITDA margin, non-GAAP gross profit, non-GAAP gross profit margin, and adjusted net income per share (basic and diluted) of Dave, which are adjusted from results based on generally accepted accounting principles in the United States (“GAAP”) and exclude certain expenses, gains and losses. The Company defines and calculates adjusted EBITDA as GAAP net income before the impact of interest income and/or expense, and funding costs, provision for income taxes, depreciation and amortization, and adjusted to exclude legal settlement expenses,</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sz w:val="20"/>
        </w:rPr>
      </w:pPr>
      <w:r>
        <w:rPr>
          <w:rFonts w:ascii="Times New Roman" w:hAnsi="Times New Roman"/>
          <w:color w:val="000000"/>
          <w:sz w:val="21"/>
        </w:rPr>
        <w:t>and litigation expenses related to the FTC/DOJ matter, stock-based compensation expense, other strategic financing and transactional expenses, discretionary or non-recurring income, changes in fair value of earnout liabilities and changes in fair value of public and private warrant liabilities. The Company defines and calculates adjusted EBITDA margin as adjusted EBITDA as a percentage of GAAP operating revenues, net. The Company defines and calculates variable operating expenses as provision for credit losses, processing and servicing costs and financial network and transaction costs. The Company defines and calculates non-GAAP gross profit as GAAP operating revenues, net excluding variable operating expenses. The Company defines and calculates non-GAAP gross profit margin as non-GAAP gross profit as a percentage of GAAP operating revenues, net. The Company defines and calculates adjusted net income as GAAP net income adjusted to exclude stock-based compensation, discretionary or non-recurring income, legal settlement expenses, and litigation expenses related to the FTC/DOJ matter, other strategic financing and transactional expenses, changes in fair value of earnout liabilities and changes in fair value of public and private warrant liabilities, the income tax impact related to the release of the valuation allowance and the income tax impact related to stock-based compensation. The Company defines and calculates non-GAAP adjusted net income per share - basic and non-GAAP adjusted net income per share - diluted as adjusted net income divided by weighted average shares of common stock-basic and weighted average shares of common stock-diluted, respectively.</w:t>
      </w:r>
      <w:r>
        <w:rPr>
          <w:rFonts w:ascii="Times New Roman" w:hAnsi="Times New Roman"/>
          <w:color w:val="000000"/>
          <w:sz w:val="20"/>
        </w:rPr>
        <w:t xml:space="preserve"> </w:t>
      </w:r>
    </w:p>
    <w:p>
      <w:pPr>
        <w:pStyle w:val="TextBody"/>
        <w:bidi w:val="0"/>
        <w:spacing w:before="0" w:after="240"/>
        <w:jc w:val="left"/>
        <w:rPr>
          <w:rFonts w:ascii="Times New Roman" w:hAnsi="Times New Roman"/>
          <w:color w:val="000000"/>
          <w:sz w:val="21"/>
        </w:rPr>
      </w:pPr>
      <w:r>
        <w:rPr>
          <w:rFonts w:ascii="Times New Roman" w:hAnsi="Times New Roman"/>
          <w:color w:val="000000"/>
          <w:sz w:val="21"/>
        </w:rPr>
        <w:t>These non-GAAP financial measures may be helpful to the user in assessing our operating performance and facilitate an alternative comparison among fiscal periods. The Company’s management team uses these non-GAAP financial measures in assessing performance, as well as in planning and forecasting future periods. The methods the Company uses to compute these non-GAAP financial measures may differ from the methods used by other companies. Non-GAAP financial measures are supplemental, should not be considered a substitute for financial information presented in accordance with GAAP and should be read only in conjunction with our condensed consolidated financial statements prepared in accordance with GAAP.</w:t>
      </w:r>
    </w:p>
    <w:p>
      <w:pPr>
        <w:pStyle w:val="TextBody"/>
        <w:bidi w:val="0"/>
        <w:spacing w:before="0" w:after="240"/>
        <w:jc w:val="left"/>
        <w:rPr>
          <w:rFonts w:ascii="Times New Roman" w:hAnsi="Times New Roman"/>
          <w:color w:val="000000"/>
          <w:sz w:val="21"/>
        </w:rPr>
      </w:pPr>
      <w:r>
        <w:rPr>
          <w:rFonts w:ascii="Times New Roman" w:hAnsi="Times New Roman"/>
          <w:color w:val="000000"/>
          <w:sz w:val="21"/>
        </w:rPr>
        <w:t>Refer to the section further below for a reconciliation of these non-GAAP financial measures to their most directly comparable GAAP measures for the three and six months ended June 30, 2026, and 2025.</w:t>
      </w:r>
    </w:p>
    <w:p>
      <w:pPr>
        <w:pStyle w:val="TextBody"/>
        <w:bidi w:val="0"/>
        <w:jc w:val="left"/>
        <w:rPr>
          <w:rFonts w:ascii="Times New Roman" w:hAnsi="Times New Roman"/>
          <w:sz w:val="20"/>
        </w:rPr>
      </w:pPr>
      <w:r>
        <w:rPr>
          <w:rFonts w:ascii="Times New Roman" w:hAnsi="Times New Roman"/>
          <w:b/>
          <w:color w:val="000000"/>
          <w:sz w:val="21"/>
        </w:rPr>
        <w:t>Investor Relations Contact</w:t>
      </w:r>
      <w:r>
        <w:rPr>
          <w:rFonts w:ascii="Times New Roman" w:hAnsi="Times New Roman"/>
          <w:color w:val="000000"/>
          <w:sz w:val="21"/>
        </w:rPr>
        <w:br/>
        <w:t>Sean Mansouri, CFA or Stefan Norbom</w:t>
        <w:br/>
        <w:t>Elevate IR</w:t>
        <w:br/>
      </w:r>
      <w:r>
        <w:rPr>
          <w:rFonts w:ascii="Times New Roman" w:hAnsi="Times New Roman"/>
          <w:sz w:val="21"/>
        </w:rPr>
        <w:t>DAVE@elevate-ir.com</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1"/>
        </w:rPr>
        <w:t>Media Contact</w:t>
        <w:br/>
      </w:r>
      <w:r>
        <w:rPr>
          <w:rFonts w:ascii="Times New Roman" w:hAnsi="Times New Roman"/>
          <w:color w:val="000000"/>
          <w:sz w:val="21"/>
        </w:rPr>
        <w:t>Dan Ury</w:t>
        <w:br/>
      </w:r>
      <w:r>
        <w:rPr>
          <w:rFonts w:ascii="Times New Roman" w:hAnsi="Times New Roman"/>
          <w:sz w:val="21"/>
        </w:rPr>
        <w:t>press@dave.com</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311"/>
        <w:gridCol w:w="146"/>
        <w:gridCol w:w="226"/>
        <w:gridCol w:w="1115"/>
        <w:gridCol w:w="157"/>
        <w:gridCol w:w="157"/>
        <w:gridCol w:w="226"/>
        <w:gridCol w:w="1115"/>
        <w:gridCol w:w="146"/>
        <w:gridCol w:w="146"/>
        <w:gridCol w:w="217"/>
        <w:gridCol w:w="1065"/>
        <w:gridCol w:w="149"/>
        <w:gridCol w:w="149"/>
        <w:gridCol w:w="217"/>
        <w:gridCol w:w="1065"/>
        <w:gridCol w:w="598"/>
      </w:tblGrid>
      <w:tr>
        <w:trPr/>
        <w:tc>
          <w:tcPr>
            <w:tcW w:w="3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r>
      <w:tr>
        <w:trPr/>
        <w:tc>
          <w:tcPr>
            <w:tcW w:w="9607" w:type="dxa"/>
            <w:gridSpan w:val="1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DAVE INC.</w:t>
            </w:r>
          </w:p>
        </w:tc>
        <w:tc>
          <w:tcPr>
            <w:tcW w:w="59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607" w:type="dxa"/>
            <w:gridSpan w:val="1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CONDENSED CONSOLIDATED STATEMENTS OF OPERATIONS</w:t>
            </w:r>
          </w:p>
        </w:tc>
        <w:tc>
          <w:tcPr>
            <w:tcW w:w="59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607" w:type="dxa"/>
            <w:gridSpan w:val="1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(in millions, except per share data)</w:t>
            </w:r>
          </w:p>
        </w:tc>
        <w:tc>
          <w:tcPr>
            <w:tcW w:w="59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607" w:type="dxa"/>
            <w:gridSpan w:val="1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(unaudited)</w:t>
            </w:r>
          </w:p>
        </w:tc>
        <w:tc>
          <w:tcPr>
            <w:tcW w:w="59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4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4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Six Month Ended June 30,</w:t>
            </w:r>
          </w:p>
        </w:tc>
        <w:tc>
          <w:tcPr>
            <w:tcW w:w="5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5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4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4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9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4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4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3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Service based revenue,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160.0</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307.6</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219.4</w:t>
            </w:r>
          </w:p>
        </w:tc>
        <w:tc>
          <w:tcPr>
            <w:tcW w:w="59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3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Transaction based revenue,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w:t>
            </w:r>
          </w:p>
        </w:tc>
        <w:tc>
          <w:tcPr>
            <w:tcW w:w="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w:t>
            </w:r>
          </w:p>
        </w:tc>
        <w:tc>
          <w:tcPr>
            <w:tcW w:w="598"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3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20"/>
              </w:rPr>
            </w:pPr>
            <w:r>
              <w:rPr>
                <w:rFonts w:ascii="Times New Roman" w:hAnsi="Times New Roman"/>
                <w:b/>
                <w:color w:val="000000"/>
                <w:sz w:val="20"/>
              </w:rPr>
              <w:t>Total operating revenues,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170.8</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329.2</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239.7</w:t>
            </w:r>
          </w:p>
        </w:tc>
        <w:tc>
          <w:tcPr>
            <w:tcW w:w="5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4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4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3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Provision for credit losses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55.4</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35.8</w:t>
            </w:r>
          </w:p>
        </w:tc>
        <w:tc>
          <w:tcPr>
            <w:tcW w:w="59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3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Processing and servicing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w:t>
            </w:r>
          </w:p>
        </w:tc>
        <w:tc>
          <w:tcPr>
            <w:tcW w:w="59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3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Financial network and transaction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w:t>
            </w:r>
          </w:p>
        </w:tc>
        <w:tc>
          <w:tcPr>
            <w:tcW w:w="59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3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Advertising and activation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w:t>
            </w:r>
          </w:p>
        </w:tc>
        <w:tc>
          <w:tcPr>
            <w:tcW w:w="59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3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Compensation and benefits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63.3</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53.7</w:t>
            </w:r>
          </w:p>
        </w:tc>
        <w:tc>
          <w:tcPr>
            <w:tcW w:w="59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3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Technology and infrastructure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w:t>
            </w:r>
          </w:p>
        </w:tc>
        <w:tc>
          <w:tcPr>
            <w:tcW w:w="59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3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w:t>
            </w:r>
          </w:p>
        </w:tc>
        <w:tc>
          <w:tcPr>
            <w:tcW w:w="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w:t>
            </w:r>
          </w:p>
        </w:tc>
        <w:tc>
          <w:tcPr>
            <w:tcW w:w="598"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3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20"/>
              </w:rPr>
            </w:pPr>
            <w:r>
              <w:rPr>
                <w:rFonts w:ascii="Times New Roman" w:hAnsi="Times New Roman"/>
                <w:b/>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118.5</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90.7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217.4</w:t>
            </w:r>
          </w:p>
        </w:tc>
        <w:tc>
          <w:tcPr>
            <w:tcW w:w="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163.5</w:t>
            </w:r>
          </w:p>
        </w:tc>
        <w:tc>
          <w:tcPr>
            <w:tcW w:w="5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Other (income)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4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4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3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59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3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Changes in fair value of earnout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w:t>
            </w:r>
          </w:p>
        </w:tc>
        <w:tc>
          <w:tcPr>
            <w:tcW w:w="59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3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Changes in fair value of public and private warrant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w:t>
            </w:r>
          </w:p>
        </w:tc>
        <w:tc>
          <w:tcPr>
            <w:tcW w:w="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w:t>
            </w:r>
          </w:p>
        </w:tc>
        <w:tc>
          <w:tcPr>
            <w:tcW w:w="598"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3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20"/>
              </w:rPr>
            </w:pPr>
            <w:r>
              <w:rPr>
                <w:rFonts w:ascii="Times New Roman" w:hAnsi="Times New Roman"/>
                <w:b/>
                <w:color w:val="000000"/>
                <w:sz w:val="20"/>
              </w:rPr>
              <w:t>Total other (income)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37.6</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29.5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27.0</w:t>
            </w:r>
          </w:p>
        </w:tc>
        <w:tc>
          <w:tcPr>
            <w:tcW w:w="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30.8</w:t>
            </w:r>
          </w:p>
        </w:tc>
        <w:tc>
          <w:tcPr>
            <w:tcW w:w="5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income before provision for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14.7</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84.8</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45.4</w:t>
            </w:r>
          </w:p>
        </w:tc>
        <w:tc>
          <w:tcPr>
            <w:tcW w:w="59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3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Provision for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w:t>
            </w:r>
          </w:p>
        </w:tc>
        <w:tc>
          <w:tcPr>
            <w:tcW w:w="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w:t>
            </w:r>
          </w:p>
        </w:tc>
        <w:tc>
          <w:tcPr>
            <w:tcW w:w="5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1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6.7</w:t>
            </w:r>
          </w:p>
        </w:tc>
        <w:tc>
          <w:tcPr>
            <w:tcW w:w="1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1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0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64.6</w:t>
            </w:r>
          </w:p>
        </w:tc>
        <w:tc>
          <w:tcPr>
            <w:tcW w:w="1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0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37.9</w:t>
            </w:r>
          </w:p>
        </w:tc>
        <w:tc>
          <w:tcPr>
            <w:tcW w:w="5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income per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4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4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3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20"/>
              </w:rPr>
              <w:t>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0.53</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4.94</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w:t>
            </w:r>
          </w:p>
        </w:tc>
        <w:tc>
          <w:tcPr>
            <w:tcW w:w="59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3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20"/>
              </w:rPr>
              <w:t>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0.49</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4.60</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w:t>
            </w:r>
          </w:p>
        </w:tc>
        <w:tc>
          <w:tcPr>
            <w:tcW w:w="5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Weighted-average shares used to compute net income per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4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4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3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20"/>
              </w:rPr>
              <w:t>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12,719,166</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13,364,926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13,075,038</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13,246,266</w:t>
            </w:r>
          </w:p>
        </w:tc>
        <w:tc>
          <w:tcPr>
            <w:tcW w:w="59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3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20"/>
              </w:rPr>
              <w:t>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13,679,803</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14,554,218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14,037,743</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14,475,435</w:t>
            </w:r>
          </w:p>
        </w:tc>
        <w:tc>
          <w:tcPr>
            <w:tcW w:w="5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550"/>
        <w:gridCol w:w="146"/>
        <w:gridCol w:w="344"/>
        <w:gridCol w:w="933"/>
        <w:gridCol w:w="238"/>
        <w:gridCol w:w="238"/>
        <w:gridCol w:w="344"/>
        <w:gridCol w:w="933"/>
        <w:gridCol w:w="166"/>
        <w:gridCol w:w="146"/>
        <w:gridCol w:w="314"/>
        <w:gridCol w:w="853"/>
        <w:gridCol w:w="217"/>
        <w:gridCol w:w="217"/>
        <w:gridCol w:w="314"/>
        <w:gridCol w:w="853"/>
        <w:gridCol w:w="399"/>
      </w:tblGrid>
      <w:tr>
        <w:trPr/>
        <w:tc>
          <w:tcPr>
            <w:tcW w:w="355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r>
      <w:tr>
        <w:trPr/>
        <w:tc>
          <w:tcPr>
            <w:tcW w:w="9806" w:type="dxa"/>
            <w:gridSpan w:val="1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RECONCILIATION OF TOTAL OPERATING REVENUES, NET</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806" w:type="dxa"/>
            <w:gridSpan w:val="1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(in millions)</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806" w:type="dxa"/>
            <w:gridSpan w:val="1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(unaudited)</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5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Six Month Ended June 30,</w:t>
            </w:r>
          </w:p>
        </w:tc>
        <w:tc>
          <w:tcPr>
            <w:tcW w:w="3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2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3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Service based revenue,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5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20"/>
              </w:rPr>
              <w:t>Processing and overdraft service fees,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144.9</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278.5</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196.9</w:t>
            </w:r>
          </w:p>
        </w:tc>
        <w:tc>
          <w:tcPr>
            <w:tcW w:w="39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5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20"/>
              </w:rPr>
              <w:t>Tips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w:t>
            </w:r>
          </w:p>
        </w:tc>
        <w:tc>
          <w:tcPr>
            <w:tcW w:w="39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5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20"/>
              </w:rPr>
              <w:t>Subscriptions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w:t>
            </w:r>
          </w:p>
        </w:tc>
        <w:tc>
          <w:tcPr>
            <w:tcW w:w="39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5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20"/>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Transaction based revenue,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5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20"/>
              </w:rPr>
              <w:t>Interchange revenue,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w:t>
            </w:r>
          </w:p>
        </w:tc>
        <w:tc>
          <w:tcPr>
            <w:tcW w:w="39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5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20"/>
              </w:rPr>
              <w:t>ATM revenue,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39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5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20"/>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2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w:t>
            </w:r>
          </w:p>
        </w:tc>
        <w:tc>
          <w:tcPr>
            <w:tcW w:w="3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5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operating revenues,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170.8</w:t>
            </w:r>
          </w:p>
        </w:tc>
        <w:tc>
          <w:tcPr>
            <w:tcW w:w="2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131.7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329.2</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239.7</w:t>
            </w:r>
          </w:p>
        </w:tc>
        <w:tc>
          <w:tcPr>
            <w:tcW w:w="3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233"/>
        <w:gridCol w:w="146"/>
        <w:gridCol w:w="321"/>
        <w:gridCol w:w="870"/>
        <w:gridCol w:w="458"/>
        <w:gridCol w:w="222"/>
        <w:gridCol w:w="321"/>
        <w:gridCol w:w="870"/>
        <w:gridCol w:w="301"/>
        <w:gridCol w:w="146"/>
        <w:gridCol w:w="293"/>
        <w:gridCol w:w="796"/>
        <w:gridCol w:w="419"/>
        <w:gridCol w:w="203"/>
        <w:gridCol w:w="293"/>
        <w:gridCol w:w="796"/>
        <w:gridCol w:w="517"/>
      </w:tblGrid>
      <w:tr>
        <w:trPr/>
        <w:tc>
          <w:tcPr>
            <w:tcW w:w="32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r>
      <w:tr>
        <w:trPr/>
        <w:tc>
          <w:tcPr>
            <w:tcW w:w="9688" w:type="dxa"/>
            <w:gridSpan w:val="1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CALCULATION OF NON-GAAP GROSS PROFIT</w:t>
            </w:r>
          </w:p>
        </w:tc>
        <w:tc>
          <w:tcPr>
            <w:tcW w:w="51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688" w:type="dxa"/>
            <w:gridSpan w:val="1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(in millions)</w:t>
            </w:r>
          </w:p>
        </w:tc>
        <w:tc>
          <w:tcPr>
            <w:tcW w:w="51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688" w:type="dxa"/>
            <w:gridSpan w:val="1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(unaudited)</w:t>
            </w:r>
          </w:p>
        </w:tc>
        <w:tc>
          <w:tcPr>
            <w:tcW w:w="51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2" w:type="dxa"/>
            <w:gridSpan w:val="6"/>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0" w:type="dxa"/>
            <w:gridSpan w:val="6"/>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Three Months Ended June 30,</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Six Month Ended June 30,</w:t>
            </w:r>
          </w:p>
        </w:tc>
        <w:tc>
          <w:tcPr>
            <w:tcW w:w="5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4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4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5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GAAP operating revenues,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170.8</w:t>
            </w:r>
          </w:p>
        </w:tc>
        <w:tc>
          <w:tcPr>
            <w:tcW w:w="4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131.7</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329.2</w:t>
            </w:r>
          </w:p>
        </w:tc>
        <w:tc>
          <w:tcPr>
            <w:tcW w:w="4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239.7</w:t>
            </w:r>
          </w:p>
        </w:tc>
        <w:tc>
          <w:tcPr>
            <w:tcW w:w="51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3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Less: Variable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5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7"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right"/>
              <w:rPr/>
            </w:pPr>
            <w:r>
              <w:rPr/>
              <w:t> </w:t>
            </w:r>
          </w:p>
        </w:tc>
      </w:tr>
      <w:tr>
        <w:trPr/>
        <w:tc>
          <w:tcPr>
            <w:tcW w:w="3233"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Provision for credit losses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w:t>
            </w:r>
          </w:p>
        </w:tc>
        <w:tc>
          <w:tcPr>
            <w:tcW w:w="4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(55.4</w:t>
            </w:r>
          </w:p>
        </w:tc>
        <w:tc>
          <w:tcPr>
            <w:tcW w:w="4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(35.8</w:t>
            </w:r>
          </w:p>
        </w:tc>
        <w:tc>
          <w:tcPr>
            <w:tcW w:w="517"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w:t>
            </w:r>
          </w:p>
        </w:tc>
      </w:tr>
      <w:tr>
        <w:trPr/>
        <w:tc>
          <w:tcPr>
            <w:tcW w:w="3233"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Processing and servicing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w:t>
            </w:r>
          </w:p>
        </w:tc>
        <w:tc>
          <w:tcPr>
            <w:tcW w:w="4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w:t>
            </w:r>
          </w:p>
        </w:tc>
        <w:tc>
          <w:tcPr>
            <w:tcW w:w="4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w:t>
            </w:r>
          </w:p>
        </w:tc>
        <w:tc>
          <w:tcPr>
            <w:tcW w:w="517"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w:t>
            </w:r>
          </w:p>
        </w:tc>
      </w:tr>
      <w:tr>
        <w:trPr/>
        <w:tc>
          <w:tcPr>
            <w:tcW w:w="3233"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Financial network and transaction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w:t>
            </w:r>
          </w:p>
        </w:tc>
        <w:tc>
          <w:tcPr>
            <w:tcW w:w="4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w:t>
            </w:r>
          </w:p>
        </w:tc>
        <w:tc>
          <w:tcPr>
            <w:tcW w:w="4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w:t>
            </w:r>
          </w:p>
        </w:tc>
        <w:tc>
          <w:tcPr>
            <w:tcW w:w="5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Non-GAAP gross profit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123.8</w:t>
            </w:r>
          </w:p>
        </w:tc>
        <w:tc>
          <w:tcPr>
            <w:tcW w:w="4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92.0</w:t>
            </w:r>
          </w:p>
        </w:tc>
        <w:tc>
          <w:tcPr>
            <w:tcW w:w="3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238.2</w:t>
            </w:r>
          </w:p>
        </w:tc>
        <w:tc>
          <w:tcPr>
            <w:tcW w:w="4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175.4</w:t>
            </w:r>
          </w:p>
        </w:tc>
        <w:tc>
          <w:tcPr>
            <w:tcW w:w="5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2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Non-GAAP gross profit margin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72</w:t>
            </w:r>
          </w:p>
        </w:tc>
        <w:tc>
          <w:tcPr>
            <w:tcW w:w="4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72</w:t>
            </w:r>
          </w:p>
        </w:tc>
        <w:tc>
          <w:tcPr>
            <w:tcW w:w="4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73</w:t>
            </w:r>
          </w:p>
        </w:tc>
        <w:tc>
          <w:tcPr>
            <w:tcW w:w="5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887"/>
        <w:gridCol w:w="146"/>
        <w:gridCol w:w="321"/>
        <w:gridCol w:w="711"/>
        <w:gridCol w:w="459"/>
        <w:gridCol w:w="222"/>
        <w:gridCol w:w="321"/>
        <w:gridCol w:w="711"/>
        <w:gridCol w:w="301"/>
        <w:gridCol w:w="146"/>
        <w:gridCol w:w="285"/>
        <w:gridCol w:w="774"/>
        <w:gridCol w:w="408"/>
        <w:gridCol w:w="197"/>
        <w:gridCol w:w="285"/>
        <w:gridCol w:w="632"/>
        <w:gridCol w:w="399"/>
      </w:tblGrid>
      <w:tr>
        <w:trPr/>
        <w:tc>
          <w:tcPr>
            <w:tcW w:w="388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r>
      <w:tr>
        <w:trPr/>
        <w:tc>
          <w:tcPr>
            <w:tcW w:w="9806" w:type="dxa"/>
            <w:gridSpan w:val="1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DAVE INC.</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806" w:type="dxa"/>
            <w:gridSpan w:val="1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RECONCILIATION OF NET INCOME TO ADJUSTED EBITDA</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806" w:type="dxa"/>
            <w:gridSpan w:val="1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(in millions)</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806" w:type="dxa"/>
            <w:gridSpan w:val="1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(unaudited)</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8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5" w:type="dxa"/>
            <w:gridSpan w:val="6"/>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1" w:type="dxa"/>
            <w:gridSpan w:val="6"/>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8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Three Months Ended June 30,</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Six Month Ended June 30,</w:t>
            </w:r>
          </w:p>
        </w:tc>
        <w:tc>
          <w:tcPr>
            <w:tcW w:w="3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4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4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3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6.7</w:t>
            </w:r>
          </w:p>
        </w:tc>
        <w:tc>
          <w:tcPr>
            <w:tcW w:w="4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9.1</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64.6</w:t>
            </w:r>
          </w:p>
        </w:tc>
        <w:tc>
          <w:tcPr>
            <w:tcW w:w="4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37.9</w:t>
            </w:r>
          </w:p>
        </w:tc>
        <w:tc>
          <w:tcPr>
            <w:tcW w:w="39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8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expense, net and funding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4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4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39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8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Provision for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w:t>
            </w:r>
          </w:p>
        </w:tc>
        <w:tc>
          <w:tcPr>
            <w:tcW w:w="4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w:t>
            </w:r>
          </w:p>
        </w:tc>
        <w:tc>
          <w:tcPr>
            <w:tcW w:w="4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w:t>
            </w:r>
          </w:p>
        </w:tc>
        <w:tc>
          <w:tcPr>
            <w:tcW w:w="39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8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4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4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39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8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w:t>
            </w:r>
          </w:p>
        </w:tc>
        <w:tc>
          <w:tcPr>
            <w:tcW w:w="4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w:t>
            </w:r>
          </w:p>
        </w:tc>
        <w:tc>
          <w:tcPr>
            <w:tcW w:w="4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w:t>
            </w:r>
          </w:p>
        </w:tc>
        <w:tc>
          <w:tcPr>
            <w:tcW w:w="39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8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Legal settlement and litigation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4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w:t>
            </w:r>
          </w:p>
        </w:tc>
        <w:tc>
          <w:tcPr>
            <w:tcW w:w="4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8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strategic financing and transactional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w:t>
            </w:r>
          </w:p>
        </w:tc>
        <w:tc>
          <w:tcPr>
            <w:tcW w:w="4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w:t>
            </w:r>
          </w:p>
        </w:tc>
        <w:tc>
          <w:tcPr>
            <w:tcW w:w="4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8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Changes in fair value of earnout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w:t>
            </w:r>
          </w:p>
        </w:tc>
        <w:tc>
          <w:tcPr>
            <w:tcW w:w="4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w:t>
            </w:r>
          </w:p>
        </w:tc>
        <w:tc>
          <w:tcPr>
            <w:tcW w:w="4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w:t>
            </w:r>
          </w:p>
        </w:tc>
        <w:tc>
          <w:tcPr>
            <w:tcW w:w="39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8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Changes in fair value of public and private warrant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w:t>
            </w:r>
          </w:p>
        </w:tc>
        <w:tc>
          <w:tcPr>
            <w:tcW w:w="4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w:t>
            </w:r>
          </w:p>
        </w:tc>
        <w:tc>
          <w:tcPr>
            <w:tcW w:w="4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w:t>
            </w:r>
          </w:p>
        </w:tc>
        <w:tc>
          <w:tcPr>
            <w:tcW w:w="3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8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Adjusted EBITDA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75.5</w:t>
            </w:r>
          </w:p>
        </w:tc>
        <w:tc>
          <w:tcPr>
            <w:tcW w:w="4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50.9</w:t>
            </w:r>
          </w:p>
        </w:tc>
        <w:tc>
          <w:tcPr>
            <w:tcW w:w="3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144.8</w:t>
            </w:r>
          </w:p>
        </w:tc>
        <w:tc>
          <w:tcPr>
            <w:tcW w:w="4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95.1</w:t>
            </w:r>
          </w:p>
        </w:tc>
        <w:tc>
          <w:tcPr>
            <w:tcW w:w="3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8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Adjusted EBITDA margin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44</w:t>
            </w:r>
          </w:p>
        </w:tc>
        <w:tc>
          <w:tcPr>
            <w:tcW w:w="4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39</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44</w:t>
            </w:r>
          </w:p>
        </w:tc>
        <w:tc>
          <w:tcPr>
            <w:tcW w:w="4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40</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130"/>
        <w:gridCol w:w="146"/>
        <w:gridCol w:w="341"/>
        <w:gridCol w:w="753"/>
        <w:gridCol w:w="268"/>
        <w:gridCol w:w="235"/>
        <w:gridCol w:w="341"/>
        <w:gridCol w:w="753"/>
        <w:gridCol w:w="166"/>
        <w:gridCol w:w="146"/>
        <w:gridCol w:w="301"/>
        <w:gridCol w:w="816"/>
        <w:gridCol w:w="237"/>
        <w:gridCol w:w="208"/>
        <w:gridCol w:w="301"/>
        <w:gridCol w:w="666"/>
        <w:gridCol w:w="397"/>
      </w:tblGrid>
      <w:tr>
        <w:trPr/>
        <w:tc>
          <w:tcPr>
            <w:tcW w:w="413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r>
      <w:tr>
        <w:trPr/>
        <w:tc>
          <w:tcPr>
            <w:tcW w:w="9808" w:type="dxa"/>
            <w:gridSpan w:val="1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DAVE INC.</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808" w:type="dxa"/>
            <w:gridSpan w:val="1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RECONCILIATION OF NET INCOME TO ADJUSTED NET INCOME</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808" w:type="dxa"/>
            <w:gridSpan w:val="1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(in millions, except per share data)</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808" w:type="dxa"/>
            <w:gridSpan w:val="1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(unaudited)</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1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1" w:type="dxa"/>
            <w:gridSpan w:val="6"/>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9" w:type="dxa"/>
            <w:gridSpan w:val="6"/>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1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Six Month Ended June 30,</w:t>
            </w:r>
          </w:p>
        </w:tc>
        <w:tc>
          <w:tcPr>
            <w:tcW w:w="3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2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3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6.7</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64.6</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37.9</w:t>
            </w:r>
          </w:p>
        </w:tc>
        <w:tc>
          <w:tcPr>
            <w:tcW w:w="39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3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w:t>
            </w:r>
          </w:p>
        </w:tc>
        <w:tc>
          <w:tcPr>
            <w:tcW w:w="39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3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Legal settlement and litigation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3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strategic financing and transactional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3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Changes in fair value of earnout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w:t>
            </w:r>
          </w:p>
        </w:tc>
        <w:tc>
          <w:tcPr>
            <w:tcW w:w="39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3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Changes in fair value of public and private warrant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w:t>
            </w:r>
          </w:p>
        </w:tc>
        <w:tc>
          <w:tcPr>
            <w:tcW w:w="39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3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Income tax expense (benefit) related to 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w:t>
            </w:r>
          </w:p>
        </w:tc>
        <w:tc>
          <w:tcPr>
            <w:tcW w:w="2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w:t>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w:t>
            </w:r>
          </w:p>
        </w:tc>
        <w:tc>
          <w:tcPr>
            <w:tcW w:w="3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Adjusted 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56.4</w:t>
            </w:r>
          </w:p>
        </w:tc>
        <w:tc>
          <w:tcPr>
            <w:tcW w:w="2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40.5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108.7</w:t>
            </w:r>
          </w:p>
        </w:tc>
        <w:tc>
          <w:tcPr>
            <w:tcW w:w="2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73.0</w:t>
            </w:r>
          </w:p>
        </w:tc>
        <w:tc>
          <w:tcPr>
            <w:tcW w:w="3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1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Adjusted net income per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3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20"/>
              </w:rPr>
              <w:t>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4.43</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8.31</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5.51</w:t>
            </w:r>
          </w:p>
        </w:tc>
        <w:tc>
          <w:tcPr>
            <w:tcW w:w="39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3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20"/>
              </w:rPr>
              <w:t>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4.12</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7.74</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5.04</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8144" w:type="dxa"/>
        <w:jc w:val="left"/>
        <w:tblInd w:w="0" w:type="dxa"/>
        <w:tblLayout w:type="fixed"/>
        <w:tblCellMar>
          <w:top w:w="28" w:type="dxa"/>
          <w:left w:w="28" w:type="dxa"/>
          <w:bottom w:w="28" w:type="dxa"/>
          <w:right w:w="28" w:type="dxa"/>
        </w:tblCellMar>
      </w:tblPr>
      <w:tblGrid>
        <w:gridCol w:w="4621"/>
        <w:gridCol w:w="146"/>
        <w:gridCol w:w="283"/>
        <w:gridCol w:w="767"/>
        <w:gridCol w:w="146"/>
        <w:gridCol w:w="146"/>
        <w:gridCol w:w="339"/>
        <w:gridCol w:w="921"/>
        <w:gridCol w:w="146"/>
        <w:gridCol w:w="146"/>
        <w:gridCol w:w="146"/>
        <w:gridCol w:w="146"/>
        <w:gridCol w:w="191"/>
      </w:tblGrid>
      <w:tr>
        <w:trPr/>
        <w:tc>
          <w:tcPr>
            <w:tcW w:w="46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7369"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DAVE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369"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SUMMARY BALANCE SHEET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369"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144" w:type="dxa"/>
            <w:gridSpan w:val="13"/>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6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(unaudited)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cash equivalents, restricted cash, and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254.4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Member receivables, net of allowance for credit losses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570.8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487.4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Debt facility, 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Convertible notes, net of discount and issuance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362.9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shareholders'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207.9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352.7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gif"/><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3414</Words>
  <Characters>18476</Characters>
  <CharactersWithSpaces>22522</CharactersWithSpaces>
  <Paragraphs>1912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